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FD7104" w:rsidRDefault="001A24F3" w:rsidP="005F3A53">
      <w:pPr>
        <w:pStyle w:val="Antet"/>
        <w:tabs>
          <w:tab w:val="clear" w:pos="4153"/>
          <w:tab w:val="clear" w:pos="8306"/>
        </w:tabs>
        <w:jc w:val="right"/>
        <w:rPr>
          <w:rFonts w:ascii="Arial" w:hAnsi="Arial" w:cs="Arial"/>
          <w:b/>
          <w:sz w:val="32"/>
          <w:szCs w:val="32"/>
        </w:rPr>
      </w:pPr>
      <w:r w:rsidRPr="00FD7104">
        <w:rPr>
          <w:rFonts w:ascii="Arial" w:hAnsi="Arial" w:cs="Arial"/>
          <w:noProof/>
          <w:sz w:val="32"/>
          <w:szCs w:val="32"/>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Imagin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D7104">
        <w:rPr>
          <w:rFonts w:ascii="Arial" w:hAnsi="Arial" w:cs="Arial"/>
          <w:sz w:val="32"/>
          <w:szCs w:val="32"/>
        </w:rPr>
        <w:t xml:space="preserve"> </w:t>
      </w:r>
      <w:r w:rsidR="005F3A53" w:rsidRPr="00FD7104">
        <w:rPr>
          <w:rFonts w:ascii="Arial" w:hAnsi="Arial" w:cs="Arial"/>
          <w:sz w:val="32"/>
          <w:szCs w:val="32"/>
        </w:rPr>
        <w:br w:type="textWrapping" w:clear="all"/>
      </w:r>
      <w:r w:rsidR="005F3A53" w:rsidRPr="00FD7104">
        <w:rPr>
          <w:rFonts w:ascii="Arial" w:hAnsi="Arial" w:cs="Arial"/>
          <w:b/>
          <w:bCs/>
          <w:sz w:val="32"/>
          <w:szCs w:val="32"/>
        </w:rPr>
        <w:t xml:space="preserve">APPENDIX </w:t>
      </w:r>
      <w:r w:rsidR="00FF5AAD" w:rsidRPr="00FD7104">
        <w:rPr>
          <w:rFonts w:ascii="Arial" w:hAnsi="Arial" w:cs="Arial"/>
          <w:b/>
          <w:bCs/>
          <w:sz w:val="32"/>
          <w:szCs w:val="32"/>
        </w:rPr>
        <w:t>GA36a</w:t>
      </w:r>
    </w:p>
    <w:p w14:paraId="672A6659" w14:textId="77777777" w:rsidR="002D5B3F" w:rsidRPr="00FD7104" w:rsidRDefault="002D5B3F" w:rsidP="002D5B3F">
      <w:pPr>
        <w:rPr>
          <w:rFonts w:ascii="Arial" w:hAnsi="Arial" w:cs="Arial"/>
          <w:sz w:val="32"/>
          <w:szCs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D7104" w14:paraId="394D710B" w14:textId="77777777" w:rsidTr="00A406E5">
        <w:tc>
          <w:tcPr>
            <w:tcW w:w="9922" w:type="dxa"/>
            <w:shd w:val="clear" w:color="auto" w:fill="C0C0C0"/>
          </w:tcPr>
          <w:p w14:paraId="00999318" w14:textId="77777777" w:rsidR="00681FA9" w:rsidRPr="00FD7104" w:rsidRDefault="004F38B4" w:rsidP="00552351">
            <w:pPr>
              <w:pStyle w:val="Titlu4"/>
              <w:rPr>
                <w:rFonts w:ascii="Arial" w:hAnsi="Arial" w:cs="Arial"/>
                <w:b/>
                <w:sz w:val="32"/>
                <w:szCs w:val="32"/>
              </w:rPr>
            </w:pPr>
            <w:r w:rsidRPr="00FD7104">
              <w:rPr>
                <w:rFonts w:ascii="Arial" w:hAnsi="Arial" w:cs="Arial"/>
                <w:b/>
                <w:sz w:val="32"/>
                <w:szCs w:val="32"/>
              </w:rPr>
              <w:t>LEVEL 4</w:t>
            </w:r>
            <w:r w:rsidR="00026B02" w:rsidRPr="00FD7104">
              <w:rPr>
                <w:rFonts w:ascii="Arial" w:hAnsi="Arial" w:cs="Arial"/>
                <w:b/>
                <w:sz w:val="32"/>
                <w:szCs w:val="32"/>
              </w:rPr>
              <w:t xml:space="preserve"> </w:t>
            </w:r>
            <w:r w:rsidR="00552351" w:rsidRPr="00FD7104">
              <w:rPr>
                <w:rFonts w:ascii="Arial" w:hAnsi="Arial" w:cs="Arial"/>
                <w:b/>
                <w:sz w:val="32"/>
                <w:szCs w:val="32"/>
              </w:rPr>
              <w:t>ASSESSMENT</w:t>
            </w:r>
            <w:r w:rsidR="003A3CE5" w:rsidRPr="00FD7104">
              <w:rPr>
                <w:rFonts w:ascii="Arial" w:hAnsi="Arial" w:cs="Arial"/>
                <w:b/>
                <w:sz w:val="32"/>
                <w:szCs w:val="32"/>
              </w:rPr>
              <w:t xml:space="preserve"> SPECIFICATION </w:t>
            </w:r>
          </w:p>
        </w:tc>
      </w:tr>
    </w:tbl>
    <w:p w14:paraId="0A37501D" w14:textId="77777777" w:rsidR="003A3CE5" w:rsidRPr="00FD7104" w:rsidRDefault="003A3CE5" w:rsidP="002D5B3F">
      <w:pPr>
        <w:jc w:val="center"/>
        <w:rPr>
          <w:rFonts w:ascii="Arial" w:hAnsi="Arial" w:cs="Arial"/>
          <w:b/>
          <w:i/>
          <w:sz w:val="32"/>
          <w:szCs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5"/>
        <w:gridCol w:w="2609"/>
        <w:gridCol w:w="2015"/>
        <w:gridCol w:w="3403"/>
      </w:tblGrid>
      <w:tr w:rsidR="003B3F9D" w:rsidRPr="00FD7104" w14:paraId="1C3C2E8D" w14:textId="77777777" w:rsidTr="59F58897">
        <w:tc>
          <w:tcPr>
            <w:tcW w:w="1895" w:type="dxa"/>
            <w:shd w:val="clear" w:color="auto" w:fill="auto"/>
          </w:tcPr>
          <w:p w14:paraId="6C8DD3D4" w14:textId="77777777" w:rsidR="003B3F9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Student name:</w:t>
            </w:r>
          </w:p>
        </w:tc>
        <w:tc>
          <w:tcPr>
            <w:tcW w:w="2609" w:type="dxa"/>
          </w:tcPr>
          <w:p w14:paraId="1E2F352E" w14:textId="1D25F2B4" w:rsidR="003B3F9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 xml:space="preserve">Gabriel </w:t>
            </w:r>
            <w:proofErr w:type="spellStart"/>
            <w:r w:rsidRPr="59F58897">
              <w:rPr>
                <w:rFonts w:ascii="Arial" w:hAnsi="Arial" w:cs="Arial"/>
                <w:b/>
                <w:bCs/>
                <w:sz w:val="24"/>
                <w:szCs w:val="24"/>
              </w:rPr>
              <w:t>Huchiu</w:t>
            </w:r>
            <w:proofErr w:type="spellEnd"/>
            <w:r w:rsidRPr="59F58897">
              <w:rPr>
                <w:rFonts w:ascii="Arial" w:hAnsi="Arial" w:cs="Arial"/>
                <w:b/>
                <w:bCs/>
                <w:sz w:val="24"/>
                <w:szCs w:val="24"/>
              </w:rPr>
              <w:t xml:space="preserve"> </w:t>
            </w:r>
          </w:p>
        </w:tc>
        <w:tc>
          <w:tcPr>
            <w:tcW w:w="2015" w:type="dxa"/>
            <w:shd w:val="clear" w:color="auto" w:fill="D9D9D9" w:themeFill="background1" w:themeFillShade="D9"/>
          </w:tcPr>
          <w:p w14:paraId="3C4FC877" w14:textId="77777777" w:rsidR="003B3F9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Student ID number:</w:t>
            </w:r>
          </w:p>
        </w:tc>
        <w:tc>
          <w:tcPr>
            <w:tcW w:w="3403" w:type="dxa"/>
          </w:tcPr>
          <w:p w14:paraId="5DAB6C7B" w14:textId="0247E5D5" w:rsidR="003B3F9D" w:rsidRPr="00FD7104" w:rsidRDefault="006C3D68" w:rsidP="59F58897">
            <w:pPr>
              <w:spacing w:before="120" w:after="120"/>
              <w:jc w:val="both"/>
              <w:rPr>
                <w:rFonts w:ascii="Arial" w:hAnsi="Arial" w:cs="Arial"/>
                <w:b/>
                <w:bCs/>
                <w:sz w:val="28"/>
                <w:szCs w:val="28"/>
              </w:rPr>
            </w:pPr>
            <w:hyperlink r:id="rId9">
              <w:r w:rsidR="59F58897" w:rsidRPr="59F58897">
                <w:rPr>
                  <w:rStyle w:val="Hyperlink"/>
                  <w:rFonts w:ascii="Arial" w:hAnsi="Arial" w:cs="Arial"/>
                  <w:b/>
                  <w:bCs/>
                  <w:sz w:val="28"/>
                  <w:szCs w:val="28"/>
                </w:rPr>
                <w:t>2233684@student.uwtsd.ac.uk</w:t>
              </w:r>
            </w:hyperlink>
            <w:r w:rsidR="59F58897" w:rsidRPr="59F58897">
              <w:rPr>
                <w:rFonts w:ascii="Arial" w:hAnsi="Arial" w:cs="Arial"/>
                <w:b/>
                <w:bCs/>
                <w:sz w:val="28"/>
                <w:szCs w:val="28"/>
              </w:rPr>
              <w:t xml:space="preserve"> </w:t>
            </w:r>
          </w:p>
        </w:tc>
      </w:tr>
      <w:tr w:rsidR="00DB116D" w:rsidRPr="00FD7104" w14:paraId="41F3D19D" w14:textId="77777777" w:rsidTr="59F58897">
        <w:tc>
          <w:tcPr>
            <w:tcW w:w="1895" w:type="dxa"/>
            <w:shd w:val="clear" w:color="auto" w:fill="auto"/>
          </w:tcPr>
          <w:p w14:paraId="14CC8225" w14:textId="77777777"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Programme:</w:t>
            </w:r>
          </w:p>
        </w:tc>
        <w:tc>
          <w:tcPr>
            <w:tcW w:w="8027" w:type="dxa"/>
            <w:gridSpan w:val="3"/>
          </w:tcPr>
          <w:p w14:paraId="02EB378F" w14:textId="7E9C9FF4"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 xml:space="preserve">BSc (Hon) Professional Policing </w:t>
            </w:r>
          </w:p>
        </w:tc>
      </w:tr>
      <w:tr w:rsidR="008F1308" w:rsidRPr="00FD7104" w14:paraId="4637B2E8" w14:textId="77777777" w:rsidTr="59F58897">
        <w:tc>
          <w:tcPr>
            <w:tcW w:w="1895" w:type="dxa"/>
            <w:shd w:val="clear" w:color="auto" w:fill="auto"/>
          </w:tcPr>
          <w:p w14:paraId="0121D0E3" w14:textId="77777777" w:rsidR="008F1308"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Module:</w:t>
            </w:r>
          </w:p>
        </w:tc>
        <w:tc>
          <w:tcPr>
            <w:tcW w:w="8027" w:type="dxa"/>
            <w:gridSpan w:val="3"/>
            <w:shd w:val="clear" w:color="auto" w:fill="auto"/>
          </w:tcPr>
          <w:p w14:paraId="5AD99D0A" w14:textId="7B35E36C" w:rsidR="008F1308"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Preparing for Professional Police Practice</w:t>
            </w:r>
          </w:p>
          <w:p w14:paraId="6A05A809" w14:textId="17ACFC83" w:rsidR="008F1308" w:rsidRPr="00FD7104" w:rsidRDefault="008F1308" w:rsidP="59F58897">
            <w:pPr>
              <w:spacing w:before="120" w:after="120"/>
              <w:jc w:val="both"/>
              <w:rPr>
                <w:rFonts w:ascii="Arial" w:hAnsi="Arial" w:cs="Arial"/>
                <w:b/>
                <w:bCs/>
                <w:sz w:val="24"/>
                <w:szCs w:val="24"/>
              </w:rPr>
            </w:pPr>
          </w:p>
        </w:tc>
      </w:tr>
      <w:tr w:rsidR="00B84B5B" w:rsidRPr="00FD7104" w14:paraId="1D159DC8" w14:textId="77777777" w:rsidTr="59F58897">
        <w:tc>
          <w:tcPr>
            <w:tcW w:w="1895" w:type="dxa"/>
            <w:shd w:val="clear" w:color="auto" w:fill="auto"/>
          </w:tcPr>
          <w:p w14:paraId="74E18756" w14:textId="77777777" w:rsidR="00B84B5B"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Module code:</w:t>
            </w:r>
          </w:p>
        </w:tc>
        <w:tc>
          <w:tcPr>
            <w:tcW w:w="2609" w:type="dxa"/>
          </w:tcPr>
          <w:p w14:paraId="5A39BBE3" w14:textId="78293539" w:rsidR="00B84B5B"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BMPL 4002</w:t>
            </w:r>
          </w:p>
        </w:tc>
        <w:tc>
          <w:tcPr>
            <w:tcW w:w="2015" w:type="dxa"/>
            <w:shd w:val="clear" w:color="auto" w:fill="D9D9D9" w:themeFill="background1" w:themeFillShade="D9"/>
          </w:tcPr>
          <w:p w14:paraId="139436D1" w14:textId="77777777" w:rsidR="00B84B5B" w:rsidRPr="00FD7104" w:rsidRDefault="59F58897" w:rsidP="59F58897">
            <w:pPr>
              <w:pStyle w:val="Titlu2"/>
              <w:rPr>
                <w:rFonts w:ascii="Arial" w:hAnsi="Arial" w:cs="Arial"/>
                <w:szCs w:val="24"/>
              </w:rPr>
            </w:pPr>
            <w:r w:rsidRPr="59F58897">
              <w:rPr>
                <w:rFonts w:ascii="Arial" w:hAnsi="Arial" w:cs="Arial"/>
                <w:szCs w:val="24"/>
              </w:rPr>
              <w:t>Contribution to Overall Module Assessment (%):</w:t>
            </w:r>
          </w:p>
        </w:tc>
        <w:tc>
          <w:tcPr>
            <w:tcW w:w="3403" w:type="dxa"/>
          </w:tcPr>
          <w:p w14:paraId="41C8F396" w14:textId="69F62633" w:rsidR="00B84B5B" w:rsidRPr="00FD7104" w:rsidRDefault="59F58897" w:rsidP="59F58897">
            <w:pPr>
              <w:spacing w:before="120" w:after="120"/>
              <w:jc w:val="both"/>
              <w:rPr>
                <w:rFonts w:ascii="Arial" w:hAnsi="Arial" w:cs="Arial"/>
                <w:b/>
                <w:bCs/>
                <w:sz w:val="28"/>
                <w:szCs w:val="28"/>
              </w:rPr>
            </w:pPr>
            <w:r w:rsidRPr="59F58897">
              <w:rPr>
                <w:rFonts w:ascii="Arial" w:hAnsi="Arial" w:cs="Arial"/>
                <w:b/>
                <w:bCs/>
                <w:sz w:val="28"/>
                <w:szCs w:val="28"/>
              </w:rPr>
              <w:t>50%</w:t>
            </w:r>
          </w:p>
        </w:tc>
      </w:tr>
      <w:tr w:rsidR="00DB116D" w:rsidRPr="00FD7104" w14:paraId="1A62C605" w14:textId="77777777" w:rsidTr="59F58897">
        <w:tc>
          <w:tcPr>
            <w:tcW w:w="1895" w:type="dxa"/>
            <w:shd w:val="clear" w:color="auto" w:fill="auto"/>
          </w:tcPr>
          <w:p w14:paraId="3FF314A3" w14:textId="77777777"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Lecturer:</w:t>
            </w:r>
          </w:p>
        </w:tc>
        <w:tc>
          <w:tcPr>
            <w:tcW w:w="2609" w:type="dxa"/>
          </w:tcPr>
          <w:p w14:paraId="72A3D3EC" w14:textId="203E8015"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 xml:space="preserve">Kelly Andrews </w:t>
            </w:r>
          </w:p>
        </w:tc>
        <w:tc>
          <w:tcPr>
            <w:tcW w:w="2015" w:type="dxa"/>
            <w:shd w:val="clear" w:color="auto" w:fill="D9D9D9" w:themeFill="background1" w:themeFillShade="D9"/>
          </w:tcPr>
          <w:p w14:paraId="705E3C71" w14:textId="77777777"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Internal Verifier:</w:t>
            </w:r>
          </w:p>
        </w:tc>
        <w:tc>
          <w:tcPr>
            <w:tcW w:w="3403" w:type="dxa"/>
          </w:tcPr>
          <w:p w14:paraId="0D0B940D" w14:textId="00242D15" w:rsidR="00ED6BC3" w:rsidRPr="00FD7104" w:rsidRDefault="59F58897" w:rsidP="59F58897">
            <w:pPr>
              <w:spacing w:before="120" w:after="120"/>
              <w:jc w:val="both"/>
              <w:rPr>
                <w:rFonts w:ascii="Arial" w:hAnsi="Arial" w:cs="Arial"/>
                <w:b/>
                <w:bCs/>
                <w:sz w:val="28"/>
                <w:szCs w:val="28"/>
              </w:rPr>
            </w:pPr>
            <w:r w:rsidRPr="59F58897">
              <w:rPr>
                <w:rFonts w:ascii="Arial" w:hAnsi="Arial" w:cs="Arial"/>
                <w:b/>
                <w:bCs/>
                <w:sz w:val="28"/>
                <w:szCs w:val="28"/>
              </w:rPr>
              <w:t xml:space="preserve">Rachel Smith </w:t>
            </w:r>
          </w:p>
        </w:tc>
      </w:tr>
      <w:tr w:rsidR="00DB116D" w:rsidRPr="00FD7104" w14:paraId="4309A004" w14:textId="77777777" w:rsidTr="59F58897">
        <w:tc>
          <w:tcPr>
            <w:tcW w:w="1895" w:type="dxa"/>
            <w:shd w:val="clear" w:color="auto" w:fill="auto"/>
          </w:tcPr>
          <w:p w14:paraId="52A86BA1" w14:textId="77777777"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Assignment Title:</w:t>
            </w:r>
          </w:p>
        </w:tc>
        <w:tc>
          <w:tcPr>
            <w:tcW w:w="2609" w:type="dxa"/>
          </w:tcPr>
          <w:p w14:paraId="0E27B00A" w14:textId="006B071E"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Please see below</w:t>
            </w:r>
          </w:p>
        </w:tc>
        <w:tc>
          <w:tcPr>
            <w:tcW w:w="2015" w:type="dxa"/>
            <w:shd w:val="clear" w:color="auto" w:fill="auto"/>
          </w:tcPr>
          <w:p w14:paraId="6785B3D4" w14:textId="77777777" w:rsidR="00DB116D"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Word count (or equivalent):</w:t>
            </w:r>
          </w:p>
        </w:tc>
        <w:tc>
          <w:tcPr>
            <w:tcW w:w="3403" w:type="dxa"/>
          </w:tcPr>
          <w:p w14:paraId="60061E4C" w14:textId="4AB5903E" w:rsidR="00DB116D" w:rsidRPr="00FD7104" w:rsidRDefault="59F58897" w:rsidP="59F58897">
            <w:pPr>
              <w:spacing w:before="120" w:after="120"/>
              <w:jc w:val="both"/>
              <w:rPr>
                <w:rFonts w:ascii="Arial" w:hAnsi="Arial" w:cs="Arial"/>
                <w:b/>
                <w:bCs/>
                <w:sz w:val="28"/>
                <w:szCs w:val="28"/>
              </w:rPr>
            </w:pPr>
            <w:r w:rsidRPr="59F58897">
              <w:rPr>
                <w:rFonts w:ascii="Arial" w:hAnsi="Arial" w:cs="Arial"/>
                <w:b/>
                <w:bCs/>
                <w:sz w:val="28"/>
                <w:szCs w:val="28"/>
              </w:rPr>
              <w:t>1500</w:t>
            </w:r>
          </w:p>
        </w:tc>
      </w:tr>
      <w:tr w:rsidR="00B84B5B" w:rsidRPr="00FD7104" w14:paraId="27E33F05" w14:textId="77777777" w:rsidTr="59F58897">
        <w:tc>
          <w:tcPr>
            <w:tcW w:w="1895" w:type="dxa"/>
            <w:shd w:val="clear" w:color="auto" w:fill="auto"/>
          </w:tcPr>
          <w:p w14:paraId="466EA6CF" w14:textId="77777777" w:rsidR="00B84B5B"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Submission deadline:</w:t>
            </w:r>
          </w:p>
        </w:tc>
        <w:tc>
          <w:tcPr>
            <w:tcW w:w="2609" w:type="dxa"/>
            <w:shd w:val="clear" w:color="auto" w:fill="auto"/>
          </w:tcPr>
          <w:p w14:paraId="44EAFD9C" w14:textId="37A86735" w:rsidR="00B84B5B"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 xml:space="preserve"> 17th November 2023 at 23:59hrs</w:t>
            </w:r>
          </w:p>
        </w:tc>
        <w:tc>
          <w:tcPr>
            <w:tcW w:w="2015" w:type="dxa"/>
            <w:shd w:val="clear" w:color="auto" w:fill="auto"/>
          </w:tcPr>
          <w:p w14:paraId="6BDACCC6" w14:textId="77777777" w:rsidR="00B84B5B" w:rsidRPr="00FD7104" w:rsidRDefault="59F58897" w:rsidP="59F58897">
            <w:pPr>
              <w:spacing w:before="120" w:after="120"/>
              <w:jc w:val="both"/>
              <w:rPr>
                <w:rFonts w:ascii="Arial" w:hAnsi="Arial" w:cs="Arial"/>
                <w:b/>
                <w:bCs/>
                <w:sz w:val="24"/>
                <w:szCs w:val="24"/>
              </w:rPr>
            </w:pPr>
            <w:r w:rsidRPr="59F58897">
              <w:rPr>
                <w:rFonts w:ascii="Arial" w:hAnsi="Arial" w:cs="Arial"/>
                <w:b/>
                <w:bCs/>
                <w:sz w:val="24"/>
                <w:szCs w:val="24"/>
              </w:rPr>
              <w:t>Return date of provisional marks &amp; written feedback:</w:t>
            </w:r>
          </w:p>
        </w:tc>
        <w:tc>
          <w:tcPr>
            <w:tcW w:w="3403" w:type="dxa"/>
          </w:tcPr>
          <w:p w14:paraId="4B94D5A5" w14:textId="252132BE" w:rsidR="00B84B5B" w:rsidRPr="00FD7104" w:rsidRDefault="59F58897" w:rsidP="59F58897">
            <w:pPr>
              <w:spacing w:before="120" w:after="120" w:line="259" w:lineRule="auto"/>
              <w:jc w:val="both"/>
              <w:rPr>
                <w:rFonts w:ascii="Arial" w:hAnsi="Arial" w:cs="Arial"/>
                <w:b/>
                <w:bCs/>
                <w:sz w:val="28"/>
                <w:szCs w:val="28"/>
              </w:rPr>
            </w:pPr>
            <w:r w:rsidRPr="59F58897">
              <w:rPr>
                <w:rFonts w:ascii="Arial" w:hAnsi="Arial" w:cs="Arial"/>
                <w:b/>
                <w:bCs/>
                <w:sz w:val="28"/>
                <w:szCs w:val="28"/>
              </w:rPr>
              <w:t>15/12/23</w:t>
            </w:r>
          </w:p>
        </w:tc>
      </w:tr>
      <w:tr w:rsidR="00152E9D" w:rsidRPr="00FD7104" w14:paraId="79C72E96" w14:textId="77777777" w:rsidTr="59F58897">
        <w:tc>
          <w:tcPr>
            <w:tcW w:w="1895" w:type="dxa"/>
            <w:shd w:val="clear" w:color="auto" w:fill="auto"/>
          </w:tcPr>
          <w:p w14:paraId="6A379CE2" w14:textId="62D94D9D" w:rsidR="00152E9D" w:rsidRPr="00FD7104" w:rsidRDefault="00152E9D" w:rsidP="59F58897">
            <w:pPr>
              <w:spacing w:before="120" w:after="120"/>
              <w:jc w:val="both"/>
              <w:rPr>
                <w:rFonts w:ascii="Arial" w:hAnsi="Arial" w:cs="Arial"/>
                <w:b/>
                <w:bCs/>
                <w:sz w:val="28"/>
                <w:szCs w:val="28"/>
              </w:rPr>
            </w:pPr>
          </w:p>
        </w:tc>
        <w:tc>
          <w:tcPr>
            <w:tcW w:w="8027" w:type="dxa"/>
            <w:gridSpan w:val="3"/>
            <w:shd w:val="clear" w:color="auto" w:fill="auto"/>
          </w:tcPr>
          <w:p w14:paraId="03BD02B5" w14:textId="3811AB89" w:rsidR="00A406E5" w:rsidRPr="00FD7104" w:rsidRDefault="00A406E5" w:rsidP="59F58897">
            <w:pPr>
              <w:rPr>
                <w:rFonts w:ascii="Arial" w:hAnsi="Arial" w:cs="Arial"/>
                <w:sz w:val="28"/>
                <w:szCs w:val="28"/>
              </w:rPr>
            </w:pPr>
          </w:p>
        </w:tc>
      </w:tr>
    </w:tbl>
    <w:p w14:paraId="45FB0818" w14:textId="76ECEE16" w:rsidR="00152E9D" w:rsidRPr="00FD7104" w:rsidRDefault="00152E9D" w:rsidP="59F58897">
      <w:pPr>
        <w:rPr>
          <w:rFonts w:ascii="Arial" w:hAnsi="Arial" w:cs="Arial"/>
          <w:sz w:val="32"/>
          <w:szCs w:val="32"/>
        </w:rPr>
      </w:pPr>
    </w:p>
    <w:p w14:paraId="2E403A28" w14:textId="2D9967D9" w:rsidR="003517E4" w:rsidRPr="00FD7104" w:rsidRDefault="59F58897" w:rsidP="59F58897">
      <w:pPr>
        <w:pStyle w:val="NormalWeb"/>
        <w:rPr>
          <w:rFonts w:ascii="Arial" w:hAnsi="Arial" w:cs="Arial"/>
          <w:color w:val="303B44"/>
          <w:sz w:val="40"/>
          <w:szCs w:val="40"/>
        </w:rPr>
      </w:pPr>
      <w:r w:rsidRPr="59F58897">
        <w:rPr>
          <w:rFonts w:ascii="Arial" w:hAnsi="Arial" w:cs="Arial"/>
          <w:color w:val="303B44"/>
          <w:sz w:val="40"/>
          <w:szCs w:val="40"/>
        </w:rPr>
        <w:t>Examine the concept of “policing by consent”, why it is important, and how it impacts society.</w:t>
      </w:r>
    </w:p>
    <w:p w14:paraId="5F567E45" w14:textId="001799D5"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0F8D100A" w14:textId="2C718168" w:rsidR="003517E4" w:rsidRPr="00FD7104" w:rsidRDefault="003517E4" w:rsidP="59F58897">
      <w:pPr>
        <w:pStyle w:val="NormalWeb"/>
        <w:rPr>
          <w:rFonts w:ascii="Arial" w:hAnsi="Arial" w:cs="Arial"/>
          <w:color w:val="303B44"/>
          <w:sz w:val="32"/>
          <w:szCs w:val="32"/>
        </w:rPr>
      </w:pPr>
    </w:p>
    <w:p w14:paraId="37215030" w14:textId="4A9DA455"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066C3D75" w14:textId="4BBA7C10" w:rsidR="003517E4" w:rsidRPr="00FD7104" w:rsidRDefault="59F58897" w:rsidP="59F58897">
      <w:pPr>
        <w:pStyle w:val="NormalWeb"/>
        <w:rPr>
          <w:b/>
          <w:bCs/>
          <w:sz w:val="36"/>
          <w:szCs w:val="36"/>
        </w:rPr>
      </w:pPr>
      <w:r w:rsidRPr="59F58897">
        <w:rPr>
          <w:rFonts w:ascii="Arial" w:hAnsi="Arial" w:cs="Arial"/>
          <w:b/>
          <w:bCs/>
          <w:color w:val="303B44"/>
          <w:sz w:val="36"/>
          <w:szCs w:val="36"/>
        </w:rPr>
        <w:t xml:space="preserve">Introduction  </w:t>
      </w:r>
    </w:p>
    <w:p w14:paraId="08B3434F" w14:textId="5DEDD25B"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85E1BA4" w14:textId="75C43FE3"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246DAB5E" w14:textId="3EC3D031" w:rsidR="003517E4" w:rsidRPr="00FD7104" w:rsidRDefault="59F58897" w:rsidP="000A248C">
      <w:pPr>
        <w:pStyle w:val="NormalWeb"/>
        <w:rPr>
          <w:sz w:val="32"/>
          <w:szCs w:val="32"/>
        </w:rPr>
      </w:pPr>
      <w:r w:rsidRPr="59F58897">
        <w:rPr>
          <w:rFonts w:ascii="Arial" w:hAnsi="Arial" w:cs="Arial"/>
          <w:color w:val="303B44"/>
          <w:sz w:val="32"/>
          <w:szCs w:val="32"/>
        </w:rPr>
        <w:t>The practice of law enforcement is a fundamental element of any social framework, as it guarantees the welfare, safeguarding, and construction of an organised milieu for the members of that particular community. The notion of ‘police by consent’ is widely acknowledged as a crucial cornerstone in various democratic nations, amidst the vast array of policing models and approaches. The objective of this essay is to critically analyse the concept of policing by consent, highlighting its significance and its impact on societal structures. The term policing by consent does not solely refer to passive acceptance of a police force but rather centres on the idea that the legitimacy of the police is derived from the consent bestowed upon them by the community they are entrusted to serve (Reiner, 2010). In contrast to authoritarian frameworks that employ fear or intimidation as a means of upholding order, the police by consent strategy prioritises community engagement, transparency, and mutual respect. The origin of this paradigm can be credited to the notions outlined by Sir Robert Peel in the 19th century, which emphasised the importance of public involvement in police (Rowe, 2017).</w:t>
      </w:r>
    </w:p>
    <w:p w14:paraId="4F0C8763" w14:textId="7301D068" w:rsidR="003517E4" w:rsidRPr="00FD7104" w:rsidRDefault="50FDCA49" w:rsidP="000A248C">
      <w:pPr>
        <w:pStyle w:val="NormalWeb"/>
        <w:rPr>
          <w:sz w:val="32"/>
          <w:szCs w:val="32"/>
        </w:rPr>
      </w:pPr>
      <w:r w:rsidRPr="50FDCA49">
        <w:rPr>
          <w:rFonts w:ascii="Arial" w:hAnsi="Arial" w:cs="Arial"/>
          <w:color w:val="303B44"/>
          <w:sz w:val="32"/>
          <w:szCs w:val="32"/>
        </w:rPr>
        <w:t xml:space="preserve"> </w:t>
      </w:r>
    </w:p>
    <w:p w14:paraId="5D3CFB1C" w14:textId="46013E6C" w:rsidR="003517E4" w:rsidRPr="00FD7104" w:rsidRDefault="50FDCA49" w:rsidP="59F58897">
      <w:pPr>
        <w:pStyle w:val="NormalWeb"/>
        <w:rPr>
          <w:b/>
          <w:bCs/>
          <w:sz w:val="36"/>
          <w:szCs w:val="36"/>
        </w:rPr>
      </w:pPr>
      <w:r w:rsidRPr="50FDCA49">
        <w:rPr>
          <w:rFonts w:ascii="Arial" w:hAnsi="Arial" w:cs="Arial"/>
          <w:b/>
          <w:bCs/>
          <w:color w:val="303B44"/>
          <w:sz w:val="36"/>
          <w:szCs w:val="36"/>
        </w:rPr>
        <w:t xml:space="preserve">Main body </w:t>
      </w:r>
    </w:p>
    <w:p w14:paraId="3891B4F6" w14:textId="08D7853A"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17E3E4E" w14:textId="40A4093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7E2F232" w14:textId="3DB0AE20" w:rsidR="003517E4" w:rsidRPr="00FD7104" w:rsidRDefault="7F1097F5" w:rsidP="000A248C">
      <w:pPr>
        <w:pStyle w:val="NormalWeb"/>
        <w:rPr>
          <w:sz w:val="32"/>
          <w:szCs w:val="32"/>
        </w:rPr>
      </w:pPr>
      <w:r w:rsidRPr="00FD7104">
        <w:rPr>
          <w:rFonts w:ascii="Arial" w:hAnsi="Arial" w:cs="Arial"/>
          <w:color w:val="303B44"/>
          <w:sz w:val="32"/>
          <w:szCs w:val="32"/>
        </w:rPr>
        <w:t xml:space="preserve">The activity of policing is intrinsically linked to the collective identity of a society and has the capacity to elicit profound emotional allegiance among its constituents. Police institutions have the ability to elicit, authenticate, enhance, or potentially undermine the social connections and ideological frameworks of political communities. They serve as a significant mechanism through which individuals in these cultures actively pursue, obtain, or are denied recognition. In their seminal work titled “Police and the Condition of England,” Loader and </w:t>
      </w:r>
      <w:proofErr w:type="spellStart"/>
      <w:r w:rsidRPr="00FD7104">
        <w:rPr>
          <w:rFonts w:ascii="Arial" w:hAnsi="Arial" w:cs="Arial"/>
          <w:color w:val="303B44"/>
          <w:sz w:val="32"/>
          <w:szCs w:val="32"/>
        </w:rPr>
        <w:t>Mulcahy</w:t>
      </w:r>
      <w:proofErr w:type="spellEnd"/>
      <w:r w:rsidRPr="00FD7104">
        <w:rPr>
          <w:rFonts w:ascii="Arial" w:hAnsi="Arial" w:cs="Arial"/>
          <w:color w:val="303B44"/>
          <w:sz w:val="32"/>
          <w:szCs w:val="32"/>
        </w:rPr>
        <w:t xml:space="preserve"> (2003) present a persuasive argument that upholds the enduring relevance of a symbolic understanding of the police in the context of Britain. This perspective is additionally bolstered by Loader’s prior study conducted in 2006. Taking into consideration the argument posited by Reiner (2010) regarding the process of desacralizing the police in modern society, as well as the perspective presented by </w:t>
      </w:r>
      <w:proofErr w:type="spellStart"/>
      <w:r w:rsidRPr="00FD7104">
        <w:rPr>
          <w:rFonts w:ascii="Arial" w:hAnsi="Arial" w:cs="Arial"/>
          <w:color w:val="303B44"/>
          <w:sz w:val="32"/>
          <w:szCs w:val="32"/>
        </w:rPr>
        <w:t>Newburn</w:t>
      </w:r>
      <w:proofErr w:type="spellEnd"/>
      <w:r w:rsidRPr="00FD7104">
        <w:rPr>
          <w:rFonts w:ascii="Arial" w:hAnsi="Arial" w:cs="Arial"/>
          <w:color w:val="303B44"/>
          <w:sz w:val="32"/>
          <w:szCs w:val="32"/>
        </w:rPr>
        <w:t xml:space="preserve"> (2003) that portrays the police as a conventional instrument of governance, it becomes apparent that scholars maintain a firm belief in the distinct social construction and perception of policing, setting it apart from other societal institutions. The aforementioned object exhibits a notable propensity for symbolism, particularly with regards to social identity, communal association, and the possibility of exclusion. According to Loader and </w:t>
      </w:r>
      <w:proofErr w:type="spellStart"/>
      <w:r w:rsidRPr="00FD7104">
        <w:rPr>
          <w:rFonts w:ascii="Arial" w:hAnsi="Arial" w:cs="Arial"/>
          <w:color w:val="303B44"/>
          <w:sz w:val="32"/>
          <w:szCs w:val="32"/>
        </w:rPr>
        <w:t>Mulcahy</w:t>
      </w:r>
      <w:proofErr w:type="spellEnd"/>
      <w:r w:rsidRPr="00FD7104">
        <w:rPr>
          <w:rFonts w:ascii="Arial" w:hAnsi="Arial" w:cs="Arial"/>
          <w:color w:val="303B44"/>
          <w:sz w:val="32"/>
          <w:szCs w:val="32"/>
        </w:rPr>
        <w:t xml:space="preserve"> (year), policing functions as a process by which individuals take significance from their personal history and future hopes while simultaneously enabling the expression of collective identities. The authors additionally propose that the act of policing might be interpreted as a condensation symbol, a notion introduced by Turner (1974), which serves to symbolise and encapsulate these aforementioned processes. The identities indicated appear to align with a shared understanding of the local community, which is yet located within the larger national context (</w:t>
      </w:r>
      <w:proofErr w:type="spellStart"/>
      <w:r w:rsidRPr="00FD7104">
        <w:rPr>
          <w:rFonts w:ascii="Arial" w:hAnsi="Arial" w:cs="Arial"/>
          <w:color w:val="303B44"/>
          <w:sz w:val="32"/>
          <w:szCs w:val="32"/>
        </w:rPr>
        <w:t>Girling</w:t>
      </w:r>
      <w:proofErr w:type="spellEnd"/>
      <w:r w:rsidRPr="00FD7104">
        <w:rPr>
          <w:rFonts w:ascii="Arial" w:hAnsi="Arial" w:cs="Arial"/>
          <w:color w:val="303B44"/>
          <w:sz w:val="32"/>
          <w:szCs w:val="32"/>
        </w:rPr>
        <w:t xml:space="preserve"> et al., 2000).</w:t>
      </w:r>
    </w:p>
    <w:p w14:paraId="5DE34782" w14:textId="36471B9E"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B94265C" w14:textId="69360F03" w:rsidR="003517E4" w:rsidRPr="00FD7104" w:rsidRDefault="7F1097F5" w:rsidP="000A248C">
      <w:pPr>
        <w:pStyle w:val="NormalWeb"/>
        <w:rPr>
          <w:sz w:val="32"/>
          <w:szCs w:val="32"/>
        </w:rPr>
      </w:pPr>
      <w:r w:rsidRPr="00FD7104">
        <w:rPr>
          <w:rFonts w:ascii="Arial" w:hAnsi="Arial" w:cs="Arial"/>
          <w:color w:val="303B44"/>
          <w:sz w:val="32"/>
          <w:szCs w:val="32"/>
        </w:rPr>
        <w:t>The term "Principles of Policing by Consent” pertains to the fundamental principles that form the basis of the relationship between law enforcement agencies and the communities they are responsible for.</w:t>
      </w:r>
    </w:p>
    <w:p w14:paraId="79A7EA1E" w14:textId="7793CA4E"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83568AF" w14:textId="759195AA" w:rsidR="003517E4" w:rsidRPr="00FD7104" w:rsidRDefault="7F1097F5" w:rsidP="000A248C">
      <w:pPr>
        <w:pStyle w:val="NormalWeb"/>
        <w:rPr>
          <w:sz w:val="32"/>
          <w:szCs w:val="32"/>
        </w:rPr>
      </w:pPr>
      <w:r w:rsidRPr="00FD7104">
        <w:rPr>
          <w:rFonts w:ascii="Arial" w:hAnsi="Arial" w:cs="Arial"/>
          <w:color w:val="303B44"/>
          <w:sz w:val="32"/>
          <w:szCs w:val="32"/>
        </w:rPr>
        <w:t>The conceptual underpinning for understanding the concept of policing by agreement can be found in the nine ‘</w:t>
      </w:r>
      <w:proofErr w:type="spellStart"/>
      <w:r w:rsidRPr="00FD7104">
        <w:rPr>
          <w:rFonts w:ascii="Arial" w:hAnsi="Arial" w:cs="Arial"/>
          <w:color w:val="303B44"/>
          <w:sz w:val="32"/>
          <w:szCs w:val="32"/>
        </w:rPr>
        <w:t>Peelian</w:t>
      </w:r>
      <w:proofErr w:type="spellEnd"/>
      <w:r w:rsidRPr="00FD7104">
        <w:rPr>
          <w:rFonts w:ascii="Arial" w:hAnsi="Arial" w:cs="Arial"/>
          <w:color w:val="303B44"/>
          <w:sz w:val="32"/>
          <w:szCs w:val="32"/>
        </w:rPr>
        <w:t xml:space="preserve"> Principles’ developed by Sir Robert Peel. Several key fundamental principles can be established. The principal objective of law enforcement authorities is to actively discourage illegal behaviour and uphold societal harmony. The effectiveness of law enforcement in carrying out its duties relies on the support and approval of the general populace. Rowe (2017) argues that it is crucial for law enforcement authorities to develop and maintain a relationship with the community that demonstrates a consistent commitment to impartiality, refraining from the use of force and physical constraint unless absolutely necessary.</w:t>
      </w:r>
    </w:p>
    <w:p w14:paraId="77D48574" w14:textId="1855D9BE"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6F7D535C" w14:textId="27430024" w:rsidR="003517E4" w:rsidRPr="00FD7104" w:rsidRDefault="7F1097F5" w:rsidP="000A248C">
      <w:pPr>
        <w:pStyle w:val="NormalWeb"/>
        <w:rPr>
          <w:sz w:val="32"/>
          <w:szCs w:val="32"/>
        </w:rPr>
      </w:pPr>
      <w:r w:rsidRPr="00FD7104">
        <w:rPr>
          <w:rFonts w:ascii="Arial" w:hAnsi="Arial" w:cs="Arial"/>
          <w:color w:val="303B44"/>
          <w:sz w:val="32"/>
          <w:szCs w:val="32"/>
        </w:rPr>
        <w:t>Several views emphasise the notion that the police department is not an autonomous entity operating in isolation but rather comprises individuals who play a crucial role in the community and are dedicated to enhancing its welfare. Regarding the Importance of Policing through Consent, Trust, and Legitimacy The effectiveness of a police force relies on the construction and sustenance of a strong level of legitimacy, whereby individuals believe that the actions of the police are in their best interests. This view is positively correlated with increased levels of collaboration, sharing of information, and obedience to laws. The legitimacy of the police force is enhanced when they effectively fulfil their responsibilities with the backing of the community they are tasked to serve. As stated by Jackson et al. (2012), the presence of a high level of public trust is crucial for the effectiveness of law enforcement agencies as it promotes cooperation and reduces opposition. The likelihood of police employing force decreases when they operate with the endorsement of the community. Bradford (2014) asserts that the utilisation of this methodology not only serves to alleviate potential harm and discord but also fosters a heightened sense of safety for both law enforcement personnel and the general population.</w:t>
      </w:r>
    </w:p>
    <w:p w14:paraId="31193EA8" w14:textId="39CF3503"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65B9B756" w14:textId="52D7E2AD" w:rsidR="003517E4" w:rsidRPr="00FD7104" w:rsidRDefault="7F1097F5" w:rsidP="000A248C">
      <w:pPr>
        <w:pStyle w:val="NormalWeb"/>
        <w:rPr>
          <w:sz w:val="32"/>
          <w:szCs w:val="32"/>
        </w:rPr>
      </w:pPr>
      <w:r w:rsidRPr="00FD7104">
        <w:rPr>
          <w:rFonts w:ascii="Arial" w:hAnsi="Arial" w:cs="Arial"/>
          <w:color w:val="303B44"/>
          <w:sz w:val="32"/>
          <w:szCs w:val="32"/>
        </w:rPr>
        <w:t>Community engagement plays a vital role in the practice of policing by consent, as it facilitates the active involvement of individuals within the community. The presence of a strong trust dynamic between communities and law enforcement organisations has been observed to correlate with heightened levels of crime reporting and a greater propensity to engage in collaborative efforts during investigations. Hough et al. (2010) suggest that the formation of a collaborative partnership between the community and the police has promise as a viable strategy for deterring criminal behaviour. This occurrence has the potential to lead to the implementation of community policing initiatives, wherein community members actively participate in endeavours aimed at preventing and resolving criminal activities (</w:t>
      </w:r>
      <w:proofErr w:type="spellStart"/>
      <w:r w:rsidRPr="00FD7104">
        <w:rPr>
          <w:rFonts w:ascii="Arial" w:hAnsi="Arial" w:cs="Arial"/>
          <w:color w:val="303B44"/>
          <w:sz w:val="32"/>
          <w:szCs w:val="32"/>
        </w:rPr>
        <w:t>Skogan</w:t>
      </w:r>
      <w:proofErr w:type="spellEnd"/>
      <w:r w:rsidRPr="00FD7104">
        <w:rPr>
          <w:rFonts w:ascii="Arial" w:hAnsi="Arial" w:cs="Arial"/>
          <w:color w:val="303B44"/>
          <w:sz w:val="32"/>
          <w:szCs w:val="32"/>
        </w:rPr>
        <w:t xml:space="preserve">, 2015). The principle of policing by consent serves as an illustration of the notion of empowering vulnerable groups. It ensures that people who are particularly prone to marginalisation and oppression within society are provided with the chance to articulate their viewpoints and apprehensions. </w:t>
      </w:r>
      <w:proofErr w:type="spellStart"/>
      <w:r w:rsidRPr="00FD7104">
        <w:rPr>
          <w:rFonts w:ascii="Arial" w:hAnsi="Arial" w:cs="Arial"/>
          <w:color w:val="303B44"/>
          <w:sz w:val="32"/>
          <w:szCs w:val="32"/>
        </w:rPr>
        <w:t>Myhill</w:t>
      </w:r>
      <w:proofErr w:type="spellEnd"/>
      <w:r w:rsidRPr="00FD7104">
        <w:rPr>
          <w:rFonts w:ascii="Arial" w:hAnsi="Arial" w:cs="Arial"/>
          <w:color w:val="303B44"/>
          <w:sz w:val="32"/>
          <w:szCs w:val="32"/>
        </w:rPr>
        <w:t xml:space="preserve"> and Quinton (2011) argue that there is an emphasis on encouraging the reporting of crimes that are often not recorded, such as cases of domestic violence or hate crimes.</w:t>
      </w:r>
    </w:p>
    <w:p w14:paraId="04170FC3" w14:textId="059D41ED"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6921BA8" w14:textId="5DD6C58A" w:rsidR="003517E4" w:rsidRPr="00FD7104" w:rsidRDefault="7F1097F5" w:rsidP="000A248C">
      <w:pPr>
        <w:pStyle w:val="NormalWeb"/>
        <w:rPr>
          <w:sz w:val="32"/>
          <w:szCs w:val="32"/>
        </w:rPr>
      </w:pPr>
      <w:r w:rsidRPr="00FD7104">
        <w:rPr>
          <w:rFonts w:ascii="Arial" w:hAnsi="Arial" w:cs="Arial"/>
          <w:color w:val="303B44"/>
          <w:sz w:val="32"/>
          <w:szCs w:val="32"/>
        </w:rPr>
        <w:t xml:space="preserve">The promotion of social cohesion through societal influence: The adoption of police strategies centred around consent holds the promise of nurturing a shared sense of unity and collaboration between law enforcement entities and the populace. </w:t>
      </w:r>
      <w:proofErr w:type="spellStart"/>
      <w:r w:rsidRPr="00FD7104">
        <w:rPr>
          <w:rFonts w:ascii="Arial" w:hAnsi="Arial" w:cs="Arial"/>
          <w:color w:val="303B44"/>
          <w:sz w:val="32"/>
          <w:szCs w:val="32"/>
        </w:rPr>
        <w:t>Skogan</w:t>
      </w:r>
      <w:proofErr w:type="spellEnd"/>
      <w:r w:rsidRPr="00FD7104">
        <w:rPr>
          <w:rFonts w:ascii="Arial" w:hAnsi="Arial" w:cs="Arial"/>
          <w:color w:val="303B44"/>
          <w:sz w:val="32"/>
          <w:szCs w:val="32"/>
        </w:rPr>
        <w:t xml:space="preserve"> (2015) posits that cultivating a favourable impression among community members towards law enforcement, characterised by viewing the police as collaborators rather than enemies, has promise for nurturing enhanced community ties. The establishment of a good connection between the police and the community enhances crime prevention efforts by facilitating the gathering of vital information and intelligence. As a result, the efficacy of law enforcement in crime prevention and resolution is greatly enhanced (Bradford, 2014). The enhancement of social cohesiveness is amplified through the establishment of a police force that operates on the basis of consent, since it fosters a collective consciousness and reduces societal fragmentation. As stated by Murphy et al. (2008), it functions as a mechanism for establishing connections among diverse groups and ensuring that every individual is sufficiently represented and protected.</w:t>
      </w:r>
    </w:p>
    <w:p w14:paraId="655D76A2" w14:textId="0922E19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2C41434" w14:textId="5D25659D" w:rsidR="003517E4" w:rsidRPr="00FD7104" w:rsidRDefault="7F1097F5" w:rsidP="000A248C">
      <w:pPr>
        <w:pStyle w:val="NormalWeb"/>
        <w:rPr>
          <w:sz w:val="32"/>
          <w:szCs w:val="32"/>
        </w:rPr>
      </w:pPr>
      <w:r w:rsidRPr="00FD7104">
        <w:rPr>
          <w:rFonts w:ascii="Arial" w:hAnsi="Arial" w:cs="Arial"/>
          <w:color w:val="303B44"/>
          <w:sz w:val="32"/>
          <w:szCs w:val="32"/>
        </w:rPr>
        <w:t>The protection of individual rights: The notion of policing by consent aligns with the core principles of democracy. As stated by Reiner (2010), the main aim of this policy is to protect individuals’ rights and ensure that any utilisation of police authority is justified and suitable, while also fostering transparency. While the concept of employing permission-based policing is often regarded as an optimal strategy, it is not without its inherent challenges. The establishment of trust poses a significant challenge in various communities, particularly those marked by a historical context of police brutality or bias (Brunson, 2007). Moreover, the notion of policing through agreement has at times been misconstrued as a soft approach to law enforcement, leading to criticisms that raise doubts about its effectiveness in dealing with serious criminal crimes or organised criminal networks (Rawlings, 2002).</w:t>
      </w:r>
    </w:p>
    <w:p w14:paraId="38A5A531" w14:textId="62C7C579"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6D7B062B" w14:textId="54B2EDA8" w:rsidR="003517E4" w:rsidRPr="00FD7104" w:rsidRDefault="7F1097F5" w:rsidP="000A248C">
      <w:pPr>
        <w:pStyle w:val="NormalWeb"/>
        <w:rPr>
          <w:sz w:val="32"/>
          <w:szCs w:val="32"/>
        </w:rPr>
      </w:pPr>
      <w:r w:rsidRPr="00FD7104">
        <w:rPr>
          <w:rFonts w:ascii="Arial" w:hAnsi="Arial" w:cs="Arial"/>
          <w:color w:val="303B44"/>
          <w:sz w:val="32"/>
          <w:szCs w:val="32"/>
        </w:rPr>
        <w:t xml:space="preserve">The domain of law enforcement demonstrates a political character similar to other administrative duties within the government without inherently possessing a negative connotation. According to Black (1990, 1158), the term “political” can be concisely characterised as pertaining to or connected with the implementation of the duties assigned to those who are accountable for governance. The phrase “political” is commonly linked to dysfunction, favouritism, and influence, although it can also be regarded as an essential element of governance. The establishment and subsequent progression of law enforcement in the United States have been greatly influenced by and have also exerted an effect on the political landscape of the country. One of the most evident examples pertains to its positioning within the executive branch. The political nature of policing can be attributed to its function in enforcing laws enacted by legislative bodies and interpreted by judicial institutions. The nature of policing can be regarded as inherently political, not only because of its affiliation with the government but also due to the </w:t>
      </w:r>
      <w:proofErr w:type="spellStart"/>
      <w:r w:rsidRPr="00FD7104">
        <w:rPr>
          <w:rFonts w:ascii="Arial" w:hAnsi="Arial" w:cs="Arial"/>
          <w:color w:val="303B44"/>
          <w:sz w:val="32"/>
          <w:szCs w:val="32"/>
        </w:rPr>
        <w:t>performative</w:t>
      </w:r>
      <w:proofErr w:type="spellEnd"/>
      <w:r w:rsidRPr="00FD7104">
        <w:rPr>
          <w:rFonts w:ascii="Arial" w:hAnsi="Arial" w:cs="Arial"/>
          <w:color w:val="303B44"/>
          <w:sz w:val="32"/>
          <w:szCs w:val="32"/>
        </w:rPr>
        <w:t xml:space="preserve"> aspects of police acts and their interactions with the community they are tasked to serve (Manning, 2001). The strategic management of one’s image is of utmost importance in order to secure public endorsement, convey a perception of efficacy, and safeguard one’s own survival.</w:t>
      </w:r>
    </w:p>
    <w:p w14:paraId="18969534" w14:textId="7B293DC2"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6B960331" w14:textId="413509F6" w:rsidR="003517E4" w:rsidRPr="00FD7104" w:rsidRDefault="59F58897" w:rsidP="000A248C">
      <w:pPr>
        <w:pStyle w:val="NormalWeb"/>
        <w:rPr>
          <w:sz w:val="32"/>
          <w:szCs w:val="32"/>
        </w:rPr>
      </w:pPr>
      <w:r w:rsidRPr="59F58897">
        <w:rPr>
          <w:rFonts w:ascii="Arial" w:hAnsi="Arial" w:cs="Arial"/>
          <w:color w:val="303B44"/>
          <w:sz w:val="32"/>
          <w:szCs w:val="32"/>
        </w:rPr>
        <w:t xml:space="preserve"> </w:t>
      </w:r>
    </w:p>
    <w:p w14:paraId="4E33E225" w14:textId="05E7B83F" w:rsidR="59F58897" w:rsidRDefault="59F58897" w:rsidP="59F58897">
      <w:pPr>
        <w:pStyle w:val="NormalWeb"/>
        <w:rPr>
          <w:rFonts w:ascii="Arial" w:hAnsi="Arial" w:cs="Arial"/>
          <w:b/>
          <w:bCs/>
          <w:color w:val="303B44"/>
          <w:sz w:val="32"/>
          <w:szCs w:val="32"/>
        </w:rPr>
      </w:pPr>
    </w:p>
    <w:p w14:paraId="7A24E08D" w14:textId="7F645ACD" w:rsidR="59F58897" w:rsidRDefault="59F58897" w:rsidP="59F58897">
      <w:pPr>
        <w:pStyle w:val="NormalWeb"/>
        <w:rPr>
          <w:rFonts w:ascii="Arial" w:hAnsi="Arial" w:cs="Arial"/>
          <w:b/>
          <w:bCs/>
          <w:color w:val="303B44"/>
          <w:sz w:val="32"/>
          <w:szCs w:val="32"/>
        </w:rPr>
      </w:pPr>
    </w:p>
    <w:p w14:paraId="50ABF937" w14:textId="4E4E30E1" w:rsidR="59F58897" w:rsidRDefault="59F58897" w:rsidP="59F58897">
      <w:pPr>
        <w:pStyle w:val="NormalWeb"/>
        <w:rPr>
          <w:rFonts w:ascii="Arial" w:hAnsi="Arial" w:cs="Arial"/>
          <w:b/>
          <w:bCs/>
          <w:color w:val="303B44"/>
          <w:sz w:val="32"/>
          <w:szCs w:val="32"/>
        </w:rPr>
      </w:pPr>
    </w:p>
    <w:p w14:paraId="3BA36567" w14:textId="5B20D07F" w:rsidR="59F58897" w:rsidRDefault="59F58897" w:rsidP="59F58897">
      <w:pPr>
        <w:pStyle w:val="NormalWeb"/>
        <w:rPr>
          <w:rFonts w:ascii="Arial" w:hAnsi="Arial" w:cs="Arial"/>
          <w:b/>
          <w:bCs/>
          <w:color w:val="303B44"/>
          <w:sz w:val="32"/>
          <w:szCs w:val="32"/>
        </w:rPr>
      </w:pPr>
    </w:p>
    <w:p w14:paraId="7CB42E23" w14:textId="08B3BBD5" w:rsidR="59F58897" w:rsidRDefault="59F58897" w:rsidP="59F58897">
      <w:pPr>
        <w:pStyle w:val="NormalWeb"/>
        <w:rPr>
          <w:rFonts w:ascii="Arial" w:hAnsi="Arial" w:cs="Arial"/>
          <w:b/>
          <w:bCs/>
          <w:color w:val="303B44"/>
          <w:sz w:val="32"/>
          <w:szCs w:val="32"/>
        </w:rPr>
      </w:pPr>
    </w:p>
    <w:p w14:paraId="3DC04916" w14:textId="63F7B02B" w:rsidR="59F58897" w:rsidRDefault="59F58897" w:rsidP="59F58897">
      <w:pPr>
        <w:pStyle w:val="NormalWeb"/>
        <w:rPr>
          <w:rFonts w:ascii="Arial" w:hAnsi="Arial" w:cs="Arial"/>
          <w:b/>
          <w:bCs/>
          <w:color w:val="303B44"/>
          <w:sz w:val="32"/>
          <w:szCs w:val="32"/>
        </w:rPr>
      </w:pPr>
    </w:p>
    <w:p w14:paraId="0A34DFDD" w14:textId="178B4FDF" w:rsidR="59F58897" w:rsidRDefault="59F58897" w:rsidP="59F58897">
      <w:pPr>
        <w:pStyle w:val="NormalWeb"/>
        <w:rPr>
          <w:rFonts w:ascii="Arial" w:hAnsi="Arial" w:cs="Arial"/>
          <w:b/>
          <w:bCs/>
          <w:color w:val="303B44"/>
          <w:sz w:val="32"/>
          <w:szCs w:val="32"/>
        </w:rPr>
      </w:pPr>
    </w:p>
    <w:p w14:paraId="64B11CC7" w14:textId="33B05BAE" w:rsidR="59F58897" w:rsidRDefault="59F58897" w:rsidP="59F58897">
      <w:pPr>
        <w:pStyle w:val="NormalWeb"/>
        <w:rPr>
          <w:rFonts w:ascii="Arial" w:hAnsi="Arial" w:cs="Arial"/>
          <w:b/>
          <w:bCs/>
          <w:color w:val="303B44"/>
          <w:sz w:val="32"/>
          <w:szCs w:val="32"/>
        </w:rPr>
      </w:pPr>
    </w:p>
    <w:p w14:paraId="4A31A209" w14:textId="1CBF916A" w:rsidR="59F58897" w:rsidRDefault="59F58897" w:rsidP="59F58897">
      <w:pPr>
        <w:pStyle w:val="NormalWeb"/>
        <w:rPr>
          <w:rFonts w:ascii="Arial" w:hAnsi="Arial" w:cs="Arial"/>
          <w:b/>
          <w:bCs/>
          <w:color w:val="303B44"/>
          <w:sz w:val="36"/>
          <w:szCs w:val="36"/>
        </w:rPr>
      </w:pPr>
    </w:p>
    <w:p w14:paraId="5B272A22" w14:textId="12FA4615" w:rsidR="59F58897" w:rsidRDefault="59F58897" w:rsidP="59F58897">
      <w:pPr>
        <w:pStyle w:val="NormalWeb"/>
        <w:rPr>
          <w:rFonts w:ascii="Arial" w:hAnsi="Arial" w:cs="Arial"/>
          <w:b/>
          <w:bCs/>
          <w:color w:val="303B44"/>
          <w:sz w:val="36"/>
          <w:szCs w:val="36"/>
        </w:rPr>
      </w:pPr>
    </w:p>
    <w:p w14:paraId="24B64CDD" w14:textId="4D92061C" w:rsidR="003517E4" w:rsidRPr="00FD7104" w:rsidRDefault="59F58897" w:rsidP="59F58897">
      <w:pPr>
        <w:pStyle w:val="NormalWeb"/>
        <w:rPr>
          <w:b/>
          <w:bCs/>
          <w:sz w:val="36"/>
          <w:szCs w:val="36"/>
        </w:rPr>
      </w:pPr>
      <w:r w:rsidRPr="59F58897">
        <w:rPr>
          <w:rFonts w:ascii="Arial" w:hAnsi="Arial" w:cs="Arial"/>
          <w:b/>
          <w:bCs/>
          <w:color w:val="303B44"/>
          <w:sz w:val="36"/>
          <w:szCs w:val="36"/>
        </w:rPr>
        <w:t xml:space="preserve">Conclusion </w:t>
      </w:r>
    </w:p>
    <w:p w14:paraId="29944396" w14:textId="5B2C1F8E"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03B75C7C" w14:textId="660DCAB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FFE3260" w14:textId="1A65AF19" w:rsidR="003517E4" w:rsidRPr="00FD7104" w:rsidRDefault="7F1097F5" w:rsidP="000A248C">
      <w:pPr>
        <w:pStyle w:val="NormalWeb"/>
        <w:rPr>
          <w:sz w:val="32"/>
          <w:szCs w:val="32"/>
        </w:rPr>
      </w:pPr>
      <w:r w:rsidRPr="00FD7104">
        <w:rPr>
          <w:rFonts w:ascii="Arial" w:hAnsi="Arial" w:cs="Arial"/>
          <w:color w:val="303B44"/>
          <w:sz w:val="32"/>
          <w:szCs w:val="32"/>
        </w:rPr>
        <w:t>In essence, the notion of policing by agreement is not solely a theoretical construct but rather a pragmatic and indispensable cornerstone for democratic communities. This statement emphasises the importance of fostering a collective atmosphere of mutual respect, trust, and collaboration between law enforcement agencies and the wider population. The primary aim of this strategy is to advocate for the priority of community interests within law enforcement agencies, hence supporting the establishment of a society characterised by enhanced safety and tranquilly. Amidst evolving societal dynamics and emerging obstacles, the enduring principles of consent-based policing persist, providing vital direction in navigating the intricate equilibrium between preserving social stability and safeguarding democratic ideals. The notion of policing by agreement transcends a purely philosophical term, as it constitutes a crucial principle for the effective establishment of law enforcement in democratic nations. The relevance of this phenomenon is underscored by its numerous societal benefits, including the decrease in crime rates and the fostering of community trust. However, similar to other abstract concepts, it is not without its own set of challenges. In order to address these challenges effectively, it is crucial for both law enforcement authorities and the community to exhibit a mutual commitment to engaging in harmonious collaboration, thereby cultivating an atmosphere characterised by reciprocal respect and understanding.</w:t>
      </w:r>
    </w:p>
    <w:p w14:paraId="69B266A5" w14:textId="045C2EF2"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22143D3F" w14:textId="3E265AB5" w:rsidR="59F58897" w:rsidRDefault="59F58897" w:rsidP="59F58897">
      <w:pPr>
        <w:pStyle w:val="NormalWeb"/>
        <w:rPr>
          <w:sz w:val="32"/>
          <w:szCs w:val="32"/>
        </w:rPr>
      </w:pPr>
      <w:r w:rsidRPr="59F58897">
        <w:rPr>
          <w:rFonts w:ascii="Arial" w:hAnsi="Arial" w:cs="Arial"/>
          <w:color w:val="303B44"/>
          <w:sz w:val="32"/>
          <w:szCs w:val="32"/>
        </w:rPr>
        <w:t xml:space="preserve"> </w:t>
      </w:r>
    </w:p>
    <w:p w14:paraId="60271AA3" w14:textId="7AC640D6" w:rsidR="59F58897" w:rsidRDefault="59F58897" w:rsidP="59F58897">
      <w:pPr>
        <w:pStyle w:val="NormalWeb"/>
        <w:rPr>
          <w:rFonts w:ascii="Arial" w:hAnsi="Arial" w:cs="Arial"/>
          <w:color w:val="303B44"/>
          <w:sz w:val="32"/>
          <w:szCs w:val="32"/>
        </w:rPr>
      </w:pPr>
    </w:p>
    <w:p w14:paraId="64C09E38" w14:textId="2A2737F8" w:rsidR="59F58897" w:rsidRDefault="59F58897" w:rsidP="59F58897">
      <w:pPr>
        <w:pStyle w:val="NormalWeb"/>
        <w:rPr>
          <w:rFonts w:ascii="Arial" w:hAnsi="Arial" w:cs="Arial"/>
          <w:color w:val="303B44"/>
          <w:sz w:val="32"/>
          <w:szCs w:val="32"/>
        </w:rPr>
      </w:pPr>
    </w:p>
    <w:p w14:paraId="06EB77CB" w14:textId="19E695E2" w:rsidR="003517E4" w:rsidRPr="00FD7104" w:rsidRDefault="59F58897" w:rsidP="59F58897">
      <w:pPr>
        <w:pStyle w:val="NormalWeb"/>
        <w:rPr>
          <w:b/>
          <w:bCs/>
          <w:sz w:val="36"/>
          <w:szCs w:val="36"/>
        </w:rPr>
      </w:pPr>
      <w:r w:rsidRPr="59F58897">
        <w:rPr>
          <w:rFonts w:ascii="Arial" w:hAnsi="Arial" w:cs="Arial"/>
          <w:b/>
          <w:bCs/>
          <w:color w:val="303B44"/>
          <w:sz w:val="36"/>
          <w:szCs w:val="36"/>
        </w:rPr>
        <w:t xml:space="preserve">References </w:t>
      </w:r>
    </w:p>
    <w:p w14:paraId="1EDF4464" w14:textId="1055A15A"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6EEA5DBF" w14:textId="5678C36B" w:rsidR="003517E4" w:rsidRPr="00FD7104" w:rsidRDefault="59F58897" w:rsidP="000A248C">
      <w:pPr>
        <w:pStyle w:val="NormalWeb"/>
        <w:rPr>
          <w:sz w:val="32"/>
          <w:szCs w:val="32"/>
        </w:rPr>
      </w:pPr>
      <w:r w:rsidRPr="59F58897">
        <w:rPr>
          <w:rFonts w:ascii="Arial" w:hAnsi="Arial" w:cs="Arial"/>
          <w:color w:val="303B44"/>
          <w:sz w:val="32"/>
          <w:szCs w:val="32"/>
        </w:rPr>
        <w:t xml:space="preserve">  </w:t>
      </w:r>
    </w:p>
    <w:p w14:paraId="7C300CDC" w14:textId="0483464C" w:rsidR="003517E4" w:rsidRPr="00FD7104" w:rsidRDefault="7F1097F5" w:rsidP="000A248C">
      <w:pPr>
        <w:pStyle w:val="NormalWeb"/>
        <w:rPr>
          <w:sz w:val="32"/>
          <w:szCs w:val="32"/>
        </w:rPr>
      </w:pPr>
      <w:r w:rsidRPr="00FD7104">
        <w:rPr>
          <w:rFonts w:ascii="Arial" w:hAnsi="Arial" w:cs="Arial"/>
          <w:color w:val="303B44"/>
          <w:sz w:val="32"/>
          <w:szCs w:val="32"/>
        </w:rPr>
        <w:t>Black, Henry Campbell (1990). Black’s Law Dictionary, 6th ed. St. Paul, MN: West.</w:t>
      </w:r>
    </w:p>
    <w:p w14:paraId="785117DC" w14:textId="4FA1C893"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5970668" w14:textId="726CA861" w:rsidR="003517E4" w:rsidRPr="00FD7104" w:rsidRDefault="7F1097F5" w:rsidP="000A248C">
      <w:pPr>
        <w:pStyle w:val="NormalWeb"/>
        <w:rPr>
          <w:sz w:val="32"/>
          <w:szCs w:val="32"/>
        </w:rPr>
      </w:pPr>
      <w:r w:rsidRPr="00FD7104">
        <w:rPr>
          <w:rFonts w:ascii="Arial" w:hAnsi="Arial" w:cs="Arial"/>
          <w:color w:val="303B44"/>
          <w:sz w:val="32"/>
          <w:szCs w:val="32"/>
        </w:rPr>
        <w:t xml:space="preserve">Bradford, B. (2014). ‘Policing and Social Identity: Procedural Justice, Inclusion, and Cooperation between Police and the Public’. Policing and Society, 24(1), pp. 22–43. </w:t>
      </w:r>
    </w:p>
    <w:p w14:paraId="326F564D" w14:textId="11ABDABA"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5B333ECE" w14:textId="3809152A"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2EE86173" w14:textId="167CE00D" w:rsidR="003517E4" w:rsidRPr="00FD7104" w:rsidRDefault="7F1097F5" w:rsidP="000A248C">
      <w:pPr>
        <w:pStyle w:val="NormalWeb"/>
        <w:rPr>
          <w:sz w:val="32"/>
          <w:szCs w:val="32"/>
        </w:rPr>
      </w:pPr>
      <w:r w:rsidRPr="00FD7104">
        <w:rPr>
          <w:rFonts w:ascii="Arial" w:hAnsi="Arial" w:cs="Arial"/>
          <w:color w:val="303B44"/>
          <w:sz w:val="32"/>
          <w:szCs w:val="32"/>
        </w:rPr>
        <w:t xml:space="preserve">Brunson, R. (2007). ‘Police don’t like black people: African American young men’s accumulated police experiences. Criminology &amp; Public Policy’, 6(1), pp. 71–101. </w:t>
      </w:r>
    </w:p>
    <w:p w14:paraId="7EFB1187" w14:textId="540CD4A3"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535A5EB4" w14:textId="696F54CC"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C8F405D" w14:textId="44BBDD78" w:rsidR="003517E4" w:rsidRPr="00FD7104" w:rsidRDefault="7F1097F5" w:rsidP="000A248C">
      <w:pPr>
        <w:pStyle w:val="NormalWeb"/>
        <w:rPr>
          <w:sz w:val="32"/>
          <w:szCs w:val="32"/>
        </w:rPr>
      </w:pPr>
      <w:proofErr w:type="spellStart"/>
      <w:r w:rsidRPr="00FD7104">
        <w:rPr>
          <w:rFonts w:ascii="Arial" w:hAnsi="Arial" w:cs="Arial"/>
          <w:color w:val="303B44"/>
          <w:sz w:val="32"/>
          <w:szCs w:val="32"/>
        </w:rPr>
        <w:t>Girling</w:t>
      </w:r>
      <w:proofErr w:type="spellEnd"/>
      <w:r w:rsidRPr="00FD7104">
        <w:rPr>
          <w:rFonts w:ascii="Arial" w:hAnsi="Arial" w:cs="Arial"/>
          <w:color w:val="303B44"/>
          <w:sz w:val="32"/>
          <w:szCs w:val="32"/>
        </w:rPr>
        <w:t xml:space="preserve">, E., Loader, I., and Sparks, R. (2000). ‘Crime and social control in middle England’: questions of order in an English town London: Routledge </w:t>
      </w:r>
    </w:p>
    <w:p w14:paraId="14973C1F" w14:textId="4773C8FA"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7C1ED96E" w14:textId="6F7858A4" w:rsidR="003517E4" w:rsidRPr="00FD7104" w:rsidRDefault="7F1097F5" w:rsidP="000A248C">
      <w:pPr>
        <w:pStyle w:val="NormalWeb"/>
        <w:rPr>
          <w:sz w:val="32"/>
          <w:szCs w:val="32"/>
        </w:rPr>
      </w:pPr>
      <w:r w:rsidRPr="00FD7104">
        <w:rPr>
          <w:rFonts w:ascii="Arial" w:hAnsi="Arial" w:cs="Arial"/>
          <w:color w:val="303B44"/>
          <w:sz w:val="32"/>
          <w:szCs w:val="32"/>
        </w:rPr>
        <w:t xml:space="preserve">Hough, M., Jackson, J., &amp; Bradford, B. (2010) Trust in justice: </w:t>
      </w:r>
      <w:proofErr w:type="spellStart"/>
      <w:r w:rsidRPr="00FD7104">
        <w:rPr>
          <w:rFonts w:ascii="Arial" w:hAnsi="Arial" w:cs="Arial"/>
          <w:color w:val="303B44"/>
          <w:sz w:val="32"/>
          <w:szCs w:val="32"/>
        </w:rPr>
        <w:t>topline</w:t>
      </w:r>
      <w:proofErr w:type="spellEnd"/>
      <w:r w:rsidRPr="00FD7104">
        <w:rPr>
          <w:rFonts w:ascii="Arial" w:hAnsi="Arial" w:cs="Arial"/>
          <w:color w:val="303B44"/>
          <w:sz w:val="32"/>
          <w:szCs w:val="32"/>
        </w:rPr>
        <w:t xml:space="preserve"> results from round 5 of the European Social Survey European Social Survey.</w:t>
      </w:r>
    </w:p>
    <w:p w14:paraId="72909041" w14:textId="39A05EDB"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A406B97" w14:textId="1F5DF957" w:rsidR="003517E4" w:rsidRPr="00FD7104" w:rsidRDefault="7F1097F5" w:rsidP="000A248C">
      <w:pPr>
        <w:pStyle w:val="NormalWeb"/>
        <w:rPr>
          <w:sz w:val="32"/>
          <w:szCs w:val="32"/>
        </w:rPr>
      </w:pPr>
      <w:r w:rsidRPr="00FD7104">
        <w:rPr>
          <w:rFonts w:ascii="Arial" w:hAnsi="Arial" w:cs="Arial"/>
          <w:color w:val="303B44"/>
          <w:sz w:val="32"/>
          <w:szCs w:val="32"/>
        </w:rPr>
        <w:t xml:space="preserve">Jackson, J., Bradford, B., Hough, M., &amp; Murray, K. (2012) ‘Compliance with the Law and Policing by Consent: Notes on Police and Legal Legitimacy. Oxford Journals’, 11(3), pp. 12–22. </w:t>
      </w:r>
    </w:p>
    <w:p w14:paraId="5BE01519" w14:textId="713356AB"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73F33609" w14:textId="3681517E"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4D9FBC7" w14:textId="2D716282" w:rsidR="003517E4" w:rsidRPr="00FD7104" w:rsidRDefault="7F1097F5" w:rsidP="000A248C">
      <w:pPr>
        <w:pStyle w:val="NormalWeb"/>
        <w:rPr>
          <w:sz w:val="32"/>
          <w:szCs w:val="32"/>
        </w:rPr>
      </w:pPr>
      <w:r w:rsidRPr="00FD7104">
        <w:rPr>
          <w:rFonts w:ascii="Arial" w:hAnsi="Arial" w:cs="Arial"/>
          <w:color w:val="303B44"/>
          <w:sz w:val="32"/>
          <w:szCs w:val="32"/>
        </w:rPr>
        <w:t xml:space="preserve">Loader, I., and </w:t>
      </w:r>
      <w:proofErr w:type="spellStart"/>
      <w:r w:rsidRPr="00FD7104">
        <w:rPr>
          <w:rFonts w:ascii="Arial" w:hAnsi="Arial" w:cs="Arial"/>
          <w:color w:val="303B44"/>
          <w:sz w:val="32"/>
          <w:szCs w:val="32"/>
        </w:rPr>
        <w:t>Mulcahy</w:t>
      </w:r>
      <w:proofErr w:type="spellEnd"/>
      <w:r w:rsidRPr="00FD7104">
        <w:rPr>
          <w:rFonts w:ascii="Arial" w:hAnsi="Arial" w:cs="Arial"/>
          <w:color w:val="303B44"/>
          <w:sz w:val="32"/>
          <w:szCs w:val="32"/>
        </w:rPr>
        <w:t>, A. (2003). ‘Policing and the Condition of England: Memory, Politics, and Culture. Oxford: Oxford University Press.</w:t>
      </w:r>
    </w:p>
    <w:p w14:paraId="776C9CF8" w14:textId="5C4E608C"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0C2CD23F" w14:textId="4E8E5242" w:rsidR="003517E4" w:rsidRPr="00FD7104" w:rsidRDefault="7F1097F5" w:rsidP="000A248C">
      <w:pPr>
        <w:pStyle w:val="NormalWeb"/>
        <w:rPr>
          <w:sz w:val="32"/>
          <w:szCs w:val="32"/>
        </w:rPr>
      </w:pPr>
      <w:r w:rsidRPr="00FD7104">
        <w:rPr>
          <w:rFonts w:ascii="Arial" w:hAnsi="Arial" w:cs="Arial"/>
          <w:color w:val="303B44"/>
          <w:sz w:val="32"/>
          <w:szCs w:val="32"/>
        </w:rPr>
        <w:t>Loader, I. (2006). ‘Policing, recognition, and belonging. The annals of the American Academy’, 605, pp. 201–221.</w:t>
      </w:r>
    </w:p>
    <w:p w14:paraId="67FC9E6D" w14:textId="712B8D86"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10C71314" w14:textId="1A817329" w:rsidR="003517E4" w:rsidRPr="00FD7104" w:rsidRDefault="7F1097F5" w:rsidP="000A248C">
      <w:pPr>
        <w:pStyle w:val="NormalWeb"/>
        <w:rPr>
          <w:sz w:val="32"/>
          <w:szCs w:val="32"/>
        </w:rPr>
      </w:pPr>
      <w:r w:rsidRPr="00FD7104">
        <w:rPr>
          <w:rFonts w:ascii="Arial" w:hAnsi="Arial" w:cs="Arial"/>
          <w:color w:val="303B44"/>
          <w:sz w:val="32"/>
          <w:szCs w:val="32"/>
        </w:rPr>
        <w:t>Manning, Peter K. (2001). "Theorizing Policing: The Drama and Myth of Crime Control in the NYPD.” Theoretical Criminology 5:315–44</w:t>
      </w:r>
    </w:p>
    <w:p w14:paraId="30AA7D14" w14:textId="7E667D08"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2EF07A1" w14:textId="1C470D11" w:rsidR="003517E4" w:rsidRPr="00FD7104" w:rsidRDefault="7F1097F5" w:rsidP="000A248C">
      <w:pPr>
        <w:pStyle w:val="NormalWeb"/>
        <w:rPr>
          <w:sz w:val="32"/>
          <w:szCs w:val="32"/>
        </w:rPr>
      </w:pPr>
      <w:proofErr w:type="spellStart"/>
      <w:r w:rsidRPr="00FD7104">
        <w:rPr>
          <w:rFonts w:ascii="Arial" w:hAnsi="Arial" w:cs="Arial"/>
          <w:color w:val="303B44"/>
          <w:sz w:val="32"/>
          <w:szCs w:val="32"/>
        </w:rPr>
        <w:t>Myhill</w:t>
      </w:r>
      <w:proofErr w:type="spellEnd"/>
      <w:r w:rsidRPr="00FD7104">
        <w:rPr>
          <w:rFonts w:ascii="Arial" w:hAnsi="Arial" w:cs="Arial"/>
          <w:color w:val="303B44"/>
          <w:sz w:val="32"/>
          <w:szCs w:val="32"/>
        </w:rPr>
        <w:t>, A., &amp; Quinton, P. (2011) It’s a fair cop, Police legitimacy, public cooperation, and crime reduction National Policing Improvement Agency.</w:t>
      </w:r>
    </w:p>
    <w:p w14:paraId="73456E1D" w14:textId="66C3A72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C5F875E" w14:textId="0F7217DF" w:rsidR="003517E4" w:rsidRPr="00FD7104" w:rsidRDefault="7F1097F5" w:rsidP="000A248C">
      <w:pPr>
        <w:pStyle w:val="NormalWeb"/>
        <w:rPr>
          <w:sz w:val="32"/>
          <w:szCs w:val="32"/>
        </w:rPr>
      </w:pPr>
      <w:r w:rsidRPr="00FD7104">
        <w:rPr>
          <w:rFonts w:ascii="Arial" w:hAnsi="Arial" w:cs="Arial"/>
          <w:color w:val="303B44"/>
          <w:sz w:val="32"/>
          <w:szCs w:val="32"/>
        </w:rPr>
        <w:t xml:space="preserve">Murphy, K., Hinds, L., &amp; Fleming, J. (2008). ‘Encouraging public cooperation and support for police Policing and Society’, 18(2), pp. 136–155. </w:t>
      </w:r>
    </w:p>
    <w:p w14:paraId="3CCF114A" w14:textId="5ABEAEBB"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34E8CB9F" w14:textId="08C52111"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2637E9F6" w14:textId="0336D26B" w:rsidR="003517E4" w:rsidRPr="00FD7104" w:rsidRDefault="7F1097F5" w:rsidP="000A248C">
      <w:pPr>
        <w:pStyle w:val="NormalWeb"/>
        <w:rPr>
          <w:sz w:val="32"/>
          <w:szCs w:val="32"/>
        </w:rPr>
      </w:pPr>
      <w:proofErr w:type="spellStart"/>
      <w:r w:rsidRPr="00FD7104">
        <w:rPr>
          <w:rFonts w:ascii="Arial" w:hAnsi="Arial" w:cs="Arial"/>
          <w:color w:val="303B44"/>
          <w:sz w:val="32"/>
          <w:szCs w:val="32"/>
        </w:rPr>
        <w:t>Newburn</w:t>
      </w:r>
      <w:proofErr w:type="spellEnd"/>
      <w:r w:rsidRPr="00FD7104">
        <w:rPr>
          <w:rFonts w:ascii="Arial" w:hAnsi="Arial" w:cs="Arial"/>
          <w:color w:val="303B44"/>
          <w:sz w:val="32"/>
          <w:szCs w:val="32"/>
        </w:rPr>
        <w:t xml:space="preserve">, T. (2003). ‘Policing since 1945. In: T. </w:t>
      </w:r>
      <w:proofErr w:type="spellStart"/>
      <w:r w:rsidRPr="00FD7104">
        <w:rPr>
          <w:rFonts w:ascii="Arial" w:hAnsi="Arial" w:cs="Arial"/>
          <w:color w:val="303B44"/>
          <w:sz w:val="32"/>
          <w:szCs w:val="32"/>
        </w:rPr>
        <w:t>Newburn</w:t>
      </w:r>
      <w:proofErr w:type="spellEnd"/>
      <w:r w:rsidRPr="00FD7104">
        <w:rPr>
          <w:rFonts w:ascii="Arial" w:hAnsi="Arial" w:cs="Arial"/>
          <w:color w:val="303B44"/>
          <w:sz w:val="32"/>
          <w:szCs w:val="32"/>
        </w:rPr>
        <w:t xml:space="preserve">, ed., Policing: Key Readings. </w:t>
      </w:r>
      <w:proofErr w:type="spellStart"/>
      <w:r w:rsidRPr="00FD7104">
        <w:rPr>
          <w:rFonts w:ascii="Arial" w:hAnsi="Arial" w:cs="Arial"/>
          <w:color w:val="303B44"/>
          <w:sz w:val="32"/>
          <w:szCs w:val="32"/>
        </w:rPr>
        <w:t>Cullompton</w:t>
      </w:r>
      <w:proofErr w:type="spellEnd"/>
      <w:r w:rsidRPr="00FD7104">
        <w:rPr>
          <w:rFonts w:ascii="Arial" w:hAnsi="Arial" w:cs="Arial"/>
          <w:color w:val="303B44"/>
          <w:sz w:val="32"/>
          <w:szCs w:val="32"/>
        </w:rPr>
        <w:t xml:space="preserve">: </w:t>
      </w:r>
      <w:proofErr w:type="spellStart"/>
      <w:r w:rsidRPr="00FD7104">
        <w:rPr>
          <w:rFonts w:ascii="Arial" w:hAnsi="Arial" w:cs="Arial"/>
          <w:color w:val="303B44"/>
          <w:sz w:val="32"/>
          <w:szCs w:val="32"/>
        </w:rPr>
        <w:t>Willan</w:t>
      </w:r>
      <w:proofErr w:type="spellEnd"/>
      <w:r w:rsidRPr="00FD7104">
        <w:rPr>
          <w:rFonts w:ascii="Arial" w:hAnsi="Arial" w:cs="Arial"/>
          <w:color w:val="303B44"/>
          <w:sz w:val="32"/>
          <w:szCs w:val="32"/>
        </w:rPr>
        <w:t xml:space="preserve"> Publishing, pp. 84–105.</w:t>
      </w:r>
    </w:p>
    <w:p w14:paraId="7B1C69BC" w14:textId="307F433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222A192" w14:textId="6DD0A0AC" w:rsidR="003517E4" w:rsidRPr="00FD7104" w:rsidRDefault="7F1097F5" w:rsidP="000A248C">
      <w:pPr>
        <w:pStyle w:val="NormalWeb"/>
        <w:rPr>
          <w:sz w:val="32"/>
          <w:szCs w:val="32"/>
        </w:rPr>
      </w:pPr>
      <w:r w:rsidRPr="00FD7104">
        <w:rPr>
          <w:rFonts w:ascii="Arial" w:hAnsi="Arial" w:cs="Arial"/>
          <w:color w:val="303B44"/>
          <w:sz w:val="32"/>
          <w:szCs w:val="32"/>
        </w:rPr>
        <w:t>Turner, V. (1974). ‘’Dramas, fields, and metaphors: symbolic action in human society’. Ithaca, NY: Cornell University Press.</w:t>
      </w:r>
    </w:p>
    <w:p w14:paraId="0393C98A" w14:textId="4520E964"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4C4A09DD" w14:textId="3E176E85" w:rsidR="003517E4" w:rsidRPr="00FD7104" w:rsidRDefault="7F1097F5" w:rsidP="000A248C">
      <w:pPr>
        <w:pStyle w:val="NormalWeb"/>
        <w:rPr>
          <w:sz w:val="32"/>
          <w:szCs w:val="32"/>
        </w:rPr>
      </w:pPr>
      <w:r w:rsidRPr="00FD7104">
        <w:rPr>
          <w:rFonts w:ascii="Arial" w:hAnsi="Arial" w:cs="Arial"/>
          <w:color w:val="303B44"/>
          <w:sz w:val="32"/>
          <w:szCs w:val="32"/>
        </w:rPr>
        <w:t>Reiner, R. (2010) The Politics of the Police Oxford: Oxford University Press.</w:t>
      </w:r>
    </w:p>
    <w:p w14:paraId="58ADE306" w14:textId="40262D5D"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7AF7117C" w14:textId="7292FD86" w:rsidR="003517E4" w:rsidRPr="00FD7104" w:rsidRDefault="7F1097F5" w:rsidP="000A248C">
      <w:pPr>
        <w:pStyle w:val="NormalWeb"/>
        <w:rPr>
          <w:sz w:val="32"/>
          <w:szCs w:val="32"/>
        </w:rPr>
      </w:pPr>
      <w:r w:rsidRPr="00FD7104">
        <w:rPr>
          <w:rFonts w:ascii="Arial" w:hAnsi="Arial" w:cs="Arial"/>
          <w:color w:val="303B44"/>
          <w:sz w:val="32"/>
          <w:szCs w:val="32"/>
        </w:rPr>
        <w:t>Rowe, M. (2017) Introduction to Policing London: Sage Publications.</w:t>
      </w:r>
    </w:p>
    <w:p w14:paraId="35777177" w14:textId="7CE770E8" w:rsidR="003517E4" w:rsidRPr="00FD7104" w:rsidRDefault="7F1097F5" w:rsidP="000A248C">
      <w:pPr>
        <w:pStyle w:val="NormalWeb"/>
        <w:rPr>
          <w:sz w:val="32"/>
          <w:szCs w:val="32"/>
        </w:rPr>
      </w:pPr>
      <w:r w:rsidRPr="00FD7104">
        <w:rPr>
          <w:rFonts w:ascii="Arial" w:hAnsi="Arial" w:cs="Arial"/>
          <w:color w:val="303B44"/>
          <w:sz w:val="32"/>
          <w:szCs w:val="32"/>
        </w:rPr>
        <w:t xml:space="preserve"> </w:t>
      </w:r>
    </w:p>
    <w:p w14:paraId="7E5DAD30" w14:textId="437C4AC8" w:rsidR="003517E4" w:rsidRPr="00FD7104" w:rsidRDefault="7F1097F5" w:rsidP="000A248C">
      <w:pPr>
        <w:pStyle w:val="NormalWeb"/>
        <w:rPr>
          <w:sz w:val="32"/>
          <w:szCs w:val="32"/>
        </w:rPr>
      </w:pPr>
      <w:r w:rsidRPr="00FD7104">
        <w:rPr>
          <w:rFonts w:ascii="Arial" w:hAnsi="Arial" w:cs="Arial"/>
          <w:color w:val="303B44"/>
          <w:sz w:val="32"/>
          <w:szCs w:val="32"/>
        </w:rPr>
        <w:t xml:space="preserve">Rawlings, P. (2002) Policing: A short history </w:t>
      </w:r>
      <w:proofErr w:type="spellStart"/>
      <w:r w:rsidRPr="00FD7104">
        <w:rPr>
          <w:rFonts w:ascii="Arial" w:hAnsi="Arial" w:cs="Arial"/>
          <w:color w:val="303B44"/>
          <w:sz w:val="32"/>
          <w:szCs w:val="32"/>
        </w:rPr>
        <w:t>Willan</w:t>
      </w:r>
      <w:proofErr w:type="spellEnd"/>
      <w:r w:rsidRPr="00FD7104">
        <w:rPr>
          <w:rFonts w:ascii="Arial" w:hAnsi="Arial" w:cs="Arial"/>
          <w:color w:val="303B44"/>
          <w:sz w:val="32"/>
          <w:szCs w:val="32"/>
        </w:rPr>
        <w:t xml:space="preserve">. </w:t>
      </w:r>
    </w:p>
    <w:p w14:paraId="154A35BB" w14:textId="64B36CEA" w:rsidR="003517E4" w:rsidRPr="00FD7104" w:rsidRDefault="003517E4" w:rsidP="7F1097F5">
      <w:pPr>
        <w:pStyle w:val="NormalWeb"/>
        <w:rPr>
          <w:rFonts w:ascii="Arial" w:hAnsi="Arial" w:cs="Arial"/>
          <w:color w:val="303B44"/>
          <w:sz w:val="32"/>
          <w:szCs w:val="32"/>
        </w:rPr>
      </w:pPr>
    </w:p>
    <w:p w14:paraId="5D237711" w14:textId="260CAB22" w:rsidR="003517E4" w:rsidRPr="00FD7104" w:rsidRDefault="003517E4" w:rsidP="000A248C">
      <w:pPr>
        <w:pStyle w:val="NormalWeb"/>
        <w:rPr>
          <w:rFonts w:ascii="Arial" w:hAnsi="Arial" w:cs="Arial"/>
          <w:color w:val="303B44"/>
          <w:sz w:val="32"/>
          <w:szCs w:val="32"/>
        </w:rPr>
      </w:pPr>
    </w:p>
    <w:p w14:paraId="150B4296" w14:textId="77777777" w:rsidR="00597BF8" w:rsidRPr="00FD7104" w:rsidRDefault="00597BF8" w:rsidP="00DB116D">
      <w:pPr>
        <w:rPr>
          <w:rFonts w:ascii="Arial" w:hAnsi="Arial" w:cs="Arial"/>
          <w:sz w:val="32"/>
          <w:szCs w:val="32"/>
        </w:rPr>
      </w:pPr>
      <w:proofErr w:type="spellStart"/>
      <w:r w:rsidRPr="00FD7104">
        <w:rPr>
          <w:rFonts w:ascii="Arial" w:hAnsi="Arial" w:cs="Arial"/>
          <w:sz w:val="32"/>
          <w:szCs w:val="32"/>
        </w:rPr>
        <w:t>Skogan</w:t>
      </w:r>
      <w:proofErr w:type="spellEnd"/>
      <w:r w:rsidRPr="00FD7104">
        <w:rPr>
          <w:rFonts w:ascii="Arial" w:hAnsi="Arial" w:cs="Arial"/>
          <w:sz w:val="32"/>
          <w:szCs w:val="32"/>
        </w:rPr>
        <w:t>, W. (2015). Community Policing: Can it Work? Wadsworth Cengage Learning.</w:t>
      </w:r>
    </w:p>
    <w:p w14:paraId="6C062A97" w14:textId="77777777" w:rsidR="00597BF8" w:rsidRPr="00FD7104" w:rsidRDefault="00597BF8" w:rsidP="00DB116D">
      <w:pPr>
        <w:rPr>
          <w:rFonts w:ascii="Arial" w:hAnsi="Arial" w:cs="Arial"/>
          <w:sz w:val="32"/>
          <w:szCs w:val="32"/>
        </w:rPr>
      </w:pPr>
    </w:p>
    <w:p w14:paraId="439CC23D" w14:textId="77777777" w:rsidR="00597BF8" w:rsidRPr="00FD7104" w:rsidRDefault="00597BF8" w:rsidP="00DB116D">
      <w:pPr>
        <w:rPr>
          <w:rFonts w:ascii="Arial" w:hAnsi="Arial" w:cs="Arial"/>
          <w:sz w:val="32"/>
          <w:szCs w:val="32"/>
        </w:rPr>
      </w:pPr>
      <w:r w:rsidRPr="00FD7104">
        <w:rPr>
          <w:rFonts w:ascii="Arial" w:hAnsi="Arial" w:cs="Arial"/>
          <w:sz w:val="32"/>
          <w:szCs w:val="32"/>
        </w:rPr>
        <w:t xml:space="preserve"> </w:t>
      </w:r>
    </w:p>
    <w:p w14:paraId="6FD480D7" w14:textId="77777777" w:rsidR="00597BF8" w:rsidRPr="00FD7104" w:rsidRDefault="00597BF8" w:rsidP="00DB116D">
      <w:pPr>
        <w:rPr>
          <w:rFonts w:ascii="Arial" w:hAnsi="Arial" w:cs="Arial"/>
          <w:sz w:val="32"/>
          <w:szCs w:val="32"/>
        </w:rPr>
      </w:pPr>
    </w:p>
    <w:p w14:paraId="465F9A69" w14:textId="77777777" w:rsidR="00597BF8" w:rsidRPr="00FD7104" w:rsidRDefault="00597BF8" w:rsidP="00DB116D">
      <w:pPr>
        <w:rPr>
          <w:rFonts w:ascii="Arial" w:hAnsi="Arial" w:cs="Arial"/>
          <w:sz w:val="32"/>
          <w:szCs w:val="32"/>
        </w:rPr>
      </w:pPr>
    </w:p>
    <w:p w14:paraId="5CB393F8" w14:textId="77777777" w:rsidR="00597BF8" w:rsidRPr="00FD7104" w:rsidRDefault="00597BF8" w:rsidP="00DB116D">
      <w:pPr>
        <w:rPr>
          <w:rFonts w:ascii="Arial" w:hAnsi="Arial" w:cs="Arial"/>
          <w:sz w:val="32"/>
          <w:szCs w:val="32"/>
        </w:rPr>
      </w:pPr>
    </w:p>
    <w:p w14:paraId="70408B86" w14:textId="77777777" w:rsidR="00597BF8" w:rsidRPr="00FD7104" w:rsidRDefault="00597BF8" w:rsidP="00DB116D">
      <w:pPr>
        <w:rPr>
          <w:rFonts w:ascii="Arial" w:hAnsi="Arial" w:cs="Arial"/>
          <w:sz w:val="32"/>
          <w:szCs w:val="32"/>
        </w:rPr>
      </w:pPr>
    </w:p>
    <w:p w14:paraId="77358C3C" w14:textId="77777777" w:rsidR="00597BF8" w:rsidRPr="00FD7104" w:rsidRDefault="00597BF8" w:rsidP="00DB116D">
      <w:pPr>
        <w:rPr>
          <w:rFonts w:ascii="Arial" w:hAnsi="Arial" w:cs="Arial"/>
          <w:sz w:val="32"/>
          <w:szCs w:val="32"/>
        </w:rPr>
      </w:pPr>
    </w:p>
    <w:p w14:paraId="5C51E40A" w14:textId="77777777" w:rsidR="00597BF8" w:rsidRPr="00FD7104" w:rsidRDefault="00597BF8" w:rsidP="00DB116D">
      <w:pPr>
        <w:rPr>
          <w:rFonts w:ascii="Arial" w:hAnsi="Arial" w:cs="Arial"/>
          <w:sz w:val="32"/>
          <w:szCs w:val="32"/>
        </w:rPr>
      </w:pPr>
    </w:p>
    <w:p w14:paraId="4CA6326B" w14:textId="77777777" w:rsidR="00597BF8" w:rsidRPr="00FD7104" w:rsidRDefault="00597BF8" w:rsidP="00DB116D">
      <w:pPr>
        <w:rPr>
          <w:rFonts w:ascii="Arial" w:hAnsi="Arial" w:cs="Arial"/>
          <w:sz w:val="32"/>
          <w:szCs w:val="32"/>
        </w:rPr>
      </w:pPr>
    </w:p>
    <w:p w14:paraId="1EE90419" w14:textId="77777777" w:rsidR="00597BF8" w:rsidRPr="00FD7104" w:rsidRDefault="00597BF8" w:rsidP="00DB116D">
      <w:pPr>
        <w:rPr>
          <w:rFonts w:ascii="Arial" w:hAnsi="Arial" w:cs="Arial"/>
          <w:sz w:val="32"/>
          <w:szCs w:val="32"/>
        </w:rPr>
      </w:pPr>
    </w:p>
    <w:p w14:paraId="6C4EE2A9" w14:textId="77777777" w:rsidR="00597BF8" w:rsidRPr="00FD7104" w:rsidRDefault="00597BF8" w:rsidP="00DB116D">
      <w:pPr>
        <w:rPr>
          <w:rFonts w:ascii="Arial" w:hAnsi="Arial" w:cs="Arial"/>
          <w:sz w:val="32"/>
          <w:szCs w:val="32"/>
        </w:rPr>
      </w:pPr>
    </w:p>
    <w:p w14:paraId="295A5459" w14:textId="77777777" w:rsidR="00597BF8" w:rsidRPr="00FD7104" w:rsidRDefault="00597BF8" w:rsidP="00DB116D">
      <w:pPr>
        <w:rPr>
          <w:rFonts w:ascii="Arial" w:hAnsi="Arial" w:cs="Arial"/>
          <w:sz w:val="32"/>
          <w:szCs w:val="32"/>
        </w:rPr>
      </w:pPr>
    </w:p>
    <w:p w14:paraId="0962A3D7" w14:textId="77777777" w:rsidR="00597BF8" w:rsidRPr="00FD7104" w:rsidRDefault="00597BF8" w:rsidP="00DB116D">
      <w:pPr>
        <w:rPr>
          <w:rFonts w:ascii="Arial" w:hAnsi="Arial" w:cs="Arial"/>
          <w:sz w:val="32"/>
          <w:szCs w:val="32"/>
        </w:rPr>
      </w:pPr>
    </w:p>
    <w:p w14:paraId="283429DA" w14:textId="77777777" w:rsidR="00597BF8" w:rsidRPr="00FD7104" w:rsidRDefault="00597BF8" w:rsidP="00DB116D">
      <w:pPr>
        <w:rPr>
          <w:rFonts w:ascii="Arial" w:hAnsi="Arial" w:cs="Arial"/>
          <w:sz w:val="32"/>
          <w:szCs w:val="32"/>
        </w:rPr>
      </w:pPr>
    </w:p>
    <w:p w14:paraId="74365341" w14:textId="77777777" w:rsidR="00597BF8" w:rsidRPr="00FD7104" w:rsidRDefault="00597BF8" w:rsidP="00DB116D">
      <w:pPr>
        <w:rPr>
          <w:rFonts w:ascii="Arial" w:hAnsi="Arial" w:cs="Arial"/>
          <w:sz w:val="32"/>
          <w:szCs w:val="32"/>
        </w:rPr>
      </w:pPr>
    </w:p>
    <w:p w14:paraId="6324D441" w14:textId="77777777" w:rsidR="00597BF8" w:rsidRPr="00FD7104" w:rsidRDefault="00597BF8" w:rsidP="00DB116D">
      <w:pPr>
        <w:rPr>
          <w:rFonts w:ascii="Arial" w:hAnsi="Arial" w:cs="Arial"/>
          <w:sz w:val="32"/>
          <w:szCs w:val="32"/>
        </w:rPr>
      </w:pPr>
    </w:p>
    <w:p w14:paraId="16EFB42E" w14:textId="77777777" w:rsidR="00597BF8" w:rsidRPr="00FD7104" w:rsidRDefault="00597BF8" w:rsidP="00DB116D">
      <w:pPr>
        <w:rPr>
          <w:rFonts w:ascii="Arial" w:hAnsi="Arial" w:cs="Arial"/>
          <w:sz w:val="32"/>
          <w:szCs w:val="32"/>
        </w:rPr>
      </w:pPr>
    </w:p>
    <w:p w14:paraId="04E01824" w14:textId="77777777" w:rsidR="00597BF8" w:rsidRPr="00FD7104" w:rsidRDefault="00597BF8" w:rsidP="00DB116D">
      <w:pPr>
        <w:rPr>
          <w:rFonts w:ascii="Arial" w:hAnsi="Arial" w:cs="Arial"/>
          <w:sz w:val="32"/>
          <w:szCs w:val="32"/>
        </w:rPr>
      </w:pPr>
    </w:p>
    <w:p w14:paraId="240ABEDF" w14:textId="77777777" w:rsidR="00597BF8" w:rsidRPr="00FD7104" w:rsidRDefault="00597BF8" w:rsidP="00DB116D">
      <w:pPr>
        <w:rPr>
          <w:rFonts w:ascii="Arial" w:hAnsi="Arial" w:cs="Arial"/>
          <w:sz w:val="32"/>
          <w:szCs w:val="32"/>
        </w:rPr>
      </w:pPr>
    </w:p>
    <w:p w14:paraId="4B4947C7" w14:textId="77777777" w:rsidR="00597BF8" w:rsidRPr="00FD7104" w:rsidRDefault="00597BF8" w:rsidP="00DB116D">
      <w:pPr>
        <w:rPr>
          <w:rFonts w:ascii="Arial" w:hAnsi="Arial" w:cs="Arial"/>
          <w:sz w:val="32"/>
          <w:szCs w:val="32"/>
        </w:rPr>
      </w:pPr>
    </w:p>
    <w:p w14:paraId="5553842B" w14:textId="77777777" w:rsidR="00597BF8" w:rsidRPr="00FD7104" w:rsidRDefault="00597BF8" w:rsidP="00DB116D">
      <w:pPr>
        <w:rPr>
          <w:rFonts w:ascii="Arial" w:hAnsi="Arial" w:cs="Arial"/>
          <w:sz w:val="32"/>
          <w:szCs w:val="32"/>
        </w:rPr>
      </w:pPr>
    </w:p>
    <w:p w14:paraId="00024E86" w14:textId="77777777" w:rsidR="00597BF8" w:rsidRPr="00FD7104" w:rsidRDefault="00597BF8" w:rsidP="00DB116D">
      <w:pPr>
        <w:rPr>
          <w:rFonts w:ascii="Arial" w:hAnsi="Arial" w:cs="Arial"/>
          <w:sz w:val="32"/>
          <w:szCs w:val="32"/>
        </w:rPr>
      </w:pPr>
    </w:p>
    <w:p w14:paraId="738B298B" w14:textId="77777777" w:rsidR="00597BF8" w:rsidRPr="00FD7104" w:rsidRDefault="00597BF8" w:rsidP="00DB116D">
      <w:pPr>
        <w:rPr>
          <w:rFonts w:ascii="Arial" w:hAnsi="Arial" w:cs="Arial"/>
          <w:sz w:val="32"/>
          <w:szCs w:val="32"/>
        </w:rPr>
      </w:pPr>
    </w:p>
    <w:p w14:paraId="3CC5A28C" w14:textId="77777777" w:rsidR="00597BF8" w:rsidRPr="00FD7104" w:rsidRDefault="00597BF8" w:rsidP="00DB116D">
      <w:pPr>
        <w:rPr>
          <w:rFonts w:ascii="Arial" w:hAnsi="Arial" w:cs="Arial"/>
          <w:sz w:val="32"/>
          <w:szCs w:val="32"/>
        </w:rPr>
      </w:pPr>
      <w:r w:rsidRPr="00FD7104">
        <w:rPr>
          <w:rFonts w:ascii="Arial" w:hAnsi="Arial" w:cs="Arial"/>
          <w:sz w:val="32"/>
          <w:szCs w:val="32"/>
        </w:rPr>
        <w:t> </w:t>
      </w:r>
    </w:p>
    <w:p w14:paraId="04F9AF74" w14:textId="77777777" w:rsidR="00597BF8" w:rsidRPr="00FD7104" w:rsidRDefault="00597BF8" w:rsidP="00DB116D">
      <w:pPr>
        <w:rPr>
          <w:rFonts w:ascii="Arial" w:hAnsi="Arial" w:cs="Arial"/>
          <w:sz w:val="32"/>
          <w:szCs w:val="32"/>
        </w:rPr>
      </w:pPr>
    </w:p>
    <w:p w14:paraId="79CC9967" w14:textId="77777777" w:rsidR="00597BF8" w:rsidRPr="00FD7104" w:rsidRDefault="00597BF8" w:rsidP="00DB116D">
      <w:pPr>
        <w:rPr>
          <w:rFonts w:ascii="Arial" w:hAnsi="Arial" w:cs="Arial"/>
          <w:sz w:val="32"/>
          <w:szCs w:val="32"/>
        </w:rPr>
      </w:pPr>
    </w:p>
    <w:p w14:paraId="39260153" w14:textId="77777777" w:rsidR="00597BF8" w:rsidRPr="00FD7104" w:rsidRDefault="00597BF8" w:rsidP="00DB116D">
      <w:pPr>
        <w:rPr>
          <w:rFonts w:ascii="Arial" w:hAnsi="Arial" w:cs="Arial"/>
          <w:sz w:val="32"/>
          <w:szCs w:val="32"/>
        </w:rPr>
      </w:pPr>
    </w:p>
    <w:p w14:paraId="020D9F34" w14:textId="77777777" w:rsidR="00597BF8" w:rsidRPr="00FD7104" w:rsidRDefault="00597BF8" w:rsidP="00DB116D">
      <w:pPr>
        <w:rPr>
          <w:rFonts w:ascii="Arial" w:hAnsi="Arial" w:cs="Arial"/>
          <w:sz w:val="32"/>
          <w:szCs w:val="32"/>
        </w:rPr>
      </w:pPr>
    </w:p>
    <w:p w14:paraId="5FA13D65" w14:textId="77777777" w:rsidR="00597BF8" w:rsidRPr="00FD7104" w:rsidRDefault="00597BF8" w:rsidP="00DB116D">
      <w:pPr>
        <w:rPr>
          <w:rFonts w:ascii="Arial" w:hAnsi="Arial" w:cs="Arial"/>
          <w:sz w:val="32"/>
          <w:szCs w:val="32"/>
        </w:rPr>
      </w:pPr>
    </w:p>
    <w:p w14:paraId="47BD2BAD" w14:textId="77777777" w:rsidR="00597BF8" w:rsidRPr="00FD7104" w:rsidRDefault="00597BF8" w:rsidP="00DB116D">
      <w:pPr>
        <w:rPr>
          <w:rFonts w:ascii="Arial" w:hAnsi="Arial" w:cs="Arial"/>
          <w:sz w:val="32"/>
          <w:szCs w:val="32"/>
        </w:rPr>
      </w:pPr>
    </w:p>
    <w:p w14:paraId="4101652C" w14:textId="77777777" w:rsidR="00A406E5" w:rsidRPr="00FD7104" w:rsidRDefault="00A406E5">
      <w:pPr>
        <w:rPr>
          <w:rFonts w:ascii="Arial" w:hAnsi="Arial" w:cs="Arial"/>
          <w:sz w:val="32"/>
          <w:szCs w:val="32"/>
        </w:rPr>
      </w:pPr>
      <w:r w:rsidRPr="00FD7104">
        <w:rPr>
          <w:rFonts w:ascii="Arial" w:hAnsi="Arial" w:cs="Arial"/>
          <w:sz w:val="32"/>
          <w:szCs w:val="32"/>
        </w:rPr>
        <w:br w:type="page"/>
      </w:r>
    </w:p>
    <w:p w14:paraId="4B99056E" w14:textId="77777777" w:rsidR="00152E9D" w:rsidRPr="00FD7104" w:rsidRDefault="00152E9D" w:rsidP="00DB116D">
      <w:pPr>
        <w:rPr>
          <w:rFonts w:ascii="Arial" w:hAnsi="Arial" w:cs="Arial"/>
          <w:sz w:val="32"/>
          <w:szCs w:val="32"/>
        </w:rPr>
      </w:pPr>
    </w:p>
    <w:p w14:paraId="2BFA8FE3" w14:textId="6F4A7DF2" w:rsidR="00DE67C2" w:rsidRPr="00FD7104" w:rsidRDefault="00DE67C2" w:rsidP="00DE67C2">
      <w:pPr>
        <w:rPr>
          <w:rFonts w:ascii="Arial" w:hAnsi="Arial" w:cs="Arial"/>
          <w:b/>
          <w:sz w:val="32"/>
          <w:szCs w:val="32"/>
        </w:rPr>
      </w:pPr>
    </w:p>
    <w:sectPr w:rsidR="00DE67C2" w:rsidRPr="00FD7104"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BF74C" w14:textId="77777777" w:rsidR="00E13B89" w:rsidRDefault="00E13B89">
      <w:r>
        <w:separator/>
      </w:r>
    </w:p>
  </w:endnote>
  <w:endnote w:type="continuationSeparator" w:id="0">
    <w:p w14:paraId="600D6CE4" w14:textId="77777777" w:rsidR="00E13B89" w:rsidRDefault="00E13B89">
      <w:r>
        <w:continuationSeparator/>
      </w:r>
    </w:p>
  </w:endnote>
  <w:endnote w:type="continuationNotice" w:id="1">
    <w:p w14:paraId="616B6000" w14:textId="77777777" w:rsidR="00E13B89" w:rsidRDefault="00E13B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Subsol"/>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47106" w14:textId="77777777" w:rsidR="00E13B89" w:rsidRDefault="00E13B89">
      <w:r>
        <w:separator/>
      </w:r>
    </w:p>
  </w:footnote>
  <w:footnote w:type="continuationSeparator" w:id="0">
    <w:p w14:paraId="4ACDE741" w14:textId="77777777" w:rsidR="00E13B89" w:rsidRDefault="00E13B89">
      <w:r>
        <w:continuationSeparator/>
      </w:r>
    </w:p>
  </w:footnote>
  <w:footnote w:type="continuationNotice" w:id="1">
    <w:p w14:paraId="66AFF9C4" w14:textId="77777777" w:rsidR="00E13B89" w:rsidRDefault="00E13B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60D47"/>
    <w:rsid w:val="000822E5"/>
    <w:rsid w:val="000971FC"/>
    <w:rsid w:val="000A2A3A"/>
    <w:rsid w:val="000A492A"/>
    <w:rsid w:val="000B4D5C"/>
    <w:rsid w:val="000D2F80"/>
    <w:rsid w:val="000E2E0F"/>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17E4"/>
    <w:rsid w:val="00352C4A"/>
    <w:rsid w:val="00362560"/>
    <w:rsid w:val="0036270A"/>
    <w:rsid w:val="003732FD"/>
    <w:rsid w:val="003753B2"/>
    <w:rsid w:val="00376559"/>
    <w:rsid w:val="00382BAA"/>
    <w:rsid w:val="00384D73"/>
    <w:rsid w:val="00393EB6"/>
    <w:rsid w:val="003A3CE5"/>
    <w:rsid w:val="003B366F"/>
    <w:rsid w:val="003B3F9D"/>
    <w:rsid w:val="003B6C95"/>
    <w:rsid w:val="003D6ABE"/>
    <w:rsid w:val="003E3937"/>
    <w:rsid w:val="003E5751"/>
    <w:rsid w:val="004046A9"/>
    <w:rsid w:val="00404C50"/>
    <w:rsid w:val="00423934"/>
    <w:rsid w:val="00426244"/>
    <w:rsid w:val="00427963"/>
    <w:rsid w:val="00451810"/>
    <w:rsid w:val="00470A38"/>
    <w:rsid w:val="00477880"/>
    <w:rsid w:val="00480613"/>
    <w:rsid w:val="004874DE"/>
    <w:rsid w:val="004B5334"/>
    <w:rsid w:val="004B6C14"/>
    <w:rsid w:val="004D5E9B"/>
    <w:rsid w:val="004D63D9"/>
    <w:rsid w:val="004E6585"/>
    <w:rsid w:val="004F0A33"/>
    <w:rsid w:val="004F38B4"/>
    <w:rsid w:val="0050249F"/>
    <w:rsid w:val="00524566"/>
    <w:rsid w:val="00527E60"/>
    <w:rsid w:val="00530BEF"/>
    <w:rsid w:val="00552351"/>
    <w:rsid w:val="00561F00"/>
    <w:rsid w:val="00562C4E"/>
    <w:rsid w:val="00562DEC"/>
    <w:rsid w:val="00575345"/>
    <w:rsid w:val="00576AB4"/>
    <w:rsid w:val="00577917"/>
    <w:rsid w:val="0058048A"/>
    <w:rsid w:val="00590667"/>
    <w:rsid w:val="005969E2"/>
    <w:rsid w:val="00597BF8"/>
    <w:rsid w:val="005A1689"/>
    <w:rsid w:val="005B59E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1501"/>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A77E9"/>
    <w:rsid w:val="007C682C"/>
    <w:rsid w:val="007D2385"/>
    <w:rsid w:val="007D5DE2"/>
    <w:rsid w:val="007F214F"/>
    <w:rsid w:val="00800069"/>
    <w:rsid w:val="008042F0"/>
    <w:rsid w:val="008310A0"/>
    <w:rsid w:val="00835D29"/>
    <w:rsid w:val="00842E7F"/>
    <w:rsid w:val="008451F2"/>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5BC5"/>
    <w:rsid w:val="00A4036F"/>
    <w:rsid w:val="00A406E5"/>
    <w:rsid w:val="00A423D0"/>
    <w:rsid w:val="00A4641C"/>
    <w:rsid w:val="00A55876"/>
    <w:rsid w:val="00A67FB1"/>
    <w:rsid w:val="00A854AF"/>
    <w:rsid w:val="00A85BFE"/>
    <w:rsid w:val="00AB6FE7"/>
    <w:rsid w:val="00AB7AD7"/>
    <w:rsid w:val="00AC39CB"/>
    <w:rsid w:val="00AC62EE"/>
    <w:rsid w:val="00AD2430"/>
    <w:rsid w:val="00AE41A6"/>
    <w:rsid w:val="00AE5437"/>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2257"/>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13B89"/>
    <w:rsid w:val="00E230E0"/>
    <w:rsid w:val="00E27F15"/>
    <w:rsid w:val="00E515DA"/>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37388"/>
    <w:rsid w:val="00F442A7"/>
    <w:rsid w:val="00F57A89"/>
    <w:rsid w:val="00F61A20"/>
    <w:rsid w:val="00F620B2"/>
    <w:rsid w:val="00F63DD9"/>
    <w:rsid w:val="00F67644"/>
    <w:rsid w:val="00F8381F"/>
    <w:rsid w:val="00F847F3"/>
    <w:rsid w:val="00F86011"/>
    <w:rsid w:val="00FA04CD"/>
    <w:rsid w:val="00FA25F5"/>
    <w:rsid w:val="00FA2810"/>
    <w:rsid w:val="00FA68F8"/>
    <w:rsid w:val="00FB1DC0"/>
    <w:rsid w:val="00FB3B4E"/>
    <w:rsid w:val="00FB4521"/>
    <w:rsid w:val="00FB4F84"/>
    <w:rsid w:val="00FB5CF8"/>
    <w:rsid w:val="00FC2143"/>
    <w:rsid w:val="00FD7104"/>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0FDCA49"/>
    <w:rsid w:val="5714CFBE"/>
    <w:rsid w:val="57F087D5"/>
    <w:rsid w:val="59F58897"/>
    <w:rsid w:val="5A8F3533"/>
    <w:rsid w:val="5BF700F4"/>
    <w:rsid w:val="5FD13866"/>
    <w:rsid w:val="627A0413"/>
    <w:rsid w:val="68166950"/>
    <w:rsid w:val="691A9A49"/>
    <w:rsid w:val="6C6A50FF"/>
    <w:rsid w:val="74818893"/>
    <w:rsid w:val="75A1D120"/>
    <w:rsid w:val="7A752AAC"/>
    <w:rsid w:val="7C1A517A"/>
    <w:rsid w:val="7CA74200"/>
    <w:rsid w:val="7E57BEDE"/>
    <w:rsid w:val="7F1097F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Titlu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Titlu2">
    <w:name w:val="heading 2"/>
    <w:basedOn w:val="Normal"/>
    <w:next w:val="Normal"/>
    <w:qFormat/>
    <w:pPr>
      <w:keepNext/>
      <w:jc w:val="both"/>
      <w:outlineLvl w:val="1"/>
    </w:pPr>
    <w:rPr>
      <w:b/>
      <w:sz w:val="24"/>
    </w:rPr>
  </w:style>
  <w:style w:type="paragraph" w:styleId="Titlu3">
    <w:name w:val="heading 3"/>
    <w:basedOn w:val="Normal"/>
    <w:next w:val="Normal"/>
    <w:qFormat/>
    <w:pPr>
      <w:keepNext/>
      <w:jc w:val="center"/>
      <w:outlineLvl w:val="2"/>
    </w:pPr>
    <w:rPr>
      <w:b/>
      <w:sz w:val="24"/>
    </w:rPr>
  </w:style>
  <w:style w:type="paragraph" w:styleId="Titlu4">
    <w:name w:val="heading 4"/>
    <w:basedOn w:val="Normal"/>
    <w:next w:val="Normal"/>
    <w:qFormat/>
    <w:pPr>
      <w:keepNext/>
      <w:spacing w:before="120" w:after="120"/>
      <w:jc w:val="center"/>
      <w:outlineLvl w:val="3"/>
    </w:pPr>
    <w:rPr>
      <w:sz w:val="40"/>
    </w:rPr>
  </w:style>
  <w:style w:type="paragraph" w:styleId="Titlu6">
    <w:name w:val="heading 6"/>
    <w:basedOn w:val="Normal"/>
    <w:next w:val="Normal"/>
    <w:link w:val="Titlu6Caracte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pPr>
      <w:tabs>
        <w:tab w:val="center" w:pos="4153"/>
        <w:tab w:val="right" w:pos="8306"/>
      </w:tabs>
    </w:pPr>
  </w:style>
  <w:style w:type="paragraph" w:styleId="Subsol">
    <w:name w:val="footer"/>
    <w:basedOn w:val="Normal"/>
    <w:link w:val="SubsolCaracte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elgril">
    <w:name w:val="Table Grid"/>
    <w:basedOn w:val="Tabel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TextnBalon">
    <w:name w:val="Balloon Text"/>
    <w:basedOn w:val="Normal"/>
    <w:link w:val="TextnBalonCaracter"/>
    <w:rsid w:val="00A55876"/>
    <w:rPr>
      <w:rFonts w:ascii="Tahoma" w:hAnsi="Tahoma" w:cs="Tahoma"/>
      <w:sz w:val="16"/>
      <w:szCs w:val="16"/>
    </w:rPr>
  </w:style>
  <w:style w:type="character" w:customStyle="1" w:styleId="TextnBalonCaracter">
    <w:name w:val="Text în Balon Caracter"/>
    <w:link w:val="TextnBalon"/>
    <w:rsid w:val="00A55876"/>
    <w:rPr>
      <w:rFonts w:ascii="Tahoma" w:hAnsi="Tahoma" w:cs="Tahoma"/>
      <w:sz w:val="16"/>
      <w:szCs w:val="16"/>
    </w:rPr>
  </w:style>
  <w:style w:type="character" w:customStyle="1" w:styleId="SubsolCaracter">
    <w:name w:val="Subsol Caracter"/>
    <w:basedOn w:val="Fontdeparagrafimplicit"/>
    <w:link w:val="Subsol"/>
    <w:uiPriority w:val="99"/>
    <w:rsid w:val="00EA0F4E"/>
  </w:style>
  <w:style w:type="character" w:customStyle="1" w:styleId="Titlu6Caracter">
    <w:name w:val="Titlu 6 Caracter"/>
    <w:link w:val="Titlu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AntetCaracter">
    <w:name w:val="Antet Caracter"/>
    <w:basedOn w:val="Fontdeparagrafimplicit"/>
    <w:link w:val="Antet"/>
    <w:rsid w:val="00F61A20"/>
  </w:style>
  <w:style w:type="character" w:styleId="Hyperlink">
    <w:name w:val="Hyperlink"/>
    <w:uiPriority w:val="99"/>
    <w:unhideWhenUsed/>
    <w:rsid w:val="001E2007"/>
    <w:rPr>
      <w:color w:val="0000FF"/>
      <w:u w:val="single"/>
    </w:rPr>
  </w:style>
  <w:style w:type="paragraph" w:styleId="Listparagraf">
    <w:name w:val="List Paragraph"/>
    <w:basedOn w:val="Normal"/>
    <w:uiPriority w:val="34"/>
    <w:qFormat/>
    <w:rsid w:val="001E2007"/>
    <w:pPr>
      <w:ind w:left="720"/>
      <w:contextualSpacing/>
    </w:pPr>
  </w:style>
  <w:style w:type="character" w:styleId="Accentuat">
    <w:name w:val="Emphasis"/>
    <w:uiPriority w:val="20"/>
    <w:qFormat/>
    <w:rsid w:val="00DF321B"/>
    <w:rPr>
      <w:i/>
      <w:iCs/>
    </w:rPr>
  </w:style>
  <w:style w:type="character" w:styleId="MeniuneNerezolvat">
    <w:name w:val="Unresolved Mention"/>
    <w:basedOn w:val="Fontdeparagrafimplicit"/>
    <w:uiPriority w:val="99"/>
    <w:semiHidden/>
    <w:unhideWhenUsed/>
    <w:rsid w:val="00E51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mailto:2233684@student.uwtsd.ac.uk"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Pages>
  <Words>2139</Words>
  <Characters>12654</Characters>
  <Application>Microsoft Office Word</Application>
  <DocSecurity>0</DocSecurity>
  <Lines>105</Lines>
  <Paragraphs>29</Paragraphs>
  <ScaleCrop>false</ScaleCrop>
  <Company>S.I.H.E.</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Gabriel Huchiu</cp:lastModifiedBy>
  <cp:revision>2</cp:revision>
  <cp:lastPrinted>2014-10-10T07:42:00Z</cp:lastPrinted>
  <dcterms:created xsi:type="dcterms:W3CDTF">2023-11-16T13:20:00Z</dcterms:created>
  <dcterms:modified xsi:type="dcterms:W3CDTF">2023-11-16T13:20:00Z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