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DE02B7" w:rsidR="003E7904" w:rsidP="00DE02B7" w:rsidRDefault="48469D77" w14:paraId="06A079A0" w14:textId="58F1EB2F">
      <w:pPr>
        <w:spacing w:after="0" w:line="276" w:lineRule="auto"/>
        <w:jc w:val="center"/>
        <w:rPr>
          <w:b/>
          <w:bCs/>
          <w:u w:val="single"/>
        </w:rPr>
      </w:pPr>
      <w:r w:rsidRPr="48469D77">
        <w:rPr>
          <w:b/>
          <w:bCs/>
          <w:u w:val="single"/>
        </w:rPr>
        <w:t>Research Proposal</w:t>
      </w:r>
    </w:p>
    <w:p w:rsidRPr="00DE02B7" w:rsidR="00DE02B7" w:rsidP="00DE02B7" w:rsidRDefault="00DE02B7" w14:paraId="7931BE96" w14:textId="227F1B7D">
      <w:pPr>
        <w:spacing w:after="0" w:line="276" w:lineRule="auto"/>
        <w:jc w:val="center"/>
        <w:rPr>
          <w:b/>
          <w:bCs/>
          <w:u w:val="single"/>
        </w:rPr>
      </w:pPr>
      <w:r w:rsidRPr="00DE02B7">
        <w:rPr>
          <w:b/>
          <w:bCs/>
          <w:u w:val="single"/>
        </w:rPr>
        <w:t>Rebecca Ashworth</w:t>
      </w:r>
    </w:p>
    <w:p w:rsidRPr="00DE02B7" w:rsidR="00DE02B7" w:rsidP="00DE02B7" w:rsidRDefault="00DE02B7" w14:paraId="363AEA81" w14:textId="1E686CEE">
      <w:pPr>
        <w:spacing w:after="0" w:line="276" w:lineRule="auto"/>
        <w:jc w:val="center"/>
        <w:rPr>
          <w:b/>
          <w:bCs/>
          <w:u w:val="single"/>
        </w:rPr>
      </w:pPr>
      <w:r w:rsidRPr="00DE02B7">
        <w:rPr>
          <w:b/>
          <w:bCs/>
          <w:u w:val="single"/>
        </w:rPr>
        <w:t>Student Number: 2104770</w:t>
      </w:r>
    </w:p>
    <w:p w:rsidR="00DE02B7" w:rsidP="00DE02B7" w:rsidRDefault="00DE02B7" w14:paraId="2738E00B" w14:textId="77777777">
      <w:pPr>
        <w:spacing w:after="0" w:line="276" w:lineRule="auto"/>
      </w:pPr>
    </w:p>
    <w:p w:rsidRPr="00107F26" w:rsidR="00DE02B7" w:rsidP="302478FF" w:rsidRDefault="302478FF" w14:paraId="7B0E978E" w14:textId="02E14894">
      <w:pPr>
        <w:spacing w:after="0" w:line="276" w:lineRule="auto"/>
        <w:jc w:val="both"/>
        <w:rPr>
          <w:b/>
          <w:bCs/>
        </w:rPr>
      </w:pPr>
      <w:r w:rsidRPr="302478FF">
        <w:rPr>
          <w:b/>
          <w:bCs/>
          <w:u w:val="single"/>
        </w:rPr>
        <w:t>Title of Research</w:t>
      </w:r>
    </w:p>
    <w:p w:rsidR="00DE02B7" w:rsidP="302478FF" w:rsidRDefault="00DE02B7" w14:paraId="6DA6D000" w14:textId="77777777">
      <w:pPr>
        <w:spacing w:after="0" w:line="276" w:lineRule="auto"/>
        <w:jc w:val="both"/>
      </w:pPr>
    </w:p>
    <w:p w:rsidRPr="00ED0A7B" w:rsidR="00311001" w:rsidP="00311001" w:rsidRDefault="302478FF" w14:paraId="0E1EAAE2" w14:textId="6431F0AF">
      <w:pPr>
        <w:spacing w:after="0" w:line="276" w:lineRule="auto"/>
        <w:jc w:val="both"/>
      </w:pPr>
      <w:r>
        <w:t xml:space="preserve">How does gut health effect irritable bowel syndrome? An in-depth look at the connection between </w:t>
      </w:r>
      <w:r w:rsidR="00107F26">
        <w:t>IBS</w:t>
      </w:r>
      <w:r>
        <w:t xml:space="preserve"> and the gut microbiome.</w:t>
      </w:r>
    </w:p>
    <w:p w:rsidR="00DE02B7" w:rsidP="302478FF" w:rsidRDefault="00DE02B7" w14:paraId="3E805F6F" w14:textId="77777777">
      <w:pPr>
        <w:spacing w:after="0" w:line="276" w:lineRule="auto"/>
        <w:jc w:val="both"/>
      </w:pPr>
    </w:p>
    <w:p w:rsidR="00DE02B7" w:rsidP="127DF2B4" w:rsidRDefault="127DF2B4" w14:paraId="0E5868DB" w14:textId="4010017D">
      <w:pPr>
        <w:spacing w:after="0" w:line="276" w:lineRule="auto"/>
        <w:jc w:val="both"/>
        <w:rPr>
          <w:b/>
          <w:bCs/>
          <w:color w:val="FF0000"/>
          <w:u w:val="single"/>
        </w:rPr>
      </w:pPr>
      <w:r w:rsidRPr="127DF2B4">
        <w:rPr>
          <w:b/>
          <w:bCs/>
          <w:u w:val="single"/>
        </w:rPr>
        <w:t>Introduction</w:t>
      </w:r>
    </w:p>
    <w:p w:rsidR="00DE02B7" w:rsidP="302478FF" w:rsidRDefault="00DE02B7" w14:paraId="1BFBCAB4" w14:textId="77777777">
      <w:pPr>
        <w:spacing w:after="0" w:line="276" w:lineRule="auto"/>
        <w:jc w:val="both"/>
      </w:pPr>
    </w:p>
    <w:p w:rsidR="00DE02B7" w:rsidP="302478FF" w:rsidRDefault="2BB0CB14" w14:paraId="5C0AF893" w14:textId="5A4FE64C">
      <w:pPr>
        <w:spacing w:after="0" w:line="276" w:lineRule="auto"/>
        <w:jc w:val="both"/>
      </w:pPr>
      <w:r>
        <w:t xml:space="preserve">According to NICE (2023), about 5-20% of the </w:t>
      </w:r>
      <w:r w:rsidRPr="00107F26">
        <w:t>population (global</w:t>
      </w:r>
      <w:r w:rsidRPr="00107F26" w:rsidR="00107F26">
        <w:t>ly</w:t>
      </w:r>
      <w:r w:rsidRPr="00107F26">
        <w:t xml:space="preserve">) </w:t>
      </w:r>
      <w:r>
        <w:t xml:space="preserve">suffer from irritable bowel syndrome (“IBS”) but this is difficult to predict as </w:t>
      </w:r>
      <w:proofErr w:type="gramStart"/>
      <w:r>
        <w:t>a number of</w:t>
      </w:r>
      <w:proofErr w:type="gramEnd"/>
      <w:r>
        <w:t xml:space="preserve"> people do not seek out medical advice or diagnosis</w:t>
      </w:r>
      <w:r w:rsidR="00107F26">
        <w:t xml:space="preserve">. It is difficult to say why people do not seek this advice whether this is because of a lack of trust for the medical profession or organisations, the perception that they do not need to seek medical advice or the belief their illness will ‘go away’ with time (Taber </w:t>
      </w:r>
      <w:r w:rsidR="00107F26">
        <w:rPr>
          <w:i/>
          <w:iCs/>
        </w:rPr>
        <w:t>et al</w:t>
      </w:r>
      <w:r w:rsidRPr="00107F26" w:rsidR="00107F26">
        <w:t>, 2015).</w:t>
      </w:r>
      <w:r>
        <w:t xml:space="preserve"> IBS is a disorder that effects the gastrointestinal tract and causes abdominal pain (sometimes chronic) that is then associated with constipation or diarrhoea which can spontaneously reoccur (Chang, 2021</w:t>
      </w:r>
      <w:r w:rsidR="00CF590C">
        <w:t xml:space="preserve">; Canavan </w:t>
      </w:r>
      <w:r w:rsidR="00CF590C">
        <w:rPr>
          <w:i/>
          <w:iCs/>
        </w:rPr>
        <w:t>et al</w:t>
      </w:r>
      <w:r w:rsidR="00CF590C">
        <w:t>, 2014</w:t>
      </w:r>
      <w:r>
        <w:t>).</w:t>
      </w:r>
    </w:p>
    <w:p w:rsidR="302478FF" w:rsidP="302478FF" w:rsidRDefault="302478FF" w14:paraId="3836E175" w14:textId="2FFBE560">
      <w:pPr>
        <w:spacing w:after="0" w:line="276" w:lineRule="auto"/>
        <w:jc w:val="both"/>
      </w:pPr>
    </w:p>
    <w:p w:rsidRPr="0025669E" w:rsidR="302478FF" w:rsidP="2BB0CB14" w:rsidRDefault="2BB0CB14" w14:paraId="10612A6A" w14:textId="7D80BAAF">
      <w:pPr>
        <w:spacing w:after="0" w:line="276" w:lineRule="auto"/>
        <w:jc w:val="both"/>
        <w:rPr>
          <w:b/>
          <w:bCs/>
          <w:color w:val="FF0000"/>
        </w:rPr>
      </w:pPr>
      <w:r>
        <w:t xml:space="preserve">The gastrointestinal tract is made up of several organs including the mouth, oesophagus, stomach, </w:t>
      </w:r>
      <w:proofErr w:type="gramStart"/>
      <w:r>
        <w:t>intestine</w:t>
      </w:r>
      <w:proofErr w:type="gramEnd"/>
      <w:r>
        <w:t xml:space="preserve"> and rectum </w:t>
      </w:r>
      <w:r w:rsidR="0025669E">
        <w:t>(</w:t>
      </w:r>
      <w:r>
        <w:t>Figure 1</w:t>
      </w:r>
      <w:r w:rsidR="0025669E">
        <w:t>).</w:t>
      </w:r>
    </w:p>
    <w:p w:rsidR="2BB0CB14" w:rsidP="2BB0CB14" w:rsidRDefault="2BB0CB14" w14:paraId="71F4CBB4" w14:textId="7488C8CF">
      <w:pPr>
        <w:spacing w:after="0" w:line="276" w:lineRule="auto"/>
        <w:jc w:val="both"/>
      </w:pPr>
    </w:p>
    <w:p w:rsidR="2BB0CB14" w:rsidP="2BB0CB14" w:rsidRDefault="2BB0CB14" w14:paraId="1E532783" w14:textId="262998BC">
      <w:pPr>
        <w:spacing w:after="0" w:line="276" w:lineRule="auto"/>
        <w:jc w:val="both"/>
      </w:pPr>
    </w:p>
    <w:p w:rsidR="302478FF" w:rsidP="302478FF" w:rsidRDefault="302478FF" w14:paraId="4780753D" w14:textId="60524B39">
      <w:pPr>
        <w:spacing w:after="0" w:line="276" w:lineRule="auto"/>
        <w:jc w:val="center"/>
      </w:pPr>
      <w:r>
        <w:rPr>
          <w:noProof/>
        </w:rPr>
        <w:drawing>
          <wp:inline distT="0" distB="0" distL="0" distR="0" wp14:anchorId="2A09BBC2" wp14:editId="241A2A6B">
            <wp:extent cx="2576140" cy="3078051"/>
            <wp:effectExtent l="0" t="0" r="0" b="0"/>
            <wp:docPr id="1797371502" name="Picture 179737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576140" cy="3078051"/>
                    </a:xfrm>
                    <a:prstGeom prst="rect">
                      <a:avLst/>
                    </a:prstGeom>
                  </pic:spPr>
                </pic:pic>
              </a:graphicData>
            </a:graphic>
          </wp:inline>
        </w:drawing>
      </w:r>
    </w:p>
    <w:p w:rsidR="302478FF" w:rsidP="302478FF" w:rsidRDefault="302478FF" w14:paraId="097428CB" w14:textId="0900EA6E">
      <w:pPr>
        <w:spacing w:after="0" w:line="276" w:lineRule="auto"/>
        <w:jc w:val="center"/>
      </w:pPr>
      <w:r>
        <w:t>Figure 1. Image of organs making up the gastrointestinal tract (National Cancer Institute, no date)</w:t>
      </w:r>
    </w:p>
    <w:p w:rsidR="302478FF" w:rsidP="302478FF" w:rsidRDefault="302478FF" w14:paraId="5A842CF5" w14:textId="4562A4B3">
      <w:pPr>
        <w:spacing w:after="0" w:line="276" w:lineRule="auto"/>
        <w:jc w:val="both"/>
      </w:pPr>
    </w:p>
    <w:p w:rsidR="00F71070" w:rsidP="302478FF" w:rsidRDefault="2BB0CB14" w14:paraId="2177698F" w14:textId="77777777">
      <w:pPr>
        <w:spacing w:after="0" w:line="276" w:lineRule="auto"/>
        <w:jc w:val="both"/>
      </w:pPr>
      <w:r>
        <w:t>The gastrointestinal system runs the length of the torso from the mouth to the anus and converts food and drink that is ingested into a usable format to allow the cells of the body to function appropriately (Peate, 2021).</w:t>
      </w:r>
    </w:p>
    <w:p w:rsidR="00F71070" w:rsidP="302478FF" w:rsidRDefault="00F71070" w14:paraId="52587F99" w14:textId="77777777">
      <w:pPr>
        <w:spacing w:after="0" w:line="276" w:lineRule="auto"/>
        <w:jc w:val="both"/>
      </w:pPr>
    </w:p>
    <w:p w:rsidRPr="00F71070" w:rsidR="00F71070" w:rsidP="302478FF" w:rsidRDefault="00F71070" w14:paraId="0740A7C0" w14:textId="192F08E5">
      <w:pPr>
        <w:spacing w:after="0" w:line="276" w:lineRule="auto"/>
        <w:jc w:val="both"/>
      </w:pPr>
      <w:r>
        <w:t>The lower part of the GI tract, stretching from the stomach to the anus is known as the bowel which allows for the breakdown of food and drink that has been ingested and permits waste to be removed</w:t>
      </w:r>
      <w:r w:rsidR="00F35148">
        <w:t xml:space="preserve"> (</w:t>
      </w:r>
      <w:proofErr w:type="spellStart"/>
      <w:r w:rsidR="00F35148">
        <w:t>Meerveld</w:t>
      </w:r>
      <w:proofErr w:type="spellEnd"/>
      <w:r w:rsidR="00F35148">
        <w:t>, Johnson and Grundy, 2017, p. 1-16)</w:t>
      </w:r>
      <w:r>
        <w:t xml:space="preserve">. </w:t>
      </w:r>
    </w:p>
    <w:p w:rsidR="302478FF" w:rsidP="302478FF" w:rsidRDefault="302478FF" w14:paraId="3635E8A9" w14:textId="473A0545">
      <w:pPr>
        <w:spacing w:after="0" w:line="276" w:lineRule="auto"/>
        <w:jc w:val="both"/>
      </w:pPr>
    </w:p>
    <w:p w:rsidR="302478FF" w:rsidP="302478FF" w:rsidRDefault="002427E9" w14:paraId="29C22E5E" w14:textId="29E6DE11">
      <w:pPr>
        <w:spacing w:after="0" w:line="276" w:lineRule="auto"/>
        <w:jc w:val="both"/>
      </w:pPr>
      <w:r>
        <w:t>Many things in life can affect the GI tract, including stress. Stress can have a profound negative impact on homeostasis</w:t>
      </w:r>
      <w:r w:rsidR="00206C6E">
        <w:t xml:space="preserve"> </w:t>
      </w:r>
      <w:r>
        <w:t>with the parasympathetic and sympathetic nervous system becoming disrupted should stress peak (Bhatia and Tandon, 2005). The parasympathetic and sympathetic nervous systems</w:t>
      </w:r>
      <w:r w:rsidR="00A60F3A">
        <w:t>, together with the central nervous system, neuroendocrine system and other</w:t>
      </w:r>
      <w:r w:rsidR="00F82C78">
        <w:t>s</w:t>
      </w:r>
      <w:r w:rsidR="00A60F3A">
        <w:t xml:space="preserve"> form </w:t>
      </w:r>
      <w:r>
        <w:t xml:space="preserve">pathways to </w:t>
      </w:r>
      <w:r w:rsidR="00A60F3A">
        <w:t>create</w:t>
      </w:r>
      <w:r>
        <w:t xml:space="preserve"> the brain-gut axis </w:t>
      </w:r>
      <w:r w:rsidR="00A60F3A">
        <w:t>and acknowledging that gut microbiota does, in fact, affect the brains functions, including behaviour, physiological function and cognitive role (Wang and Wang, 2016).</w:t>
      </w:r>
      <w:r w:rsidR="00A03E2D">
        <w:t xml:space="preserve"> It is therefore essential that a thorough understanding of the brain-gut axis is needed </w:t>
      </w:r>
      <w:proofErr w:type="gramStart"/>
      <w:r w:rsidR="00A03E2D">
        <w:t>in order to</w:t>
      </w:r>
      <w:proofErr w:type="gramEnd"/>
      <w:r w:rsidR="00A03E2D">
        <w:t xml:space="preserve"> establish the linkage between the way in which cognitive functioning takes place, should the gut microbiota change</w:t>
      </w:r>
      <w:r w:rsidR="00E46EA0">
        <w:t xml:space="preserve"> (Mayer </w:t>
      </w:r>
      <w:r w:rsidRPr="00E46EA0" w:rsidR="00E46EA0">
        <w:rPr>
          <w:i/>
          <w:iCs/>
        </w:rPr>
        <w:t>et al</w:t>
      </w:r>
      <w:r w:rsidR="00E46EA0">
        <w:t>, 2015).</w:t>
      </w:r>
    </w:p>
    <w:p w:rsidR="000D521F" w:rsidP="302478FF" w:rsidRDefault="000D521F" w14:paraId="0C7FDC9D" w14:textId="77777777">
      <w:pPr>
        <w:spacing w:after="0" w:line="276" w:lineRule="auto"/>
        <w:jc w:val="both"/>
      </w:pPr>
    </w:p>
    <w:p w:rsidR="000D521F" w:rsidP="302478FF" w:rsidRDefault="00CC1239" w14:paraId="31D4DFD7" w14:textId="71FCA869">
      <w:pPr>
        <w:spacing w:after="0" w:line="276" w:lineRule="auto"/>
        <w:jc w:val="both"/>
      </w:pPr>
      <w:r>
        <w:t>A further factor that can affect the GI tract is p</w:t>
      </w:r>
      <w:r w:rsidR="00CA06ED">
        <w:t xml:space="preserve">ain </w:t>
      </w:r>
      <w:r>
        <w:t>and this is also</w:t>
      </w:r>
      <w:r w:rsidR="00CA06ED">
        <w:t xml:space="preserve"> linked to IBS</w:t>
      </w:r>
      <w:r w:rsidR="00632431">
        <w:t xml:space="preserve"> (Lackner and Quigley, 2005).</w:t>
      </w:r>
      <w:r w:rsidR="00CA06ED">
        <w:t xml:space="preserve"> </w:t>
      </w:r>
      <w:r w:rsidR="000D521F">
        <w:t xml:space="preserve">Feeling pain within the body can affect numerous functions of the body and having pain in the lower internal organs is known as visceral </w:t>
      </w:r>
      <w:r w:rsidRPr="0025669E" w:rsidR="000D521F">
        <w:t>hypersensitivity (</w:t>
      </w:r>
      <w:r w:rsidRPr="0025669E" w:rsidR="0025669E">
        <w:t xml:space="preserve">Dong </w:t>
      </w:r>
      <w:r w:rsidRPr="0025669E" w:rsidR="0025669E">
        <w:rPr>
          <w:i/>
          <w:iCs/>
        </w:rPr>
        <w:t>et al</w:t>
      </w:r>
      <w:r w:rsidRPr="0025669E" w:rsidR="0025669E">
        <w:t>, 2004)</w:t>
      </w:r>
      <w:r w:rsidRPr="0025669E" w:rsidR="000D521F">
        <w:t xml:space="preserve">). </w:t>
      </w:r>
      <w:r w:rsidRPr="0025669E" w:rsidR="0067791E">
        <w:t xml:space="preserve">Visceral hypersensitivity may mean that the organs can cause discomfort and it has been associated with </w:t>
      </w:r>
      <w:r w:rsidR="0067791E">
        <w:t>IBS (Cleveland Clinic, 2022)</w:t>
      </w:r>
      <w:r w:rsidR="004C406D">
        <w:t>.</w:t>
      </w:r>
      <w:r w:rsidR="00586E65">
        <w:t xml:space="preserve"> Pain in the lower organs can be caused by the symptoms of IBS such as bloating and cramps</w:t>
      </w:r>
      <w:r w:rsidR="00BF5497">
        <w:t xml:space="preserve"> (NHS, 2021)</w:t>
      </w:r>
      <w:r w:rsidR="00586E65">
        <w:t xml:space="preserve">. If the nerves within the gut are hypersensitised, the pain can seem worse as the brain-gut axis will not be communicating with one another effectively (Zhou and Verne, </w:t>
      </w:r>
      <w:r w:rsidR="00B95824">
        <w:t>2011)</w:t>
      </w:r>
      <w:r w:rsidR="00586E65">
        <w:t>.</w:t>
      </w:r>
      <w:r w:rsidR="00F66910">
        <w:t xml:space="preserve"> The increase in pain in this scenario is formally known as the gate control theory of pain (</w:t>
      </w:r>
      <w:proofErr w:type="spellStart"/>
      <w:r w:rsidR="00F66910">
        <w:t>Mendell</w:t>
      </w:r>
      <w:proofErr w:type="spellEnd"/>
      <w:r w:rsidR="00F66910">
        <w:t>, 2013).</w:t>
      </w:r>
    </w:p>
    <w:p w:rsidR="005F0678" w:rsidP="302478FF" w:rsidRDefault="005F0678" w14:paraId="43D30451" w14:textId="77777777">
      <w:pPr>
        <w:spacing w:after="0" w:line="276" w:lineRule="auto"/>
        <w:jc w:val="both"/>
      </w:pPr>
    </w:p>
    <w:p w:rsidR="009D14E7" w:rsidP="009D14E7" w:rsidRDefault="005F0678" w14:paraId="4B4BDADB" w14:textId="08022DF0">
      <w:pPr>
        <w:spacing w:after="0" w:line="276" w:lineRule="auto"/>
        <w:jc w:val="both"/>
        <w:rPr>
          <w:b/>
          <w:bCs/>
          <w:color w:val="FF0000"/>
        </w:rPr>
      </w:pPr>
      <w:r>
        <w:t xml:space="preserve">The above therefore suggests that gut microbiota, </w:t>
      </w:r>
      <w:proofErr w:type="gramStart"/>
      <w:r>
        <w:t>pain</w:t>
      </w:r>
      <w:proofErr w:type="gramEnd"/>
      <w:r>
        <w:t xml:space="preserve"> and cognitive functioning are all intrinsically linked when looking at the symptoms, causes and treatment of IBS</w:t>
      </w:r>
      <w:r w:rsidR="00F81700">
        <w:t xml:space="preserve"> (</w:t>
      </w:r>
      <w:proofErr w:type="spellStart"/>
      <w:r w:rsidR="00F81700">
        <w:t>Daulatzai</w:t>
      </w:r>
      <w:proofErr w:type="spellEnd"/>
      <w:r w:rsidR="00F81700">
        <w:t>, 2014).</w:t>
      </w:r>
    </w:p>
    <w:p w:rsidR="00DE02B7" w:rsidP="302478FF" w:rsidRDefault="00DE02B7" w14:paraId="12117785" w14:textId="77777777">
      <w:pPr>
        <w:spacing w:after="0" w:line="276" w:lineRule="auto"/>
        <w:jc w:val="both"/>
      </w:pPr>
    </w:p>
    <w:p w:rsidRPr="00960675" w:rsidR="00960675" w:rsidP="2BB0CB14" w:rsidRDefault="302478FF" w14:paraId="252B9F71" w14:textId="6EDDBEDA">
      <w:pPr>
        <w:spacing w:after="0" w:line="276" w:lineRule="auto"/>
        <w:jc w:val="both"/>
        <w:rPr>
          <w:b/>
          <w:bCs/>
          <w:u w:val="single"/>
        </w:rPr>
      </w:pPr>
      <w:r w:rsidRPr="302478FF">
        <w:rPr>
          <w:b/>
          <w:bCs/>
          <w:u w:val="single"/>
        </w:rPr>
        <w:t>Aims &amp; Objectives</w:t>
      </w:r>
    </w:p>
    <w:p w:rsidR="00960675" w:rsidP="2BB0CB14" w:rsidRDefault="00960675" w14:paraId="6395EF8B" w14:textId="77777777">
      <w:pPr>
        <w:spacing w:after="0" w:line="276" w:lineRule="auto"/>
        <w:jc w:val="both"/>
        <w:rPr>
          <w:rFonts w:ascii="Calibri" w:hAnsi="Calibri" w:eastAsia="Calibri" w:cs="Calibri"/>
        </w:rPr>
      </w:pPr>
    </w:p>
    <w:p w:rsidR="2BB0CB14" w:rsidP="2BB0CB14" w:rsidRDefault="2BB0CB14" w14:paraId="23904622" w14:textId="08F559F1">
      <w:pPr>
        <w:spacing w:after="0" w:line="276" w:lineRule="auto"/>
        <w:jc w:val="both"/>
        <w:rPr>
          <w:rFonts w:ascii="Calibri" w:hAnsi="Calibri" w:eastAsia="Calibri" w:cs="Calibri"/>
        </w:rPr>
      </w:pPr>
      <w:r w:rsidRPr="2BB0CB14">
        <w:rPr>
          <w:rFonts w:ascii="Calibri" w:hAnsi="Calibri" w:eastAsia="Calibri" w:cs="Calibri"/>
        </w:rPr>
        <w:t>The aim of this research is to explore whether there is any relationship between</w:t>
      </w:r>
      <w:r w:rsidR="00515B69">
        <w:rPr>
          <w:rFonts w:ascii="Calibri" w:hAnsi="Calibri" w:eastAsia="Calibri" w:cs="Calibri"/>
        </w:rPr>
        <w:t xml:space="preserve"> IBS and gut health</w:t>
      </w:r>
      <w:r w:rsidRPr="2BB0CB14">
        <w:rPr>
          <w:rFonts w:ascii="Calibri" w:hAnsi="Calibri" w:eastAsia="Calibri" w:cs="Calibri"/>
        </w:rPr>
        <w:t xml:space="preserve">. </w:t>
      </w:r>
      <w:r w:rsidR="00402A22">
        <w:rPr>
          <w:rFonts w:ascii="Calibri" w:hAnsi="Calibri" w:eastAsia="Calibri" w:cs="Calibri"/>
        </w:rPr>
        <w:t>T</w:t>
      </w:r>
      <w:r w:rsidRPr="2BB0CB14">
        <w:rPr>
          <w:rFonts w:ascii="Calibri" w:hAnsi="Calibri" w:eastAsia="Calibri" w:cs="Calibri"/>
        </w:rPr>
        <w:t>h</w:t>
      </w:r>
      <w:r w:rsidR="00402A22">
        <w:rPr>
          <w:rFonts w:ascii="Calibri" w:hAnsi="Calibri" w:eastAsia="Calibri" w:cs="Calibri"/>
        </w:rPr>
        <w:t>e</w:t>
      </w:r>
      <w:r w:rsidRPr="2BB0CB14">
        <w:rPr>
          <w:rFonts w:ascii="Calibri" w:hAnsi="Calibri" w:eastAsia="Calibri" w:cs="Calibri"/>
        </w:rPr>
        <w:t xml:space="preserve"> research review is necessary </w:t>
      </w:r>
      <w:proofErr w:type="gramStart"/>
      <w:r w:rsidR="00402A22">
        <w:rPr>
          <w:rFonts w:ascii="Calibri" w:hAnsi="Calibri" w:eastAsia="Calibri" w:cs="Calibri"/>
        </w:rPr>
        <w:t>in order to</w:t>
      </w:r>
      <w:proofErr w:type="gramEnd"/>
      <w:r w:rsidR="00402A22">
        <w:rPr>
          <w:rFonts w:ascii="Calibri" w:hAnsi="Calibri" w:eastAsia="Calibri" w:cs="Calibri"/>
        </w:rPr>
        <w:t xml:space="preserve"> evaluate the current evidence </w:t>
      </w:r>
      <w:r w:rsidR="00240AAD">
        <w:rPr>
          <w:rFonts w:ascii="Calibri" w:hAnsi="Calibri" w:eastAsia="Calibri" w:cs="Calibri"/>
        </w:rPr>
        <w:t>regarding</w:t>
      </w:r>
      <w:r w:rsidR="00402A22">
        <w:rPr>
          <w:rFonts w:ascii="Calibri" w:hAnsi="Calibri" w:eastAsia="Calibri" w:cs="Calibri"/>
        </w:rPr>
        <w:t xml:space="preserve"> </w:t>
      </w:r>
      <w:r w:rsidR="000D3364">
        <w:rPr>
          <w:rFonts w:ascii="Calibri" w:hAnsi="Calibri" w:eastAsia="Calibri" w:cs="Calibri"/>
        </w:rPr>
        <w:t>how the</w:t>
      </w:r>
      <w:r w:rsidR="00076F64">
        <w:rPr>
          <w:rFonts w:ascii="Calibri" w:hAnsi="Calibri" w:eastAsia="Calibri" w:cs="Calibri"/>
        </w:rPr>
        <w:t xml:space="preserve"> microbiome in the gut of IBS sufferers</w:t>
      </w:r>
      <w:r w:rsidR="00FA06CC">
        <w:rPr>
          <w:rFonts w:ascii="Calibri" w:hAnsi="Calibri" w:eastAsia="Calibri" w:cs="Calibri"/>
        </w:rPr>
        <w:t xml:space="preserve"> affects them day to day</w:t>
      </w:r>
      <w:r w:rsidR="00076F64">
        <w:rPr>
          <w:rFonts w:ascii="Calibri" w:hAnsi="Calibri" w:eastAsia="Calibri" w:cs="Calibri"/>
        </w:rPr>
        <w:t>. The study aims to identify what the diversity and composition of the gut microbiome is</w:t>
      </w:r>
      <w:r w:rsidR="00420427">
        <w:rPr>
          <w:rFonts w:ascii="Calibri" w:hAnsi="Calibri" w:eastAsia="Calibri" w:cs="Calibri"/>
        </w:rPr>
        <w:t>, within IBS patients and whether there is anything that can be done to ease symptoms.</w:t>
      </w:r>
    </w:p>
    <w:p w:rsidR="2BB0CB14" w:rsidP="2BB0CB14" w:rsidRDefault="2BB0CB14" w14:paraId="5C29D9D9" w14:textId="21CDC596">
      <w:pPr>
        <w:spacing w:after="0" w:line="276" w:lineRule="auto"/>
        <w:jc w:val="both"/>
        <w:rPr>
          <w:rFonts w:ascii="Calibri" w:hAnsi="Calibri" w:eastAsia="Calibri" w:cs="Calibri"/>
        </w:rPr>
      </w:pPr>
    </w:p>
    <w:p w:rsidR="2BB0CB14" w:rsidP="2BB0CB14" w:rsidRDefault="2BB0CB14" w14:paraId="7E210CC3" w14:textId="78A1E273">
      <w:pPr>
        <w:spacing w:after="0" w:line="276" w:lineRule="auto"/>
        <w:jc w:val="both"/>
        <w:rPr>
          <w:rFonts w:ascii="Calibri" w:hAnsi="Calibri" w:eastAsia="Calibri" w:cs="Calibri"/>
          <w:color w:val="FF0000"/>
        </w:rPr>
      </w:pPr>
      <w:proofErr w:type="gramStart"/>
      <w:r w:rsidRPr="2BB0CB14">
        <w:rPr>
          <w:rFonts w:ascii="Calibri" w:hAnsi="Calibri" w:eastAsia="Calibri" w:cs="Calibri"/>
        </w:rPr>
        <w:t>In order to</w:t>
      </w:r>
      <w:proofErr w:type="gramEnd"/>
      <w:r w:rsidRPr="2BB0CB14">
        <w:rPr>
          <w:rFonts w:ascii="Calibri" w:hAnsi="Calibri" w:eastAsia="Calibri" w:cs="Calibri"/>
        </w:rPr>
        <w:t xml:space="preserve"> research appropriately, and achieve this aim, I will be</w:t>
      </w:r>
      <w:r w:rsidR="00960675">
        <w:rPr>
          <w:rFonts w:ascii="Calibri" w:hAnsi="Calibri" w:eastAsia="Calibri" w:cs="Calibri"/>
        </w:rPr>
        <w:t xml:space="preserve"> analysing reports and research which may show links between gut microbiota and to IBS and its symptoms. The study will hopefully [should I say hopefully?] identify any gaps within the literature </w:t>
      </w:r>
      <w:proofErr w:type="gramStart"/>
      <w:r w:rsidR="00960675">
        <w:rPr>
          <w:rFonts w:ascii="Calibri" w:hAnsi="Calibri" w:eastAsia="Calibri" w:cs="Calibri"/>
        </w:rPr>
        <w:t>in order to</w:t>
      </w:r>
      <w:proofErr w:type="gramEnd"/>
      <w:r w:rsidR="00960675">
        <w:rPr>
          <w:rFonts w:ascii="Calibri" w:hAnsi="Calibri" w:eastAsia="Calibri" w:cs="Calibri"/>
        </w:rPr>
        <w:t xml:space="preserve"> propose future research ideas</w:t>
      </w:r>
      <w:r w:rsidR="001E282D">
        <w:rPr>
          <w:rFonts w:ascii="Calibri" w:hAnsi="Calibri" w:eastAsia="Calibri" w:cs="Calibri"/>
        </w:rPr>
        <w:t xml:space="preserve"> or directions that could be taken in order to gain a better understanding of the topic.</w:t>
      </w:r>
      <w:r w:rsidRPr="2BB0CB14">
        <w:rPr>
          <w:rFonts w:ascii="Calibri" w:hAnsi="Calibri" w:eastAsia="Calibri" w:cs="Calibri"/>
        </w:rPr>
        <w:t xml:space="preserve"> </w:t>
      </w:r>
    </w:p>
    <w:p w:rsidRPr="002821DF" w:rsidR="2BB0CB14" w:rsidP="2BB0CB14" w:rsidRDefault="2BB0CB14" w14:paraId="32C712B8" w14:textId="2E2AD6BC">
      <w:pPr>
        <w:spacing w:after="0" w:line="276" w:lineRule="auto"/>
        <w:jc w:val="both"/>
        <w:rPr>
          <w:rFonts w:ascii="Calibri" w:hAnsi="Calibri" w:eastAsia="Calibri" w:cs="Calibri"/>
        </w:rPr>
      </w:pPr>
    </w:p>
    <w:p w:rsidRPr="002821DF" w:rsidR="00475AF0" w:rsidP="2BB0CB14" w:rsidRDefault="00812098" w14:paraId="3B651861" w14:textId="0406A0C8">
      <w:pPr>
        <w:spacing w:after="0" w:line="276" w:lineRule="auto"/>
        <w:jc w:val="both"/>
        <w:rPr>
          <w:rFonts w:ascii="Calibri" w:hAnsi="Calibri" w:eastAsia="Calibri" w:cs="Calibri"/>
        </w:rPr>
      </w:pPr>
      <w:r w:rsidRPr="002821DF">
        <w:rPr>
          <w:rFonts w:ascii="Calibri" w:hAnsi="Calibri" w:eastAsia="Calibri" w:cs="Calibri"/>
        </w:rPr>
        <w:t xml:space="preserve">Therefore, </w:t>
      </w:r>
      <w:r w:rsidRPr="002821DF" w:rsidR="002821DF">
        <w:rPr>
          <w:rFonts w:ascii="Calibri" w:hAnsi="Calibri" w:eastAsia="Calibri" w:cs="Calibri"/>
        </w:rPr>
        <w:t xml:space="preserve">the study will be </w:t>
      </w:r>
      <w:r w:rsidRPr="002821DF">
        <w:rPr>
          <w:rFonts w:ascii="Calibri" w:hAnsi="Calibri" w:eastAsia="Calibri" w:cs="Calibri"/>
        </w:rPr>
        <w:t>w</w:t>
      </w:r>
      <w:r w:rsidRPr="002821DF" w:rsidR="2BB0CB14">
        <w:rPr>
          <w:rFonts w:ascii="Calibri" w:hAnsi="Calibri" w:eastAsia="Calibri" w:cs="Calibri"/>
        </w:rPr>
        <w:t>orking based on a null hypothesis that there will be significant</w:t>
      </w:r>
      <w:r w:rsidRPr="002821DF" w:rsidR="007F5B0C">
        <w:rPr>
          <w:rFonts w:ascii="Calibri" w:hAnsi="Calibri" w:eastAsia="Calibri" w:cs="Calibri"/>
        </w:rPr>
        <w:t xml:space="preserve"> connection between</w:t>
      </w:r>
      <w:r w:rsidRPr="002821DF" w:rsidR="00F67CF2">
        <w:rPr>
          <w:rFonts w:ascii="Calibri" w:hAnsi="Calibri" w:eastAsia="Calibri" w:cs="Calibri"/>
        </w:rPr>
        <w:t xml:space="preserve"> the gut microbiome and IBS.</w:t>
      </w:r>
    </w:p>
    <w:p w:rsidRPr="002821DF" w:rsidR="007C0570" w:rsidP="2BB0CB14" w:rsidRDefault="007C0570" w14:paraId="32E39595" w14:textId="77777777">
      <w:pPr>
        <w:spacing w:after="0" w:line="276" w:lineRule="auto"/>
        <w:jc w:val="both"/>
        <w:rPr>
          <w:rFonts w:ascii="Calibri" w:hAnsi="Calibri" w:eastAsia="Calibri" w:cs="Calibri"/>
        </w:rPr>
      </w:pPr>
    </w:p>
    <w:p w:rsidRPr="007C0570" w:rsidR="2BB0CB14" w:rsidP="2BB0CB14" w:rsidRDefault="2BB0CB14" w14:paraId="23C110E0" w14:textId="54399EEE">
      <w:pPr>
        <w:spacing w:after="0" w:line="276" w:lineRule="auto"/>
        <w:jc w:val="both"/>
        <w:rPr>
          <w:rFonts w:ascii="Calibri" w:hAnsi="Calibri" w:eastAsia="Calibri" w:cs="Calibri"/>
        </w:rPr>
      </w:pPr>
      <w:r w:rsidRPr="002821DF">
        <w:rPr>
          <w:rFonts w:ascii="Calibri" w:hAnsi="Calibri" w:eastAsia="Calibri" w:cs="Calibri"/>
        </w:rPr>
        <w:t xml:space="preserve">I believe </w:t>
      </w:r>
      <w:r w:rsidRPr="007C0570">
        <w:rPr>
          <w:rFonts w:ascii="Calibri" w:hAnsi="Calibri" w:eastAsia="Calibri" w:cs="Calibri"/>
        </w:rPr>
        <w:t xml:space="preserve">the research will help me either accept or reject this null hypothesis when all </w:t>
      </w:r>
      <w:r w:rsidRPr="007C0570" w:rsidR="007C0570">
        <w:rPr>
          <w:rFonts w:ascii="Calibri" w:hAnsi="Calibri" w:eastAsia="Calibri" w:cs="Calibri"/>
        </w:rPr>
        <w:t>research</w:t>
      </w:r>
      <w:r w:rsidRPr="007C0570">
        <w:rPr>
          <w:rFonts w:ascii="Calibri" w:hAnsi="Calibri" w:eastAsia="Calibri" w:cs="Calibri"/>
        </w:rPr>
        <w:t xml:space="preserve"> is collected and analysed appropriately</w:t>
      </w:r>
      <w:r w:rsidRPr="007C0570" w:rsidR="007C0570">
        <w:rPr>
          <w:rFonts w:ascii="Calibri" w:hAnsi="Calibri" w:eastAsia="Calibri" w:cs="Calibri"/>
        </w:rPr>
        <w:t>.</w:t>
      </w:r>
    </w:p>
    <w:p w:rsidR="00DE02B7" w:rsidP="302478FF" w:rsidRDefault="00DE02B7" w14:paraId="53BE8ED9" w14:textId="77777777">
      <w:pPr>
        <w:spacing w:after="0" w:line="276" w:lineRule="auto"/>
        <w:jc w:val="both"/>
      </w:pPr>
    </w:p>
    <w:p w:rsidR="00DE02B7" w:rsidP="302478FF" w:rsidRDefault="127DF2B4" w14:paraId="171D86C4" w14:textId="1E3D57B9">
      <w:pPr>
        <w:spacing w:after="0" w:line="276" w:lineRule="auto"/>
        <w:jc w:val="both"/>
      </w:pPr>
      <w:r w:rsidRPr="127DF2B4">
        <w:rPr>
          <w:b/>
          <w:bCs/>
          <w:u w:val="single"/>
        </w:rPr>
        <w:t>Methodology</w:t>
      </w:r>
      <w:r w:rsidR="000E24EF">
        <w:rPr>
          <w:b/>
          <w:bCs/>
          <w:u w:val="single"/>
        </w:rPr>
        <w:t xml:space="preserve"> &amp; Data Collection</w:t>
      </w:r>
    </w:p>
    <w:p w:rsidR="00DE02B7" w:rsidP="302478FF" w:rsidRDefault="00DE02B7" w14:paraId="1DE0B93C" w14:textId="77777777">
      <w:pPr>
        <w:spacing w:after="0" w:line="276" w:lineRule="auto"/>
        <w:jc w:val="both"/>
      </w:pPr>
    </w:p>
    <w:p w:rsidR="00DE02B7" w:rsidP="302478FF" w:rsidRDefault="00E1767E" w14:paraId="13B5B9F5" w14:textId="5EFF7288">
      <w:pPr>
        <w:spacing w:after="0" w:line="276" w:lineRule="auto"/>
        <w:jc w:val="both"/>
      </w:pPr>
      <w:proofErr w:type="gramStart"/>
      <w:r>
        <w:t>In order to</w:t>
      </w:r>
      <w:proofErr w:type="gramEnd"/>
      <w:r w:rsidR="00CF5848">
        <w:t xml:space="preserve"> assess the </w:t>
      </w:r>
      <w:r w:rsidR="00774650">
        <w:t>a</w:t>
      </w:r>
      <w:r w:rsidR="00CF5848">
        <w:t>ffects the gut microbiome has on IBS sufferers, it will require numerous research papers surrounding the topic to be looked at.</w:t>
      </w:r>
      <w:r w:rsidR="00774650">
        <w:t xml:space="preserve"> The study will involve a systematic literature review </w:t>
      </w:r>
      <w:proofErr w:type="gramStart"/>
      <w:r w:rsidR="00774650">
        <w:t>in order to</w:t>
      </w:r>
      <w:proofErr w:type="gramEnd"/>
      <w:r w:rsidR="00774650">
        <w:t xml:space="preserve"> analyse what, if any, relationship exists between gut health and IBS</w:t>
      </w:r>
      <w:r w:rsidR="000351D7">
        <w:t xml:space="preserve">. The study will specifically look at the gut microbiome and dig deeper into the existing research </w:t>
      </w:r>
      <w:proofErr w:type="gramStart"/>
      <w:r w:rsidR="000351D7">
        <w:t>in order to</w:t>
      </w:r>
      <w:proofErr w:type="gramEnd"/>
      <w:r w:rsidR="000351D7">
        <w:t xml:space="preserve"> </w:t>
      </w:r>
      <w:r w:rsidR="00960675">
        <w:t xml:space="preserve">see </w:t>
      </w:r>
      <w:r w:rsidR="000351D7">
        <w:t>any connection</w:t>
      </w:r>
      <w:r w:rsidR="00960675">
        <w:t xml:space="preserve"> that may exist. </w:t>
      </w:r>
    </w:p>
    <w:p w:rsidR="00774650" w:rsidP="302478FF" w:rsidRDefault="00774650" w14:paraId="2046F0B7" w14:textId="77777777">
      <w:pPr>
        <w:spacing w:after="0" w:line="276" w:lineRule="auto"/>
        <w:jc w:val="both"/>
      </w:pPr>
    </w:p>
    <w:p w:rsidR="00774650" w:rsidP="302478FF" w:rsidRDefault="00774650" w14:paraId="374C38A1" w14:textId="22DBAE79">
      <w:pPr>
        <w:spacing w:after="0" w:line="276" w:lineRule="auto"/>
        <w:jc w:val="both"/>
      </w:pPr>
      <w:r>
        <w:t>The study</w:t>
      </w:r>
      <w:r w:rsidR="00D343FC">
        <w:t xml:space="preserve"> will comprise of a</w:t>
      </w:r>
      <w:r w:rsidR="00BC5376">
        <w:t>n</w:t>
      </w:r>
      <w:r w:rsidR="00D343FC">
        <w:t xml:space="preserve"> </w:t>
      </w:r>
      <w:r w:rsidR="00DE4BBA">
        <w:t xml:space="preserve">extensive </w:t>
      </w:r>
      <w:r w:rsidR="00D343FC">
        <w:t xml:space="preserve">search through various websites, </w:t>
      </w:r>
      <w:proofErr w:type="gramStart"/>
      <w:r w:rsidR="00D343FC">
        <w:t>articles</w:t>
      </w:r>
      <w:proofErr w:type="gramEnd"/>
      <w:r w:rsidR="00D343FC">
        <w:t xml:space="preserve"> and databases such as academic books, the Cochrane Library, Google Scholar</w:t>
      </w:r>
      <w:r w:rsidR="00BD2FA3">
        <w:t>,</w:t>
      </w:r>
      <w:r w:rsidR="00D343FC">
        <w:t xml:space="preserve"> the NHS</w:t>
      </w:r>
      <w:r w:rsidR="00BD2FA3">
        <w:t xml:space="preserve"> and the Journal of Gastroenterology and Hepatology.</w:t>
      </w:r>
      <w:r w:rsidR="00DE4BBA">
        <w:t xml:space="preserve"> There will also be searches using PubMed</w:t>
      </w:r>
      <w:r w:rsidR="00BC5376">
        <w:t>, ScienceDirect and Taylor &amp; Francis.</w:t>
      </w:r>
    </w:p>
    <w:p w:rsidR="008F645B" w:rsidP="302478FF" w:rsidRDefault="008F645B" w14:paraId="5AFB1B4E" w14:textId="77777777">
      <w:pPr>
        <w:spacing w:after="0" w:line="276" w:lineRule="auto"/>
        <w:jc w:val="both"/>
      </w:pPr>
    </w:p>
    <w:p w:rsidR="008F645B" w:rsidP="302478FF" w:rsidRDefault="008F645B" w14:paraId="1100A8F5" w14:textId="2D4377EB">
      <w:pPr>
        <w:spacing w:after="0" w:line="276" w:lineRule="auto"/>
        <w:jc w:val="both"/>
      </w:pPr>
      <w:r>
        <w:t>When narrowing down appropriate articles, key search terms will be used</w:t>
      </w:r>
      <w:r w:rsidR="00972541">
        <w:t>,</w:t>
      </w:r>
      <w:r>
        <w:t xml:space="preserve"> such as the below:</w:t>
      </w:r>
      <w:r w:rsidR="00321D40">
        <w:t xml:space="preserve"> </w:t>
      </w:r>
      <w:r>
        <w:t xml:space="preserve">- </w:t>
      </w:r>
    </w:p>
    <w:p w:rsidR="008F645B" w:rsidP="302478FF" w:rsidRDefault="008F645B" w14:paraId="5C88BDD6" w14:textId="77777777">
      <w:pPr>
        <w:spacing w:after="0" w:line="276" w:lineRule="auto"/>
        <w:jc w:val="both"/>
      </w:pPr>
    </w:p>
    <w:p w:rsidR="008F645B" w:rsidP="302478FF" w:rsidRDefault="00C86252" w14:paraId="479A177E" w14:textId="63DB5732">
      <w:pPr>
        <w:spacing w:after="0" w:line="276" w:lineRule="auto"/>
        <w:jc w:val="both"/>
      </w:pPr>
      <w:r>
        <w:t>“Irritable Bowel Syndrome”</w:t>
      </w:r>
    </w:p>
    <w:p w:rsidR="00C86252" w:rsidP="302478FF" w:rsidRDefault="00C86252" w14:paraId="565F7B5A" w14:textId="725F7634">
      <w:pPr>
        <w:spacing w:after="0" w:line="276" w:lineRule="auto"/>
        <w:jc w:val="both"/>
      </w:pPr>
      <w:r>
        <w:t>“IBS”</w:t>
      </w:r>
    </w:p>
    <w:p w:rsidR="00C86252" w:rsidP="302478FF" w:rsidRDefault="00C86252" w14:paraId="7C55D367" w14:textId="3BE21D7E">
      <w:pPr>
        <w:spacing w:after="0" w:line="276" w:lineRule="auto"/>
        <w:jc w:val="both"/>
      </w:pPr>
      <w:r>
        <w:t>“Gut health”</w:t>
      </w:r>
    </w:p>
    <w:p w:rsidR="00C86252" w:rsidP="302478FF" w:rsidRDefault="00C86252" w14:paraId="3E75827E" w14:textId="76EA815C">
      <w:pPr>
        <w:spacing w:after="0" w:line="276" w:lineRule="auto"/>
        <w:jc w:val="both"/>
      </w:pPr>
      <w:r>
        <w:t>“Gut microbiome”</w:t>
      </w:r>
    </w:p>
    <w:p w:rsidR="00C86252" w:rsidP="302478FF" w:rsidRDefault="00C86252" w14:paraId="70D1F3CA" w14:textId="3A180048">
      <w:pPr>
        <w:spacing w:after="0" w:line="276" w:lineRule="auto"/>
        <w:jc w:val="both"/>
      </w:pPr>
      <w:r>
        <w:t>“Gut microbiota”</w:t>
      </w:r>
    </w:p>
    <w:p w:rsidR="00C86252" w:rsidP="302478FF" w:rsidRDefault="00C86252" w14:paraId="053051B0" w14:textId="5A09464E">
      <w:pPr>
        <w:spacing w:after="0" w:line="276" w:lineRule="auto"/>
        <w:jc w:val="both"/>
      </w:pPr>
      <w:r>
        <w:t>“Brain-Gut Axis”</w:t>
      </w:r>
    </w:p>
    <w:p w:rsidR="008F645B" w:rsidP="302478FF" w:rsidRDefault="008F645B" w14:paraId="316100C6" w14:textId="77777777">
      <w:pPr>
        <w:spacing w:after="0" w:line="276" w:lineRule="auto"/>
        <w:jc w:val="both"/>
      </w:pPr>
    </w:p>
    <w:p w:rsidR="008F645B" w:rsidP="302478FF" w:rsidRDefault="0056677A" w14:paraId="27A3F4DC" w14:textId="4E2311A1">
      <w:pPr>
        <w:spacing w:after="0" w:line="276" w:lineRule="auto"/>
        <w:jc w:val="both"/>
      </w:pPr>
      <w:r>
        <w:t xml:space="preserve">The study will also require inclusion and exclusion criteria. Criteria to be included will be as follows: - </w:t>
      </w:r>
    </w:p>
    <w:p w:rsidR="0056677A" w:rsidP="302478FF" w:rsidRDefault="0056677A" w14:paraId="5959D4D1" w14:textId="77777777">
      <w:pPr>
        <w:spacing w:after="0" w:line="276" w:lineRule="auto"/>
        <w:jc w:val="both"/>
      </w:pPr>
    </w:p>
    <w:p w:rsidR="0056677A" w:rsidP="0056677A" w:rsidRDefault="0056677A" w14:paraId="2E529BFD" w14:textId="0C0213E6">
      <w:pPr>
        <w:pStyle w:val="ListParagraph"/>
        <w:numPr>
          <w:ilvl w:val="0"/>
          <w:numId w:val="4"/>
        </w:numPr>
        <w:spacing w:after="0" w:line="276" w:lineRule="auto"/>
        <w:jc w:val="both"/>
      </w:pPr>
      <w:r>
        <w:t xml:space="preserve">Studies that are focussed on the link between IBS and the gut – specifically the gut </w:t>
      </w:r>
      <w:proofErr w:type="gramStart"/>
      <w:r>
        <w:t>microbiome;</w:t>
      </w:r>
      <w:proofErr w:type="gramEnd"/>
    </w:p>
    <w:p w:rsidR="0056677A" w:rsidP="0056677A" w:rsidRDefault="0056677A" w14:paraId="53BB3FC7" w14:textId="097D9980">
      <w:pPr>
        <w:pStyle w:val="ListParagraph"/>
        <w:numPr>
          <w:ilvl w:val="0"/>
          <w:numId w:val="4"/>
        </w:numPr>
        <w:spacing w:after="0" w:line="276" w:lineRule="auto"/>
        <w:jc w:val="both"/>
      </w:pPr>
      <w:r>
        <w:t xml:space="preserve">Studies that are conducted on </w:t>
      </w:r>
      <w:proofErr w:type="gramStart"/>
      <w:r>
        <w:t>humans;</w:t>
      </w:r>
      <w:proofErr w:type="gramEnd"/>
    </w:p>
    <w:p w:rsidR="0056677A" w:rsidP="002C2B15" w:rsidRDefault="0056677A" w14:paraId="523E697F" w14:textId="2D3DF8CA">
      <w:pPr>
        <w:pStyle w:val="ListParagraph"/>
        <w:numPr>
          <w:ilvl w:val="0"/>
          <w:numId w:val="4"/>
        </w:numPr>
        <w:spacing w:after="0" w:line="276" w:lineRule="auto"/>
        <w:jc w:val="both"/>
      </w:pPr>
      <w:r>
        <w:t>Articles published within the last 15-years</w:t>
      </w:r>
      <w:r w:rsidR="00A0672F">
        <w:t>.</w:t>
      </w:r>
    </w:p>
    <w:p w:rsidR="0056677A" w:rsidP="302478FF" w:rsidRDefault="0056677A" w14:paraId="0442D2D1" w14:textId="77777777">
      <w:pPr>
        <w:spacing w:after="0" w:line="276" w:lineRule="auto"/>
        <w:jc w:val="both"/>
      </w:pPr>
    </w:p>
    <w:p w:rsidR="0056677A" w:rsidP="302478FF" w:rsidRDefault="0056677A" w14:paraId="5C33ECCA" w14:textId="3EBF5B6C">
      <w:pPr>
        <w:spacing w:after="0" w:line="276" w:lineRule="auto"/>
        <w:jc w:val="both"/>
      </w:pPr>
      <w:r>
        <w:t>Criteria to be excluded will be as follows: -</w:t>
      </w:r>
    </w:p>
    <w:p w:rsidR="0056677A" w:rsidP="302478FF" w:rsidRDefault="0056677A" w14:paraId="53D427C4" w14:textId="77777777">
      <w:pPr>
        <w:spacing w:after="0" w:line="276" w:lineRule="auto"/>
        <w:jc w:val="both"/>
      </w:pPr>
    </w:p>
    <w:p w:rsidR="0056677A" w:rsidP="00DC5A61" w:rsidRDefault="0056677A" w14:paraId="382BEB1A" w14:textId="5061783D">
      <w:pPr>
        <w:pStyle w:val="ListParagraph"/>
        <w:numPr>
          <w:ilvl w:val="0"/>
          <w:numId w:val="5"/>
        </w:numPr>
        <w:spacing w:after="0" w:line="276" w:lineRule="auto"/>
        <w:jc w:val="both"/>
      </w:pPr>
      <w:r>
        <w:t>Express exclusion of animal</w:t>
      </w:r>
      <w:r w:rsidR="00DC5A61">
        <w:t>-</w:t>
      </w:r>
      <w:r>
        <w:t xml:space="preserve">based test </w:t>
      </w:r>
      <w:proofErr w:type="gramStart"/>
      <w:r>
        <w:t>studies;</w:t>
      </w:r>
      <w:proofErr w:type="gramEnd"/>
    </w:p>
    <w:p w:rsidR="00DC5A61" w:rsidP="00244BF8" w:rsidRDefault="00DC5A61" w14:paraId="7628E33F" w14:textId="1CE27478">
      <w:pPr>
        <w:pStyle w:val="ListParagraph"/>
        <w:numPr>
          <w:ilvl w:val="0"/>
          <w:numId w:val="5"/>
        </w:numPr>
        <w:spacing w:after="0" w:line="276" w:lineRule="auto"/>
        <w:jc w:val="both"/>
      </w:pPr>
      <w:r>
        <w:t>Studies referencing other conditions that do not have explicit relevance to gut health, the microbiome or IBS</w:t>
      </w:r>
      <w:r w:rsidR="00244BF8">
        <w:t>.</w:t>
      </w:r>
    </w:p>
    <w:p w:rsidR="0056677A" w:rsidP="302478FF" w:rsidRDefault="0056677A" w14:paraId="56EEC9D3" w14:textId="77777777">
      <w:pPr>
        <w:spacing w:after="0" w:line="276" w:lineRule="auto"/>
        <w:jc w:val="both"/>
      </w:pPr>
    </w:p>
    <w:p w:rsidR="0056677A" w:rsidP="302478FF" w:rsidRDefault="00447D41" w14:paraId="19E09AF4" w14:textId="0222215E">
      <w:pPr>
        <w:spacing w:after="0" w:line="276" w:lineRule="auto"/>
        <w:jc w:val="both"/>
      </w:pPr>
      <w:r>
        <w:t xml:space="preserve">The data </w:t>
      </w:r>
      <w:r w:rsidR="00E12AC1">
        <w:t>must</w:t>
      </w:r>
      <w:r>
        <w:t xml:space="preserve"> be relevant and appropriate to the question being researched. </w:t>
      </w:r>
      <w:r w:rsidR="002804F4">
        <w:t>The literature that is used and collected for use within this study will be carefully documented and a full list provided, as referenced, at the end of the study.</w:t>
      </w:r>
      <w:r w:rsidR="000C0C84">
        <w:t xml:space="preserve"> The databases, websites and books will all need to have relevant information in order that the data collected is appropriate to the research being conducted. The 15</w:t>
      </w:r>
      <w:r w:rsidR="00622A9A">
        <w:t>-</w:t>
      </w:r>
      <w:r w:rsidR="000C0C84">
        <w:t xml:space="preserve">year time frame will ensure that the most up to date and relevant research can be </w:t>
      </w:r>
      <w:r w:rsidR="00984A3C">
        <w:t>included within the study.</w:t>
      </w:r>
      <w:r w:rsidR="00B25282">
        <w:t xml:space="preserve"> It is also essential that the research used in this study has been conducted using humans rather than animals or any other method to enable the results to be accurate and relatable to the proposed question in this study. </w:t>
      </w:r>
    </w:p>
    <w:p w:rsidR="00D15758" w:rsidP="302478FF" w:rsidRDefault="00D15758" w14:paraId="2C5DF2E2" w14:textId="77777777">
      <w:pPr>
        <w:spacing w:after="0" w:line="276" w:lineRule="auto"/>
        <w:jc w:val="both"/>
      </w:pPr>
    </w:p>
    <w:p w:rsidR="00D15758" w:rsidP="302478FF" w:rsidRDefault="00D15758" w14:paraId="290E343E" w14:textId="4BF54731">
      <w:pPr>
        <w:spacing w:after="0" w:line="276" w:lineRule="auto"/>
        <w:jc w:val="both"/>
      </w:pPr>
      <w:r>
        <w:lastRenderedPageBreak/>
        <w:t xml:space="preserve">There may, of course, be limitations when collecting research and writing the study itself. Some publications may be subject to bias if the research undertaken within the publication has been sponsored by a particular cohort. There may also be a large variety of methods used </w:t>
      </w:r>
      <w:proofErr w:type="gramStart"/>
      <w:r>
        <w:t xml:space="preserve">in </w:t>
      </w:r>
      <w:r w:rsidR="00E72F14">
        <w:t>order to</w:t>
      </w:r>
      <w:proofErr w:type="gramEnd"/>
      <w:r w:rsidR="00E72F14">
        <w:t xml:space="preserve"> answer similar research questions and</w:t>
      </w:r>
      <w:r>
        <w:t xml:space="preserve"> similar studies and therefore this variance could cause differing results which would limit the ability to compare results accurately. </w:t>
      </w:r>
    </w:p>
    <w:p w:rsidR="00247110" w:rsidP="302478FF" w:rsidRDefault="00247110" w14:paraId="213C2EA5" w14:textId="77777777">
      <w:pPr>
        <w:spacing w:after="0" w:line="276" w:lineRule="auto"/>
        <w:jc w:val="both"/>
      </w:pPr>
    </w:p>
    <w:p w:rsidR="00247110" w:rsidP="302478FF" w:rsidRDefault="00247110" w14:paraId="2EFE7FFE" w14:textId="0378A802">
      <w:pPr>
        <w:spacing w:after="0" w:line="276" w:lineRule="auto"/>
        <w:jc w:val="both"/>
      </w:pPr>
      <w:r>
        <w:t xml:space="preserve">The outcomes that I would expect to see would be an ability to </w:t>
      </w:r>
      <w:proofErr w:type="gramStart"/>
      <w:r>
        <w:t>compare and contrast</w:t>
      </w:r>
      <w:proofErr w:type="gramEnd"/>
      <w:r>
        <w:t xml:space="preserve"> existing research data in order to show a direct link in the relationship between gut health and IBS in patients. </w:t>
      </w:r>
    </w:p>
    <w:p w:rsidR="005B3EDA" w:rsidP="302478FF" w:rsidRDefault="005B3EDA" w14:paraId="5DA38318" w14:textId="77777777">
      <w:pPr>
        <w:spacing w:after="0" w:line="276" w:lineRule="auto"/>
        <w:jc w:val="both"/>
      </w:pPr>
    </w:p>
    <w:p w:rsidR="005B3EDA" w:rsidP="302478FF" w:rsidRDefault="001D7AE8" w14:paraId="5BE3FBD3" w14:textId="02FC22EC">
      <w:pPr>
        <w:spacing w:after="0" w:line="276" w:lineRule="auto"/>
        <w:jc w:val="both"/>
      </w:pPr>
      <w:r>
        <w:t>The study will build upon existing research, bringing together</w:t>
      </w:r>
      <w:r w:rsidR="006D04A4">
        <w:t xml:space="preserve"> published literature</w:t>
      </w:r>
      <w:r w:rsidR="001D6EE3">
        <w:t xml:space="preserve"> </w:t>
      </w:r>
      <w:proofErr w:type="gramStart"/>
      <w:r w:rsidR="001D6EE3">
        <w:t>in order to</w:t>
      </w:r>
      <w:proofErr w:type="gramEnd"/>
      <w:r w:rsidR="001D6EE3">
        <w:t xml:space="preserve"> show interdisciplinary areas and evidence </w:t>
      </w:r>
      <w:r w:rsidR="00374D84">
        <w:t>and integrate the findings that were made (Snyder, 2019).</w:t>
      </w:r>
    </w:p>
    <w:p w:rsidR="00AB68DC" w:rsidP="302478FF" w:rsidRDefault="00AB68DC" w14:paraId="5FCE53EF" w14:textId="77777777">
      <w:pPr>
        <w:spacing w:after="0" w:line="276" w:lineRule="auto"/>
        <w:jc w:val="both"/>
      </w:pPr>
    </w:p>
    <w:p w:rsidRPr="001D03DC" w:rsidR="00DE02B7" w:rsidP="302478FF" w:rsidRDefault="2BB0CB14" w14:paraId="05764465" w14:textId="121FDDFC">
      <w:pPr>
        <w:spacing w:after="0" w:line="276" w:lineRule="auto"/>
        <w:jc w:val="both"/>
      </w:pPr>
      <w:r w:rsidRPr="001D03DC">
        <w:rPr>
          <w:b/>
          <w:bCs/>
          <w:u w:val="single"/>
        </w:rPr>
        <w:t>Ethical Considerations</w:t>
      </w:r>
    </w:p>
    <w:p w:rsidRPr="001D03DC" w:rsidR="001D03DC" w:rsidP="2BB0CB14" w:rsidRDefault="001D03DC" w14:paraId="57404AF2" w14:textId="77777777">
      <w:pPr>
        <w:spacing w:after="0" w:line="276" w:lineRule="auto"/>
        <w:jc w:val="both"/>
        <w:rPr>
          <w:rFonts w:ascii="Calibri" w:hAnsi="Calibri" w:eastAsia="Calibri" w:cs="Calibri"/>
        </w:rPr>
      </w:pPr>
    </w:p>
    <w:p w:rsidR="00DE02B7" w:rsidP="302478FF" w:rsidRDefault="2BB0CB14" w14:paraId="411F2D19" w14:textId="58881A47">
      <w:pPr>
        <w:spacing w:after="0" w:line="276" w:lineRule="auto"/>
        <w:jc w:val="both"/>
      </w:pPr>
      <w:r w:rsidRPr="001D03DC">
        <w:rPr>
          <w:rFonts w:ascii="Calibri" w:hAnsi="Calibri" w:eastAsia="Calibri" w:cs="Calibri"/>
        </w:rPr>
        <w:t xml:space="preserve">Ethical research practices are paramount in ensuring the integrity, credibility, and societal value of the study. Researchers are accountable for their actions and decisions throughout the research process. This includes being transparent about their methods and procedures and being open to scrutiny. Therefore, the research will be conducted in line with </w:t>
      </w:r>
      <w:r>
        <w:t>University of Wales Research Ethics &amp; Integrity Code of Practice (2022) together with the Association of Nutrition Standards of Ethics, Conduct and Performance (2021) and a comprehensive methodology will be constructed.</w:t>
      </w:r>
    </w:p>
    <w:p w:rsidR="00353432" w:rsidP="302478FF" w:rsidRDefault="00353432" w14:paraId="3E370284" w14:textId="77777777">
      <w:pPr>
        <w:spacing w:after="0" w:line="276" w:lineRule="auto"/>
        <w:jc w:val="both"/>
      </w:pPr>
    </w:p>
    <w:p w:rsidRPr="001D03DC" w:rsidR="00353432" w:rsidP="302478FF" w:rsidRDefault="00353432" w14:paraId="3FB08246" w14:textId="6BF1A1BD">
      <w:pPr>
        <w:spacing w:after="0" w:line="276" w:lineRule="auto"/>
        <w:jc w:val="both"/>
        <w:rPr>
          <w:rFonts w:ascii="Calibri" w:hAnsi="Calibri" w:eastAsia="Calibri" w:cs="Calibri"/>
          <w:color w:val="FF0000"/>
        </w:rPr>
      </w:pPr>
      <w:r>
        <w:t xml:space="preserve">As this study will be a literature review, no primary research data will be collected and therefore no ethical approval will be required. However, the study will be conducted with the above codes in mind and fully adhered too. </w:t>
      </w:r>
    </w:p>
    <w:p w:rsidR="00DE02B7" w:rsidP="302478FF" w:rsidRDefault="00DE02B7" w14:paraId="2CE58A7C" w14:textId="77777777">
      <w:pPr>
        <w:spacing w:after="0" w:line="276" w:lineRule="auto"/>
        <w:jc w:val="both"/>
      </w:pPr>
    </w:p>
    <w:p w:rsidR="00DE02B7" w:rsidP="302478FF" w:rsidRDefault="127DF2B4" w14:paraId="4A79C39F" w14:textId="317A9014">
      <w:pPr>
        <w:spacing w:after="0" w:line="276" w:lineRule="auto"/>
        <w:jc w:val="both"/>
      </w:pPr>
      <w:r w:rsidRPr="127DF2B4">
        <w:rPr>
          <w:b/>
          <w:bCs/>
          <w:u w:val="single"/>
        </w:rPr>
        <w:t>Timetable of Action</w:t>
      </w:r>
    </w:p>
    <w:p w:rsidR="00DE02B7" w:rsidP="302478FF" w:rsidRDefault="00DE02B7" w14:paraId="5CD7D84B" w14:textId="77777777">
      <w:pPr>
        <w:spacing w:after="0" w:line="276" w:lineRule="auto"/>
        <w:jc w:val="both"/>
      </w:pPr>
    </w:p>
    <w:tbl>
      <w:tblPr>
        <w:tblStyle w:val="TableGrid"/>
        <w:tblW w:w="0" w:type="auto"/>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12" w:space="0"/>
          <w:insideV w:val="single" w:color="000000" w:themeColor="text1" w:sz="12" w:space="0"/>
        </w:tblBorders>
        <w:tblLayout w:type="fixed"/>
        <w:tblLook w:val="04A0" w:firstRow="1" w:lastRow="0" w:firstColumn="1" w:lastColumn="0" w:noHBand="0" w:noVBand="1"/>
      </w:tblPr>
      <w:tblGrid>
        <w:gridCol w:w="2300"/>
        <w:gridCol w:w="898"/>
        <w:gridCol w:w="4482"/>
      </w:tblGrid>
      <w:tr w:rsidR="2BB0CB14" w:rsidTr="2BB0CB14" w14:paraId="218509DF" w14:textId="77777777">
        <w:trPr>
          <w:trHeight w:val="350"/>
        </w:trPr>
        <w:tc>
          <w:tcPr>
            <w:tcW w:w="2300" w:type="dxa"/>
            <w:tcMar>
              <w:left w:w="105" w:type="dxa"/>
              <w:right w:w="105" w:type="dxa"/>
            </w:tcMar>
          </w:tcPr>
          <w:p w:rsidR="2BB0CB14" w:rsidP="2BB0CB14" w:rsidRDefault="2BB0CB14" w14:paraId="4B55E693" w14:textId="7D7601B3">
            <w:pPr>
              <w:spacing w:line="276" w:lineRule="auto"/>
              <w:jc w:val="center"/>
            </w:pPr>
            <w:r w:rsidRPr="2BB0CB14">
              <w:rPr>
                <w:rFonts w:ascii="Calibri" w:hAnsi="Calibri" w:eastAsia="Calibri" w:cs="Calibri"/>
                <w:color w:val="000000" w:themeColor="text1"/>
              </w:rPr>
              <w:t>October</w:t>
            </w:r>
          </w:p>
        </w:tc>
        <w:tc>
          <w:tcPr>
            <w:tcW w:w="898" w:type="dxa"/>
            <w:tcMar>
              <w:left w:w="105" w:type="dxa"/>
              <w:right w:w="105" w:type="dxa"/>
            </w:tcMar>
          </w:tcPr>
          <w:p w:rsidR="2BB0CB14" w:rsidP="2BB0CB14" w:rsidRDefault="2BB0CB14" w14:paraId="0CBB9FB7" w14:textId="4705C438">
            <w:pPr>
              <w:spacing w:line="276" w:lineRule="auto"/>
              <w:jc w:val="center"/>
              <w:rPr>
                <w:rFonts w:ascii="Calibri" w:hAnsi="Calibri" w:eastAsia="Calibri" w:cs="Calibri"/>
                <w:color w:val="000000" w:themeColor="text1"/>
              </w:rPr>
            </w:pPr>
            <w:r>
              <w:rPr>
                <w:noProof/>
              </w:rPr>
              <w:drawing>
                <wp:inline distT="0" distB="0" distL="0" distR="0" wp14:anchorId="74FA3E7B" wp14:editId="43E54CEC">
                  <wp:extent cx="352425" cy="142875"/>
                  <wp:effectExtent l="0" t="0" r="0" b="0"/>
                  <wp:docPr id="1268190739" name="Picture 1268190739"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52425" cy="142875"/>
                          </a:xfrm>
                          <a:prstGeom prst="rect">
                            <a:avLst/>
                          </a:prstGeom>
                        </pic:spPr>
                      </pic:pic>
                    </a:graphicData>
                  </a:graphic>
                </wp:inline>
              </w:drawing>
            </w:r>
          </w:p>
        </w:tc>
        <w:tc>
          <w:tcPr>
            <w:tcW w:w="4482" w:type="dxa"/>
            <w:tcMar>
              <w:left w:w="105" w:type="dxa"/>
              <w:right w:w="105" w:type="dxa"/>
            </w:tcMar>
          </w:tcPr>
          <w:p w:rsidR="2BB0CB14" w:rsidP="2BB0CB14" w:rsidRDefault="2BB0CB14" w14:paraId="41D21F52" w14:textId="33365691">
            <w:pPr>
              <w:spacing w:line="276" w:lineRule="auto"/>
              <w:jc w:val="center"/>
              <w:rPr>
                <w:rFonts w:ascii="Calibri" w:hAnsi="Calibri" w:eastAsia="Calibri" w:cs="Calibri"/>
              </w:rPr>
            </w:pPr>
            <w:r w:rsidRPr="2BB0CB14">
              <w:rPr>
                <w:rFonts w:ascii="Calibri" w:hAnsi="Calibri" w:eastAsia="Calibri" w:cs="Calibri"/>
              </w:rPr>
              <w:t>Final Decisions on Research Design</w:t>
            </w:r>
          </w:p>
        </w:tc>
      </w:tr>
      <w:tr w:rsidR="2BB0CB14" w:rsidTr="2BB0CB14" w14:paraId="0AFF96FA" w14:textId="77777777">
        <w:trPr>
          <w:trHeight w:val="300"/>
        </w:trPr>
        <w:tc>
          <w:tcPr>
            <w:tcW w:w="2300" w:type="dxa"/>
            <w:tcMar>
              <w:left w:w="105" w:type="dxa"/>
              <w:right w:w="105" w:type="dxa"/>
            </w:tcMar>
          </w:tcPr>
          <w:p w:rsidR="2BB0CB14" w:rsidP="2BB0CB14" w:rsidRDefault="2BB0CB14" w14:paraId="6BFDDC5A" w14:textId="647F8505">
            <w:pPr>
              <w:spacing w:line="276" w:lineRule="auto"/>
              <w:jc w:val="center"/>
              <w:rPr>
                <w:rFonts w:ascii="Calibri" w:hAnsi="Calibri" w:eastAsia="Calibri" w:cs="Calibri"/>
                <w:color w:val="000000" w:themeColor="text1"/>
              </w:rPr>
            </w:pPr>
            <w:r w:rsidRPr="2BB0CB14">
              <w:rPr>
                <w:rFonts w:ascii="Calibri" w:hAnsi="Calibri" w:eastAsia="Calibri" w:cs="Calibri"/>
                <w:color w:val="000000" w:themeColor="text1"/>
              </w:rPr>
              <w:t>November</w:t>
            </w:r>
          </w:p>
        </w:tc>
        <w:tc>
          <w:tcPr>
            <w:tcW w:w="898" w:type="dxa"/>
            <w:tcMar>
              <w:left w:w="105" w:type="dxa"/>
              <w:right w:w="105" w:type="dxa"/>
            </w:tcMar>
          </w:tcPr>
          <w:p w:rsidR="2BB0CB14" w:rsidP="2BB0CB14" w:rsidRDefault="2BB0CB14" w14:paraId="745DE679" w14:textId="4CE130FE">
            <w:pPr>
              <w:spacing w:line="276" w:lineRule="auto"/>
              <w:jc w:val="center"/>
              <w:rPr>
                <w:rFonts w:ascii="Calibri" w:hAnsi="Calibri" w:eastAsia="Calibri" w:cs="Calibri"/>
                <w:color w:val="000000" w:themeColor="text1"/>
              </w:rPr>
            </w:pPr>
            <w:r>
              <w:rPr>
                <w:noProof/>
              </w:rPr>
              <w:drawing>
                <wp:inline distT="0" distB="0" distL="0" distR="0" wp14:anchorId="75FE29EA" wp14:editId="102A73CC">
                  <wp:extent cx="352425" cy="142875"/>
                  <wp:effectExtent l="0" t="0" r="0" b="0"/>
                  <wp:docPr id="87135428" name="Picture 8713542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52425" cy="142875"/>
                          </a:xfrm>
                          <a:prstGeom prst="rect">
                            <a:avLst/>
                          </a:prstGeom>
                        </pic:spPr>
                      </pic:pic>
                    </a:graphicData>
                  </a:graphic>
                </wp:inline>
              </w:drawing>
            </w:r>
          </w:p>
        </w:tc>
        <w:tc>
          <w:tcPr>
            <w:tcW w:w="4482" w:type="dxa"/>
            <w:tcMar>
              <w:left w:w="105" w:type="dxa"/>
              <w:right w:w="105" w:type="dxa"/>
            </w:tcMar>
          </w:tcPr>
          <w:p w:rsidRPr="003048EC" w:rsidR="2BB0CB14" w:rsidP="2BB0CB14" w:rsidRDefault="2BB0CB14" w14:paraId="28927047" w14:textId="6E8720DF">
            <w:pPr>
              <w:spacing w:line="276" w:lineRule="auto"/>
              <w:jc w:val="center"/>
              <w:rPr>
                <w:rFonts w:ascii="Calibri" w:hAnsi="Calibri" w:eastAsia="Calibri" w:cs="Calibri"/>
                <w:color w:val="FF0000"/>
              </w:rPr>
            </w:pPr>
            <w:r w:rsidRPr="003048EC">
              <w:rPr>
                <w:rFonts w:ascii="Calibri" w:hAnsi="Calibri" w:eastAsia="Calibri" w:cs="Calibri"/>
              </w:rPr>
              <w:t xml:space="preserve">Ethics and </w:t>
            </w:r>
            <w:r w:rsidRPr="003048EC" w:rsidR="003048EC">
              <w:rPr>
                <w:rFonts w:ascii="Calibri" w:hAnsi="Calibri" w:eastAsia="Calibri" w:cs="Calibri"/>
              </w:rPr>
              <w:t xml:space="preserve">Criteria </w:t>
            </w:r>
            <w:r w:rsidRPr="003048EC">
              <w:rPr>
                <w:rFonts w:ascii="Calibri" w:hAnsi="Calibri" w:eastAsia="Calibri" w:cs="Calibri"/>
              </w:rPr>
              <w:t>Gathering</w:t>
            </w:r>
          </w:p>
        </w:tc>
      </w:tr>
      <w:tr w:rsidR="2BB0CB14" w:rsidTr="2BB0CB14" w14:paraId="03B89D52" w14:textId="77777777">
        <w:trPr>
          <w:trHeight w:val="300"/>
        </w:trPr>
        <w:tc>
          <w:tcPr>
            <w:tcW w:w="2300" w:type="dxa"/>
            <w:tcMar>
              <w:left w:w="105" w:type="dxa"/>
              <w:right w:w="105" w:type="dxa"/>
            </w:tcMar>
          </w:tcPr>
          <w:p w:rsidR="2BB0CB14" w:rsidP="2BB0CB14" w:rsidRDefault="2BB0CB14" w14:paraId="743EE326" w14:textId="403CD70F">
            <w:pPr>
              <w:spacing w:line="276" w:lineRule="auto"/>
              <w:jc w:val="center"/>
              <w:rPr>
                <w:rFonts w:ascii="Calibri" w:hAnsi="Calibri" w:eastAsia="Calibri" w:cs="Calibri"/>
                <w:color w:val="000000" w:themeColor="text1"/>
              </w:rPr>
            </w:pPr>
            <w:r w:rsidRPr="2BB0CB14">
              <w:rPr>
                <w:rFonts w:ascii="Calibri" w:hAnsi="Calibri" w:eastAsia="Calibri" w:cs="Calibri"/>
                <w:color w:val="000000" w:themeColor="text1"/>
              </w:rPr>
              <w:t xml:space="preserve">December – February </w:t>
            </w:r>
          </w:p>
        </w:tc>
        <w:tc>
          <w:tcPr>
            <w:tcW w:w="898" w:type="dxa"/>
            <w:tcMar>
              <w:left w:w="105" w:type="dxa"/>
              <w:right w:w="105" w:type="dxa"/>
            </w:tcMar>
          </w:tcPr>
          <w:p w:rsidR="2BB0CB14" w:rsidP="2BB0CB14" w:rsidRDefault="2BB0CB14" w14:paraId="7529EF18" w14:textId="306C691B">
            <w:pPr>
              <w:spacing w:line="276" w:lineRule="auto"/>
              <w:jc w:val="center"/>
              <w:rPr>
                <w:rFonts w:ascii="Calibri" w:hAnsi="Calibri" w:eastAsia="Calibri" w:cs="Calibri"/>
                <w:color w:val="000000" w:themeColor="text1"/>
              </w:rPr>
            </w:pPr>
            <w:r>
              <w:rPr>
                <w:noProof/>
              </w:rPr>
              <w:drawing>
                <wp:inline distT="0" distB="0" distL="0" distR="0" wp14:anchorId="2314BAE2" wp14:editId="566404C3">
                  <wp:extent cx="352425" cy="142875"/>
                  <wp:effectExtent l="0" t="0" r="0" b="0"/>
                  <wp:docPr id="1513877258" name="Picture 1513877258"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52425" cy="142875"/>
                          </a:xfrm>
                          <a:prstGeom prst="rect">
                            <a:avLst/>
                          </a:prstGeom>
                        </pic:spPr>
                      </pic:pic>
                    </a:graphicData>
                  </a:graphic>
                </wp:inline>
              </w:drawing>
            </w:r>
          </w:p>
        </w:tc>
        <w:tc>
          <w:tcPr>
            <w:tcW w:w="4482" w:type="dxa"/>
            <w:tcMar>
              <w:left w:w="105" w:type="dxa"/>
              <w:right w:w="105" w:type="dxa"/>
            </w:tcMar>
          </w:tcPr>
          <w:p w:rsidRPr="003048EC" w:rsidR="2BB0CB14" w:rsidP="2BB0CB14" w:rsidRDefault="003048EC" w14:paraId="2211E7B4" w14:textId="02F9BCCD">
            <w:pPr>
              <w:spacing w:line="276" w:lineRule="auto"/>
              <w:jc w:val="center"/>
              <w:rPr>
                <w:rFonts w:ascii="Calibri" w:hAnsi="Calibri" w:eastAsia="Calibri" w:cs="Calibri"/>
              </w:rPr>
            </w:pPr>
            <w:r w:rsidRPr="003048EC">
              <w:rPr>
                <w:rFonts w:ascii="Calibri" w:hAnsi="Calibri" w:eastAsia="Calibri" w:cs="Calibri"/>
              </w:rPr>
              <w:t>Research</w:t>
            </w:r>
            <w:r w:rsidRPr="003048EC" w:rsidR="2BB0CB14">
              <w:rPr>
                <w:rFonts w:ascii="Calibri" w:hAnsi="Calibri" w:eastAsia="Calibri" w:cs="Calibri"/>
              </w:rPr>
              <w:t xml:space="preserve"> Collection and Analysis</w:t>
            </w:r>
          </w:p>
        </w:tc>
      </w:tr>
      <w:tr w:rsidR="2BB0CB14" w:rsidTr="2BB0CB14" w14:paraId="5E6D6FAE" w14:textId="77777777">
        <w:trPr>
          <w:trHeight w:val="300"/>
        </w:trPr>
        <w:tc>
          <w:tcPr>
            <w:tcW w:w="2300" w:type="dxa"/>
            <w:tcMar>
              <w:left w:w="105" w:type="dxa"/>
              <w:right w:w="105" w:type="dxa"/>
            </w:tcMar>
          </w:tcPr>
          <w:p w:rsidR="2BB0CB14" w:rsidP="2BB0CB14" w:rsidRDefault="2BB0CB14" w14:paraId="3E9F76D0" w14:textId="648B902B">
            <w:pPr>
              <w:spacing w:line="276" w:lineRule="auto"/>
              <w:jc w:val="center"/>
              <w:rPr>
                <w:rFonts w:ascii="Calibri" w:hAnsi="Calibri" w:eastAsia="Calibri" w:cs="Calibri"/>
                <w:color w:val="000000" w:themeColor="text1"/>
              </w:rPr>
            </w:pPr>
            <w:r w:rsidRPr="2BB0CB14">
              <w:rPr>
                <w:rFonts w:ascii="Calibri" w:hAnsi="Calibri" w:eastAsia="Calibri" w:cs="Calibri"/>
                <w:color w:val="000000" w:themeColor="text1"/>
              </w:rPr>
              <w:t xml:space="preserve">March – April </w:t>
            </w:r>
          </w:p>
        </w:tc>
        <w:tc>
          <w:tcPr>
            <w:tcW w:w="898" w:type="dxa"/>
            <w:tcMar>
              <w:left w:w="105" w:type="dxa"/>
              <w:right w:w="105" w:type="dxa"/>
            </w:tcMar>
          </w:tcPr>
          <w:p w:rsidR="2BB0CB14" w:rsidP="2BB0CB14" w:rsidRDefault="00826D94" w14:paraId="547E1777" w14:textId="519F99EB">
            <w:pPr>
              <w:spacing w:line="276" w:lineRule="auto"/>
              <w:jc w:val="center"/>
              <w:rPr>
                <w:rFonts w:ascii="Calibri" w:hAnsi="Calibri" w:eastAsia="Calibri" w:cs="Calibri"/>
                <w:color w:val="000000" w:themeColor="text1"/>
              </w:rPr>
            </w:pPr>
            <w:r>
              <w:rPr>
                <w:noProof/>
              </w:rPr>
              <w:drawing>
                <wp:inline distT="0" distB="0" distL="0" distR="0" wp14:anchorId="72E09B91" wp14:editId="2DBD09A8">
                  <wp:extent cx="352425" cy="142875"/>
                  <wp:effectExtent l="0" t="0" r="0" b="0"/>
                  <wp:docPr id="1171988481" name="Picture 117198848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52425" cy="142875"/>
                          </a:xfrm>
                          <a:prstGeom prst="rect">
                            <a:avLst/>
                          </a:prstGeom>
                        </pic:spPr>
                      </pic:pic>
                    </a:graphicData>
                  </a:graphic>
                </wp:inline>
              </w:drawing>
            </w:r>
          </w:p>
        </w:tc>
        <w:tc>
          <w:tcPr>
            <w:tcW w:w="4482" w:type="dxa"/>
            <w:tcMar>
              <w:left w:w="105" w:type="dxa"/>
              <w:right w:w="105" w:type="dxa"/>
            </w:tcMar>
          </w:tcPr>
          <w:p w:rsidRPr="003048EC" w:rsidR="2BB0CB14" w:rsidP="2BB0CB14" w:rsidRDefault="2BB0CB14" w14:paraId="1D7F32BD" w14:textId="31AB2F30">
            <w:pPr>
              <w:spacing w:line="276" w:lineRule="auto"/>
              <w:jc w:val="center"/>
              <w:rPr>
                <w:rFonts w:ascii="Calibri" w:hAnsi="Calibri" w:eastAsia="Calibri" w:cs="Calibri"/>
              </w:rPr>
            </w:pPr>
            <w:r w:rsidRPr="003048EC">
              <w:rPr>
                <w:rFonts w:ascii="Calibri" w:hAnsi="Calibri" w:eastAsia="Calibri" w:cs="Calibri"/>
              </w:rPr>
              <w:t>Results and Findings finalised – Presentation</w:t>
            </w:r>
            <w:r w:rsidR="00826D94">
              <w:rPr>
                <w:rFonts w:ascii="Calibri" w:hAnsi="Calibri" w:eastAsia="Calibri" w:cs="Calibri"/>
              </w:rPr>
              <w:t>/Poster</w:t>
            </w:r>
            <w:r w:rsidRPr="003048EC">
              <w:rPr>
                <w:rFonts w:ascii="Calibri" w:hAnsi="Calibri" w:eastAsia="Calibri" w:cs="Calibri"/>
              </w:rPr>
              <w:t xml:space="preserve"> Created</w:t>
            </w:r>
          </w:p>
        </w:tc>
      </w:tr>
      <w:tr w:rsidR="00826D94" w:rsidTr="2BB0CB14" w14:paraId="5FC62777" w14:textId="77777777">
        <w:trPr>
          <w:trHeight w:val="300"/>
        </w:trPr>
        <w:tc>
          <w:tcPr>
            <w:tcW w:w="2300" w:type="dxa"/>
            <w:tcMar>
              <w:left w:w="105" w:type="dxa"/>
              <w:right w:w="105" w:type="dxa"/>
            </w:tcMar>
          </w:tcPr>
          <w:p w:rsidRPr="2BB0CB14" w:rsidR="00826D94" w:rsidP="2BB0CB14" w:rsidRDefault="00826D94" w14:paraId="7D84015F" w14:textId="5FCA4DD9">
            <w:pPr>
              <w:spacing w:line="276" w:lineRule="auto"/>
              <w:jc w:val="center"/>
              <w:rPr>
                <w:rFonts w:ascii="Calibri" w:hAnsi="Calibri" w:eastAsia="Calibri" w:cs="Calibri"/>
                <w:color w:val="000000" w:themeColor="text1"/>
              </w:rPr>
            </w:pPr>
            <w:r>
              <w:rPr>
                <w:rFonts w:ascii="Calibri" w:hAnsi="Calibri" w:eastAsia="Calibri" w:cs="Calibri"/>
                <w:color w:val="000000" w:themeColor="text1"/>
              </w:rPr>
              <w:t>May</w:t>
            </w:r>
          </w:p>
        </w:tc>
        <w:tc>
          <w:tcPr>
            <w:tcW w:w="898" w:type="dxa"/>
            <w:tcMar>
              <w:left w:w="105" w:type="dxa"/>
              <w:right w:w="105" w:type="dxa"/>
            </w:tcMar>
          </w:tcPr>
          <w:p w:rsidR="00826D94" w:rsidP="2BB0CB14" w:rsidRDefault="00826D94" w14:paraId="4C358DF3" w14:textId="5D784B75">
            <w:pPr>
              <w:spacing w:line="276" w:lineRule="auto"/>
              <w:jc w:val="center"/>
              <w:rPr>
                <w:noProof/>
              </w:rPr>
            </w:pPr>
            <w:r>
              <w:rPr>
                <w:noProof/>
              </w:rPr>
              <w:drawing>
                <wp:inline distT="0" distB="0" distL="0" distR="0" wp14:anchorId="6AF39E32" wp14:editId="1F08C413">
                  <wp:extent cx="352425" cy="142875"/>
                  <wp:effectExtent l="0" t="0" r="0" b="0"/>
                  <wp:docPr id="1279576735" name="Picture 1279576735"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52425" cy="142875"/>
                          </a:xfrm>
                          <a:prstGeom prst="rect">
                            <a:avLst/>
                          </a:prstGeom>
                        </pic:spPr>
                      </pic:pic>
                    </a:graphicData>
                  </a:graphic>
                </wp:inline>
              </w:drawing>
            </w:r>
          </w:p>
        </w:tc>
        <w:tc>
          <w:tcPr>
            <w:tcW w:w="4482" w:type="dxa"/>
            <w:tcMar>
              <w:left w:w="105" w:type="dxa"/>
              <w:right w:w="105" w:type="dxa"/>
            </w:tcMar>
          </w:tcPr>
          <w:p w:rsidRPr="003048EC" w:rsidR="00826D94" w:rsidP="2BB0CB14" w:rsidRDefault="00826D94" w14:paraId="3D93879B" w14:textId="480A033A">
            <w:pPr>
              <w:spacing w:line="276" w:lineRule="auto"/>
              <w:jc w:val="center"/>
              <w:rPr>
                <w:rFonts w:ascii="Calibri" w:hAnsi="Calibri" w:eastAsia="Calibri" w:cs="Calibri"/>
              </w:rPr>
            </w:pPr>
            <w:r>
              <w:rPr>
                <w:rFonts w:ascii="Calibri" w:hAnsi="Calibri" w:eastAsia="Calibri" w:cs="Calibri"/>
              </w:rPr>
              <w:t>Presentation/Poster open day</w:t>
            </w:r>
          </w:p>
        </w:tc>
      </w:tr>
    </w:tbl>
    <w:p w:rsidR="00DE02B7" w:rsidP="302478FF" w:rsidRDefault="00DE02B7" w14:paraId="72C59BA3" w14:textId="19733D70">
      <w:pPr>
        <w:spacing w:after="0" w:line="276" w:lineRule="auto"/>
        <w:jc w:val="both"/>
      </w:pPr>
    </w:p>
    <w:p w:rsidR="00DE02B7" w:rsidP="302478FF" w:rsidRDefault="00DE02B7" w14:paraId="4641F0ED" w14:textId="77777777">
      <w:pPr>
        <w:spacing w:after="0" w:line="276" w:lineRule="auto"/>
        <w:jc w:val="both"/>
      </w:pPr>
    </w:p>
    <w:p w:rsidRPr="00DE02B7" w:rsidR="00DE02B7" w:rsidP="302478FF" w:rsidRDefault="302478FF" w14:paraId="0F249D48" w14:textId="04C66DD1">
      <w:pPr>
        <w:spacing w:after="0" w:line="276" w:lineRule="auto"/>
        <w:jc w:val="both"/>
        <w:rPr>
          <w:b/>
          <w:bCs/>
          <w:u w:val="single"/>
        </w:rPr>
      </w:pPr>
      <w:r w:rsidRPr="6FA49747" w:rsidR="6FA49747">
        <w:rPr>
          <w:b w:val="1"/>
          <w:bCs w:val="1"/>
          <w:u w:val="single"/>
        </w:rPr>
        <w:t xml:space="preserve">Word Count: </w:t>
      </w:r>
      <w:r w:rsidRPr="6FA49747" w:rsidR="6FA49747">
        <w:rPr>
          <w:b w:val="1"/>
          <w:bCs w:val="1"/>
          <w:u w:val="single"/>
        </w:rPr>
        <w:t>1,326</w:t>
      </w:r>
    </w:p>
    <w:p w:rsidR="00197BC0" w:rsidRDefault="00197BC0" w14:paraId="1FB35A4E" w14:textId="77777777">
      <w:pPr>
        <w:rPr>
          <w:b/>
          <w:bCs/>
          <w:u w:val="single"/>
        </w:rPr>
      </w:pPr>
      <w:r>
        <w:rPr>
          <w:b/>
          <w:bCs/>
          <w:u w:val="single"/>
        </w:rPr>
        <w:br w:type="page"/>
      </w:r>
    </w:p>
    <w:p w:rsidR="302478FF" w:rsidP="00487342" w:rsidRDefault="302478FF" w14:paraId="117E9AA7" w14:textId="3952271D">
      <w:pPr>
        <w:jc w:val="both"/>
      </w:pPr>
      <w:r w:rsidRPr="302478FF">
        <w:rPr>
          <w:b/>
          <w:bCs/>
          <w:u w:val="single"/>
        </w:rPr>
        <w:lastRenderedPageBreak/>
        <w:t>References</w:t>
      </w:r>
    </w:p>
    <w:p w:rsidR="302478FF" w:rsidP="302478FF" w:rsidRDefault="302478FF" w14:paraId="3EBE9F19" w14:textId="2E637B8E">
      <w:pPr>
        <w:spacing w:after="0" w:line="276" w:lineRule="auto"/>
        <w:jc w:val="both"/>
        <w:rPr>
          <w:b/>
          <w:bCs/>
          <w:u w:val="single"/>
        </w:rPr>
      </w:pPr>
    </w:p>
    <w:p w:rsidR="302478FF" w:rsidP="2BB0CB14" w:rsidRDefault="2BB0CB14" w14:paraId="1E15FCB5" w14:textId="643C080E">
      <w:pPr>
        <w:spacing w:after="0" w:line="276" w:lineRule="auto"/>
        <w:jc w:val="both"/>
        <w:rPr>
          <w:rFonts w:ascii="Calibri" w:hAnsi="Calibri" w:eastAsia="Calibri" w:cs="Calibri"/>
          <w:color w:val="005789"/>
          <w:u w:val="single"/>
        </w:rPr>
      </w:pPr>
      <w:r w:rsidRPr="2BB0CB14">
        <w:rPr>
          <w:rFonts w:ascii="Calibri" w:hAnsi="Calibri" w:eastAsia="Calibri" w:cs="Calibri"/>
          <w:color w:val="000000" w:themeColor="text1"/>
        </w:rPr>
        <w:t>Association of Nutrition (2021) ‘UKVRN Standards of Ethics, Conduct and Performance’. Available at: chrome-extension://efaidnbmnnnibpcajpcglclefindmkaj/https://www.associationfornutrition.org/wp-content/uploads/2020/06/AfN-Standards-Ethics-Conduct-Performance.pdf</w:t>
      </w:r>
      <w:r w:rsidRPr="2BB0CB14">
        <w:rPr>
          <w:rFonts w:ascii="Calibri" w:hAnsi="Calibri" w:eastAsia="Calibri" w:cs="Calibri"/>
        </w:rPr>
        <w:t xml:space="preserve"> </w:t>
      </w:r>
    </w:p>
    <w:p w:rsidR="302478FF" w:rsidP="2BB0CB14" w:rsidRDefault="302478FF" w14:paraId="3F27F644" w14:textId="10573A1E">
      <w:pPr>
        <w:spacing w:after="0" w:line="276" w:lineRule="auto"/>
        <w:jc w:val="both"/>
      </w:pPr>
    </w:p>
    <w:p w:rsidRPr="008B33B5" w:rsidR="008B33B5" w:rsidP="2BB0CB14" w:rsidRDefault="008B33B5" w14:paraId="35DADD7A" w14:textId="70107D3D">
      <w:pPr>
        <w:spacing w:after="0" w:line="276" w:lineRule="auto"/>
        <w:jc w:val="both"/>
        <w:rPr>
          <w:rFonts w:cstheme="minorHAnsi"/>
        </w:rPr>
      </w:pPr>
      <w:r w:rsidRPr="008B33B5">
        <w:rPr>
          <w:rFonts w:cstheme="minorHAnsi"/>
        </w:rPr>
        <w:t xml:space="preserve">Bhatia, V and Tandon, R.K. (2005) ‘Stress and the gastrointestinal tract’, </w:t>
      </w:r>
      <w:r w:rsidRPr="008B33B5">
        <w:rPr>
          <w:rFonts w:cstheme="minorHAnsi"/>
          <w:i/>
          <w:iCs/>
        </w:rPr>
        <w:t xml:space="preserve">Journal of Gastroenterology and </w:t>
      </w:r>
      <w:proofErr w:type="spellStart"/>
      <w:r w:rsidRPr="008B33B5">
        <w:rPr>
          <w:rFonts w:cstheme="minorHAnsi"/>
          <w:i/>
          <w:iCs/>
        </w:rPr>
        <w:t>Haptology</w:t>
      </w:r>
      <w:proofErr w:type="spellEnd"/>
      <w:r w:rsidRPr="008B33B5">
        <w:rPr>
          <w:rFonts w:cstheme="minorHAnsi"/>
        </w:rPr>
        <w:t xml:space="preserve">, 20(3), pp. 332-339. Available at: </w:t>
      </w:r>
      <w:hyperlink w:history="1" r:id="rId7">
        <w:r w:rsidRPr="008B33B5">
          <w:rPr>
            <w:rStyle w:val="Hyperlink"/>
            <w:rFonts w:cstheme="minorHAnsi"/>
            <w:u w:val="none"/>
            <w:shd w:val="clear" w:color="auto" w:fill="FFFFFF"/>
          </w:rPr>
          <w:t>https://doi.org/10.1111/j.1440-1746.2004.03508.x</w:t>
        </w:r>
      </w:hyperlink>
    </w:p>
    <w:p w:rsidRPr="008B33B5" w:rsidR="008B33B5" w:rsidP="2BB0CB14" w:rsidRDefault="008B33B5" w14:paraId="530D70FC" w14:textId="77777777">
      <w:pPr>
        <w:spacing w:after="0" w:line="276" w:lineRule="auto"/>
        <w:jc w:val="both"/>
        <w:rPr>
          <w:rFonts w:cstheme="minorHAnsi"/>
        </w:rPr>
      </w:pPr>
    </w:p>
    <w:p w:rsidRPr="00880EBA" w:rsidR="00B17C01" w:rsidP="2BB0CB14" w:rsidRDefault="00B17C01" w14:paraId="6668357C" w14:textId="45644E72">
      <w:pPr>
        <w:spacing w:after="0" w:line="276" w:lineRule="auto"/>
        <w:jc w:val="both"/>
        <w:rPr>
          <w:rFonts w:cstheme="minorHAnsi"/>
        </w:rPr>
      </w:pPr>
      <w:r>
        <w:rPr>
          <w:rFonts w:cstheme="minorHAnsi"/>
        </w:rPr>
        <w:t>Canavan, C., West, J., and Card, T. (2014)</w:t>
      </w:r>
      <w:r w:rsidR="00880EBA">
        <w:rPr>
          <w:rFonts w:cstheme="minorHAnsi"/>
        </w:rPr>
        <w:t xml:space="preserve"> ‘The epidemiology of irritable bowel syndrome’, </w:t>
      </w:r>
      <w:r w:rsidR="00880EBA">
        <w:rPr>
          <w:rFonts w:cstheme="minorHAnsi"/>
          <w:i/>
          <w:iCs/>
        </w:rPr>
        <w:t>Clinical Epidemiology</w:t>
      </w:r>
      <w:r w:rsidR="00880EBA">
        <w:rPr>
          <w:rFonts w:cstheme="minorHAnsi"/>
        </w:rPr>
        <w:t xml:space="preserve">, 6, pp. 71-80. Available at: </w:t>
      </w:r>
      <w:hyperlink w:history="1" r:id="rId8">
        <w:r w:rsidRPr="00510477" w:rsidR="00880EBA">
          <w:rPr>
            <w:rStyle w:val="Hyperlink"/>
            <w:rFonts w:cstheme="minorHAnsi"/>
          </w:rPr>
          <w:t>http://doi.org/10.2147/CLEP.S40245</w:t>
        </w:r>
      </w:hyperlink>
      <w:r w:rsidR="00880EBA">
        <w:rPr>
          <w:rFonts w:cstheme="minorHAnsi"/>
        </w:rPr>
        <w:t xml:space="preserve">  </w:t>
      </w:r>
    </w:p>
    <w:p w:rsidR="00B17C01" w:rsidP="2BB0CB14" w:rsidRDefault="00B17C01" w14:paraId="7B843887" w14:textId="77777777">
      <w:pPr>
        <w:spacing w:after="0" w:line="276" w:lineRule="auto"/>
        <w:jc w:val="both"/>
        <w:rPr>
          <w:rFonts w:cstheme="minorHAnsi"/>
        </w:rPr>
      </w:pPr>
    </w:p>
    <w:p w:rsidR="302478FF" w:rsidP="2BB0CB14" w:rsidRDefault="2BB0CB14" w14:paraId="0A0E1F38" w14:textId="42561584">
      <w:pPr>
        <w:spacing w:after="0" w:line="276" w:lineRule="auto"/>
        <w:jc w:val="both"/>
        <w:rPr>
          <w:rFonts w:ascii="Calibri" w:hAnsi="Calibri" w:eastAsia="Calibri" w:cs="Calibri"/>
          <w:color w:val="005789"/>
          <w:u w:val="single"/>
        </w:rPr>
      </w:pPr>
      <w:r w:rsidRPr="008B33B5">
        <w:rPr>
          <w:rFonts w:cstheme="minorHAnsi"/>
        </w:rPr>
        <w:t xml:space="preserve">Chang, L. (2021) ‘How to approach a patient with difficult-to-treat IBS’, </w:t>
      </w:r>
      <w:r w:rsidRPr="008B33B5">
        <w:rPr>
          <w:rFonts w:cstheme="minorHAnsi"/>
          <w:i/>
          <w:iCs/>
        </w:rPr>
        <w:t>Gastroenterology</w:t>
      </w:r>
      <w:r w:rsidRPr="008B33B5">
        <w:rPr>
          <w:rFonts w:cstheme="minorHAnsi"/>
        </w:rPr>
        <w:t xml:space="preserve">, 161(4), pp. 1092-1098. Available at: </w:t>
      </w:r>
      <w:hyperlink r:id="rId9">
        <w:r w:rsidRPr="008B33B5">
          <w:rPr>
            <w:rStyle w:val="Hyperlink"/>
            <w:rFonts w:eastAsia="Calibri" w:cstheme="minorHAnsi"/>
            <w:color w:val="005789"/>
          </w:rPr>
          <w:t>10.1053/j.gastro.2021.07.034</w:t>
        </w:r>
      </w:hyperlink>
      <w:r w:rsidRPr="2BB0CB14">
        <w:rPr>
          <w:rFonts w:ascii="Calibri" w:hAnsi="Calibri" w:eastAsia="Calibri" w:cs="Calibri"/>
          <w:color w:val="005789"/>
          <w:u w:val="single"/>
        </w:rPr>
        <w:t xml:space="preserve"> </w:t>
      </w:r>
    </w:p>
    <w:p w:rsidR="302478FF" w:rsidP="302478FF" w:rsidRDefault="302478FF" w14:paraId="0748279D" w14:textId="5958246F">
      <w:pPr>
        <w:spacing w:after="0" w:line="276" w:lineRule="auto"/>
        <w:jc w:val="both"/>
      </w:pPr>
    </w:p>
    <w:p w:rsidR="000320FF" w:rsidP="302478FF" w:rsidRDefault="000320FF" w14:paraId="51B24DF2" w14:textId="378D9434">
      <w:pPr>
        <w:spacing w:after="0" w:line="276" w:lineRule="auto"/>
        <w:jc w:val="both"/>
      </w:pPr>
      <w:r>
        <w:t xml:space="preserve">Cleveland Clinic (2022) ‘Visceral Hypersensitivity’, Available at: </w:t>
      </w:r>
      <w:hyperlink w:history="1" r:id="rId10">
        <w:r w:rsidRPr="00F17E03">
          <w:rPr>
            <w:rStyle w:val="Hyperlink"/>
          </w:rPr>
          <w:t>https://my.clevelandclinic.org/health/diseases/22997-visceral-hypersensitivity</w:t>
        </w:r>
      </w:hyperlink>
      <w:r>
        <w:t>. (Accessed on: 12</w:t>
      </w:r>
      <w:r w:rsidRPr="000320FF">
        <w:rPr>
          <w:vertAlign w:val="superscript"/>
        </w:rPr>
        <w:t>th</w:t>
      </w:r>
      <w:r>
        <w:t xml:space="preserve"> October 2024)</w:t>
      </w:r>
    </w:p>
    <w:p w:rsidR="000A3B2C" w:rsidP="302478FF" w:rsidRDefault="000A3B2C" w14:paraId="02278939" w14:textId="77777777">
      <w:pPr>
        <w:spacing w:after="0" w:line="276" w:lineRule="auto"/>
        <w:jc w:val="both"/>
      </w:pPr>
    </w:p>
    <w:p w:rsidRPr="000A3B2C" w:rsidR="000A3B2C" w:rsidP="302478FF" w:rsidRDefault="000A3B2C" w14:paraId="3179B063" w14:textId="0B02DDC2">
      <w:pPr>
        <w:spacing w:after="0" w:line="276" w:lineRule="auto"/>
        <w:jc w:val="both"/>
        <w:rPr>
          <w:rFonts w:ascii="Calibri" w:hAnsi="Calibri" w:cs="Calibri"/>
        </w:rPr>
      </w:pPr>
      <w:proofErr w:type="spellStart"/>
      <w:r w:rsidRPr="000A3B2C">
        <w:rPr>
          <w:rFonts w:ascii="Calibri" w:hAnsi="Calibri" w:cs="Calibri"/>
        </w:rPr>
        <w:t>Daulatzai</w:t>
      </w:r>
      <w:proofErr w:type="spellEnd"/>
      <w:r w:rsidRPr="000A3B2C">
        <w:rPr>
          <w:rFonts w:ascii="Calibri" w:hAnsi="Calibri" w:cs="Calibri"/>
        </w:rPr>
        <w:t xml:space="preserve">, M.A. (2014) ‘Chronic Functional Bowel Syndrome Enhances Gut-Brain Axis Dysfunction, </w:t>
      </w:r>
      <w:proofErr w:type="spellStart"/>
      <w:r w:rsidRPr="000A3B2C">
        <w:rPr>
          <w:rFonts w:ascii="Calibri" w:hAnsi="Calibri" w:cs="Calibri"/>
        </w:rPr>
        <w:t>Neuroinflamation</w:t>
      </w:r>
      <w:proofErr w:type="spellEnd"/>
      <w:r w:rsidRPr="000A3B2C">
        <w:rPr>
          <w:rFonts w:ascii="Calibri" w:hAnsi="Calibri" w:cs="Calibri"/>
        </w:rPr>
        <w:t xml:space="preserve">, Cognitive Impairment and Vulnerability to Dementia’, </w:t>
      </w:r>
      <w:r w:rsidRPr="000A3B2C">
        <w:rPr>
          <w:rFonts w:ascii="Calibri" w:hAnsi="Calibri" w:cs="Calibri"/>
          <w:i/>
          <w:iCs/>
        </w:rPr>
        <w:t>Neurochemical Research</w:t>
      </w:r>
      <w:r w:rsidRPr="000A3B2C">
        <w:rPr>
          <w:rFonts w:ascii="Calibri" w:hAnsi="Calibri" w:cs="Calibri"/>
        </w:rPr>
        <w:t xml:space="preserve">, 39, pp. 624-644. Available at: </w:t>
      </w:r>
      <w:hyperlink w:history="1" r:id="rId11">
        <w:r w:rsidRPr="00510477">
          <w:rPr>
            <w:rStyle w:val="Hyperlink"/>
            <w:rFonts w:ascii="Calibri" w:hAnsi="Calibri" w:cs="Calibri"/>
            <w:shd w:val="clear" w:color="auto" w:fill="FFFFFF"/>
          </w:rPr>
          <w:t>https://doi.org/10.1007/s11064-014-1266-6</w:t>
        </w:r>
      </w:hyperlink>
      <w:r>
        <w:rPr>
          <w:rFonts w:ascii="Calibri" w:hAnsi="Calibri" w:cs="Calibri"/>
          <w:color w:val="222222"/>
          <w:shd w:val="clear" w:color="auto" w:fill="FFFFFF"/>
        </w:rPr>
        <w:t xml:space="preserve"> </w:t>
      </w:r>
    </w:p>
    <w:p w:rsidR="00381CDF" w:rsidP="302478FF" w:rsidRDefault="00381CDF" w14:paraId="0AD372F8" w14:textId="77777777">
      <w:pPr>
        <w:spacing w:after="0" w:line="276" w:lineRule="auto"/>
        <w:jc w:val="both"/>
      </w:pPr>
    </w:p>
    <w:p w:rsidRPr="00381CDF" w:rsidR="00381CDF" w:rsidP="302478FF" w:rsidRDefault="00381CDF" w14:paraId="09F21819" w14:textId="6E8FB57D">
      <w:pPr>
        <w:spacing w:after="0" w:line="276" w:lineRule="auto"/>
        <w:jc w:val="both"/>
        <w:rPr>
          <w:rFonts w:ascii="Calibri" w:hAnsi="Calibri" w:cs="Calibri"/>
        </w:rPr>
      </w:pPr>
      <w:r w:rsidRPr="00381CDF">
        <w:rPr>
          <w:rFonts w:ascii="Calibri" w:hAnsi="Calibri" w:cs="Calibri"/>
        </w:rPr>
        <w:t xml:space="preserve">Dong, W.Z., Zou, D.W., Li, Z.S., Zou, X.P., Zhu, A.Y., Xu, G.M., Yin, N., Gong, Y.F., Sun, Z.X. and Man, X.H. (2004) ‘Study of visceral hypersensitivity in irritable bowel syndrome’, </w:t>
      </w:r>
      <w:r w:rsidRPr="00381CDF">
        <w:rPr>
          <w:rFonts w:ascii="Calibri" w:hAnsi="Calibri" w:cs="Calibri"/>
          <w:i/>
          <w:iCs/>
        </w:rPr>
        <w:t>Chinese Journal of Digestive Diseases</w:t>
      </w:r>
      <w:r w:rsidRPr="00381CDF">
        <w:rPr>
          <w:rFonts w:ascii="Calibri" w:hAnsi="Calibri" w:cs="Calibri"/>
        </w:rPr>
        <w:t xml:space="preserve">, 5(3), pp. 103-109. Available at: </w:t>
      </w:r>
      <w:hyperlink w:history="1" r:id="rId12">
        <w:r w:rsidRPr="00381CDF">
          <w:rPr>
            <w:rStyle w:val="Hyperlink"/>
            <w:rFonts w:ascii="Calibri" w:hAnsi="Calibri" w:cs="Calibri"/>
            <w:u w:val="none"/>
            <w:shd w:val="clear" w:color="auto" w:fill="FFFFFF"/>
          </w:rPr>
          <w:t>https://doi.org/10.1111/j.1443-9573.2004.00168.x</w:t>
        </w:r>
      </w:hyperlink>
      <w:r w:rsidRPr="00381CDF">
        <w:rPr>
          <w:rFonts w:ascii="Calibri" w:hAnsi="Calibri" w:cs="Calibri"/>
        </w:rPr>
        <w:t xml:space="preserve"> </w:t>
      </w:r>
    </w:p>
    <w:p w:rsidRPr="00381CDF" w:rsidR="000320FF" w:rsidP="302478FF" w:rsidRDefault="000320FF" w14:paraId="03FB1B33" w14:textId="77777777">
      <w:pPr>
        <w:spacing w:after="0" w:line="276" w:lineRule="auto"/>
        <w:jc w:val="both"/>
        <w:rPr>
          <w:rFonts w:ascii="Calibri" w:hAnsi="Calibri" w:cs="Calibri"/>
        </w:rPr>
      </w:pPr>
    </w:p>
    <w:p w:rsidRPr="00F766A9" w:rsidR="00A26262" w:rsidP="302478FF" w:rsidRDefault="00A26262" w14:paraId="5C64CDFB" w14:textId="24DEA307">
      <w:pPr>
        <w:spacing w:after="0" w:line="276" w:lineRule="auto"/>
        <w:jc w:val="both"/>
        <w:rPr>
          <w:rFonts w:cstheme="minorHAnsi"/>
        </w:rPr>
      </w:pPr>
      <w:r w:rsidRPr="00F766A9">
        <w:rPr>
          <w:rFonts w:cstheme="minorHAnsi"/>
        </w:rPr>
        <w:t>Lackn</w:t>
      </w:r>
      <w:r w:rsidRPr="00F766A9" w:rsidR="00F766A9">
        <w:rPr>
          <w:rFonts w:cstheme="minorHAnsi"/>
        </w:rPr>
        <w:t xml:space="preserve">er, J.M. and Quigley, B.M. (2005) ‘Pain catastrophizing mediates the relationship between worry and pain suffering in patients with irritable bowel syndrome’, </w:t>
      </w:r>
      <w:r w:rsidRPr="00F766A9" w:rsidR="00F766A9">
        <w:rPr>
          <w:rFonts w:cstheme="minorHAnsi"/>
          <w:i/>
          <w:iCs/>
        </w:rPr>
        <w:t>Behaviour Research and Therapy</w:t>
      </w:r>
      <w:r w:rsidRPr="00F766A9" w:rsidR="00F766A9">
        <w:rPr>
          <w:rFonts w:cstheme="minorHAnsi"/>
        </w:rPr>
        <w:t xml:space="preserve">, 43(7), pp. 943-957. Available at: </w:t>
      </w:r>
      <w:hyperlink w:tgtFrame="_blank" w:tooltip="Persistent link using digital object identifier" w:history="1" r:id="rId13">
        <w:r w:rsidRPr="00F766A9" w:rsidR="00F766A9">
          <w:rPr>
            <w:rStyle w:val="anchor-text"/>
            <w:rFonts w:cstheme="minorHAnsi"/>
            <w:color w:val="0000FF"/>
          </w:rPr>
          <w:t>https://doi.org/10.1016/j.brat.2004.06.018</w:t>
        </w:r>
      </w:hyperlink>
    </w:p>
    <w:p w:rsidRPr="00F766A9" w:rsidR="00A26262" w:rsidP="302478FF" w:rsidRDefault="00A26262" w14:paraId="65E0CCF3" w14:textId="77777777">
      <w:pPr>
        <w:spacing w:after="0" w:line="276" w:lineRule="auto"/>
        <w:jc w:val="both"/>
        <w:rPr>
          <w:rFonts w:cstheme="minorHAnsi"/>
        </w:rPr>
      </w:pPr>
    </w:p>
    <w:p w:rsidRPr="00D37074" w:rsidR="00D37074" w:rsidP="302478FF" w:rsidRDefault="00D37074" w14:paraId="193205A3" w14:textId="223EFF9C">
      <w:pPr>
        <w:spacing w:after="0" w:line="276" w:lineRule="auto"/>
        <w:jc w:val="both"/>
        <w:rPr>
          <w:rFonts w:ascii="Calibri" w:hAnsi="Calibri" w:cs="Calibri"/>
        </w:rPr>
      </w:pPr>
      <w:r w:rsidRPr="00F766A9">
        <w:rPr>
          <w:rFonts w:cstheme="minorHAnsi"/>
        </w:rPr>
        <w:t xml:space="preserve">Mayer, E.A., </w:t>
      </w:r>
      <w:proofErr w:type="spellStart"/>
      <w:r w:rsidRPr="00F766A9">
        <w:rPr>
          <w:rFonts w:cstheme="minorHAnsi"/>
        </w:rPr>
        <w:t>Labus</w:t>
      </w:r>
      <w:proofErr w:type="spellEnd"/>
      <w:r w:rsidRPr="00F766A9">
        <w:rPr>
          <w:rFonts w:cstheme="minorHAnsi"/>
        </w:rPr>
        <w:t xml:space="preserve">, J.S., </w:t>
      </w:r>
      <w:proofErr w:type="spellStart"/>
      <w:r w:rsidRPr="00F766A9">
        <w:rPr>
          <w:rFonts w:cstheme="minorHAnsi"/>
        </w:rPr>
        <w:t>Tillisch</w:t>
      </w:r>
      <w:proofErr w:type="spellEnd"/>
      <w:r w:rsidRPr="00F766A9">
        <w:rPr>
          <w:rFonts w:cstheme="minorHAnsi"/>
        </w:rPr>
        <w:t>, K., Cole,</w:t>
      </w:r>
      <w:r>
        <w:rPr>
          <w:rFonts w:ascii="Calibri" w:hAnsi="Calibri" w:cs="Calibri"/>
        </w:rPr>
        <w:t xml:space="preserve"> S.W. and </w:t>
      </w:r>
      <w:proofErr w:type="spellStart"/>
      <w:r>
        <w:rPr>
          <w:rFonts w:ascii="Calibri" w:hAnsi="Calibri" w:cs="Calibri"/>
        </w:rPr>
        <w:t>Baldi</w:t>
      </w:r>
      <w:proofErr w:type="spellEnd"/>
      <w:r>
        <w:rPr>
          <w:rFonts w:ascii="Calibri" w:hAnsi="Calibri" w:cs="Calibri"/>
        </w:rPr>
        <w:t xml:space="preserve">, P. (2015) ‘Towards a systems view of IBS’, </w:t>
      </w:r>
      <w:r>
        <w:rPr>
          <w:rFonts w:ascii="Calibri" w:hAnsi="Calibri" w:cs="Calibri"/>
          <w:i/>
          <w:iCs/>
        </w:rPr>
        <w:t>Nature Reviews Gastroenterology &amp; Hepatology</w:t>
      </w:r>
      <w:r>
        <w:rPr>
          <w:rFonts w:ascii="Calibri" w:hAnsi="Calibri" w:cs="Calibri"/>
        </w:rPr>
        <w:t xml:space="preserve">, 12, pp. 592-605. Available at: </w:t>
      </w:r>
      <w:hyperlink w:history="1" r:id="rId14">
        <w:r w:rsidRPr="00510477">
          <w:rPr>
            <w:rStyle w:val="Hyperlink"/>
            <w:rFonts w:ascii="Segoe UI" w:hAnsi="Segoe UI" w:cs="Segoe UI"/>
            <w:shd w:val="clear" w:color="auto" w:fill="FFFFFF"/>
          </w:rPr>
          <w:t>https://doi.org/10.1038/nrgastro.2015.121</w:t>
        </w:r>
      </w:hyperlink>
      <w:r>
        <w:rPr>
          <w:rFonts w:ascii="Segoe UI" w:hAnsi="Segoe UI" w:cs="Segoe UI"/>
          <w:color w:val="222222"/>
          <w:shd w:val="clear" w:color="auto" w:fill="FFFFFF"/>
        </w:rPr>
        <w:t xml:space="preserve"> </w:t>
      </w:r>
    </w:p>
    <w:p w:rsidR="00D37074" w:rsidP="302478FF" w:rsidRDefault="00D37074" w14:paraId="6E4EE2F5" w14:textId="77777777">
      <w:pPr>
        <w:spacing w:after="0" w:line="276" w:lineRule="auto"/>
        <w:jc w:val="both"/>
        <w:rPr>
          <w:rFonts w:ascii="Calibri" w:hAnsi="Calibri" w:cs="Calibri"/>
        </w:rPr>
      </w:pPr>
    </w:p>
    <w:p w:rsidRPr="00225351" w:rsidR="00225351" w:rsidP="302478FF" w:rsidRDefault="00225351" w14:paraId="61507013" w14:textId="2F0F0566">
      <w:pPr>
        <w:spacing w:after="0" w:line="276" w:lineRule="auto"/>
        <w:jc w:val="both"/>
        <w:rPr>
          <w:rFonts w:ascii="Calibri" w:hAnsi="Calibri" w:cs="Calibri"/>
        </w:rPr>
      </w:pPr>
      <w:proofErr w:type="spellStart"/>
      <w:r>
        <w:rPr>
          <w:rFonts w:ascii="Calibri" w:hAnsi="Calibri" w:cs="Calibri"/>
        </w:rPr>
        <w:t>Meerveld</w:t>
      </w:r>
      <w:proofErr w:type="spellEnd"/>
      <w:r>
        <w:rPr>
          <w:rFonts w:ascii="Calibri" w:hAnsi="Calibri" w:cs="Calibri"/>
        </w:rPr>
        <w:t xml:space="preserve">, B.GV., Johnson, A.C. and Grundy, D. (2017) </w:t>
      </w:r>
      <w:r>
        <w:rPr>
          <w:rFonts w:ascii="Calibri" w:hAnsi="Calibri" w:cs="Calibri"/>
          <w:i/>
          <w:iCs/>
        </w:rPr>
        <w:t>Gastrointestinal Pharmacology</w:t>
      </w:r>
      <w:r>
        <w:rPr>
          <w:rFonts w:ascii="Calibri" w:hAnsi="Calibri" w:cs="Calibri"/>
        </w:rPr>
        <w:t>. Volume 239. Springer: Cham.</w:t>
      </w:r>
    </w:p>
    <w:p w:rsidR="00225351" w:rsidP="302478FF" w:rsidRDefault="00225351" w14:paraId="2365338E" w14:textId="77777777">
      <w:pPr>
        <w:spacing w:after="0" w:line="276" w:lineRule="auto"/>
        <w:jc w:val="both"/>
        <w:rPr>
          <w:rFonts w:ascii="Calibri" w:hAnsi="Calibri" w:cs="Calibri"/>
        </w:rPr>
      </w:pPr>
    </w:p>
    <w:p w:rsidRPr="00F77DA2" w:rsidR="00F54CB7" w:rsidP="302478FF" w:rsidRDefault="00F54CB7" w14:paraId="46D7FCAE" w14:textId="65E87F36">
      <w:pPr>
        <w:spacing w:after="0" w:line="276" w:lineRule="auto"/>
        <w:jc w:val="both"/>
        <w:rPr>
          <w:rFonts w:ascii="Calibri" w:hAnsi="Calibri" w:cs="Calibri"/>
        </w:rPr>
      </w:pPr>
      <w:proofErr w:type="spellStart"/>
      <w:r w:rsidRPr="00F77DA2">
        <w:rPr>
          <w:rFonts w:ascii="Calibri" w:hAnsi="Calibri" w:cs="Calibri"/>
        </w:rPr>
        <w:t>Mendell</w:t>
      </w:r>
      <w:proofErr w:type="spellEnd"/>
      <w:r w:rsidRPr="00F77DA2">
        <w:rPr>
          <w:rFonts w:ascii="Calibri" w:hAnsi="Calibri" w:cs="Calibri"/>
        </w:rPr>
        <w:t>, L.M. (2013) ‘</w:t>
      </w:r>
      <w:proofErr w:type="spellStart"/>
      <w:r w:rsidRPr="00F77DA2">
        <w:rPr>
          <w:rFonts w:ascii="Calibri" w:hAnsi="Calibri" w:cs="Calibri"/>
        </w:rPr>
        <w:t>Contructing</w:t>
      </w:r>
      <w:proofErr w:type="spellEnd"/>
      <w:r w:rsidRPr="00F77DA2">
        <w:rPr>
          <w:rFonts w:ascii="Calibri" w:hAnsi="Calibri" w:cs="Calibri"/>
        </w:rPr>
        <w:t xml:space="preserve"> and Deconstructing the Gate Theory of Pain’, </w:t>
      </w:r>
      <w:r w:rsidRPr="00F77DA2" w:rsidR="00F77DA2">
        <w:rPr>
          <w:rFonts w:ascii="Calibri" w:hAnsi="Calibri" w:cs="Calibri"/>
          <w:i/>
          <w:iCs/>
        </w:rPr>
        <w:t>Pain</w:t>
      </w:r>
      <w:r w:rsidRPr="00F77DA2" w:rsidR="00F77DA2">
        <w:rPr>
          <w:rFonts w:ascii="Calibri" w:hAnsi="Calibri" w:cs="Calibri"/>
        </w:rPr>
        <w:t xml:space="preserve">, 155(2), pp. 210-216. Available at: </w:t>
      </w:r>
      <w:proofErr w:type="spellStart"/>
      <w:r w:rsidRPr="00F77DA2" w:rsidR="00F77DA2">
        <w:rPr>
          <w:rFonts w:ascii="Calibri" w:hAnsi="Calibri" w:cs="Calibri"/>
          <w:color w:val="1B1B1B"/>
          <w:shd w:val="clear" w:color="auto" w:fill="FFFFFF"/>
        </w:rPr>
        <w:t>doi</w:t>
      </w:r>
      <w:proofErr w:type="spellEnd"/>
      <w:r w:rsidRPr="00F77DA2" w:rsidR="00F77DA2">
        <w:rPr>
          <w:rFonts w:ascii="Calibri" w:hAnsi="Calibri" w:cs="Calibri"/>
          <w:color w:val="1B1B1B"/>
          <w:shd w:val="clear" w:color="auto" w:fill="FFFFFF"/>
        </w:rPr>
        <w:t>: </w:t>
      </w:r>
      <w:hyperlink w:tgtFrame="_blank" w:history="1" r:id="rId15">
        <w:r w:rsidRPr="00F77DA2" w:rsidR="00F77DA2">
          <w:rPr>
            <w:rStyle w:val="Hyperlink"/>
            <w:rFonts w:ascii="Calibri" w:hAnsi="Calibri" w:cs="Calibri"/>
            <w:color w:val="005EA2"/>
            <w:shd w:val="clear" w:color="auto" w:fill="FFFFFF"/>
          </w:rPr>
          <w:t>10.1016/j.pain.2013.12.010</w:t>
        </w:r>
      </w:hyperlink>
    </w:p>
    <w:p w:rsidRPr="00F77DA2" w:rsidR="00F54CB7" w:rsidP="302478FF" w:rsidRDefault="00F54CB7" w14:paraId="596BE919" w14:textId="77777777">
      <w:pPr>
        <w:spacing w:after="0" w:line="276" w:lineRule="auto"/>
        <w:jc w:val="both"/>
        <w:rPr>
          <w:rFonts w:ascii="Calibri" w:hAnsi="Calibri" w:cs="Calibri"/>
        </w:rPr>
      </w:pPr>
    </w:p>
    <w:p w:rsidR="302478FF" w:rsidP="302478FF" w:rsidRDefault="302478FF" w14:paraId="337028EC" w14:textId="6705827D">
      <w:pPr>
        <w:spacing w:after="0" w:line="276" w:lineRule="auto"/>
        <w:jc w:val="both"/>
      </w:pPr>
      <w:r w:rsidRPr="00F77DA2">
        <w:rPr>
          <w:rFonts w:ascii="Calibri" w:hAnsi="Calibri" w:cs="Calibri"/>
        </w:rPr>
        <w:lastRenderedPageBreak/>
        <w:t xml:space="preserve">National Cancer Institute (no date) </w:t>
      </w:r>
      <w:r w:rsidRPr="00F77DA2">
        <w:rPr>
          <w:rFonts w:ascii="Calibri" w:hAnsi="Calibri" w:cs="Calibri"/>
          <w:i/>
          <w:iCs/>
        </w:rPr>
        <w:t>Gastrointestinal</w:t>
      </w:r>
      <w:r w:rsidRPr="302478FF">
        <w:rPr>
          <w:i/>
          <w:iCs/>
        </w:rPr>
        <w:t xml:space="preserve"> Tract</w:t>
      </w:r>
      <w:r w:rsidRPr="302478FF">
        <w:t xml:space="preserve">. Available at: </w:t>
      </w:r>
      <w:hyperlink r:id="rId16">
        <w:r w:rsidRPr="302478FF">
          <w:rPr>
            <w:rStyle w:val="Hyperlink"/>
          </w:rPr>
          <w:t>https://www.cancer.gov/publications/dictionaries/cancer-terms/def/gastrointestinal-tract</w:t>
        </w:r>
      </w:hyperlink>
      <w:r w:rsidRPr="302478FF">
        <w:t>. (Accessed: 8</w:t>
      </w:r>
      <w:r w:rsidRPr="302478FF">
        <w:rPr>
          <w:vertAlign w:val="superscript"/>
        </w:rPr>
        <w:t>th</w:t>
      </w:r>
      <w:r w:rsidRPr="302478FF">
        <w:t xml:space="preserve"> October 2024)</w:t>
      </w:r>
    </w:p>
    <w:p w:rsidR="302478FF" w:rsidP="302478FF" w:rsidRDefault="302478FF" w14:paraId="0CA68F82" w14:textId="276565B4">
      <w:pPr>
        <w:spacing w:after="0" w:line="276" w:lineRule="auto"/>
        <w:jc w:val="both"/>
      </w:pPr>
    </w:p>
    <w:p w:rsidRPr="00386BF7" w:rsidR="00386BF7" w:rsidP="302478FF" w:rsidRDefault="00386BF7" w14:paraId="3BE6C13E" w14:textId="0AC74632">
      <w:pPr>
        <w:spacing w:after="0" w:line="276" w:lineRule="auto"/>
        <w:jc w:val="both"/>
      </w:pPr>
      <w:r>
        <w:t xml:space="preserve">National Health Service (2021) </w:t>
      </w:r>
      <w:r>
        <w:rPr>
          <w:i/>
          <w:iCs/>
        </w:rPr>
        <w:t xml:space="preserve">What is </w:t>
      </w:r>
      <w:proofErr w:type="gramStart"/>
      <w:r>
        <w:rPr>
          <w:i/>
          <w:iCs/>
        </w:rPr>
        <w:t>IBS?</w:t>
      </w:r>
      <w:r>
        <w:t>.</w:t>
      </w:r>
      <w:proofErr w:type="gramEnd"/>
      <w:r>
        <w:t xml:space="preserve"> Available at: </w:t>
      </w:r>
      <w:hyperlink w:history="1" r:id="rId17">
        <w:r w:rsidRPr="00510477">
          <w:rPr>
            <w:rStyle w:val="Hyperlink"/>
          </w:rPr>
          <w:t>https://www.nhs.uk/conditions/irritable-bowel-syndrome-ibs/</w:t>
        </w:r>
      </w:hyperlink>
      <w:r>
        <w:t xml:space="preserve">. </w:t>
      </w:r>
    </w:p>
    <w:p w:rsidR="00386BF7" w:rsidP="302478FF" w:rsidRDefault="00386BF7" w14:paraId="21280770" w14:textId="77777777">
      <w:pPr>
        <w:spacing w:after="0" w:line="276" w:lineRule="auto"/>
        <w:jc w:val="both"/>
      </w:pPr>
    </w:p>
    <w:p w:rsidR="302478FF" w:rsidP="302478FF" w:rsidRDefault="302478FF" w14:paraId="1758A004" w14:textId="1E904EB4">
      <w:pPr>
        <w:spacing w:after="0" w:line="276" w:lineRule="auto"/>
        <w:jc w:val="both"/>
      </w:pPr>
      <w:r w:rsidRPr="302478FF">
        <w:t xml:space="preserve">National Institute for Health and Care Excellence (2023) </w:t>
      </w:r>
      <w:proofErr w:type="gramStart"/>
      <w:r w:rsidRPr="302478FF">
        <w:rPr>
          <w:i/>
          <w:iCs/>
        </w:rPr>
        <w:t>Irritable bowel syndrome</w:t>
      </w:r>
      <w:proofErr w:type="gramEnd"/>
      <w:r w:rsidRPr="302478FF">
        <w:rPr>
          <w:i/>
          <w:iCs/>
        </w:rPr>
        <w:t>: How common is it?</w:t>
      </w:r>
      <w:r w:rsidRPr="302478FF">
        <w:t xml:space="preserve"> Available at: </w:t>
      </w:r>
      <w:hyperlink r:id="rId18">
        <w:r w:rsidRPr="302478FF">
          <w:rPr>
            <w:rStyle w:val="Hyperlink"/>
          </w:rPr>
          <w:t>https://cks.nice.org.uk/topics/irritable-bowel-syndrome/background-information/prevalence/</w:t>
        </w:r>
      </w:hyperlink>
      <w:r w:rsidRPr="302478FF">
        <w:t xml:space="preserve"> (Accessed on: 8</w:t>
      </w:r>
      <w:r w:rsidRPr="302478FF">
        <w:rPr>
          <w:vertAlign w:val="superscript"/>
        </w:rPr>
        <w:t>th</w:t>
      </w:r>
      <w:r>
        <w:t xml:space="preserve"> October 2024)</w:t>
      </w:r>
    </w:p>
    <w:p w:rsidR="302478FF" w:rsidP="302478FF" w:rsidRDefault="302478FF" w14:paraId="00C9CBAA" w14:textId="43265EE2">
      <w:pPr>
        <w:spacing w:after="0" w:line="276" w:lineRule="auto"/>
        <w:jc w:val="both"/>
      </w:pPr>
    </w:p>
    <w:p w:rsidR="302478FF" w:rsidP="302478FF" w:rsidRDefault="2BB0CB14" w14:paraId="6D99268B" w14:textId="53C4CB82">
      <w:pPr>
        <w:spacing w:after="0" w:line="276" w:lineRule="auto"/>
        <w:jc w:val="both"/>
        <w:rPr>
          <w:rFonts w:ascii="Calibri" w:hAnsi="Calibri" w:eastAsia="Calibri" w:cs="Calibri"/>
        </w:rPr>
      </w:pPr>
      <w:r>
        <w:t>P</w:t>
      </w:r>
      <w:r w:rsidRPr="2BB0CB14">
        <w:rPr>
          <w:rFonts w:eastAsiaTheme="minorEastAsia"/>
        </w:rPr>
        <w:t xml:space="preserve">eate, I. (2021) ‘The gastrointestinal system’, </w:t>
      </w:r>
      <w:r w:rsidRPr="2BB0CB14">
        <w:rPr>
          <w:rFonts w:eastAsiaTheme="minorEastAsia"/>
          <w:i/>
          <w:iCs/>
        </w:rPr>
        <w:t>British Journal of Healthcare Assistants</w:t>
      </w:r>
      <w:r w:rsidRPr="2BB0CB14">
        <w:rPr>
          <w:rFonts w:eastAsiaTheme="minorEastAsia"/>
        </w:rPr>
        <w:t xml:space="preserve">, 15(3). Available at: </w:t>
      </w:r>
      <w:hyperlink r:id="rId19">
        <w:r w:rsidRPr="2BB0CB14">
          <w:rPr>
            <w:rStyle w:val="Hyperlink"/>
            <w:rFonts w:eastAsiaTheme="minorEastAsia"/>
            <w:color w:val="2D2F7F"/>
            <w:u w:val="none"/>
          </w:rPr>
          <w:t>https://doi.org/10.12968/bjha.2021.15.3.132</w:t>
        </w:r>
      </w:hyperlink>
      <w:r w:rsidRPr="2BB0CB14">
        <w:rPr>
          <w:rFonts w:eastAsiaTheme="minorEastAsia"/>
          <w:color w:val="2D2F7F"/>
        </w:rPr>
        <w:t xml:space="preserve"> </w:t>
      </w:r>
    </w:p>
    <w:p w:rsidR="2BB0CB14" w:rsidP="2BB0CB14" w:rsidRDefault="2BB0CB14" w14:paraId="7CE59007" w14:textId="7017A0B6">
      <w:pPr>
        <w:spacing w:after="0" w:line="276" w:lineRule="auto"/>
        <w:jc w:val="both"/>
        <w:rPr>
          <w:rFonts w:eastAsiaTheme="minorEastAsia"/>
          <w:color w:val="2D2F7F"/>
        </w:rPr>
      </w:pPr>
    </w:p>
    <w:p w:rsidRPr="005D0C5F" w:rsidR="005D0C5F" w:rsidP="2BB0CB14" w:rsidRDefault="005D0C5F" w14:paraId="6AE6E33A" w14:textId="347BABD8">
      <w:pPr>
        <w:spacing w:after="0" w:line="276" w:lineRule="auto"/>
        <w:jc w:val="both"/>
        <w:rPr>
          <w:rFonts w:eastAsia="Calibri" w:cstheme="minorHAnsi"/>
          <w:color w:val="000000" w:themeColor="text1"/>
        </w:rPr>
      </w:pPr>
      <w:r w:rsidRPr="005D0C5F">
        <w:rPr>
          <w:rFonts w:eastAsia="Calibri" w:cstheme="minorHAnsi"/>
          <w:color w:val="000000" w:themeColor="text1"/>
        </w:rPr>
        <w:t xml:space="preserve">Snyder, H. (2019) ‘Literature Review as a research methodology: An overview and guidelines’, </w:t>
      </w:r>
      <w:r w:rsidRPr="005D0C5F">
        <w:rPr>
          <w:rFonts w:eastAsia="Calibri" w:cstheme="minorHAnsi"/>
          <w:i/>
          <w:iCs/>
          <w:color w:val="000000" w:themeColor="text1"/>
        </w:rPr>
        <w:t>Journal of Business</w:t>
      </w:r>
      <w:r w:rsidRPr="005D0C5F">
        <w:rPr>
          <w:rFonts w:eastAsia="Calibri" w:cstheme="minorHAnsi"/>
          <w:color w:val="000000" w:themeColor="text1"/>
        </w:rPr>
        <w:t xml:space="preserve">, </w:t>
      </w:r>
      <w:r w:rsidR="00837FDE">
        <w:rPr>
          <w:rFonts w:eastAsia="Calibri" w:cstheme="minorHAnsi"/>
          <w:color w:val="000000" w:themeColor="text1"/>
        </w:rPr>
        <w:t xml:space="preserve">104, </w:t>
      </w:r>
      <w:r w:rsidRPr="005D0C5F">
        <w:rPr>
          <w:rFonts w:eastAsia="Calibri" w:cstheme="minorHAnsi"/>
          <w:color w:val="000000" w:themeColor="text1"/>
        </w:rPr>
        <w:t xml:space="preserve">pp. 333-339. Available at: </w:t>
      </w:r>
      <w:hyperlink w:tgtFrame="_blank" w:tooltip="Persistent link using digital object identifier" w:history="1" r:id="rId20">
        <w:r w:rsidRPr="005D0C5F">
          <w:rPr>
            <w:rStyle w:val="anchor-text"/>
            <w:rFonts w:cstheme="minorHAnsi"/>
            <w:color w:val="0000FF"/>
          </w:rPr>
          <w:t>https://doi.org/10.1016/j.jbusres.2019.07.039</w:t>
        </w:r>
      </w:hyperlink>
    </w:p>
    <w:p w:rsidRPr="005D0C5F" w:rsidR="005D0C5F" w:rsidP="2BB0CB14" w:rsidRDefault="005D0C5F" w14:paraId="681BA56B" w14:textId="77777777">
      <w:pPr>
        <w:spacing w:after="0" w:line="276" w:lineRule="auto"/>
        <w:jc w:val="both"/>
        <w:rPr>
          <w:rFonts w:eastAsia="Calibri" w:cstheme="minorHAnsi"/>
          <w:color w:val="000000" w:themeColor="text1"/>
        </w:rPr>
      </w:pPr>
    </w:p>
    <w:p w:rsidRPr="00F278FE" w:rsidR="00F278FE" w:rsidP="2BB0CB14" w:rsidRDefault="00F278FE" w14:paraId="2A642EF3" w14:textId="36A80D86">
      <w:pPr>
        <w:spacing w:after="0" w:line="276" w:lineRule="auto"/>
        <w:jc w:val="both"/>
        <w:rPr>
          <w:rFonts w:eastAsia="Calibri" w:cstheme="minorHAnsi"/>
          <w:color w:val="000000" w:themeColor="text1"/>
        </w:rPr>
      </w:pPr>
      <w:r w:rsidRPr="005D0C5F">
        <w:rPr>
          <w:rFonts w:eastAsia="Calibri" w:cstheme="minorHAnsi"/>
          <w:color w:val="000000" w:themeColor="text1"/>
        </w:rPr>
        <w:t xml:space="preserve">Taber, J.M., Leyva, B. and </w:t>
      </w:r>
      <w:proofErr w:type="spellStart"/>
      <w:r w:rsidRPr="005D0C5F">
        <w:rPr>
          <w:rFonts w:eastAsia="Calibri" w:cstheme="minorHAnsi"/>
          <w:color w:val="000000" w:themeColor="text1"/>
        </w:rPr>
        <w:t>Persoskie</w:t>
      </w:r>
      <w:proofErr w:type="spellEnd"/>
      <w:r w:rsidRPr="005D0C5F">
        <w:rPr>
          <w:rFonts w:eastAsia="Calibri" w:cstheme="minorHAnsi"/>
          <w:color w:val="000000" w:themeColor="text1"/>
        </w:rPr>
        <w:t>, A. (2015) ‘Why do people</w:t>
      </w:r>
      <w:r w:rsidRPr="00F278FE">
        <w:rPr>
          <w:rFonts w:eastAsia="Calibri" w:cstheme="minorHAnsi"/>
          <w:color w:val="000000" w:themeColor="text1"/>
        </w:rPr>
        <w:t xml:space="preserve"> avoid medical care? A qualitative study using national data’, </w:t>
      </w:r>
      <w:r w:rsidRPr="00F278FE">
        <w:rPr>
          <w:rFonts w:eastAsia="Calibri" w:cstheme="minorHAnsi"/>
          <w:i/>
          <w:iCs/>
          <w:color w:val="000000" w:themeColor="text1"/>
        </w:rPr>
        <w:t>Journal of General Internal Medicine</w:t>
      </w:r>
      <w:r w:rsidRPr="00F278FE">
        <w:rPr>
          <w:rFonts w:eastAsia="Calibri" w:cstheme="minorHAnsi"/>
          <w:color w:val="000000" w:themeColor="text1"/>
        </w:rPr>
        <w:t xml:space="preserve">, 30, pp. 290-297. Available at: </w:t>
      </w:r>
      <w:hyperlink w:history="1" r:id="rId21">
        <w:r w:rsidRPr="00F278FE">
          <w:rPr>
            <w:rStyle w:val="Hyperlink"/>
            <w:rFonts w:cstheme="minorHAnsi"/>
            <w:shd w:val="clear" w:color="auto" w:fill="FFFFFF"/>
          </w:rPr>
          <w:t>https://doi.org/10.1007/s11606-014-3089-1</w:t>
        </w:r>
      </w:hyperlink>
      <w:r w:rsidRPr="00F278FE">
        <w:rPr>
          <w:rFonts w:cstheme="minorHAnsi"/>
          <w:color w:val="222222"/>
          <w:shd w:val="clear" w:color="auto" w:fill="FFFFFF"/>
        </w:rPr>
        <w:t xml:space="preserve"> </w:t>
      </w:r>
    </w:p>
    <w:p w:rsidRPr="00F278FE" w:rsidR="00F278FE" w:rsidP="2BB0CB14" w:rsidRDefault="00F278FE" w14:paraId="5ACFF809" w14:textId="77777777">
      <w:pPr>
        <w:spacing w:after="0" w:line="276" w:lineRule="auto"/>
        <w:jc w:val="both"/>
        <w:rPr>
          <w:rFonts w:eastAsia="Calibri" w:cstheme="minorHAnsi"/>
          <w:color w:val="000000" w:themeColor="text1"/>
        </w:rPr>
      </w:pPr>
    </w:p>
    <w:p w:rsidR="2BB0CB14" w:rsidP="2BB0CB14" w:rsidRDefault="2BB0CB14" w14:paraId="512C98C9" w14:textId="6069EDAD">
      <w:pPr>
        <w:spacing w:after="0" w:line="276" w:lineRule="auto"/>
        <w:jc w:val="both"/>
      </w:pPr>
      <w:r w:rsidRPr="00F278FE">
        <w:rPr>
          <w:rFonts w:eastAsia="Calibri" w:cstheme="minorHAnsi"/>
          <w:color w:val="000000" w:themeColor="text1"/>
        </w:rPr>
        <w:t>University of Wales Trinity St David (2022) ‘Research Ethics &amp;</w:t>
      </w:r>
      <w:r w:rsidRPr="2BB0CB14">
        <w:rPr>
          <w:rFonts w:ascii="Calibri" w:hAnsi="Calibri" w:eastAsia="Calibri" w:cs="Calibri"/>
          <w:color w:val="000000" w:themeColor="text1"/>
        </w:rPr>
        <w:t xml:space="preserve"> Integrity Code of Practice’. Available at: </w:t>
      </w:r>
      <w:hyperlink r:id="rId22">
        <w:r w:rsidRPr="2BB0CB14">
          <w:rPr>
            <w:rStyle w:val="Hyperlink"/>
            <w:rFonts w:ascii="Calibri" w:hAnsi="Calibri" w:eastAsia="Calibri" w:cs="Calibri"/>
          </w:rPr>
          <w:t>file:///C:/Users/Rebecca%20Edwards/Downloads/REICoP-July-2022.pdf</w:t>
        </w:r>
      </w:hyperlink>
      <w:r w:rsidRPr="2BB0CB14">
        <w:rPr>
          <w:rFonts w:ascii="Calibri" w:hAnsi="Calibri" w:eastAsia="Calibri" w:cs="Calibri"/>
          <w:color w:val="000000" w:themeColor="text1"/>
        </w:rPr>
        <w:t xml:space="preserve"> </w:t>
      </w:r>
      <w:r w:rsidRPr="2BB0CB14">
        <w:rPr>
          <w:rFonts w:ascii="Calibri" w:hAnsi="Calibri" w:eastAsia="Calibri" w:cs="Calibri"/>
        </w:rPr>
        <w:t xml:space="preserve"> </w:t>
      </w:r>
    </w:p>
    <w:p w:rsidRPr="00457006" w:rsidR="2BB0CB14" w:rsidP="2BB0CB14" w:rsidRDefault="2BB0CB14" w14:paraId="45EEB962" w14:textId="7A987F0E">
      <w:pPr>
        <w:spacing w:after="0" w:line="276" w:lineRule="auto"/>
        <w:jc w:val="both"/>
        <w:rPr>
          <w:rFonts w:eastAsiaTheme="minorEastAsia"/>
        </w:rPr>
      </w:pPr>
    </w:p>
    <w:p w:rsidR="00457006" w:rsidP="2BB0CB14" w:rsidRDefault="00457006" w14:paraId="2896D224" w14:textId="0C97873B">
      <w:pPr>
        <w:spacing w:after="0" w:line="276" w:lineRule="auto"/>
        <w:jc w:val="both"/>
        <w:rPr>
          <w:rFonts w:eastAsiaTheme="minorEastAsia"/>
        </w:rPr>
      </w:pPr>
      <w:r w:rsidRPr="00457006">
        <w:rPr>
          <w:rFonts w:eastAsiaTheme="minorEastAsia"/>
        </w:rPr>
        <w:t>Wang, H.X. and Wang,</w:t>
      </w:r>
      <w:r>
        <w:rPr>
          <w:rFonts w:eastAsiaTheme="minorEastAsia"/>
        </w:rPr>
        <w:t xml:space="preserve"> Y.P. (2016) ‘Gut Microbiota-brain Axis’, </w:t>
      </w:r>
      <w:r>
        <w:rPr>
          <w:rFonts w:eastAsiaTheme="minorEastAsia"/>
          <w:i/>
          <w:iCs/>
        </w:rPr>
        <w:t>Chinese Medical Journal</w:t>
      </w:r>
      <w:r>
        <w:rPr>
          <w:rFonts w:eastAsiaTheme="minorEastAsia"/>
        </w:rPr>
        <w:t xml:space="preserve">, 129(19), pp. 2373-2380. Available at: </w:t>
      </w:r>
      <w:proofErr w:type="spellStart"/>
      <w:r>
        <w:rPr>
          <w:rFonts w:eastAsiaTheme="minorEastAsia"/>
        </w:rPr>
        <w:t>doi</w:t>
      </w:r>
      <w:proofErr w:type="spellEnd"/>
      <w:r>
        <w:rPr>
          <w:rFonts w:eastAsiaTheme="minorEastAsia"/>
        </w:rPr>
        <w:t>:</w:t>
      </w:r>
      <w:r w:rsidRPr="00457006">
        <w:t xml:space="preserve"> </w:t>
      </w:r>
      <w:r w:rsidRPr="00457006">
        <w:rPr>
          <w:rFonts w:eastAsiaTheme="minorEastAsia"/>
        </w:rPr>
        <w:t>10.4103/0366-6999.190667</w:t>
      </w:r>
    </w:p>
    <w:p w:rsidRPr="008E5436" w:rsidR="008E5436" w:rsidP="2BB0CB14" w:rsidRDefault="008E5436" w14:paraId="02D4EFE3" w14:textId="77777777">
      <w:pPr>
        <w:spacing w:after="0" w:line="276" w:lineRule="auto"/>
        <w:jc w:val="both"/>
        <w:rPr>
          <w:rFonts w:ascii="Calibri" w:hAnsi="Calibri" w:cs="Calibri" w:eastAsiaTheme="minorEastAsia"/>
        </w:rPr>
      </w:pPr>
    </w:p>
    <w:p w:rsidRPr="008E5436" w:rsidR="008E5436" w:rsidP="2BB0CB14" w:rsidRDefault="008E5436" w14:paraId="260D92B9" w14:textId="2B7E47D6">
      <w:pPr>
        <w:spacing w:after="0" w:line="276" w:lineRule="auto"/>
        <w:jc w:val="both"/>
        <w:rPr>
          <w:rFonts w:ascii="Calibri" w:hAnsi="Calibri" w:cs="Calibri" w:eastAsiaTheme="minorEastAsia"/>
        </w:rPr>
      </w:pPr>
      <w:r w:rsidRPr="008E5436">
        <w:rPr>
          <w:rFonts w:ascii="Calibri" w:hAnsi="Calibri" w:cs="Calibri" w:eastAsiaTheme="minorEastAsia"/>
        </w:rPr>
        <w:t xml:space="preserve">Zhou, </w:t>
      </w:r>
      <w:proofErr w:type="gramStart"/>
      <w:r w:rsidRPr="008E5436">
        <w:rPr>
          <w:rFonts w:ascii="Calibri" w:hAnsi="Calibri" w:cs="Calibri" w:eastAsiaTheme="minorEastAsia"/>
        </w:rPr>
        <w:t>Q.</w:t>
      </w:r>
      <w:proofErr w:type="gramEnd"/>
      <w:r w:rsidRPr="008E5436">
        <w:rPr>
          <w:rFonts w:ascii="Calibri" w:hAnsi="Calibri" w:cs="Calibri" w:eastAsiaTheme="minorEastAsia"/>
        </w:rPr>
        <w:t xml:space="preserve"> and Verne, G.N. (2011) ‘New insights into visceral hypersensitivity – clinical implications in IBS’, </w:t>
      </w:r>
      <w:r w:rsidRPr="008E5436">
        <w:rPr>
          <w:rFonts w:ascii="Calibri" w:hAnsi="Calibri" w:cs="Calibri" w:eastAsiaTheme="minorEastAsia"/>
          <w:i/>
          <w:iCs/>
        </w:rPr>
        <w:t>Nature Reviews Gastroenterology &amp; Hepatology</w:t>
      </w:r>
      <w:r w:rsidRPr="008E5436">
        <w:rPr>
          <w:rFonts w:ascii="Calibri" w:hAnsi="Calibri" w:cs="Calibri" w:eastAsiaTheme="minorEastAsia"/>
        </w:rPr>
        <w:t>, 8</w:t>
      </w:r>
      <w:r w:rsidR="00344686">
        <w:rPr>
          <w:rFonts w:ascii="Calibri" w:hAnsi="Calibri" w:cs="Calibri" w:eastAsiaTheme="minorEastAsia"/>
        </w:rPr>
        <w:t>(6)</w:t>
      </w:r>
      <w:r w:rsidRPr="008E5436">
        <w:rPr>
          <w:rFonts w:ascii="Calibri" w:hAnsi="Calibri" w:cs="Calibri" w:eastAsiaTheme="minorEastAsia"/>
        </w:rPr>
        <w:t xml:space="preserve">, pp. 349-355. Available at: </w:t>
      </w:r>
      <w:proofErr w:type="spellStart"/>
      <w:r w:rsidRPr="008E5436">
        <w:rPr>
          <w:rFonts w:ascii="Calibri" w:hAnsi="Calibri" w:cs="Calibri"/>
          <w:color w:val="1B1B1B"/>
          <w:shd w:val="clear" w:color="auto" w:fill="FFFFFF"/>
        </w:rPr>
        <w:t>doi</w:t>
      </w:r>
      <w:proofErr w:type="spellEnd"/>
      <w:r w:rsidRPr="008E5436">
        <w:rPr>
          <w:rFonts w:ascii="Calibri" w:hAnsi="Calibri" w:cs="Calibri"/>
          <w:color w:val="1B1B1B"/>
          <w:shd w:val="clear" w:color="auto" w:fill="FFFFFF"/>
        </w:rPr>
        <w:t>: </w:t>
      </w:r>
      <w:hyperlink w:tgtFrame="_blank" w:history="1" r:id="rId23">
        <w:r w:rsidRPr="008E5436">
          <w:rPr>
            <w:rStyle w:val="Hyperlink"/>
            <w:rFonts w:ascii="Calibri" w:hAnsi="Calibri" w:cs="Calibri"/>
            <w:color w:val="1A4480"/>
            <w:shd w:val="clear" w:color="auto" w:fill="FFFFFF"/>
          </w:rPr>
          <w:t>10.1038/nrgastro.2011.83</w:t>
        </w:r>
      </w:hyperlink>
    </w:p>
    <w:sectPr w:rsidRPr="008E5436" w:rsidR="008E543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C17C9"/>
    <w:multiLevelType w:val="hybridMultilevel"/>
    <w:tmpl w:val="7B6C415C"/>
    <w:lvl w:ilvl="0" w:tplc="A322F3D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342E64"/>
    <w:multiLevelType w:val="hybridMultilevel"/>
    <w:tmpl w:val="35EE4B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759D71"/>
    <w:multiLevelType w:val="hybridMultilevel"/>
    <w:tmpl w:val="3A7E7F38"/>
    <w:lvl w:ilvl="0" w:tplc="EB14F91E">
      <w:start w:val="1"/>
      <w:numFmt w:val="bullet"/>
      <w:lvlText w:val="-"/>
      <w:lvlJc w:val="left"/>
      <w:pPr>
        <w:ind w:left="720" w:hanging="360"/>
      </w:pPr>
      <w:rPr>
        <w:rFonts w:hint="default" w:ascii="Aptos" w:hAnsi="Aptos"/>
      </w:rPr>
    </w:lvl>
    <w:lvl w:ilvl="1" w:tplc="BE44C096">
      <w:start w:val="1"/>
      <w:numFmt w:val="bullet"/>
      <w:lvlText w:val="o"/>
      <w:lvlJc w:val="left"/>
      <w:pPr>
        <w:ind w:left="1440" w:hanging="360"/>
      </w:pPr>
      <w:rPr>
        <w:rFonts w:hint="default" w:ascii="Courier New" w:hAnsi="Courier New"/>
      </w:rPr>
    </w:lvl>
    <w:lvl w:ilvl="2" w:tplc="E6AC07D8">
      <w:start w:val="1"/>
      <w:numFmt w:val="bullet"/>
      <w:lvlText w:val=""/>
      <w:lvlJc w:val="left"/>
      <w:pPr>
        <w:ind w:left="2160" w:hanging="360"/>
      </w:pPr>
      <w:rPr>
        <w:rFonts w:hint="default" w:ascii="Wingdings" w:hAnsi="Wingdings"/>
      </w:rPr>
    </w:lvl>
    <w:lvl w:ilvl="3" w:tplc="6A828374">
      <w:start w:val="1"/>
      <w:numFmt w:val="bullet"/>
      <w:lvlText w:val=""/>
      <w:lvlJc w:val="left"/>
      <w:pPr>
        <w:ind w:left="2880" w:hanging="360"/>
      </w:pPr>
      <w:rPr>
        <w:rFonts w:hint="default" w:ascii="Symbol" w:hAnsi="Symbol"/>
      </w:rPr>
    </w:lvl>
    <w:lvl w:ilvl="4" w:tplc="5A7493B8">
      <w:start w:val="1"/>
      <w:numFmt w:val="bullet"/>
      <w:lvlText w:val="o"/>
      <w:lvlJc w:val="left"/>
      <w:pPr>
        <w:ind w:left="3600" w:hanging="360"/>
      </w:pPr>
      <w:rPr>
        <w:rFonts w:hint="default" w:ascii="Courier New" w:hAnsi="Courier New"/>
      </w:rPr>
    </w:lvl>
    <w:lvl w:ilvl="5" w:tplc="67EEAAE0">
      <w:start w:val="1"/>
      <w:numFmt w:val="bullet"/>
      <w:lvlText w:val=""/>
      <w:lvlJc w:val="left"/>
      <w:pPr>
        <w:ind w:left="4320" w:hanging="360"/>
      </w:pPr>
      <w:rPr>
        <w:rFonts w:hint="default" w:ascii="Wingdings" w:hAnsi="Wingdings"/>
      </w:rPr>
    </w:lvl>
    <w:lvl w:ilvl="6" w:tplc="D5221A52">
      <w:start w:val="1"/>
      <w:numFmt w:val="bullet"/>
      <w:lvlText w:val=""/>
      <w:lvlJc w:val="left"/>
      <w:pPr>
        <w:ind w:left="5040" w:hanging="360"/>
      </w:pPr>
      <w:rPr>
        <w:rFonts w:hint="default" w:ascii="Symbol" w:hAnsi="Symbol"/>
      </w:rPr>
    </w:lvl>
    <w:lvl w:ilvl="7" w:tplc="1220A852">
      <w:start w:val="1"/>
      <w:numFmt w:val="bullet"/>
      <w:lvlText w:val="o"/>
      <w:lvlJc w:val="left"/>
      <w:pPr>
        <w:ind w:left="5760" w:hanging="360"/>
      </w:pPr>
      <w:rPr>
        <w:rFonts w:hint="default" w:ascii="Courier New" w:hAnsi="Courier New"/>
      </w:rPr>
    </w:lvl>
    <w:lvl w:ilvl="8" w:tplc="D5989F4C">
      <w:start w:val="1"/>
      <w:numFmt w:val="bullet"/>
      <w:lvlText w:val=""/>
      <w:lvlJc w:val="left"/>
      <w:pPr>
        <w:ind w:left="6480" w:hanging="360"/>
      </w:pPr>
      <w:rPr>
        <w:rFonts w:hint="default" w:ascii="Wingdings" w:hAnsi="Wingdings"/>
      </w:rPr>
    </w:lvl>
  </w:abstractNum>
  <w:abstractNum w:abstractNumId="3" w15:restartNumberingAfterBreak="0">
    <w:nsid w:val="733627B1"/>
    <w:multiLevelType w:val="hybridMultilevel"/>
    <w:tmpl w:val="A1AE0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CF0C36"/>
    <w:multiLevelType w:val="hybridMultilevel"/>
    <w:tmpl w:val="C974DEE6"/>
    <w:lvl w:ilvl="0" w:tplc="2F646E6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63565411">
    <w:abstractNumId w:val="2"/>
  </w:num>
  <w:num w:numId="2" w16cid:durableId="1888183638">
    <w:abstractNumId w:val="0"/>
  </w:num>
  <w:num w:numId="3" w16cid:durableId="961568901">
    <w:abstractNumId w:val="4"/>
  </w:num>
  <w:num w:numId="4" w16cid:durableId="454300354">
    <w:abstractNumId w:val="3"/>
  </w:num>
  <w:num w:numId="5" w16cid:durableId="1515876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2B7"/>
    <w:rsid w:val="00000E09"/>
    <w:rsid w:val="000054A9"/>
    <w:rsid w:val="00020FD4"/>
    <w:rsid w:val="00026B47"/>
    <w:rsid w:val="000320FF"/>
    <w:rsid w:val="000351D7"/>
    <w:rsid w:val="00076F64"/>
    <w:rsid w:val="000A3B2C"/>
    <w:rsid w:val="000A6A24"/>
    <w:rsid w:val="000C0C84"/>
    <w:rsid w:val="000C3E55"/>
    <w:rsid w:val="000D3364"/>
    <w:rsid w:val="000D521F"/>
    <w:rsid w:val="000E24EF"/>
    <w:rsid w:val="00107F26"/>
    <w:rsid w:val="001261F9"/>
    <w:rsid w:val="00197BC0"/>
    <w:rsid w:val="001A0287"/>
    <w:rsid w:val="001D03DC"/>
    <w:rsid w:val="001D6EE3"/>
    <w:rsid w:val="001D7AE8"/>
    <w:rsid w:val="001E282D"/>
    <w:rsid w:val="00206C6E"/>
    <w:rsid w:val="00225351"/>
    <w:rsid w:val="00240AAD"/>
    <w:rsid w:val="002427E9"/>
    <w:rsid w:val="0024497B"/>
    <w:rsid w:val="00244BF8"/>
    <w:rsid w:val="00247110"/>
    <w:rsid w:val="0025669E"/>
    <w:rsid w:val="00270273"/>
    <w:rsid w:val="002804F4"/>
    <w:rsid w:val="002821DF"/>
    <w:rsid w:val="00293632"/>
    <w:rsid w:val="0029773C"/>
    <w:rsid w:val="002C2B15"/>
    <w:rsid w:val="003048EC"/>
    <w:rsid w:val="003062F0"/>
    <w:rsid w:val="00311001"/>
    <w:rsid w:val="00321D40"/>
    <w:rsid w:val="00344686"/>
    <w:rsid w:val="00353432"/>
    <w:rsid w:val="00374D84"/>
    <w:rsid w:val="00377D7E"/>
    <w:rsid w:val="00381CDF"/>
    <w:rsid w:val="00386BF7"/>
    <w:rsid w:val="003E7904"/>
    <w:rsid w:val="00402A22"/>
    <w:rsid w:val="00420427"/>
    <w:rsid w:val="004439A5"/>
    <w:rsid w:val="00447D41"/>
    <w:rsid w:val="00457006"/>
    <w:rsid w:val="00475AF0"/>
    <w:rsid w:val="00487342"/>
    <w:rsid w:val="004C406D"/>
    <w:rsid w:val="00515B69"/>
    <w:rsid w:val="0056677A"/>
    <w:rsid w:val="00586E65"/>
    <w:rsid w:val="005B1C3C"/>
    <w:rsid w:val="005B3EDA"/>
    <w:rsid w:val="005D0C5F"/>
    <w:rsid w:val="005F0678"/>
    <w:rsid w:val="0060128A"/>
    <w:rsid w:val="00622A9A"/>
    <w:rsid w:val="00632431"/>
    <w:rsid w:val="0067791E"/>
    <w:rsid w:val="006D04A4"/>
    <w:rsid w:val="006E1EB1"/>
    <w:rsid w:val="006F1BC5"/>
    <w:rsid w:val="007115D7"/>
    <w:rsid w:val="00747B1A"/>
    <w:rsid w:val="00766609"/>
    <w:rsid w:val="00774650"/>
    <w:rsid w:val="00777011"/>
    <w:rsid w:val="007C0570"/>
    <w:rsid w:val="007C27D4"/>
    <w:rsid w:val="007F5B0C"/>
    <w:rsid w:val="007F6368"/>
    <w:rsid w:val="00800B33"/>
    <w:rsid w:val="008063DD"/>
    <w:rsid w:val="00812098"/>
    <w:rsid w:val="00826D94"/>
    <w:rsid w:val="00837FDE"/>
    <w:rsid w:val="00880EBA"/>
    <w:rsid w:val="008B33B5"/>
    <w:rsid w:val="008E5436"/>
    <w:rsid w:val="008F645B"/>
    <w:rsid w:val="00904C87"/>
    <w:rsid w:val="00911064"/>
    <w:rsid w:val="00960675"/>
    <w:rsid w:val="00967E4E"/>
    <w:rsid w:val="00972541"/>
    <w:rsid w:val="00984A3C"/>
    <w:rsid w:val="00993BBA"/>
    <w:rsid w:val="009B4AED"/>
    <w:rsid w:val="009C5A84"/>
    <w:rsid w:val="009D14E7"/>
    <w:rsid w:val="009D6156"/>
    <w:rsid w:val="00A03E2D"/>
    <w:rsid w:val="00A0672F"/>
    <w:rsid w:val="00A226CB"/>
    <w:rsid w:val="00A26262"/>
    <w:rsid w:val="00A26E7E"/>
    <w:rsid w:val="00A60F3A"/>
    <w:rsid w:val="00A74A3F"/>
    <w:rsid w:val="00A75077"/>
    <w:rsid w:val="00AA006D"/>
    <w:rsid w:val="00AB68DC"/>
    <w:rsid w:val="00AE4F3D"/>
    <w:rsid w:val="00B11F7F"/>
    <w:rsid w:val="00B143DF"/>
    <w:rsid w:val="00B17C01"/>
    <w:rsid w:val="00B25282"/>
    <w:rsid w:val="00B574E6"/>
    <w:rsid w:val="00B95824"/>
    <w:rsid w:val="00BA28C5"/>
    <w:rsid w:val="00BC5376"/>
    <w:rsid w:val="00BD2FA3"/>
    <w:rsid w:val="00BF5497"/>
    <w:rsid w:val="00C86252"/>
    <w:rsid w:val="00CA06ED"/>
    <w:rsid w:val="00CB1474"/>
    <w:rsid w:val="00CB7564"/>
    <w:rsid w:val="00CC1239"/>
    <w:rsid w:val="00CF238E"/>
    <w:rsid w:val="00CF5848"/>
    <w:rsid w:val="00CF590C"/>
    <w:rsid w:val="00D15758"/>
    <w:rsid w:val="00D20E51"/>
    <w:rsid w:val="00D343FC"/>
    <w:rsid w:val="00D37074"/>
    <w:rsid w:val="00D81705"/>
    <w:rsid w:val="00DC5A61"/>
    <w:rsid w:val="00DE02B7"/>
    <w:rsid w:val="00DE4BBA"/>
    <w:rsid w:val="00DF14D2"/>
    <w:rsid w:val="00E12AC1"/>
    <w:rsid w:val="00E1767E"/>
    <w:rsid w:val="00E46EA0"/>
    <w:rsid w:val="00E72F14"/>
    <w:rsid w:val="00EA6855"/>
    <w:rsid w:val="00F01F32"/>
    <w:rsid w:val="00F278FE"/>
    <w:rsid w:val="00F35148"/>
    <w:rsid w:val="00F51CD7"/>
    <w:rsid w:val="00F54CB7"/>
    <w:rsid w:val="00F66910"/>
    <w:rsid w:val="00F67CF2"/>
    <w:rsid w:val="00F71070"/>
    <w:rsid w:val="00F766A9"/>
    <w:rsid w:val="00F77DA2"/>
    <w:rsid w:val="00F81700"/>
    <w:rsid w:val="00F82C78"/>
    <w:rsid w:val="00FA06CC"/>
    <w:rsid w:val="00FB01B4"/>
    <w:rsid w:val="00FB6605"/>
    <w:rsid w:val="127DF2B4"/>
    <w:rsid w:val="2BB0CB14"/>
    <w:rsid w:val="302478FF"/>
    <w:rsid w:val="48469D77"/>
    <w:rsid w:val="6FA49747"/>
    <w:rsid w:val="7C60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BA9E4"/>
  <w15:chartTrackingRefBased/>
  <w15:docId w15:val="{9E9AF6EA-C92B-47CA-BF3F-A0335DB97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93BBA"/>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FollowedHyperlink">
    <w:name w:val="FollowedHyperlink"/>
    <w:basedOn w:val="DefaultParagraphFont"/>
    <w:uiPriority w:val="99"/>
    <w:semiHidden/>
    <w:unhideWhenUsed/>
    <w:rsid w:val="007115D7"/>
    <w:rPr>
      <w:color w:val="954F72" w:themeColor="followedHyperlink"/>
      <w:u w:val="single"/>
    </w:rPr>
  </w:style>
  <w:style w:type="character" w:styleId="UnresolvedMention">
    <w:name w:val="Unresolved Mention"/>
    <w:basedOn w:val="DefaultParagraphFont"/>
    <w:uiPriority w:val="99"/>
    <w:semiHidden/>
    <w:unhideWhenUsed/>
    <w:rsid w:val="00F278FE"/>
    <w:rPr>
      <w:color w:val="605E5C"/>
      <w:shd w:val="clear" w:color="auto" w:fill="E1DFDD"/>
    </w:rPr>
  </w:style>
  <w:style w:type="character" w:styleId="anchor-text" w:customStyle="1">
    <w:name w:val="anchor-text"/>
    <w:basedOn w:val="DefaultParagraphFont"/>
    <w:rsid w:val="00F76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doi.org/10.2147/CLEP.S40245" TargetMode="External" Id="rId8" /><Relationship Type="http://schemas.openxmlformats.org/officeDocument/2006/relationships/hyperlink" Target="https://doi.org/10.1016/j.brat.2004.06.018" TargetMode="External" Id="rId13" /><Relationship Type="http://schemas.openxmlformats.org/officeDocument/2006/relationships/hyperlink" Target="https://cks.nice.org.uk/topics/irritable-bowel-syndrome/background-information/prevalence/" TargetMode="External" Id="rId18" /><Relationship Type="http://schemas.openxmlformats.org/officeDocument/2006/relationships/settings" Target="settings.xml" Id="rId3" /><Relationship Type="http://schemas.openxmlformats.org/officeDocument/2006/relationships/hyperlink" Target="https://doi.org/10.1007/s11606-014-3089-1" TargetMode="External" Id="rId21" /><Relationship Type="http://schemas.openxmlformats.org/officeDocument/2006/relationships/hyperlink" Target="https://doi.org/10.1111/j.1440-1746.2004.03508.x" TargetMode="External" Id="rId7" /><Relationship Type="http://schemas.openxmlformats.org/officeDocument/2006/relationships/hyperlink" Target="https://doi.org/10.1111/j.1443-9573.2004.00168.x" TargetMode="External" Id="rId12" /><Relationship Type="http://schemas.openxmlformats.org/officeDocument/2006/relationships/hyperlink" Target="https://www.nhs.uk/conditions/irritable-bowel-syndrome-ibs/"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www.cancer.gov/publications/dictionaries/cancer-terms/def/gastrointestinal-tract" TargetMode="External" Id="rId16" /><Relationship Type="http://schemas.openxmlformats.org/officeDocument/2006/relationships/hyperlink" Target="https://doi.org/10.1016/j.jbusres.2019.07.039" TargetMode="External" Id="rId20"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hyperlink" Target="https://doi.org/10.1007/s11064-014-1266-6" TargetMode="External" Id="rId11" /><Relationship Type="http://schemas.openxmlformats.org/officeDocument/2006/relationships/fontTable" Target="fontTable.xml" Id="rId24" /><Relationship Type="http://schemas.openxmlformats.org/officeDocument/2006/relationships/image" Target="media/image1.jpg" Id="rId5" /><Relationship Type="http://schemas.openxmlformats.org/officeDocument/2006/relationships/hyperlink" Target="https://doi.org/10.1016/j.pain.2013.12.010" TargetMode="External" Id="rId15" /><Relationship Type="http://schemas.openxmlformats.org/officeDocument/2006/relationships/hyperlink" Target="https://doi.org/10.1038/nrgastro.2011.83" TargetMode="External" Id="rId23" /><Relationship Type="http://schemas.openxmlformats.org/officeDocument/2006/relationships/hyperlink" Target="https://my.clevelandclinic.org/health/diseases/22997-visceral-hypersensitivity" TargetMode="External" Id="rId10" /><Relationship Type="http://schemas.openxmlformats.org/officeDocument/2006/relationships/hyperlink" Target="https://doi.org/10.12968/bjha.2021.15.3.132" TargetMode="External" Id="rId19" /><Relationship Type="http://schemas.openxmlformats.org/officeDocument/2006/relationships/webSettings" Target="webSettings.xml" Id="rId4" /><Relationship Type="http://schemas.openxmlformats.org/officeDocument/2006/relationships/hyperlink" Target="https://doi.org/10.1053/j.gastro.2021.07.034" TargetMode="External" Id="rId9" /><Relationship Type="http://schemas.openxmlformats.org/officeDocument/2006/relationships/hyperlink" Target="https://doi.org/10.1038/nrgastro.2015.121" TargetMode="External" Id="rId14" /><Relationship Type="http://schemas.openxmlformats.org/officeDocument/2006/relationships/hyperlink" Target="file:///C:/Users/Rebecca%20Edwards/Downloads/REICoP-July-2022.pdf" TargetMode="Externa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Ashworth (2104770)</dc:creator>
  <keywords/>
  <dc:description/>
  <lastModifiedBy>Rebecca Ashworth</lastModifiedBy>
  <revision>3</revision>
  <dcterms:created xsi:type="dcterms:W3CDTF">2025-01-28T14:52:00.0000000Z</dcterms:created>
  <dcterms:modified xsi:type="dcterms:W3CDTF">2025-01-29T15:47:33.0387843Z</dcterms:modified>
</coreProperties>
</file>