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277A1" w14:textId="77777777" w:rsidR="00417CCD" w:rsidRDefault="00417CCD">
      <w:pPr>
        <w:spacing w:after="80"/>
        <w:jc w:val="left"/>
      </w:pPr>
      <w:r>
        <w:rPr>
          <w:noProof/>
        </w:rPr>
        <w:drawing>
          <wp:inline distT="0" distB="0" distL="0" distR="0" wp14:anchorId="5038AB51" wp14:editId="29112123">
            <wp:extent cx="1874519" cy="7498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1874519" cy="749808"/>
                    </a:xfrm>
                    <a:prstGeom prst="rect">
                      <a:avLst/>
                    </a:prstGeom>
                  </pic:spPr>
                </pic:pic>
              </a:graphicData>
            </a:graphic>
          </wp:inline>
        </w:drawing>
      </w:r>
    </w:p>
    <w:p w14:paraId="256442E4" w14:textId="77777777" w:rsidR="00417CCD" w:rsidRDefault="00417CCD">
      <w:pPr>
        <w:spacing w:after="0" w:line="240" w:lineRule="auto"/>
      </w:pPr>
    </w:p>
    <w:p w14:paraId="1266F1C8" w14:textId="77777777" w:rsidR="00417CCD" w:rsidRDefault="00417CCD">
      <w:pPr>
        <w:spacing w:after="0" w:line="240" w:lineRule="auto"/>
      </w:pPr>
    </w:p>
    <w:p w14:paraId="12564E0A" w14:textId="77777777" w:rsidR="00417CCD" w:rsidRDefault="00000000">
      <w:pPr>
        <w:spacing w:after="200"/>
        <w:jc w:val="center"/>
      </w:pPr>
      <w:r>
        <w:rPr>
          <w:b/>
          <w:sz w:val="28"/>
        </w:rPr>
        <w:t>UNIVERSITY OF WALES TRINITY SAINT DAVID</w:t>
      </w:r>
    </w:p>
    <w:p w14:paraId="13FC9AF2" w14:textId="77777777" w:rsidR="00417CCD" w:rsidRDefault="00000000">
      <w:pPr>
        <w:spacing w:before="280" w:after="200"/>
        <w:jc w:val="center"/>
      </w:pPr>
      <w:r>
        <w:rPr>
          <w:b/>
        </w:rPr>
        <w:t>BSc Health and Social Care</w:t>
      </w:r>
    </w:p>
    <w:p w14:paraId="5CD0EA10" w14:textId="77777777" w:rsidR="00417CCD" w:rsidRDefault="00000000">
      <w:pPr>
        <w:spacing w:before="560" w:after="160"/>
        <w:jc w:val="center"/>
      </w:pPr>
      <w:r>
        <w:rPr>
          <w:b/>
          <w:sz w:val="36"/>
        </w:rPr>
        <w:t>ADOLESCENT ASTHMA</w:t>
      </w:r>
    </w:p>
    <w:p w14:paraId="55B051D6" w14:textId="77777777" w:rsidR="00417CCD" w:rsidRDefault="00000000">
      <w:pPr>
        <w:spacing w:after="200"/>
        <w:jc w:val="center"/>
      </w:pPr>
      <w:r>
        <w:rPr>
          <w:b/>
          <w:sz w:val="26"/>
        </w:rPr>
        <w:t>Respiratory Physiology, Irritant-Induced Airway Inflammation and Safe Self-Management</w:t>
      </w:r>
    </w:p>
    <w:tbl>
      <w:tblPr>
        <w:tblStyle w:val="TableGridLight"/>
        <w:tblW w:w="0" w:type="auto"/>
        <w:tblLayout w:type="fixed"/>
        <w:tblLook w:val="04A0" w:firstRow="1" w:lastRow="0" w:firstColumn="1" w:lastColumn="0" w:noHBand="0" w:noVBand="1"/>
      </w:tblPr>
      <w:tblGrid>
        <w:gridCol w:w="4513"/>
        <w:gridCol w:w="4513"/>
      </w:tblGrid>
      <w:tr w:rsidR="00417CCD" w14:paraId="6EF1A7A8" w14:textId="77777777" w:rsidTr="00103FB7">
        <w:tc>
          <w:tcPr>
            <w:tcW w:w="4513" w:type="dxa"/>
          </w:tcPr>
          <w:p w14:paraId="68405967" w14:textId="77777777" w:rsidR="000E151B" w:rsidRDefault="00000000">
            <w:r>
              <w:rPr>
                <w:b/>
                <w:sz w:val="22"/>
              </w:rPr>
              <w:t>Student name:</w:t>
            </w:r>
          </w:p>
        </w:tc>
        <w:tc>
          <w:tcPr>
            <w:tcW w:w="4513" w:type="dxa"/>
          </w:tcPr>
          <w:p w14:paraId="07B2BC62" w14:textId="77777777" w:rsidR="000E151B" w:rsidRDefault="00000000">
            <w:r>
              <w:rPr>
                <w:sz w:val="22"/>
              </w:rPr>
              <w:t>LISDALIA INSUMBO ANTÓNIO BIAGUE</w:t>
            </w:r>
          </w:p>
        </w:tc>
      </w:tr>
      <w:tr w:rsidR="00417CCD" w14:paraId="48A922CA" w14:textId="77777777" w:rsidTr="00103FB7">
        <w:tc>
          <w:tcPr>
            <w:tcW w:w="4513" w:type="dxa"/>
          </w:tcPr>
          <w:p w14:paraId="47B9D0BE" w14:textId="77777777" w:rsidR="000E151B" w:rsidRDefault="00000000">
            <w:r>
              <w:rPr>
                <w:b/>
                <w:sz w:val="22"/>
              </w:rPr>
              <w:t>Student ID:</w:t>
            </w:r>
          </w:p>
        </w:tc>
        <w:tc>
          <w:tcPr>
            <w:tcW w:w="4513" w:type="dxa"/>
          </w:tcPr>
          <w:p w14:paraId="3E89D47A" w14:textId="77777777" w:rsidR="000E151B" w:rsidRDefault="00000000">
            <w:r>
              <w:rPr>
                <w:sz w:val="22"/>
              </w:rPr>
              <w:t>2425890</w:t>
            </w:r>
          </w:p>
        </w:tc>
      </w:tr>
      <w:tr w:rsidR="00417CCD" w14:paraId="32ABE947" w14:textId="77777777" w:rsidTr="00103FB7">
        <w:tc>
          <w:tcPr>
            <w:tcW w:w="4513" w:type="dxa"/>
          </w:tcPr>
          <w:p w14:paraId="1BA86A63" w14:textId="77777777" w:rsidR="000E151B" w:rsidRDefault="00000000">
            <w:r>
              <w:rPr>
                <w:b/>
                <w:sz w:val="22"/>
              </w:rPr>
              <w:t>Module name:</w:t>
            </w:r>
          </w:p>
        </w:tc>
        <w:tc>
          <w:tcPr>
            <w:tcW w:w="4513" w:type="dxa"/>
          </w:tcPr>
          <w:p w14:paraId="27062AFD" w14:textId="77777777" w:rsidR="000E151B" w:rsidRDefault="00000000">
            <w:r>
              <w:rPr>
                <w:sz w:val="22"/>
              </w:rPr>
              <w:t>Introduction to Physiology</w:t>
            </w:r>
          </w:p>
        </w:tc>
      </w:tr>
      <w:tr w:rsidR="00417CCD" w14:paraId="10004B4D" w14:textId="77777777" w:rsidTr="00103FB7">
        <w:tc>
          <w:tcPr>
            <w:tcW w:w="4513" w:type="dxa"/>
          </w:tcPr>
          <w:p w14:paraId="08211992" w14:textId="77777777" w:rsidR="000E151B" w:rsidRDefault="00000000">
            <w:r>
              <w:rPr>
                <w:b/>
                <w:sz w:val="22"/>
              </w:rPr>
              <w:t>Module code:</w:t>
            </w:r>
          </w:p>
        </w:tc>
        <w:tc>
          <w:tcPr>
            <w:tcW w:w="4513" w:type="dxa"/>
          </w:tcPr>
          <w:p w14:paraId="78DEA22B" w14:textId="77777777" w:rsidR="000E151B" w:rsidRDefault="00000000">
            <w:r>
              <w:rPr>
                <w:sz w:val="22"/>
              </w:rPr>
              <w:t>BMHP5023</w:t>
            </w:r>
          </w:p>
        </w:tc>
      </w:tr>
      <w:tr w:rsidR="00417CCD" w14:paraId="2D3E5D74" w14:textId="77777777" w:rsidTr="00103FB7">
        <w:tc>
          <w:tcPr>
            <w:tcW w:w="4513" w:type="dxa"/>
          </w:tcPr>
          <w:p w14:paraId="7655903A" w14:textId="77777777" w:rsidR="000E151B" w:rsidRDefault="00000000">
            <w:r>
              <w:rPr>
                <w:b/>
                <w:sz w:val="22"/>
              </w:rPr>
              <w:t>Lecturer name:</w:t>
            </w:r>
          </w:p>
        </w:tc>
        <w:tc>
          <w:tcPr>
            <w:tcW w:w="4513" w:type="dxa"/>
          </w:tcPr>
          <w:p w14:paraId="4B8AF74F" w14:textId="77777777" w:rsidR="000E151B" w:rsidRDefault="00000000">
            <w:r>
              <w:rPr>
                <w:sz w:val="22"/>
              </w:rPr>
              <w:t>____________________________</w:t>
            </w:r>
          </w:p>
        </w:tc>
      </w:tr>
      <w:tr w:rsidR="000E151B" w14:paraId="2B1C3F2D" w14:textId="77777777" w:rsidTr="00103FB7">
        <w:tc>
          <w:tcPr>
            <w:tcW w:w="4513" w:type="dxa"/>
          </w:tcPr>
          <w:p w14:paraId="4C93F71E" w14:textId="77777777" w:rsidR="000E151B" w:rsidRDefault="00000000">
            <w:r>
              <w:rPr>
                <w:b/>
                <w:sz w:val="22"/>
              </w:rPr>
              <w:t>Assessment:</w:t>
            </w:r>
          </w:p>
        </w:tc>
        <w:tc>
          <w:tcPr>
            <w:tcW w:w="4513" w:type="dxa"/>
          </w:tcPr>
          <w:p w14:paraId="637C1AC7" w14:textId="77777777" w:rsidR="000E151B" w:rsidRDefault="00000000">
            <w:r>
              <w:rPr>
                <w:sz w:val="22"/>
              </w:rPr>
              <w:t>Component 1 – Written Assignment (Case Study 2)</w:t>
            </w:r>
          </w:p>
        </w:tc>
      </w:tr>
    </w:tbl>
    <w:p w14:paraId="75B076FD" w14:textId="77777777" w:rsidR="00286A87" w:rsidRPr="00286A87" w:rsidRDefault="00286A87" w:rsidP="00286A87">
      <w:pPr>
        <w:spacing w:after="200" w:line="276" w:lineRule="auto"/>
        <w:jc w:val="left"/>
        <w:rPr>
          <w:b/>
          <w:color w:val="000000"/>
          <w:sz w:val="26"/>
        </w:rPr>
      </w:pPr>
    </w:p>
    <w:p w14:paraId="0DD1B95B" w14:textId="77777777" w:rsidR="00286A87" w:rsidRDefault="00286A87" w:rsidP="00286A87">
      <w:pPr>
        <w:tabs>
          <w:tab w:val="left" w:pos="1200"/>
        </w:tabs>
        <w:spacing w:after="200" w:line="276" w:lineRule="auto"/>
        <w:jc w:val="left"/>
        <w:rPr>
          <w:b/>
          <w:color w:val="000000"/>
          <w:sz w:val="26"/>
        </w:rPr>
      </w:pPr>
      <w:r w:rsidRPr="00286A87">
        <w:br w:type="page"/>
      </w:r>
      <w:r>
        <w:lastRenderedPageBreak/>
        <w:tab/>
      </w:r>
    </w:p>
    <w:p w14:paraId="41C08BD6" w14:textId="77777777" w:rsidR="000E151B" w:rsidRDefault="00000000">
      <w:pPr>
        <w:spacing w:after="240"/>
        <w:jc w:val="left"/>
      </w:pPr>
      <w:r>
        <w:rPr>
          <w:b/>
          <w:sz w:val="28"/>
        </w:rPr>
        <w:t>Table of Contents</w:t>
      </w:r>
    </w:p>
    <w:tbl>
      <w:tblPr>
        <w:tblW w:w="0" w:type="auto"/>
        <w:tblBorders>
          <w:top w:val="nil"/>
          <w:left w:val="nil"/>
          <w:bottom w:val="nil"/>
          <w:right w:val="nil"/>
          <w:insideH w:val="nil"/>
          <w:insideV w:val="nil"/>
        </w:tblBorders>
        <w:tblLayout w:type="fixed"/>
        <w:tblLook w:val="04A0" w:firstRow="1" w:lastRow="0" w:firstColumn="1" w:lastColumn="0" w:noHBand="0" w:noVBand="1"/>
      </w:tblPr>
      <w:tblGrid>
        <w:gridCol w:w="9216"/>
        <w:gridCol w:w="720"/>
      </w:tblGrid>
      <w:tr w:rsidR="000E151B" w14:paraId="070F3E17" w14:textId="77777777">
        <w:tc>
          <w:tcPr>
            <w:tcW w:w="9216" w:type="dxa"/>
          </w:tcPr>
          <w:p w14:paraId="12C157ED" w14:textId="77777777" w:rsidR="000E151B" w:rsidRDefault="00000000">
            <w:pPr>
              <w:spacing w:after="80" w:line="276" w:lineRule="auto"/>
              <w:jc w:val="left"/>
            </w:pPr>
            <w:r>
              <w:t>1. Introduction</w:t>
            </w:r>
          </w:p>
        </w:tc>
        <w:tc>
          <w:tcPr>
            <w:tcW w:w="720" w:type="dxa"/>
          </w:tcPr>
          <w:p w14:paraId="1E56E801" w14:textId="77777777" w:rsidR="000E151B" w:rsidRDefault="00000000">
            <w:pPr>
              <w:spacing w:after="80"/>
              <w:jc w:val="right"/>
            </w:pPr>
            <w:r>
              <w:t>3</w:t>
            </w:r>
          </w:p>
        </w:tc>
      </w:tr>
      <w:tr w:rsidR="000E151B" w14:paraId="1F7FF965" w14:textId="77777777">
        <w:tc>
          <w:tcPr>
            <w:tcW w:w="9216" w:type="dxa"/>
          </w:tcPr>
          <w:p w14:paraId="6ECDB605" w14:textId="77777777" w:rsidR="000E151B" w:rsidRDefault="00000000">
            <w:pPr>
              <w:spacing w:after="80" w:line="276" w:lineRule="auto"/>
              <w:jc w:val="left"/>
            </w:pPr>
            <w:r>
              <w:t>2. The Structure of the Respiratory System and Mechanical Respiration</w:t>
            </w:r>
          </w:p>
        </w:tc>
        <w:tc>
          <w:tcPr>
            <w:tcW w:w="720" w:type="dxa"/>
          </w:tcPr>
          <w:p w14:paraId="64CCCA76" w14:textId="77777777" w:rsidR="000E151B" w:rsidRDefault="00000000">
            <w:pPr>
              <w:spacing w:after="80"/>
              <w:jc w:val="right"/>
            </w:pPr>
            <w:r>
              <w:t>3</w:t>
            </w:r>
          </w:p>
        </w:tc>
      </w:tr>
      <w:tr w:rsidR="000E151B" w14:paraId="58A6A0E0" w14:textId="77777777">
        <w:tc>
          <w:tcPr>
            <w:tcW w:w="9216" w:type="dxa"/>
          </w:tcPr>
          <w:p w14:paraId="0B8F5A15" w14:textId="77777777" w:rsidR="000E151B" w:rsidRDefault="00000000">
            <w:pPr>
              <w:spacing w:after="80" w:line="276" w:lineRule="auto"/>
              <w:ind w:left="288"/>
              <w:jc w:val="left"/>
            </w:pPr>
            <w:r>
              <w:t>2.1 Structure of the Respiratory System</w:t>
            </w:r>
          </w:p>
        </w:tc>
        <w:tc>
          <w:tcPr>
            <w:tcW w:w="720" w:type="dxa"/>
          </w:tcPr>
          <w:p w14:paraId="157F888F" w14:textId="77777777" w:rsidR="000E151B" w:rsidRDefault="00000000">
            <w:pPr>
              <w:spacing w:after="80"/>
              <w:jc w:val="right"/>
            </w:pPr>
            <w:r>
              <w:t>3</w:t>
            </w:r>
          </w:p>
        </w:tc>
      </w:tr>
      <w:tr w:rsidR="000E151B" w14:paraId="15F02233" w14:textId="77777777">
        <w:tc>
          <w:tcPr>
            <w:tcW w:w="9216" w:type="dxa"/>
          </w:tcPr>
          <w:p w14:paraId="0B76A3CB" w14:textId="77777777" w:rsidR="000E151B" w:rsidRDefault="00000000">
            <w:pPr>
              <w:spacing w:after="80" w:line="276" w:lineRule="auto"/>
              <w:ind w:left="288"/>
              <w:jc w:val="left"/>
            </w:pPr>
            <w:r>
              <w:t>2.2 Mechanical Respiration</w:t>
            </w:r>
          </w:p>
        </w:tc>
        <w:tc>
          <w:tcPr>
            <w:tcW w:w="720" w:type="dxa"/>
          </w:tcPr>
          <w:p w14:paraId="6176643B" w14:textId="77777777" w:rsidR="000E151B" w:rsidRDefault="00000000">
            <w:pPr>
              <w:spacing w:after="80"/>
              <w:jc w:val="right"/>
            </w:pPr>
            <w:r>
              <w:t>4</w:t>
            </w:r>
          </w:p>
        </w:tc>
      </w:tr>
      <w:tr w:rsidR="000E151B" w14:paraId="61BEF43C" w14:textId="77777777">
        <w:tc>
          <w:tcPr>
            <w:tcW w:w="9216" w:type="dxa"/>
          </w:tcPr>
          <w:p w14:paraId="385CAE2F" w14:textId="77777777" w:rsidR="000E151B" w:rsidRDefault="00000000">
            <w:pPr>
              <w:spacing w:after="80" w:line="276" w:lineRule="auto"/>
              <w:jc w:val="left"/>
            </w:pPr>
            <w:r>
              <w:t>3. Gas Exchange in the Lungs</w:t>
            </w:r>
          </w:p>
        </w:tc>
        <w:tc>
          <w:tcPr>
            <w:tcW w:w="720" w:type="dxa"/>
          </w:tcPr>
          <w:p w14:paraId="569308A1" w14:textId="77777777" w:rsidR="000E151B" w:rsidRDefault="00000000">
            <w:pPr>
              <w:spacing w:after="80"/>
              <w:jc w:val="right"/>
            </w:pPr>
            <w:r>
              <w:t>5</w:t>
            </w:r>
          </w:p>
        </w:tc>
      </w:tr>
      <w:tr w:rsidR="000E151B" w14:paraId="6F3427B3" w14:textId="77777777">
        <w:tc>
          <w:tcPr>
            <w:tcW w:w="9216" w:type="dxa"/>
          </w:tcPr>
          <w:p w14:paraId="75AC8347" w14:textId="77777777" w:rsidR="000E151B" w:rsidRDefault="00000000">
            <w:pPr>
              <w:spacing w:after="80" w:line="276" w:lineRule="auto"/>
              <w:jc w:val="left"/>
            </w:pPr>
            <w:r>
              <w:t>4. How Irritants Cause Inflammation and Affect Breathing</w:t>
            </w:r>
          </w:p>
        </w:tc>
        <w:tc>
          <w:tcPr>
            <w:tcW w:w="720" w:type="dxa"/>
          </w:tcPr>
          <w:p w14:paraId="763520B1" w14:textId="77777777" w:rsidR="000E151B" w:rsidRDefault="00000000">
            <w:pPr>
              <w:spacing w:after="80"/>
              <w:jc w:val="right"/>
            </w:pPr>
            <w:r>
              <w:t>6</w:t>
            </w:r>
          </w:p>
        </w:tc>
      </w:tr>
      <w:tr w:rsidR="000E151B" w14:paraId="2BA81120" w14:textId="77777777">
        <w:tc>
          <w:tcPr>
            <w:tcW w:w="9216" w:type="dxa"/>
          </w:tcPr>
          <w:p w14:paraId="3EE3F28B" w14:textId="77777777" w:rsidR="000E151B" w:rsidRDefault="00000000">
            <w:pPr>
              <w:spacing w:after="80" w:line="276" w:lineRule="auto"/>
              <w:jc w:val="left"/>
            </w:pPr>
            <w:r>
              <w:t>5. Recording and Tracking Respiratory Function</w:t>
            </w:r>
          </w:p>
        </w:tc>
        <w:tc>
          <w:tcPr>
            <w:tcW w:w="720" w:type="dxa"/>
          </w:tcPr>
          <w:p w14:paraId="49DC835B" w14:textId="77777777" w:rsidR="000E151B" w:rsidRDefault="00000000">
            <w:pPr>
              <w:spacing w:after="80"/>
              <w:jc w:val="right"/>
            </w:pPr>
            <w:r>
              <w:t>7</w:t>
            </w:r>
          </w:p>
        </w:tc>
      </w:tr>
      <w:tr w:rsidR="000E151B" w14:paraId="348BB797" w14:textId="77777777">
        <w:tc>
          <w:tcPr>
            <w:tcW w:w="9216" w:type="dxa"/>
          </w:tcPr>
          <w:p w14:paraId="69A5D502" w14:textId="77777777" w:rsidR="000E151B" w:rsidRDefault="00000000">
            <w:pPr>
              <w:spacing w:after="80" w:line="276" w:lineRule="auto"/>
              <w:jc w:val="left"/>
            </w:pPr>
            <w:r>
              <w:t>6. Evidence-Based Lifestyle Recommendations</w:t>
            </w:r>
          </w:p>
        </w:tc>
        <w:tc>
          <w:tcPr>
            <w:tcW w:w="720" w:type="dxa"/>
          </w:tcPr>
          <w:p w14:paraId="19E9AC82" w14:textId="77777777" w:rsidR="000E151B" w:rsidRDefault="00000000">
            <w:pPr>
              <w:spacing w:after="80"/>
              <w:jc w:val="right"/>
            </w:pPr>
            <w:r>
              <w:t>8</w:t>
            </w:r>
          </w:p>
        </w:tc>
      </w:tr>
      <w:tr w:rsidR="000E151B" w14:paraId="53E61411" w14:textId="77777777">
        <w:tc>
          <w:tcPr>
            <w:tcW w:w="9216" w:type="dxa"/>
          </w:tcPr>
          <w:p w14:paraId="6F0EF6D1" w14:textId="77777777" w:rsidR="000E151B" w:rsidRDefault="00000000">
            <w:pPr>
              <w:spacing w:after="80" w:line="276" w:lineRule="auto"/>
              <w:jc w:val="left"/>
            </w:pPr>
            <w:r>
              <w:t>7. Conclusion</w:t>
            </w:r>
          </w:p>
        </w:tc>
        <w:tc>
          <w:tcPr>
            <w:tcW w:w="720" w:type="dxa"/>
          </w:tcPr>
          <w:p w14:paraId="2C1F9D66" w14:textId="77777777" w:rsidR="000E151B" w:rsidRDefault="00000000">
            <w:pPr>
              <w:spacing w:after="80"/>
              <w:jc w:val="right"/>
            </w:pPr>
            <w:r>
              <w:t>9</w:t>
            </w:r>
          </w:p>
        </w:tc>
      </w:tr>
      <w:tr w:rsidR="000E151B" w14:paraId="1CEA5E98" w14:textId="77777777">
        <w:tc>
          <w:tcPr>
            <w:tcW w:w="9216" w:type="dxa"/>
          </w:tcPr>
          <w:p w14:paraId="3C9CAAFD" w14:textId="77777777" w:rsidR="000E151B" w:rsidRDefault="00000000">
            <w:pPr>
              <w:spacing w:after="80" w:line="276" w:lineRule="auto"/>
              <w:jc w:val="left"/>
            </w:pPr>
            <w:r>
              <w:t>Reference List</w:t>
            </w:r>
          </w:p>
        </w:tc>
        <w:tc>
          <w:tcPr>
            <w:tcW w:w="720" w:type="dxa"/>
          </w:tcPr>
          <w:p w14:paraId="61588B71" w14:textId="77777777" w:rsidR="000E151B" w:rsidRDefault="00000000">
            <w:pPr>
              <w:spacing w:after="80"/>
              <w:jc w:val="right"/>
            </w:pPr>
            <w:r>
              <w:t>10</w:t>
            </w:r>
          </w:p>
        </w:tc>
      </w:tr>
    </w:tbl>
    <w:p w14:paraId="663BC050" w14:textId="77777777" w:rsidR="00286A87" w:rsidRDefault="00286A87">
      <w:pPr>
        <w:spacing w:after="200" w:line="276" w:lineRule="auto"/>
        <w:jc w:val="left"/>
        <w:rPr>
          <w:rFonts w:asciiTheme="majorHAnsi" w:eastAsiaTheme="majorEastAsia" w:hAnsiTheme="majorHAnsi" w:cstheme="majorBidi"/>
          <w:b/>
          <w:bCs/>
          <w:color w:val="365F91" w:themeColor="accent1" w:themeShade="BF"/>
          <w:sz w:val="28"/>
          <w:szCs w:val="28"/>
        </w:rPr>
      </w:pPr>
      <w:bookmarkStart w:id="0" w:name="_Toc235799836"/>
      <w:r>
        <w:br w:type="page"/>
      </w:r>
    </w:p>
    <w:bookmarkEnd w:id="0"/>
    <w:p w14:paraId="1D4DA7C3" w14:textId="08BE5DC7" w:rsidR="00417CCD" w:rsidRDefault="00000000" w:rsidP="00286A87">
      <w:pPr>
        <w:pStyle w:val="Heading1"/>
        <w:jc w:val="left"/>
      </w:pPr>
      <w:r>
        <w:rPr>
          <w:rFonts w:ascii="Arial" w:eastAsia="Arial" w:hAnsi="Arial"/>
        </w:rPr>
        <w:lastRenderedPageBreak/>
        <w:t>Introduction</w:t>
      </w:r>
    </w:p>
    <w:p w14:paraId="4729B07E" w14:textId="77777777" w:rsidR="00417CCD" w:rsidRDefault="00000000">
      <w:r>
        <w:t xml:space="preserve">Asthma is a chronic inflammatory disease of the airways </w:t>
      </w:r>
      <w:proofErr w:type="spellStart"/>
      <w:r>
        <w:t>characterised</w:t>
      </w:r>
      <w:proofErr w:type="spellEnd"/>
      <w:r>
        <w:t xml:space="preserve"> by variable expiratory airflow limitation, bronchial hyperresponsiveness and recurrent symptoms such as wheeze, cough, chest tightness and shortness of breath. The condition mainly affects the bronchi and bronchioles, where inflammation and contraction of airway smooth muscle narrow the lumen and make breathing, particularly expiration, more difficult. Symptoms vary over time and may be reversible, but poorly controlled asthma can lead to serious exacerbations, emergency treatment and disruption to sleep, education and everyday activity (Global Initiative for Asthma, 2026; World Health Organization, 2026).</w:t>
      </w:r>
    </w:p>
    <w:p w14:paraId="2564A4A5" w14:textId="77777777" w:rsidR="00417CCD" w:rsidRDefault="00000000">
      <w:r>
        <w:t xml:space="preserve">Asthma develops through an interaction between inherited susceptibility and environmental exposure. Non-modifiable risk factors include a family history of asthma, atopy and a personal history of eczema or allergic rhinitis. Modifiable factors include active or passive smoking, vaping, air pollution, dust, </w:t>
      </w:r>
      <w:proofErr w:type="spellStart"/>
      <w:r>
        <w:t>mould</w:t>
      </w:r>
      <w:proofErr w:type="spellEnd"/>
      <w:r>
        <w:t>, pollen, respiratory infections, poor adherence to preventer treatment and incorrect inhaler technique. In adolescents, increasing independence may also increase exposure to social smoking, vaping and crowded indoor places where smoke, aerosols, poor ventilation and respiratory viruses are more common. These exposures do not affect every patient equally; therefore, individual trigger identification is essential (British Thoracic Society, National Institute for Health and Care Excellence and Scottish Intercollegiate Guidelines Network, 2024).</w:t>
      </w:r>
    </w:p>
    <w:p w14:paraId="210D23BD" w14:textId="77777777" w:rsidR="00417CCD" w:rsidRDefault="00000000">
      <w:r>
        <w:t>In this case study, a practice nurse in a GP surgery is responding to an increasing number of adolescents with asthma whose control may be affected by smoking, vaping, infections and crowded social environments. This report explains the structure of the respiratory system, mechanical ventilation and pulmonary gas exchange. It then analyses how irritants cause airway swelling and obstruction, evaluates the role of peak-flow and symptom monitoring, and provides evidence-based lifestyle recommendations for safer asthma self-management in adolescents. Education and self-management are particularly important during adolescence because increasing independence can affect adherence, inhaler technique and exposure to avoidable triggers; understanding symptoms and the written action plan supports earlier and safer responses to deterioration.</w:t>
      </w:r>
    </w:p>
    <w:p w14:paraId="1020BC51" w14:textId="3EF17E0F" w:rsidR="00417CCD" w:rsidRDefault="00000000" w:rsidP="00286A87">
      <w:pPr>
        <w:pStyle w:val="Heading1"/>
        <w:jc w:val="left"/>
      </w:pPr>
      <w:bookmarkStart w:id="1" w:name="_Toc235799837"/>
      <w:bookmarkEnd w:id="1"/>
      <w:r>
        <w:rPr>
          <w:rFonts w:ascii="Arial" w:eastAsia="Arial" w:hAnsi="Arial"/>
        </w:rPr>
        <w:lastRenderedPageBreak/>
        <w:t>The Structure of the Respiratory System and Mechanical Respiration</w:t>
      </w:r>
    </w:p>
    <w:p w14:paraId="52E51ACF" w14:textId="5F7E186D" w:rsidR="00417CCD" w:rsidRDefault="00000000" w:rsidP="00286A87">
      <w:pPr>
        <w:pStyle w:val="Heading2"/>
        <w:jc w:val="left"/>
      </w:pPr>
      <w:bookmarkStart w:id="2" w:name="_Toc235799838"/>
      <w:bookmarkEnd w:id="2"/>
      <w:r>
        <w:rPr>
          <w:rFonts w:ascii="Arial" w:eastAsia="Arial" w:hAnsi="Arial"/>
        </w:rPr>
        <w:t xml:space="preserve"> Structure of the Respiratory System</w:t>
      </w:r>
    </w:p>
    <w:p w14:paraId="3A42578F" w14:textId="77777777" w:rsidR="00417CCD" w:rsidRDefault="00000000" w:rsidP="000B7BEB">
      <w:r>
        <w:t xml:space="preserve">The respiratory system consists of conducting structures that move and condition air and a respiratory zone where gas exchange occurs. The upper respiratory tract includes the nose, nasal cavity, pharynx and larynx. As air enters the nasal cavity, nasal hairs, mucus and the irregular surfaces of the conchae help trap particles. The rich blood supply warms the air, while moisture from the mucosa humidifies it. </w:t>
      </w:r>
      <w:r w:rsidR="000B7BEB" w:rsidRPr="000B7BEB">
        <w:t xml:space="preserve">The ciliated epithelial cells are responsible for propelling the mucus and anything trapped in the mucus toward the pharynx for elimination. The pharynx is a common passage for air and food, while the larynx is the site of sound production, helps to keep the airway open and protects the lower airway during swallowing with the epiglottis (Betts et al., 2022). Trachea is the starting point of the lower respiratory tract. The C-shaped cartilage rings are to keep the trachea from collapsing and to allow the </w:t>
      </w:r>
      <w:proofErr w:type="spellStart"/>
      <w:r w:rsidR="000B7BEB" w:rsidRPr="000B7BEB">
        <w:t>oesophagus</w:t>
      </w:r>
      <w:proofErr w:type="spellEnd"/>
      <w:r w:rsidR="000B7BEB" w:rsidRPr="000B7BEB">
        <w:t xml:space="preserve"> to stretch out during swallowing. The trachea branches off into right and left primary bronchi that continue to branch off into smaller bronchi and bronchioles. There is progressive loss of cartilage along this pathway and an increasing role of the smooth muscle in regulating the diameter of the airways. The conducting zone ends with the terminal bronchioles and the respiratory zone begins with the respiratory bronchioles, alveolar ducts and alveoli. Lungs are enclosed by visceral pleurae and parietal pleurae; thin film of pleural fluid to reduce friction; to help lungs move alongside the thoracic wall. Alveoli offer a large thin surface for gas exchange and the elastic lung tissue helps the recoil during normal expiration (Betts et al., 2022)</w:t>
      </w:r>
      <w:r>
        <w:t>.</w:t>
      </w:r>
    </w:p>
    <w:p w14:paraId="1E25D30E" w14:textId="0233AD5D" w:rsidR="00417CCD" w:rsidRDefault="00000000" w:rsidP="00286A87">
      <w:pPr>
        <w:pStyle w:val="Heading2"/>
        <w:jc w:val="left"/>
      </w:pPr>
      <w:bookmarkStart w:id="3" w:name="_Toc235799839"/>
      <w:bookmarkEnd w:id="3"/>
      <w:r>
        <w:rPr>
          <w:rFonts w:ascii="Arial" w:eastAsia="Arial" w:hAnsi="Arial"/>
        </w:rPr>
        <w:t>Mechanical Respiration</w:t>
      </w:r>
    </w:p>
    <w:p w14:paraId="2C1E8C37" w14:textId="77777777" w:rsidR="00417CCD" w:rsidRDefault="000B7BEB">
      <w:r w:rsidRPr="000B7BEB">
        <w:t xml:space="preserve">Mechanical respiration (pulmonary ventilation) is the process of air flowing into and out of the lungs as a result of changes in pressure caused by respiratory muscle contraction. Inhalation involves contraction of the diaphragm, flattening of the diaphragm and elevation of the ribs by contraction of the external intercostal muscles. The volume in the chest also increases. The greater the volume of the air in the alveoli, the lower the intrapulmonary pressure, which is less than the atmospheric pressure; this is the basis for Boyle's law: air moves into the lungs down the pressure gradient. </w:t>
      </w:r>
      <w:proofErr w:type="gramStart"/>
      <w:r w:rsidRPr="000B7BEB">
        <w:t>Thus</w:t>
      </w:r>
      <w:proofErr w:type="gramEnd"/>
      <w:r w:rsidRPr="000B7BEB">
        <w:t xml:space="preserve"> inspiration is an active process that involves muscular contraction</w:t>
      </w:r>
      <w:r>
        <w:t>.</w:t>
      </w:r>
    </w:p>
    <w:p w14:paraId="551E75D6" w14:textId="77777777" w:rsidR="00103FB7" w:rsidRDefault="00000000" w:rsidP="00103FB7">
      <w:r>
        <w:lastRenderedPageBreak/>
        <w:t xml:space="preserve">During quiet expiration, the diaphragm and external intercostal muscles relax. Thoracic volume decreases, elastic lung tissue recoils and intrapulmonary pressure </w:t>
      </w:r>
      <w:proofErr w:type="gramStart"/>
      <w:r>
        <w:t>rises</w:t>
      </w:r>
      <w:proofErr w:type="gramEnd"/>
      <w:r>
        <w:t xml:space="preserve"> above atmospheric pressure, causing air to leave the lungs. Quiet expiration is normally passive, although forced expiration recruits abdominal and internal intercostal muscles. This relationship between structure and function is especially important in asthma. Bronchioles have narrow lumens and smooth-muscle walls; therefore, mucosal swelling, excess mucus and bronchoconstriction can produce a proportionally large increase in airflow resistance. </w:t>
      </w:r>
      <w:bookmarkStart w:id="4" w:name="_Toc235799840"/>
      <w:bookmarkEnd w:id="4"/>
    </w:p>
    <w:p w14:paraId="35FCAEF7" w14:textId="38C41320" w:rsidR="00417CCD" w:rsidRDefault="00000000" w:rsidP="00103FB7">
      <w:r>
        <w:rPr>
          <w:b/>
          <w:sz w:val="28"/>
        </w:rPr>
        <w:t xml:space="preserve"> Gas Exchange in the Lungs</w:t>
      </w:r>
    </w:p>
    <w:p w14:paraId="39D11020" w14:textId="77777777" w:rsidR="00417CCD" w:rsidRDefault="00000000">
      <w:r>
        <w:t xml:space="preserve">Gas exchange occurs across the respiratory membrane between alveolar air and pulmonary-capillary blood. Alveoli are well adapted for this function because they are numerous, create a very large total surface area and have moist walls formed mainly by a single layer of thin squamous epithelial cells. The adjacent capillary endothelium is also one cell thick, and the fused basement membranes </w:t>
      </w:r>
      <w:proofErr w:type="spellStart"/>
      <w:r>
        <w:t>minimise</w:t>
      </w:r>
      <w:proofErr w:type="spellEnd"/>
      <w:r>
        <w:t xml:space="preserve"> diffusion distance. A dense capillary network maintains blood flow, while continuous ventilation renews alveolar air</w:t>
      </w:r>
      <w:r w:rsidR="000B7BEB">
        <w:t xml:space="preserve"> </w:t>
      </w:r>
      <w:r>
        <w:t>(Betts et al., 2022).</w:t>
      </w:r>
    </w:p>
    <w:p w14:paraId="24645FA9" w14:textId="77777777" w:rsidR="00417CCD" w:rsidRDefault="00000000">
      <w:r>
        <w:t xml:space="preserve">Oxygen and carbon dioxide move by simple diffusion down their partial-pressure gradients. Inspired air reaching the alveoli has a higher partial pressure of oxygen than deoxygenated blood arriving through the pulmonary arteries. Oxygen therefore crosses the alveolar epithelium, fused basement membrane and capillary endothelium into the blood. A small amount dissolves in plasma, but most enters red blood cells and binds reversibly to </w:t>
      </w:r>
      <w:proofErr w:type="spellStart"/>
      <w:r>
        <w:t>haemoglobin</w:t>
      </w:r>
      <w:proofErr w:type="spellEnd"/>
      <w:r>
        <w:t xml:space="preserve">, forming </w:t>
      </w:r>
      <w:proofErr w:type="spellStart"/>
      <w:r>
        <w:t>oxyhaemoglobin</w:t>
      </w:r>
      <w:proofErr w:type="spellEnd"/>
      <w:r>
        <w:t>. Oxygenated blood returns through the pulmonary veins to the left side of the heart and is then distributed to body tissues.</w:t>
      </w:r>
    </w:p>
    <w:p w14:paraId="39B6AD89" w14:textId="77777777" w:rsidR="00417CCD" w:rsidRDefault="00000000">
      <w:r>
        <w:t xml:space="preserve">Carbon dioxide is produced by cellular metabolism and transported in venous blood to the lungs, mainly as bicarbonate but also dissolved or bound to </w:t>
      </w:r>
      <w:proofErr w:type="spellStart"/>
      <w:r>
        <w:t>haemoglobin</w:t>
      </w:r>
      <w:proofErr w:type="spellEnd"/>
      <w:r>
        <w:t>. Its partial pressure is higher in pulmonary-capillary blood than in alveolar air, so it diffuses in the opposite direction, from blood into the alveoli, and is removed during expiration. Although asthma primarily obstructs conducting airways rather than directly damaging alveoli, severe narrowing reduces fresh-air delivery to some alveoli. The resulting ventilation–perfusion mismatch can lower oxygen uptake</w:t>
      </w:r>
      <w:r w:rsidR="000B7BEB">
        <w:t xml:space="preserve"> </w:t>
      </w:r>
      <w:r>
        <w:t>(Global Initiative for Asthma, 2026).</w:t>
      </w:r>
    </w:p>
    <w:p w14:paraId="302C4420" w14:textId="413CC654" w:rsidR="00417CCD" w:rsidRDefault="00000000" w:rsidP="00286A87">
      <w:pPr>
        <w:pStyle w:val="Heading1"/>
        <w:jc w:val="left"/>
      </w:pPr>
      <w:bookmarkStart w:id="5" w:name="_Toc235799841"/>
      <w:bookmarkEnd w:id="5"/>
      <w:r>
        <w:rPr>
          <w:rFonts w:ascii="Arial" w:eastAsia="Arial" w:hAnsi="Arial"/>
        </w:rPr>
        <w:lastRenderedPageBreak/>
        <w:t xml:space="preserve"> How Irritants Cause Inflammation and Affect Breathing</w:t>
      </w:r>
    </w:p>
    <w:p w14:paraId="2D3E53EC" w14:textId="77777777" w:rsidR="00417CCD" w:rsidRDefault="00000000">
      <w:r>
        <w:t xml:space="preserve">Adolescents with asthma may encounter cigarette smoke, second-hand smoke, vaping aerosols, air pollution, dust, pollen, </w:t>
      </w:r>
      <w:proofErr w:type="spellStart"/>
      <w:r>
        <w:t>mould</w:t>
      </w:r>
      <w:proofErr w:type="spellEnd"/>
      <w:r>
        <w:t>, strong fragrances and respiratory viruses. Crowded places are not inherently a direct cause of asthma; however, poorly ventilated indoor environments can increase exposure to infectious droplets, smoke and aerosols. These triggers differ in composition, yet many converge on the airway epithelium and intensify inflammation.</w:t>
      </w:r>
    </w:p>
    <w:p w14:paraId="4B264579" w14:textId="77777777" w:rsidR="00417CCD" w:rsidRDefault="00000000">
      <w:r>
        <w:t>A useful cause-and-effect sequence is: trigger exposure, epithelial irritation or injury, immune activation, release of inflammatory mediators, mucosal oedema, mucus hypersecretion, bronchial smooth-muscle contraction and airway narrowing. Activated epithelial and immune cells release cytokines and other mediators, including histamine and leukotrienes. Local blood vessels dilate and become more permeable, allowing fluid to enter airway tissue and create swelling. Goblet cells and submucosal glands increase mucus production, while smooth muscle contracts. These combined changes reduce the airway lumen and markedly increase resistance, especially in small bronchioles. The physiological consequences include wheeze, cough, chest tightness, prolonged expiration, air trapping, hyperinflation, increased work of breathing and reduced peak expiratory flow (Global Initiative for Asthma, 2026).</w:t>
      </w:r>
    </w:p>
    <w:p w14:paraId="16440A67" w14:textId="77777777" w:rsidR="00417CCD" w:rsidRDefault="00000000">
      <w:r>
        <w:t xml:space="preserve">Cigarette smoke damages epithelial cells, impairs ciliary clearance and promotes mucus retention and chronic inflammation. Children exposed to second-hand smoke experience more frequent and severe asthma symptoms, supporting smoke-free homes and cars as an important protective measure (Centers for Disease Control and Prevention, 2025; Radó et al., 2021). Vaping should not be treated as harmless. Aerosols can contain nicotine, ultrafine particles, </w:t>
      </w:r>
      <w:proofErr w:type="spellStart"/>
      <w:r>
        <w:t>flavouring</w:t>
      </w:r>
      <w:proofErr w:type="spellEnd"/>
      <w:r>
        <w:t xml:space="preserve"> chemicals and other airway irritants. A systematic review and meta-analysis found that e-cigarette use was associated with higher odds of asthma among adolescents, although much of the evidence was cross-sectional and cannot by itself prove causation (Li et al., 2022). This limitation strengthens the case for cautious risk reduction rather than exaggerated claims.</w:t>
      </w:r>
    </w:p>
    <w:p w14:paraId="4B4FC3EB" w14:textId="77777777" w:rsidR="00417CCD" w:rsidRDefault="00000000">
      <w:r>
        <w:t xml:space="preserve">Respiratory viruses act partly through different mechanisms. They infect and activate airway epithelial cells, alter innate immune responses and can amplify airway hyperresponsiveness and mucus production. Viral infections are therefore major </w:t>
      </w:r>
      <w:r>
        <w:lastRenderedPageBreak/>
        <w:t>triggers of exacerbations, particularly when baseline asthma control is poor (Kim, 2022). Smoking, vaping and infection may differ in origin, but all can increase airway inflammation and obstruction, reduce expiratory airflow and raise the likelihood of an acute attack.</w:t>
      </w:r>
    </w:p>
    <w:p w14:paraId="4E1BF88B" w14:textId="610A756D" w:rsidR="00417CCD" w:rsidRDefault="00000000" w:rsidP="00286A87">
      <w:pPr>
        <w:pStyle w:val="Heading1"/>
        <w:jc w:val="left"/>
      </w:pPr>
      <w:bookmarkStart w:id="6" w:name="_Toc235799842"/>
      <w:bookmarkEnd w:id="6"/>
      <w:r>
        <w:rPr>
          <w:rFonts w:ascii="Arial" w:eastAsia="Arial" w:hAnsi="Arial"/>
        </w:rPr>
        <w:t>Recording and Tracking Respiratory Function</w:t>
      </w:r>
    </w:p>
    <w:p w14:paraId="221AD519" w14:textId="77777777" w:rsidR="00417CCD" w:rsidRDefault="00000000">
      <w:r>
        <w:t>Peak expiratory flow (PEF) is the maximum speed at which a person can forcibly expel air after a full inspiration. It is measured with a handheld peak-flow meter and can provide objective information about large-airway narrowing. For reliable home measurements, an adolescent should use the same meter, stand or sit upright, reset the marker, inhale fully, seal the lips around the mouthpiece and blow out once as hard and fast as possible. The best acceptable result from repeated attempts is recorded and compared with the individual’s personal best and written asthma action plan.</w:t>
      </w:r>
    </w:p>
    <w:p w14:paraId="7A6DE96F" w14:textId="77777777" w:rsidR="00417CCD" w:rsidRDefault="00000000">
      <w:r>
        <w:t xml:space="preserve">An asthma diary may combine morning and evening PEF with symptoms, night waking, activity limitation, reliever use, missed preventer doses, possible triggers, smoking or vaping exposure and signs of respiratory infection. Trends can reveal deterioration before the patient fully </w:t>
      </w:r>
      <w:proofErr w:type="spellStart"/>
      <w:r>
        <w:t>recognises</w:t>
      </w:r>
      <w:proofErr w:type="spellEnd"/>
      <w:r>
        <w:t xml:space="preserve"> symptoms, show whether treatment is working and help the clinical team identify patterns. A </w:t>
      </w:r>
      <w:proofErr w:type="spellStart"/>
      <w:r>
        <w:t>personalised</w:t>
      </w:r>
      <w:proofErr w:type="spellEnd"/>
      <w:r>
        <w:t xml:space="preserve"> action plan can </w:t>
      </w:r>
      <w:proofErr w:type="spellStart"/>
      <w:r>
        <w:t>organise</w:t>
      </w:r>
      <w:proofErr w:type="spellEnd"/>
      <w:r>
        <w:t xml:space="preserve"> responses into stable, worsening and urgent-action zones (Pegoraro et al., 2022), although the exact thresholds must be set by a clinician rather than copied from a generic chart.</w:t>
      </w:r>
    </w:p>
    <w:p w14:paraId="65A140DB" w14:textId="77777777" w:rsidR="00417CCD" w:rsidRDefault="00000000">
      <w:r>
        <w:t>However, PEF has limitations. It is effort-dependent, incorrect technique produces misleading values, meters can vary and some adolescents may not record consistently. A single normal reading does not exclude poor control, and PEF cannot replace symptom assessment, inhaler review or professional examination</w:t>
      </w:r>
      <w:r w:rsidR="000B7BEB">
        <w:t xml:space="preserve">. </w:t>
      </w:r>
      <w:r>
        <w:t xml:space="preserve">In this case-study clinic, PEF is therefore most useful as one component of an </w:t>
      </w:r>
      <w:proofErr w:type="spellStart"/>
      <w:r>
        <w:t>individualised</w:t>
      </w:r>
      <w:proofErr w:type="spellEnd"/>
      <w:r>
        <w:t xml:space="preserve"> plan, particularly for adolescents with poor symptom perception or a history of sudden deterioration.</w:t>
      </w:r>
    </w:p>
    <w:p w14:paraId="7642035F" w14:textId="3D8D6C52" w:rsidR="00417CCD" w:rsidRDefault="00000000" w:rsidP="00286A87">
      <w:pPr>
        <w:pStyle w:val="Heading1"/>
        <w:jc w:val="left"/>
      </w:pPr>
      <w:bookmarkStart w:id="7" w:name="_Toc235799843"/>
      <w:bookmarkEnd w:id="7"/>
      <w:r>
        <w:rPr>
          <w:rFonts w:ascii="Arial" w:eastAsia="Arial" w:hAnsi="Arial"/>
        </w:rPr>
        <w:t>Evidence-Based Lifestyle Recommendations</w:t>
      </w:r>
    </w:p>
    <w:p w14:paraId="5D885057" w14:textId="77777777" w:rsidR="00417CCD" w:rsidRDefault="00000000">
      <w:r>
        <w:t xml:space="preserve">The first priority is complete avoidance of smoking and reduction of second-hand smoke. Adolescents who smoke should receive confidential, age-appropriate </w:t>
      </w:r>
      <w:r>
        <w:lastRenderedPageBreak/>
        <w:t>cessation support rather than judgement. Families should maintain smoke-free homes and cars, because removing exposure protects airway epithelium, supports mucociliary clearance and reduces preventable exacerbation risk (Centers for Disease Control and Prevention, 2025; Radó et al., 2021). Vaping should also be avoided because e-cigarette aerosols are not a safe alternative for adolescents with asthma and can expose already sensitive airways to nicotine, ultrafine particles and other irritants (Centers for Disease Control and Prevention, 2024). The practice nurse can provide brief cessation counselling and refer adolescents to appropriate local stop-smoking support.</w:t>
      </w:r>
    </w:p>
    <w:p w14:paraId="517F0B1F" w14:textId="77777777" w:rsidR="00417CCD" w:rsidRDefault="00000000">
      <w:r>
        <w:t xml:space="preserve">Infection risk can be reduced through regular hand hygiene, avoiding close contact with people who are acutely unwell, not sharing drinks or vaping devices, and improving ventilation in crowded indoor spaces. Vaccination advice should be obtained from an appropriate healthcare professional, and worsening asthma during an infection should prompt early use of the </w:t>
      </w:r>
      <w:proofErr w:type="spellStart"/>
      <w:r>
        <w:t>personalised</w:t>
      </w:r>
      <w:proofErr w:type="spellEnd"/>
      <w:r>
        <w:t xml:space="preserve"> action plan. Total avoidance of education, sport or social activity is neither realistic nor desirable; the aim is safer participation through planning and trigger reduction.</w:t>
      </w:r>
    </w:p>
    <w:p w14:paraId="11DA8539" w14:textId="77777777" w:rsidR="000B7BEB" w:rsidRDefault="00000000" w:rsidP="000B7BEB">
      <w:r>
        <w:t xml:space="preserve">Lifestyle change must complement prescribed treatment. </w:t>
      </w:r>
      <w:r w:rsidR="000B7BEB">
        <w:t xml:space="preserve">Preventer medication should be taken as prescribed and inhaler technique regularly reviewed by trained person. Poor technique leads to inadequate drug delivery to the target airways and is related to poorer asthma outcomes (Roche et al., 2022). A trend towards increasing reliever use, night wakes, or limitation of exercise activity or a decrease in PEF should lead to clinical review instead of unsupervised changes in medications. All teens should be able to read their action plan and </w:t>
      </w:r>
      <w:proofErr w:type="spellStart"/>
      <w:r w:rsidR="000B7BEB">
        <w:t>recognise</w:t>
      </w:r>
      <w:proofErr w:type="spellEnd"/>
      <w:r w:rsidR="000B7BEB">
        <w:t xml:space="preserve"> when they need urgent help (Global Initiative for Asthma, 2026).</w:t>
      </w:r>
    </w:p>
    <w:p w14:paraId="073590D6" w14:textId="77777777" w:rsidR="000B7BEB" w:rsidRDefault="000B7BEB" w:rsidP="000B7BEB"/>
    <w:p w14:paraId="2D020CE7" w14:textId="77777777" w:rsidR="00417CCD" w:rsidRDefault="000B7BEB" w:rsidP="000B7BEB">
      <w:r>
        <w:t xml:space="preserve">Regular physical activity should be promoted as long as asthma is under control. Any clinician prescribed pre-exercise strategy, appropriate warm up, slow progression and pacing can help </w:t>
      </w:r>
      <w:proofErr w:type="spellStart"/>
      <w:r>
        <w:t>minimise</w:t>
      </w:r>
      <w:proofErr w:type="spellEnd"/>
      <w:r>
        <w:t xml:space="preserve"> exercise related symptoms. There is evidence that moderate exercise can lead to better fitness and quality of life and some asthma outcomes; on the other hand, complete avoidance of exercise can cause deconditioning and anxiety over breathlessness (Kuder et al., 2021). Lastly, good sleep, proper diet, weight maintenance, stress management and regular asthma check-ups help to promote </w:t>
      </w:r>
      <w:r>
        <w:lastRenderedPageBreak/>
        <w:t>wellbeing. An asthma diary should be used to identify confirmed individual triggers, avoiding unnecessary restrictions that could isolate the adolescent or reduce quality of life.</w:t>
      </w:r>
    </w:p>
    <w:p w14:paraId="42B5C55F" w14:textId="319EE3F3" w:rsidR="00417CCD" w:rsidRDefault="00000000" w:rsidP="00286A87">
      <w:pPr>
        <w:pStyle w:val="Heading1"/>
        <w:jc w:val="left"/>
      </w:pPr>
      <w:bookmarkStart w:id="8" w:name="_Toc235799844"/>
      <w:bookmarkEnd w:id="8"/>
      <w:r>
        <w:rPr>
          <w:rFonts w:ascii="Arial" w:eastAsia="Arial" w:hAnsi="Arial"/>
        </w:rPr>
        <w:t>Conclusion</w:t>
      </w:r>
    </w:p>
    <w:p w14:paraId="5261A3FA" w14:textId="77777777" w:rsidR="00286A87" w:rsidRDefault="00000000">
      <w:r>
        <w:t>Normal respiratory function depends on coordinated airway conduction, pressure-driven ventilation and diffusion across the thin alveolar–capillary membrane. In asthma, inflammation, oedema, mucus hypersecretion and bronchoconstriction narrow the bronchioles and disproportionately obstruct expiratory airflow. Smoking, second-hand smoke, vaping aerosols and respiratory infections can intensify these processes and increase the risk of exacerbation. Monitoring symptoms and, where clinically appropriate, peak-flow trends can provide useful early warning information, but readings must be interpreted alongside technique, treatment use and professional assessment. Effective adolescent asthma management therefore requires an integrated and person-</w:t>
      </w:r>
      <w:proofErr w:type="spellStart"/>
      <w:r>
        <w:t>centred</w:t>
      </w:r>
      <w:proofErr w:type="spellEnd"/>
      <w:r>
        <w:t xml:space="preserve"> approach: avoidance of tobacco and vaping, reduction of infection and environmental exposure, correct inhaler use, adherence to a written action plan, appropriate physical activity and regular clinical review. Lifestyle measures improve safety and control when they support, rather than replace, prescribed anti-inflammatory treatment.</w:t>
      </w:r>
    </w:p>
    <w:p w14:paraId="06DC9F31" w14:textId="77777777" w:rsidR="00417CCD" w:rsidRDefault="00286A87" w:rsidP="00286A87">
      <w:pPr>
        <w:spacing w:after="200" w:line="276" w:lineRule="auto"/>
        <w:jc w:val="left"/>
      </w:pPr>
      <w:r>
        <w:br w:type="page"/>
      </w:r>
    </w:p>
    <w:p w14:paraId="58D3C775" w14:textId="77777777" w:rsidR="00417CCD" w:rsidRDefault="00000000" w:rsidP="00286A87">
      <w:pPr>
        <w:pStyle w:val="Heading1"/>
        <w:jc w:val="left"/>
      </w:pPr>
      <w:bookmarkStart w:id="9" w:name="_Toc235799845"/>
      <w:r>
        <w:lastRenderedPageBreak/>
        <w:t>Reference List</w:t>
      </w:r>
      <w:bookmarkEnd w:id="9"/>
    </w:p>
    <w:p w14:paraId="4F97B73C" w14:textId="77777777" w:rsidR="00417CCD" w:rsidRDefault="00000000">
      <w:pPr>
        <w:ind w:left="720" w:hanging="720"/>
        <w:jc w:val="left"/>
      </w:pPr>
      <w:r>
        <w:t xml:space="preserve">Betts, J.G., Young, K.A., Wise, J.A., Johnson, E., Poe, B., Kruse, D.H., Korol, O., Johnson, J.E., Womble, M. and </w:t>
      </w:r>
      <w:proofErr w:type="spellStart"/>
      <w:r>
        <w:t>DeSaix</w:t>
      </w:r>
      <w:proofErr w:type="spellEnd"/>
      <w:r>
        <w:t xml:space="preserve">, P. (2022) Anatomy and Physiology 2e. Houston, TX: OpenStax. Available at: </w:t>
      </w:r>
      <w:hyperlink r:id="rId9">
        <w:r w:rsidR="00417CCD">
          <w:rPr>
            <w:color w:val="0563C1"/>
            <w:u w:val="single"/>
          </w:rPr>
          <w:t>https://openstax.org/books/anatomy-and-physiology-2e/pages/1-introduction</w:t>
        </w:r>
      </w:hyperlink>
      <w:r>
        <w:t xml:space="preserve"> (Accessed: 24 July 2026).</w:t>
      </w:r>
    </w:p>
    <w:p w14:paraId="0A5D4993" w14:textId="77777777" w:rsidR="00417CCD" w:rsidRDefault="00000000">
      <w:pPr>
        <w:ind w:left="720" w:hanging="720"/>
        <w:jc w:val="left"/>
      </w:pPr>
      <w:r>
        <w:t xml:space="preserve">British Thoracic Society, National Institute for Health and Care Excellence and Scottish Intercollegiate Guidelines Network (2024) Asthma: diagnosis, monitoring and chronic asthma management. NICE guideline NG245. Available at: </w:t>
      </w:r>
      <w:hyperlink r:id="rId10">
        <w:r w:rsidR="00417CCD">
          <w:rPr>
            <w:color w:val="0563C1"/>
            <w:u w:val="single"/>
          </w:rPr>
          <w:t>https://www.nice.org.uk/guidance/ng245</w:t>
        </w:r>
      </w:hyperlink>
      <w:r>
        <w:t xml:space="preserve"> (Accessed: 24 July 2026).</w:t>
      </w:r>
    </w:p>
    <w:p w14:paraId="37DC3889" w14:textId="77777777" w:rsidR="00417CCD" w:rsidRDefault="00000000">
      <w:pPr>
        <w:ind w:left="720" w:hanging="720"/>
        <w:jc w:val="left"/>
      </w:pPr>
      <w:r>
        <w:t xml:space="preserve">Centers for Disease Control and Prevention (2024) E-cigarette use among youth. Available at: </w:t>
      </w:r>
      <w:hyperlink r:id="rId11">
        <w:r w:rsidR="00417CCD">
          <w:rPr>
            <w:color w:val="0563C1"/>
            <w:u w:val="single"/>
          </w:rPr>
          <w:t>https://www.cdc.gov/tobacco/e-cigarettes/youth.html</w:t>
        </w:r>
      </w:hyperlink>
      <w:r>
        <w:t xml:space="preserve"> (Accessed: 24 July 2026).</w:t>
      </w:r>
    </w:p>
    <w:p w14:paraId="1671B916" w14:textId="77777777" w:rsidR="00417CCD" w:rsidRDefault="00000000">
      <w:pPr>
        <w:ind w:left="720" w:hanging="720"/>
        <w:jc w:val="left"/>
      </w:pPr>
      <w:r>
        <w:t xml:space="preserve">Centers for Disease Control and Prevention (2025) Health problems caused by secondhand smoke. Available at: </w:t>
      </w:r>
      <w:hyperlink r:id="rId12">
        <w:r w:rsidR="00417CCD">
          <w:rPr>
            <w:color w:val="0563C1"/>
            <w:u w:val="single"/>
          </w:rPr>
          <w:t>https://www.cdc.gov/tobacco/secondhand-smoke/health.html</w:t>
        </w:r>
      </w:hyperlink>
      <w:r>
        <w:t xml:space="preserve"> (Accessed: 24 July 2026).</w:t>
      </w:r>
    </w:p>
    <w:p w14:paraId="23D64840" w14:textId="77777777" w:rsidR="00417CCD" w:rsidRDefault="00000000">
      <w:pPr>
        <w:ind w:left="720" w:hanging="720"/>
        <w:jc w:val="left"/>
      </w:pPr>
      <w:r>
        <w:t xml:space="preserve">Global Initiative for Asthma (2026) Global strategy for asthma management and prevention. Available at: </w:t>
      </w:r>
      <w:hyperlink r:id="rId13">
        <w:r w:rsidR="00417CCD">
          <w:rPr>
            <w:color w:val="0563C1"/>
            <w:u w:val="single"/>
          </w:rPr>
          <w:t>https://ginasthma.org/2026-gina-strategy-report/</w:t>
        </w:r>
      </w:hyperlink>
      <w:r>
        <w:t xml:space="preserve"> (Accessed: 24 July 2026).</w:t>
      </w:r>
    </w:p>
    <w:p w14:paraId="6E9E8F1F" w14:textId="77777777" w:rsidR="00417CCD" w:rsidRDefault="00000000">
      <w:pPr>
        <w:ind w:left="720" w:hanging="720"/>
        <w:jc w:val="left"/>
      </w:pPr>
      <w:r>
        <w:t xml:space="preserve">Kim, S.R. (2022) ‘Viral infection and airway epithelial immunity in asthma’, International Journal of Molecular Sciences, 23(17), 9914. Available at: </w:t>
      </w:r>
      <w:hyperlink r:id="rId14">
        <w:r w:rsidR="00417CCD">
          <w:rPr>
            <w:color w:val="0563C1"/>
            <w:u w:val="single"/>
          </w:rPr>
          <w:t>https://doi.org/10.3390/ijms23179914</w:t>
        </w:r>
      </w:hyperlink>
      <w:r>
        <w:t xml:space="preserve"> (Accessed: 24 July 2026).</w:t>
      </w:r>
    </w:p>
    <w:p w14:paraId="53E58A3A" w14:textId="77777777" w:rsidR="00417CCD" w:rsidRDefault="00000000">
      <w:pPr>
        <w:ind w:left="720" w:hanging="720"/>
        <w:jc w:val="left"/>
      </w:pPr>
      <w:r>
        <w:t xml:space="preserve">Kuder, M.M., Clark, M., Cooley, C., Prieto-Centurion, V., Danley, A., Riley, I., Siddiqi, A., Weller, K., </w:t>
      </w:r>
      <w:proofErr w:type="spellStart"/>
      <w:r>
        <w:t>Kitsiou</w:t>
      </w:r>
      <w:proofErr w:type="spellEnd"/>
      <w:r>
        <w:t xml:space="preserve">, S. and Nyenhuis, S.M. (2021) ‘A systematic review of the effect of physical activity on asthma outcomes’, Journal of Allergy and Clinical Immunology: In Practice, 9(9), pp. 3407–3421.e8. Available at: </w:t>
      </w:r>
      <w:hyperlink r:id="rId15">
        <w:r w:rsidR="00417CCD">
          <w:rPr>
            <w:color w:val="0563C1"/>
            <w:u w:val="single"/>
          </w:rPr>
          <w:t>https://doi.org/10.1016/j.jaip.2021.04.048</w:t>
        </w:r>
      </w:hyperlink>
      <w:r>
        <w:t xml:space="preserve"> (Accessed: 24 July 2026).</w:t>
      </w:r>
    </w:p>
    <w:p w14:paraId="27F4B78D" w14:textId="77777777" w:rsidR="00417CCD" w:rsidRDefault="00000000">
      <w:pPr>
        <w:ind w:left="720" w:hanging="720"/>
        <w:jc w:val="left"/>
      </w:pPr>
      <w:r>
        <w:t xml:space="preserve">Li, X., Zhang, Y., Zhang, R., Chen, F., Shao, L. and Zhang, L. (2022) ‘Association between e-cigarettes and asthma in adolescents: a systematic review and meta-analysis’, American Journal of Preventive Medicine, 62(6), pp. 953–960. </w:t>
      </w:r>
      <w:r>
        <w:lastRenderedPageBreak/>
        <w:t xml:space="preserve">Available at: </w:t>
      </w:r>
      <w:hyperlink r:id="rId16">
        <w:r w:rsidR="00417CCD">
          <w:rPr>
            <w:color w:val="0563C1"/>
            <w:u w:val="single"/>
          </w:rPr>
          <w:t>https://doi.org/10.1016/j.amepre.2022.01.015</w:t>
        </w:r>
      </w:hyperlink>
      <w:r>
        <w:t xml:space="preserve"> (Accessed: 24 July 2026).</w:t>
      </w:r>
    </w:p>
    <w:p w14:paraId="723265F3" w14:textId="77777777" w:rsidR="00417CCD" w:rsidRDefault="00000000">
      <w:pPr>
        <w:ind w:left="720" w:hanging="720"/>
        <w:jc w:val="left"/>
      </w:pPr>
      <w:r>
        <w:t xml:space="preserve">Pegoraro, F., Masini, M., Giovannini, M., Barni, S., Mori, F., du Toit, G., Bartha, I. and Lombardi, E. (2022) ‘Asthma action plans: an international review focused on the pediatric population’, Frontiers in Pediatrics, 10, 874935. Available at: </w:t>
      </w:r>
      <w:hyperlink r:id="rId17">
        <w:r w:rsidR="00417CCD">
          <w:rPr>
            <w:color w:val="0563C1"/>
            <w:u w:val="single"/>
          </w:rPr>
          <w:t>https://doi.org/10.3389/fped.2022.874935</w:t>
        </w:r>
      </w:hyperlink>
      <w:r>
        <w:t xml:space="preserve"> (Accessed: 24 July 2026).</w:t>
      </w:r>
    </w:p>
    <w:p w14:paraId="127E114B" w14:textId="77777777" w:rsidR="00417CCD" w:rsidRDefault="00000000">
      <w:pPr>
        <w:ind w:left="720" w:hanging="720"/>
        <w:jc w:val="left"/>
      </w:pPr>
      <w:r>
        <w:t xml:space="preserve">Radó, M.K., </w:t>
      </w:r>
      <w:proofErr w:type="spellStart"/>
      <w:r>
        <w:t>Mölenberg</w:t>
      </w:r>
      <w:proofErr w:type="spellEnd"/>
      <w:r>
        <w:t xml:space="preserve">, F.J.M., Westenberg, L.E.H., Sheikh, A., Millett, C., Burdorf, A., van Lenthe, F.J. and Been, J.V. (2021) ‘Effect of smoke-free policies in outdoor areas and private places on children’s tobacco smoke exposure and respiratory health: a systematic review and meta-analysis’, The Lancet Public Health, 6(8), pp. e566–e578. Available at: </w:t>
      </w:r>
      <w:hyperlink r:id="rId18">
        <w:r w:rsidR="00417CCD">
          <w:rPr>
            <w:color w:val="0563C1"/>
            <w:u w:val="single"/>
          </w:rPr>
          <w:t>https://doi.org/10.1016/S2468-2667(21)00097-9</w:t>
        </w:r>
      </w:hyperlink>
      <w:r>
        <w:t xml:space="preserve"> (Accessed: 24 July 2026).</w:t>
      </w:r>
    </w:p>
    <w:p w14:paraId="096A2106" w14:textId="77777777" w:rsidR="00417CCD" w:rsidRDefault="00000000">
      <w:pPr>
        <w:ind w:left="720" w:hanging="720"/>
        <w:jc w:val="left"/>
      </w:pPr>
      <w:r>
        <w:t xml:space="preserve">Roche, N., Aggarwal, B., </w:t>
      </w:r>
      <w:proofErr w:type="spellStart"/>
      <w:r>
        <w:t>Boucot</w:t>
      </w:r>
      <w:proofErr w:type="spellEnd"/>
      <w:r>
        <w:t xml:space="preserve">, I., Mittal, L., Martin, A. and </w:t>
      </w:r>
      <w:proofErr w:type="spellStart"/>
      <w:r>
        <w:t>Chrystyn</w:t>
      </w:r>
      <w:proofErr w:type="spellEnd"/>
      <w:r>
        <w:t xml:space="preserve">, H. (2022) ‘The impact of inhaler technique on clinical outcomes in adolescents and adults with asthma: a systematic review’, Respiratory Medicine, 202, 106949. Available at: </w:t>
      </w:r>
      <w:hyperlink r:id="rId19">
        <w:r w:rsidR="00417CCD">
          <w:rPr>
            <w:color w:val="0563C1"/>
            <w:u w:val="single"/>
          </w:rPr>
          <w:t>https://doi.org/10.1016/j.rmed.2022.106949</w:t>
        </w:r>
      </w:hyperlink>
      <w:r>
        <w:t xml:space="preserve"> (Accessed: 24 July 2026).</w:t>
      </w:r>
    </w:p>
    <w:p w14:paraId="47818E30" w14:textId="77777777" w:rsidR="00417CCD" w:rsidRDefault="00000000">
      <w:pPr>
        <w:ind w:left="720" w:hanging="720"/>
        <w:jc w:val="left"/>
      </w:pPr>
      <w:r>
        <w:t xml:space="preserve">World Health Organization (2026) Asthma. Available at: </w:t>
      </w:r>
      <w:hyperlink r:id="rId20">
        <w:r w:rsidR="00417CCD">
          <w:rPr>
            <w:color w:val="0563C1"/>
            <w:u w:val="single"/>
          </w:rPr>
          <w:t>https://www.who.int/news-room/fact-sheets/detail/asthma</w:t>
        </w:r>
      </w:hyperlink>
      <w:r>
        <w:t xml:space="preserve"> (Accessed: 24 July 2026).</w:t>
      </w:r>
    </w:p>
    <w:sectPr w:rsidR="00417CCD" w:rsidSect="00034616">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8A182" w14:textId="77777777" w:rsidR="00567971" w:rsidRDefault="00567971">
      <w:pPr>
        <w:spacing w:after="0" w:line="240" w:lineRule="auto"/>
      </w:pPr>
      <w:r>
        <w:separator/>
      </w:r>
    </w:p>
  </w:endnote>
  <w:endnote w:type="continuationSeparator" w:id="0">
    <w:p w14:paraId="2430F576" w14:textId="77777777" w:rsidR="00567971" w:rsidRDefault="00567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CFF2C7" w14:textId="77777777" w:rsidR="00417CCD" w:rsidRDefault="00417CCD">
    <w:pPr>
      <w:pStyle w:val="Footer"/>
      <w:jc w:val="center"/>
    </w:pPr>
    <w:r>
      <w:rPr>
        <w:sz w:val="20"/>
      </w:rPr>
      <w:fldChar w:fldCharType="begin"/>
    </w:r>
    <w:r>
      <w:rPr>
        <w:sz w:val="20"/>
      </w:rPr>
      <w:instrText xml:space="preserve"> PAGE </w:instrText>
    </w:r>
    <w:r>
      <w:rPr>
        <w:sz w:val="20"/>
      </w:rPr>
      <w:fldChar w:fldCharType="separate"/>
    </w:r>
    <w:r>
      <w:rPr>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51569" w14:textId="77777777" w:rsidR="00567971" w:rsidRDefault="00567971">
      <w:pPr>
        <w:spacing w:after="0" w:line="240" w:lineRule="auto"/>
      </w:pPr>
      <w:r>
        <w:separator/>
      </w:r>
    </w:p>
  </w:footnote>
  <w:footnote w:type="continuationSeparator" w:id="0">
    <w:p w14:paraId="32C30FEE" w14:textId="77777777" w:rsidR="00567971" w:rsidRDefault="00567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E60833" w14:textId="77777777" w:rsidR="00417CCD" w:rsidRDefault="00417C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71061620">
    <w:abstractNumId w:val="8"/>
  </w:num>
  <w:num w:numId="2" w16cid:durableId="319508500">
    <w:abstractNumId w:val="6"/>
  </w:num>
  <w:num w:numId="3" w16cid:durableId="919405216">
    <w:abstractNumId w:val="5"/>
  </w:num>
  <w:num w:numId="4" w16cid:durableId="1443383489">
    <w:abstractNumId w:val="4"/>
  </w:num>
  <w:num w:numId="5" w16cid:durableId="1314870804">
    <w:abstractNumId w:val="7"/>
  </w:num>
  <w:num w:numId="6" w16cid:durableId="1433088691">
    <w:abstractNumId w:val="3"/>
  </w:num>
  <w:num w:numId="7" w16cid:durableId="1291856694">
    <w:abstractNumId w:val="2"/>
  </w:num>
  <w:num w:numId="8" w16cid:durableId="803155497">
    <w:abstractNumId w:val="1"/>
  </w:num>
  <w:num w:numId="9" w16cid:durableId="248585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7BEB"/>
    <w:rsid w:val="000E151B"/>
    <w:rsid w:val="00103FB7"/>
    <w:rsid w:val="0015074B"/>
    <w:rsid w:val="00286A87"/>
    <w:rsid w:val="0029639D"/>
    <w:rsid w:val="00326F90"/>
    <w:rsid w:val="003852D4"/>
    <w:rsid w:val="00417CCD"/>
    <w:rsid w:val="00567971"/>
    <w:rsid w:val="006F70AE"/>
    <w:rsid w:val="009004E6"/>
    <w:rsid w:val="00905A62"/>
    <w:rsid w:val="00AA1D8D"/>
    <w:rsid w:val="00B47730"/>
    <w:rsid w:val="00C9453F"/>
    <w:rsid w:val="00CB0664"/>
    <w:rsid w:val="00CF4EF7"/>
    <w:rsid w:val="00E457F3"/>
    <w:rsid w:val="00E82C78"/>
    <w:rsid w:val="00FA1AD0"/>
    <w:rsid w:val="00FC693F"/>
    <w:rsid w:val="00FF7CD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89E5E0"/>
  <w14:defaultImageDpi w14:val="300"/>
  <w15:docId w15:val="{AD396705-60B4-4783-8CAC-7A48DA112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16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Heading1">
    <w:name w:val="Report Heading 1"/>
    <w:pPr>
      <w:keepNext/>
      <w:spacing w:before="240" w:after="120" w:line="240" w:lineRule="auto"/>
    </w:pPr>
    <w:rPr>
      <w:rFonts w:ascii="Arial" w:eastAsia="Arial" w:hAnsi="Arial"/>
      <w:b/>
      <w:color w:val="000000"/>
      <w:sz w:val="26"/>
    </w:rPr>
  </w:style>
  <w:style w:type="paragraph" w:customStyle="1" w:styleId="ReportHeading2">
    <w:name w:val="Report Heading 2"/>
    <w:pPr>
      <w:keepNext/>
      <w:spacing w:before="160" w:after="60" w:line="240" w:lineRule="auto"/>
    </w:pPr>
    <w:rPr>
      <w:rFonts w:ascii="Arial" w:eastAsia="Arial" w:hAnsi="Arial"/>
      <w:b/>
      <w:color w:val="000000"/>
      <w:sz w:val="24"/>
    </w:rPr>
  </w:style>
  <w:style w:type="paragraph" w:styleId="TOC1">
    <w:name w:val="toc 1"/>
    <w:basedOn w:val="Normal"/>
    <w:next w:val="Normal"/>
    <w:autoRedefine/>
    <w:uiPriority w:val="39"/>
    <w:unhideWhenUsed/>
    <w:rsid w:val="00286A87"/>
    <w:pPr>
      <w:spacing w:after="100"/>
    </w:pPr>
  </w:style>
  <w:style w:type="paragraph" w:styleId="TOC2">
    <w:name w:val="toc 2"/>
    <w:basedOn w:val="Normal"/>
    <w:next w:val="Normal"/>
    <w:autoRedefine/>
    <w:uiPriority w:val="39"/>
    <w:unhideWhenUsed/>
    <w:rsid w:val="00286A87"/>
    <w:pPr>
      <w:spacing w:after="100"/>
      <w:ind w:left="240"/>
    </w:pPr>
  </w:style>
  <w:style w:type="character" w:styleId="Hyperlink">
    <w:name w:val="Hyperlink"/>
    <w:basedOn w:val="DefaultParagraphFont"/>
    <w:uiPriority w:val="99"/>
    <w:unhideWhenUsed/>
    <w:rsid w:val="00286A87"/>
    <w:rPr>
      <w:color w:val="0000FF" w:themeColor="hyperlink"/>
      <w:u w:val="single"/>
    </w:rPr>
  </w:style>
  <w:style w:type="table" w:styleId="TableGridLight">
    <w:name w:val="Grid Table Light"/>
    <w:basedOn w:val="TableNormal"/>
    <w:uiPriority w:val="99"/>
    <w:rsid w:val="00103FB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inasthma.org/2026-gina-strategy-report/" TargetMode="External"/><Relationship Id="rId18" Type="http://schemas.openxmlformats.org/officeDocument/2006/relationships/hyperlink" Target="https://doi.org/10.1016/S2468-2667(21)00097-9"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dc.gov/tobacco/secondhand-smoke/health.html" TargetMode="External"/><Relationship Id="rId17" Type="http://schemas.openxmlformats.org/officeDocument/2006/relationships/hyperlink" Target="https://doi.org/10.3389/fped.2022.874935" TargetMode="External"/><Relationship Id="rId2" Type="http://schemas.openxmlformats.org/officeDocument/2006/relationships/numbering" Target="numbering.xml"/><Relationship Id="rId16" Type="http://schemas.openxmlformats.org/officeDocument/2006/relationships/hyperlink" Target="https://doi.org/10.1016/j.amepre.2022.01.015" TargetMode="External"/><Relationship Id="rId20" Type="http://schemas.openxmlformats.org/officeDocument/2006/relationships/hyperlink" Target="https://www.who.int/news-room/fact-sheets/detail/asthm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tobacco/e-cigarettes/youth.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jaip.2021.04.048" TargetMode="External"/><Relationship Id="rId23" Type="http://schemas.openxmlformats.org/officeDocument/2006/relationships/fontTable" Target="fontTable.xml"/><Relationship Id="rId10" Type="http://schemas.openxmlformats.org/officeDocument/2006/relationships/hyperlink" Target="https://www.nice.org.uk/guidance/ng245" TargetMode="External"/><Relationship Id="rId19" Type="http://schemas.openxmlformats.org/officeDocument/2006/relationships/hyperlink" Target="https://doi.org/10.1016/j.rmed.2022.106949" TargetMode="External"/><Relationship Id="rId4" Type="http://schemas.openxmlformats.org/officeDocument/2006/relationships/settings" Target="settings.xml"/><Relationship Id="rId9" Type="http://schemas.openxmlformats.org/officeDocument/2006/relationships/hyperlink" Target="https://openstax.org/books/anatomy-and-physiology-2e/pages/1-introduction" TargetMode="External"/><Relationship Id="rId14" Type="http://schemas.openxmlformats.org/officeDocument/2006/relationships/hyperlink" Target="https://doi.org/10.3390/ijms2317991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3068</Words>
  <Characters>17491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20518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Adolescent Asthma: Respiratory Physiology, Irritant-Induced Airway Inflammation and Safe Self-Management</dc:title>
  <dc:subject>BMHP5023 Introduction to Physiology - Case Study 2</dc:subject>
  <dc:creator>LISDALIA INSUMBO ANTÓNIO BIAGUE</dc:creator>
  <cp:keywords>asthma, adolescent health, respiratory physiology, peak flow, case study</cp:keywords>
  <dc:description>generated by python-docx</dc:description>
  <cp:lastModifiedBy>Asif Sharker</cp:lastModifiedBy>
  <cp:revision>2</cp:revision>
  <dcterms:created xsi:type="dcterms:W3CDTF">2026-08-01T15:07:00Z</dcterms:created>
  <dcterms:modified xsi:type="dcterms:W3CDTF">2026-08-01T15:07:00Z</dcterms:modified>
  <cp:category/>
</cp:coreProperties>
</file>