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DC8D738">
      <w:pPr>
        <w:spacing w:line="360" w:lineRule="auto"/>
        <w:jc w:val="center"/>
        <w:rPr>
          <w:rFonts w:ascii="Times New Roman" w:hAnsi="Times New Roman" w:cs="Times New Roman"/>
          <w:b/>
          <w:bCs/>
          <w:sz w:val="32"/>
          <w:szCs w:val="32"/>
          <w:lang w:val="en-GB"/>
        </w:rPr>
      </w:pPr>
    </w:p>
    <w:p w14:paraId="6A742902">
      <w:pPr>
        <w:spacing w:line="360" w:lineRule="auto"/>
        <w:jc w:val="center"/>
        <w:rPr>
          <w:rFonts w:ascii="Times New Roman" w:hAnsi="Times New Roman" w:cs="Times New Roman"/>
          <w:b/>
          <w:bCs/>
          <w:sz w:val="32"/>
          <w:szCs w:val="32"/>
          <w:lang w:val="en-GB"/>
        </w:rPr>
      </w:pPr>
    </w:p>
    <w:p w14:paraId="389BC023">
      <w:pPr>
        <w:spacing w:line="360" w:lineRule="auto"/>
        <w:jc w:val="center"/>
        <w:rPr>
          <w:rFonts w:ascii="Times New Roman" w:hAnsi="Times New Roman" w:cs="Times New Roman"/>
          <w:b/>
          <w:bCs/>
          <w:sz w:val="32"/>
          <w:szCs w:val="32"/>
          <w:lang w:val="en-GB"/>
        </w:rPr>
      </w:pPr>
    </w:p>
    <w:p w14:paraId="53DC2854">
      <w:pPr>
        <w:spacing w:line="360" w:lineRule="auto"/>
        <w:jc w:val="center"/>
        <w:rPr>
          <w:rFonts w:ascii="Times New Roman" w:hAnsi="Times New Roman" w:cs="Times New Roman"/>
          <w:b/>
          <w:iCs/>
          <w:sz w:val="32"/>
          <w:szCs w:val="32"/>
          <w:lang w:val="en-GB"/>
        </w:rPr>
      </w:pPr>
      <w:r>
        <w:rPr>
          <w:rFonts w:ascii="Times New Roman" w:hAnsi="Times New Roman" w:cs="Times New Roman"/>
          <w:b/>
          <w:iCs/>
          <w:sz w:val="32"/>
          <w:szCs w:val="32"/>
          <w:lang w:val="en-GB"/>
        </w:rPr>
        <w:t xml:space="preserve"> “Critically evaluate a range of entrepreneurial traits, motivations and characteristics using appropriate academic models and theories, further supported by examples of proven and successful entrepreneurs”</w:t>
      </w:r>
    </w:p>
    <w:p w14:paraId="01625E6B">
      <w:pPr>
        <w:spacing w:line="360" w:lineRule="auto"/>
        <w:jc w:val="center"/>
        <w:rPr>
          <w:rFonts w:hint="default" w:ascii="Times New Roman" w:hAnsi="Times New Roman" w:cs="Times New Roman"/>
          <w:b/>
          <w:iCs/>
          <w:sz w:val="32"/>
          <w:szCs w:val="32"/>
          <w:lang w:val="en-GB"/>
        </w:rPr>
      </w:pPr>
      <w:r>
        <w:rPr>
          <w:rFonts w:ascii="Times New Roman" w:hAnsi="Times New Roman" w:cs="Times New Roman"/>
          <w:b/>
          <w:iCs/>
          <w:sz w:val="32"/>
          <w:szCs w:val="32"/>
          <w:lang w:val="en-GB"/>
        </w:rPr>
        <w:t>STUDENT NAME:</w:t>
      </w:r>
      <w:r>
        <w:rPr>
          <w:rFonts w:hint="default" w:ascii="Times New Roman" w:hAnsi="Times New Roman" w:cs="Times New Roman"/>
          <w:b/>
          <w:iCs/>
          <w:sz w:val="32"/>
          <w:szCs w:val="32"/>
          <w:lang w:val="en-GB"/>
        </w:rPr>
        <w:t xml:space="preserve">Lidia Leva </w:t>
      </w:r>
    </w:p>
    <w:p w14:paraId="20536154">
      <w:pPr>
        <w:spacing w:line="360" w:lineRule="auto"/>
        <w:jc w:val="center"/>
        <w:rPr>
          <w:rFonts w:ascii="Times New Roman" w:hAnsi="Times New Roman" w:cs="Times New Roman"/>
          <w:b/>
          <w:iCs/>
          <w:sz w:val="32"/>
          <w:szCs w:val="32"/>
          <w:lang w:val="en-GB"/>
        </w:rPr>
      </w:pPr>
      <w:r>
        <w:rPr>
          <w:rFonts w:ascii="Times New Roman" w:hAnsi="Times New Roman" w:cs="Times New Roman"/>
          <w:b/>
          <w:iCs/>
          <w:sz w:val="32"/>
          <w:szCs w:val="32"/>
          <w:lang w:val="en-GB"/>
        </w:rPr>
        <w:t>STUDENT ID:</w:t>
      </w:r>
      <w:r>
        <w:rPr>
          <w:rFonts w:hint="default" w:ascii="Times New Roman" w:hAnsi="Times New Roman"/>
          <w:b/>
          <w:iCs/>
          <w:sz w:val="32"/>
          <w:szCs w:val="32"/>
          <w:lang w:val="en-GB"/>
        </w:rPr>
        <w:t xml:space="preserve">2242891 </w:t>
      </w:r>
    </w:p>
    <w:p w14:paraId="6A86727C">
      <w:pPr>
        <w:spacing w:line="360" w:lineRule="auto"/>
        <w:jc w:val="center"/>
        <w:rPr>
          <w:rFonts w:ascii="Times New Roman" w:hAnsi="Times New Roman" w:cs="Times New Roman"/>
          <w:b/>
          <w:iCs/>
          <w:sz w:val="32"/>
          <w:szCs w:val="32"/>
          <w:lang w:val="en-GB"/>
        </w:rPr>
      </w:pPr>
      <w:r>
        <w:rPr>
          <w:rFonts w:ascii="Times New Roman" w:hAnsi="Times New Roman" w:cs="Times New Roman"/>
          <w:b/>
          <w:iCs/>
          <w:sz w:val="32"/>
          <w:szCs w:val="32"/>
          <w:lang w:val="en-GB"/>
        </w:rPr>
        <w:t>MODULE TITLE – BMIH5001 ENTREPRENEURSHIP</w:t>
      </w:r>
    </w:p>
    <w:p w14:paraId="29025318">
      <w:pPr>
        <w:spacing w:line="360" w:lineRule="auto"/>
        <w:jc w:val="center"/>
        <w:rPr>
          <w:rFonts w:hint="default" w:ascii="Times New Roman" w:hAnsi="Times New Roman"/>
          <w:b/>
          <w:iCs/>
          <w:sz w:val="32"/>
          <w:szCs w:val="32"/>
          <w:lang w:val="en-GB"/>
        </w:rPr>
      </w:pPr>
      <w:r>
        <w:rPr>
          <w:rFonts w:ascii="Times New Roman" w:hAnsi="Times New Roman" w:cs="Times New Roman"/>
          <w:b/>
          <w:iCs/>
          <w:sz w:val="32"/>
          <w:szCs w:val="32"/>
          <w:lang w:val="en-GB"/>
        </w:rPr>
        <w:t>LECTURER’S NAME:</w:t>
      </w:r>
      <w:r>
        <w:rPr>
          <w:rFonts w:hint="default" w:ascii="Times New Roman" w:hAnsi="Times New Roman" w:cs="Times New Roman"/>
          <w:b/>
          <w:iCs/>
          <w:sz w:val="32"/>
          <w:szCs w:val="32"/>
          <w:lang w:val="en-GB"/>
        </w:rPr>
        <w:t xml:space="preserve"> </w:t>
      </w:r>
      <w:r>
        <w:rPr>
          <w:rFonts w:hint="default" w:ascii="Times New Roman" w:hAnsi="Times New Roman"/>
          <w:b/>
          <w:iCs/>
          <w:sz w:val="32"/>
          <w:szCs w:val="32"/>
          <w:lang w:val="en-GB"/>
        </w:rPr>
        <w:t>Charlotte Joyner</w:t>
      </w:r>
    </w:p>
    <w:p w14:paraId="7CBAB32A">
      <w:pPr>
        <w:spacing w:line="360" w:lineRule="auto"/>
        <w:jc w:val="center"/>
        <w:rPr>
          <w:rFonts w:hint="default" w:ascii="Times New Roman" w:hAnsi="Times New Roman"/>
          <w:b/>
          <w:iCs/>
          <w:sz w:val="32"/>
          <w:szCs w:val="32"/>
          <w:lang w:val="en-GB"/>
        </w:rPr>
      </w:pPr>
    </w:p>
    <w:p w14:paraId="571E1FE5">
      <w:pPr>
        <w:spacing w:line="360" w:lineRule="auto"/>
        <w:jc w:val="center"/>
        <w:rPr>
          <w:rFonts w:hint="default" w:ascii="Times New Roman" w:hAnsi="Times New Roman"/>
          <w:b/>
          <w:iCs/>
          <w:sz w:val="32"/>
          <w:szCs w:val="32"/>
          <w:lang w:val="en-GB"/>
        </w:rPr>
      </w:pPr>
    </w:p>
    <w:p w14:paraId="228C5908">
      <w:pPr>
        <w:spacing w:line="360" w:lineRule="auto"/>
        <w:jc w:val="center"/>
        <w:rPr>
          <w:rFonts w:ascii="Times New Roman" w:hAnsi="Times New Roman" w:cs="Times New Roman"/>
          <w:b/>
          <w:iCs/>
          <w:sz w:val="32"/>
          <w:szCs w:val="32"/>
          <w:lang w:val="en-GB"/>
        </w:rPr>
      </w:pPr>
      <w:r>
        <w:rPr>
          <w:rFonts w:hint="default" w:ascii="Times New Roman" w:hAnsi="Times New Roman" w:eastAsia="sans-serif" w:cs="Times New Roman"/>
          <w:b/>
          <w:bCs/>
          <w:i/>
          <w:iCs/>
          <w:caps w:val="0"/>
          <w:color w:val="000000"/>
          <w:spacing w:val="0"/>
          <w:sz w:val="18"/>
          <w:szCs w:val="18"/>
          <w:bdr w:val="none" w:color="auto" w:sz="0" w:space="0"/>
          <w:shd w:val="clear" w:fill="FFFFFF"/>
        </w:rPr>
        <w:br w:type="textWrapping"/>
      </w:r>
      <w:r>
        <w:rPr>
          <w:rFonts w:hint="default" w:ascii="Times New Roman" w:hAnsi="Times New Roman" w:eastAsia="sans-serif" w:cs="Times New Roman"/>
          <w:b/>
          <w:bCs/>
          <w:i/>
          <w:iCs/>
          <w:caps w:val="0"/>
          <w:color w:val="000000"/>
          <w:spacing w:val="0"/>
          <w:sz w:val="18"/>
          <w:szCs w:val="18"/>
          <w:bdr w:val="none" w:color="auto" w:sz="0" w:space="0"/>
          <w:shd w:val="clear" w:fill="FFFFFF"/>
        </w:rPr>
        <w:t>How to acknowledge you</w:t>
      </w:r>
      <w:r>
        <w:rPr>
          <w:rFonts w:hint="default" w:ascii="Times New Roman" w:hAnsi="Times New Roman" w:eastAsia="sans-serif" w:cs="Times New Roman"/>
          <w:b/>
          <w:bCs/>
          <w:i/>
          <w:iCs/>
          <w:caps w:val="0"/>
          <w:color w:val="000000"/>
          <w:spacing w:val="0"/>
          <w:sz w:val="18"/>
          <w:szCs w:val="18"/>
          <w:bdr w:val="none" w:color="auto" w:sz="0" w:space="0"/>
          <w:shd w:val="clear" w:fill="FFFFFF"/>
          <w:lang w:val="en-GB"/>
        </w:rPr>
        <w:t xml:space="preserve">r </w:t>
      </w:r>
      <w:r>
        <w:rPr>
          <w:rFonts w:hint="default" w:ascii="Times New Roman" w:hAnsi="Times New Roman" w:eastAsia="sans-serif" w:cs="Times New Roman"/>
          <w:b/>
          <w:bCs/>
          <w:i/>
          <w:iCs/>
          <w:caps w:val="0"/>
          <w:color w:val="000000"/>
          <w:spacing w:val="0"/>
          <w:sz w:val="18"/>
          <w:szCs w:val="18"/>
          <w:bdr w:val="none" w:color="auto" w:sz="0" w:space="0"/>
          <w:shd w:val="clear" w:fill="FFFFFF"/>
        </w:rPr>
        <w:t>use of AI</w:t>
      </w:r>
      <w:r>
        <w:rPr>
          <w:rFonts w:hint="default" w:ascii="Times New Roman" w:hAnsi="Times New Roman" w:eastAsia="Segoe UI" w:cs="Times New Roman"/>
          <w:b/>
          <w:bCs/>
          <w:i/>
          <w:iCs/>
          <w:caps w:val="0"/>
          <w:color w:val="000000"/>
          <w:spacing w:val="0"/>
          <w:sz w:val="18"/>
          <w:szCs w:val="18"/>
          <w:bdr w:val="none" w:color="auto" w:sz="0" w:space="0"/>
          <w:shd w:val="clear" w:fill="FFFFFF"/>
        </w:rPr>
        <w:br w:type="textWrapping"/>
      </w:r>
      <w:r>
        <w:rPr>
          <w:rFonts w:hint="default" w:ascii="Times New Roman" w:hAnsi="Times New Roman" w:eastAsia="sans-serif" w:cs="Times New Roman"/>
          <w:b/>
          <w:bCs/>
          <w:i/>
          <w:iCs/>
          <w:caps w:val="0"/>
          <w:color w:val="000000"/>
          <w:spacing w:val="0"/>
          <w:sz w:val="18"/>
          <w:szCs w:val="18"/>
          <w:bdr w:val="none" w:color="auto" w:sz="0" w:space="0"/>
          <w:shd w:val="clear" w:fill="FFFFFF"/>
        </w:rPr>
        <w:t>I confirm that I have not used any AI tools in the research and creation of this</w:t>
      </w:r>
      <w:r>
        <w:rPr>
          <w:rFonts w:hint="default" w:ascii="Times New Roman" w:hAnsi="Times New Roman" w:eastAsia="Segoe UI" w:cs="Times New Roman"/>
          <w:b/>
          <w:bCs/>
          <w:i/>
          <w:iCs/>
          <w:caps w:val="0"/>
          <w:color w:val="000000"/>
          <w:spacing w:val="0"/>
          <w:sz w:val="18"/>
          <w:szCs w:val="18"/>
          <w:bdr w:val="none" w:color="auto" w:sz="0" w:space="0"/>
          <w:shd w:val="clear" w:fill="FFFFFF"/>
        </w:rPr>
        <w:br w:type="textWrapping"/>
      </w:r>
      <w:r>
        <w:rPr>
          <w:rFonts w:hint="default" w:ascii="Times New Roman" w:hAnsi="Times New Roman" w:eastAsia="sans-serif" w:cs="Times New Roman"/>
          <w:b/>
          <w:bCs/>
          <w:i/>
          <w:iCs/>
          <w:caps w:val="0"/>
          <w:color w:val="000000"/>
          <w:spacing w:val="0"/>
          <w:sz w:val="18"/>
          <w:szCs w:val="18"/>
          <w:bdr w:val="none" w:color="auto" w:sz="0" w:space="0"/>
          <w:shd w:val="clear" w:fill="FFFFFF"/>
        </w:rPr>
        <w:t>assignment. I confirm that I have not presented any AI generated materials as my own</w:t>
      </w:r>
      <w:r>
        <w:rPr>
          <w:rFonts w:hint="default" w:ascii="Times New Roman" w:hAnsi="Times New Roman" w:eastAsia="Segoe UI" w:cs="Times New Roman"/>
          <w:b/>
          <w:bCs/>
          <w:i/>
          <w:iCs/>
          <w:caps w:val="0"/>
          <w:color w:val="000000"/>
          <w:spacing w:val="0"/>
          <w:sz w:val="18"/>
          <w:szCs w:val="18"/>
          <w:bdr w:val="none" w:color="auto" w:sz="0" w:space="0"/>
          <w:shd w:val="clear" w:fill="FFFFFF"/>
        </w:rPr>
        <w:br w:type="textWrapping"/>
      </w:r>
      <w:r>
        <w:rPr>
          <w:rFonts w:hint="default" w:ascii="Times New Roman" w:hAnsi="Times New Roman" w:eastAsia="sans-serif" w:cs="Times New Roman"/>
          <w:b/>
          <w:bCs/>
          <w:i/>
          <w:iCs/>
          <w:caps w:val="0"/>
          <w:color w:val="000000"/>
          <w:spacing w:val="0"/>
          <w:sz w:val="18"/>
          <w:szCs w:val="18"/>
          <w:bdr w:val="none" w:color="auto" w:sz="0" w:space="0"/>
          <w:shd w:val="clear" w:fill="FFFFFF"/>
        </w:rPr>
        <w:t>work. I confirm I have copies of my drafts, notes, and other resources I used, which I</w:t>
      </w:r>
      <w:r>
        <w:rPr>
          <w:rFonts w:hint="default" w:ascii="Times New Roman" w:hAnsi="Times New Roman" w:eastAsia="Segoe UI" w:cs="Times New Roman"/>
          <w:b/>
          <w:bCs/>
          <w:i/>
          <w:iCs/>
          <w:caps w:val="0"/>
          <w:color w:val="000000"/>
          <w:spacing w:val="0"/>
          <w:sz w:val="18"/>
          <w:szCs w:val="18"/>
          <w:bdr w:val="none" w:color="auto" w:sz="0" w:space="0"/>
          <w:shd w:val="clear" w:fill="FFFFFF"/>
        </w:rPr>
        <w:br w:type="textWrapping"/>
      </w:r>
      <w:r>
        <w:rPr>
          <w:rFonts w:hint="default" w:ascii="Times New Roman" w:hAnsi="Times New Roman" w:eastAsia="sans-serif" w:cs="Times New Roman"/>
          <w:b/>
          <w:bCs/>
          <w:i/>
          <w:iCs/>
          <w:caps w:val="0"/>
          <w:color w:val="000000"/>
          <w:spacing w:val="0"/>
          <w:sz w:val="18"/>
          <w:szCs w:val="18"/>
          <w:bdr w:val="none" w:color="auto" w:sz="0" w:space="0"/>
          <w:shd w:val="clear" w:fill="FFFFFF"/>
        </w:rPr>
        <w:t>may be a</w:t>
      </w:r>
      <w:bookmarkStart w:id="4" w:name="_GoBack"/>
      <w:bookmarkEnd w:id="4"/>
      <w:r>
        <w:rPr>
          <w:rFonts w:hint="default" w:ascii="Times New Roman" w:hAnsi="Times New Roman" w:eastAsia="sans-serif" w:cs="Times New Roman"/>
          <w:b/>
          <w:bCs/>
          <w:i/>
          <w:iCs/>
          <w:caps w:val="0"/>
          <w:color w:val="000000"/>
          <w:spacing w:val="0"/>
          <w:sz w:val="18"/>
          <w:szCs w:val="18"/>
          <w:bdr w:val="none" w:color="auto" w:sz="0" w:space="0"/>
          <w:shd w:val="clear" w:fill="FFFFFF"/>
        </w:rPr>
        <w:t>sked to provide in evidence.</w:t>
      </w:r>
      <w:r>
        <w:rPr>
          <w:rFonts w:ascii="Times New Roman" w:hAnsi="Times New Roman" w:cs="Times New Roman"/>
          <w:b/>
          <w:iCs/>
          <w:sz w:val="32"/>
          <w:szCs w:val="32"/>
          <w:lang w:val="en-GB"/>
        </w:rPr>
        <w:br w:type="page"/>
      </w:r>
    </w:p>
    <w:sdt>
      <w:sdtPr>
        <w:rPr>
          <w:rFonts w:ascii="Arial" w:hAnsi="Arial" w:eastAsia="Arial" w:cs="Arial"/>
          <w:color w:val="auto"/>
          <w:sz w:val="22"/>
          <w:szCs w:val="22"/>
          <w:lang w:val="en-GB"/>
        </w:rPr>
        <w:id w:val="890225560"/>
        <w:docPartObj>
          <w:docPartGallery w:val="Table of Contents"/>
          <w:docPartUnique/>
        </w:docPartObj>
      </w:sdtPr>
      <w:sdtEndPr>
        <w:rPr>
          <w:rFonts w:ascii="Arial" w:hAnsi="Arial" w:eastAsia="Arial" w:cs="Arial"/>
          <w:b/>
          <w:bCs/>
          <w:color w:val="auto"/>
          <w:sz w:val="22"/>
          <w:szCs w:val="22"/>
          <w:lang w:val="en-GB"/>
        </w:rPr>
      </w:sdtEndPr>
      <w:sdtContent>
        <w:p w14:paraId="4014E2C4">
          <w:pPr>
            <w:pStyle w:val="21"/>
            <w:spacing w:line="360" w:lineRule="auto"/>
            <w:jc w:val="center"/>
            <w:rPr>
              <w:rFonts w:ascii="Times New Roman" w:hAnsi="Times New Roman" w:cs="Times New Roman"/>
              <w:b/>
              <w:bCs/>
              <w:color w:val="auto"/>
              <w:sz w:val="24"/>
              <w:szCs w:val="24"/>
              <w:lang w:val="en-GB"/>
            </w:rPr>
          </w:pPr>
          <w:r>
            <w:rPr>
              <w:rFonts w:ascii="Times New Roman" w:hAnsi="Times New Roman" w:cs="Times New Roman"/>
              <w:b/>
              <w:bCs/>
              <w:color w:val="auto"/>
              <w:sz w:val="24"/>
              <w:szCs w:val="24"/>
              <w:lang w:val="en-GB"/>
            </w:rPr>
            <w:t>Table of Contents</w:t>
          </w:r>
        </w:p>
        <w:p w14:paraId="433D2EA0">
          <w:pPr>
            <w:pStyle w:val="17"/>
            <w:tabs>
              <w:tab w:val="right" w:leader="dot" w:pos="9350"/>
            </w:tabs>
            <w:rPr>
              <w:rFonts w:ascii="Times New Roman" w:hAnsi="Times New Roman" w:cs="Times New Roman" w:eastAsiaTheme="minorEastAsia"/>
              <w:sz w:val="24"/>
              <w:szCs w:val="24"/>
              <w:lang w:val="en-GB"/>
            </w:rPr>
          </w:pP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TOC \o "1-3" \h \z \u </w:instrText>
          </w:r>
          <w:r>
            <w:rPr>
              <w:rFonts w:ascii="Times New Roman" w:hAnsi="Times New Roman" w:cs="Times New Roman"/>
              <w:sz w:val="24"/>
              <w:szCs w:val="24"/>
              <w:lang w:val="en-GB"/>
            </w:rPr>
            <w:fldChar w:fldCharType="separate"/>
          </w:r>
          <w:r>
            <w:fldChar w:fldCharType="begin"/>
          </w:r>
          <w:r>
            <w:instrText xml:space="preserve"> HYPERLINK \l "_Toc179816560" </w:instrText>
          </w:r>
          <w:r>
            <w:fldChar w:fldCharType="separate"/>
          </w:r>
          <w:r>
            <w:rPr>
              <w:rStyle w:val="14"/>
              <w:rFonts w:ascii="Times New Roman" w:hAnsi="Times New Roman" w:cs="Times New Roman"/>
              <w:sz w:val="24"/>
              <w:szCs w:val="24"/>
              <w:lang w:val="en-GB"/>
            </w:rPr>
            <w:t>1.0 Introduction</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_Toc179816560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3</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64CE9A5F">
          <w:pPr>
            <w:pStyle w:val="17"/>
            <w:tabs>
              <w:tab w:val="right" w:leader="dot" w:pos="9350"/>
            </w:tabs>
            <w:rPr>
              <w:rFonts w:ascii="Times New Roman" w:hAnsi="Times New Roman" w:cs="Times New Roman" w:eastAsiaTheme="minorEastAsia"/>
              <w:sz w:val="24"/>
              <w:szCs w:val="24"/>
              <w:lang w:val="en-GB"/>
            </w:rPr>
          </w:pPr>
          <w:r>
            <w:fldChar w:fldCharType="begin"/>
          </w:r>
          <w:r>
            <w:instrText xml:space="preserve"> HYPERLINK \l "_Toc179816561" </w:instrText>
          </w:r>
          <w:r>
            <w:fldChar w:fldCharType="separate"/>
          </w:r>
          <w:r>
            <w:rPr>
              <w:rStyle w:val="14"/>
              <w:rFonts w:ascii="Times New Roman" w:hAnsi="Times New Roman" w:cs="Times New Roman"/>
              <w:sz w:val="24"/>
              <w:szCs w:val="24"/>
              <w:lang w:val="en-GB"/>
            </w:rPr>
            <w:t>2.0 Main Body</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_Toc179816561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3</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2FC10C0B">
          <w:pPr>
            <w:pStyle w:val="17"/>
            <w:tabs>
              <w:tab w:val="right" w:leader="dot" w:pos="9350"/>
            </w:tabs>
            <w:rPr>
              <w:rFonts w:ascii="Times New Roman" w:hAnsi="Times New Roman" w:cs="Times New Roman" w:eastAsiaTheme="minorEastAsia"/>
              <w:sz w:val="24"/>
              <w:szCs w:val="24"/>
              <w:lang w:val="en-GB"/>
            </w:rPr>
          </w:pPr>
          <w:r>
            <w:fldChar w:fldCharType="begin"/>
          </w:r>
          <w:r>
            <w:instrText xml:space="preserve"> HYPERLINK \l "_Toc179816562" </w:instrText>
          </w:r>
          <w:r>
            <w:fldChar w:fldCharType="separate"/>
          </w:r>
          <w:r>
            <w:rPr>
              <w:rStyle w:val="14"/>
              <w:rFonts w:ascii="Times New Roman" w:hAnsi="Times New Roman" w:cs="Times New Roman"/>
              <w:sz w:val="24"/>
              <w:szCs w:val="24"/>
              <w:lang w:val="en-GB"/>
            </w:rPr>
            <w:t>3.0 Conclusion</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_Toc179816562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7</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028FADB5">
          <w:pPr>
            <w:pStyle w:val="17"/>
            <w:tabs>
              <w:tab w:val="right" w:leader="dot" w:pos="9350"/>
            </w:tabs>
            <w:rPr>
              <w:rFonts w:ascii="Times New Roman" w:hAnsi="Times New Roman" w:cs="Times New Roman" w:eastAsiaTheme="minorEastAsia"/>
              <w:sz w:val="24"/>
              <w:szCs w:val="24"/>
              <w:lang w:val="en-GB"/>
            </w:rPr>
          </w:pPr>
          <w:r>
            <w:fldChar w:fldCharType="begin"/>
          </w:r>
          <w:r>
            <w:instrText xml:space="preserve"> HYPERLINK \l "_Toc179816563" </w:instrText>
          </w:r>
          <w:r>
            <w:fldChar w:fldCharType="separate"/>
          </w:r>
          <w:r>
            <w:rPr>
              <w:rStyle w:val="14"/>
              <w:rFonts w:ascii="Times New Roman" w:hAnsi="Times New Roman" w:cs="Times New Roman"/>
              <w:sz w:val="24"/>
              <w:szCs w:val="24"/>
              <w:lang w:val="en-GB"/>
            </w:rPr>
            <w:t>Reference list</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_Toc179816563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9</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0040D1E2">
          <w:pPr>
            <w:spacing w:line="360" w:lineRule="auto"/>
            <w:jc w:val="both"/>
            <w:rPr>
              <w:lang w:val="en-GB"/>
            </w:rPr>
          </w:pPr>
          <w:r>
            <w:rPr>
              <w:rFonts w:ascii="Times New Roman" w:hAnsi="Times New Roman" w:cs="Times New Roman"/>
              <w:b/>
              <w:bCs/>
              <w:sz w:val="24"/>
              <w:szCs w:val="24"/>
              <w:lang w:val="en-GB"/>
            </w:rPr>
            <w:fldChar w:fldCharType="end"/>
          </w:r>
        </w:p>
      </w:sdtContent>
    </w:sdt>
    <w:p w14:paraId="1528A413">
      <w:pPr>
        <w:rPr>
          <w:rFonts w:ascii="Times New Roman" w:hAnsi="Times New Roman"/>
          <w:b/>
          <w:sz w:val="28"/>
          <w:szCs w:val="40"/>
          <w:lang w:val="en-GB"/>
        </w:rPr>
      </w:pPr>
      <w:r>
        <w:rPr>
          <w:lang w:val="en-GB"/>
        </w:rPr>
        <w:br w:type="page"/>
      </w:r>
    </w:p>
    <w:p w14:paraId="1055286D">
      <w:pPr>
        <w:pStyle w:val="2"/>
        <w:rPr>
          <w:lang w:val="en-GB"/>
        </w:rPr>
      </w:pPr>
      <w:bookmarkStart w:id="0" w:name="_Toc179816560"/>
      <w:r>
        <w:rPr>
          <w:lang w:val="en-GB"/>
        </w:rPr>
        <w:t>1.0 Introduction</w:t>
      </w:r>
      <w:bookmarkEnd w:id="0"/>
    </w:p>
    <w:p w14:paraId="666FEE47">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Entrepreneurship refers to the ability and readiness to organise, develop, and run a business enterprise along with any of its uncertainties to make a profit. Entrepreneurship in the hospitality industry demands a unique blend of traits and motivation to succeed in its competitive and dynamic landscape (</w:t>
      </w:r>
      <w:r>
        <w:rPr>
          <w:rFonts w:ascii="Times New Roman" w:hAnsi="Times New Roman"/>
          <w:sz w:val="24"/>
          <w:lang w:val="en-GB"/>
        </w:rPr>
        <w:t>Barringerand Ireland, 2018</w:t>
      </w:r>
      <w:r>
        <w:rPr>
          <w:rFonts w:ascii="Times New Roman" w:hAnsi="Times New Roman" w:eastAsia="Times New Roman" w:cs="Times New Roman"/>
          <w:sz w:val="24"/>
          <w:szCs w:val="24"/>
          <w:lang w:val="en-GB"/>
        </w:rPr>
        <w:t xml:space="preserve">). The study will focus on four entrepreneurial traits, innovation risk-taking, resilience, and vision that drive success in this sector.  The study will also discuss academic theories considering these traits and motivational skills of entrepreneurs comparatively. </w:t>
      </w:r>
    </w:p>
    <w:p w14:paraId="0A05BDE0">
      <w:pPr>
        <w:pStyle w:val="2"/>
        <w:rPr>
          <w:lang w:val="en-GB"/>
        </w:rPr>
      </w:pPr>
      <w:bookmarkStart w:id="1" w:name="_Toc179816561"/>
      <w:r>
        <w:rPr>
          <w:lang w:val="en-GB"/>
        </w:rPr>
        <w:t>2.0 Main Body</w:t>
      </w:r>
      <w:bookmarkEnd w:id="1"/>
    </w:p>
    <w:p w14:paraId="6EEC4254">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Innovative entrepreneurship is the practice of establishing, and creating new business ideas intending to generate profit. It also includes assisting the community and accomplishing company goals. Innovativeness in the hospitality industry is the core of success. The innovation theory is primarily associated with Joseph Schumpeter. It states that entrepreneurship is fundamentally based on innovation (Ziemnowicz, 2020). The entrepreneurs drive economic development by creating new products and processes. It also involves different business models that have the ability to disrupt existing markets. Similarly in the hospitality industry, where the competition is high and customer preference changes, innovation is the core to success and for differentiating the traits of others (Callegari and Nybakk, 2022). </w:t>
      </w:r>
    </w:p>
    <w:p w14:paraId="148EE98A">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b/>
          <w:i/>
          <w:sz w:val="24"/>
          <w:szCs w:val="24"/>
          <w:lang w:val="en-GB"/>
        </w:rPr>
        <w:t>Alain Ducasse</w:t>
      </w:r>
      <w:r>
        <w:rPr>
          <w:rFonts w:ascii="Times New Roman" w:hAnsi="Times New Roman" w:eastAsia="Times New Roman" w:cs="Times New Roman"/>
          <w:sz w:val="24"/>
          <w:szCs w:val="24"/>
          <w:lang w:val="en-GB"/>
        </w:rPr>
        <w:t xml:space="preserve"> is a prominent example of the innovativeness in the hospitality industry. He is one of the celebrated chefs and restaurateurs. He is known for his contribution to fine dining, and till now pushing the boundaries of culinary artistry and hospitality services. He has shifted the focus to ingredients. The global trend of </w:t>
      </w:r>
      <w:r>
        <w:rPr>
          <w:rFonts w:ascii="Times New Roman" w:hAnsi="Times New Roman" w:eastAsia="Times New Roman" w:cs="Times New Roman"/>
          <w:b/>
          <w:i/>
          <w:sz w:val="24"/>
          <w:szCs w:val="24"/>
          <w:lang w:val="en-GB"/>
        </w:rPr>
        <w:t>"Farm-to-table"</w:t>
      </w:r>
      <w:r>
        <w:rPr>
          <w:rFonts w:ascii="Times New Roman" w:hAnsi="Times New Roman" w:eastAsia="Times New Roman" w:cs="Times New Roman"/>
          <w:sz w:val="24"/>
          <w:szCs w:val="24"/>
          <w:lang w:val="en-GB"/>
        </w:rPr>
        <w:t xml:space="preserve"> in fine dining was innovated by him. He sourced local and seasonal ingredients directly from the farmers and emphasised on the sustainable practices. He has redefined the concept of luxury dining with his focus on fresh, high-quality ingredients. This approach not only supported local agriculture but also aligned with the growing consumer demand for sustainability and transparency in food sourcing (Ducasse Paris, 2024). </w:t>
      </w:r>
    </w:p>
    <w:p w14:paraId="6E7F88D0">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Considering this it can be stated that the theory emphasises the role of innovation as the driving force behind economic growth and transformation. In the matter of the hospitality industry, it might include new dining experiences, the use of inventive technology, and sustainable practices. Entrepreneurs have the capacity to transform not only the business but the industry with the help of innovation. It also includes staying on trends and continuously redefining the changes as per the needs of the customers. Ducasse has secured his business with innovation and creative destruction (HBR, 2014). Every entrepreneurial venture includes a range of risky decisions, especially as far as discoveries and innovations are concerned. In a paper by Ncokazi and Thandiswa (2022), it has been mentioned that entrepreneurs with risk-taking propensity are likely to succeed in their respective ventures. Risk-taking refers to the willingness to accept the uncertainty that accompanies vital decisions taken in an entrepreneurial journey. The risks in an entrepreneurial venture might encompass operational risk, financial risk, reputational risk, legal risk and so on. However, while discussing risk-taking propensity, it is important to make a distinction between positive and negative risk-taking. </w:t>
      </w:r>
    </w:p>
    <w:p w14:paraId="3029E6A7">
      <w:pPr>
        <w:pStyle w:val="2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Positive risk, otherwise referred to as opportunity or an upside risk, refers to events or decisions that impart a positive impact on a company. On the contrary, a negative risk refers to decisions that might bring about negative impacts. Although entrepreneurial risk perception is generally objective, individual perception of risk might encourage or discourage the risk-taking attitude among entrepreneurs. Walid and Peng (2022) classified entrepreneurial risk-taking propensity into financial loss, personal or emotional harm, and social breakdown. Therefore, for potential entrepreneurs, the perception of risk is a decisive factor whether they start a business or not. </w:t>
      </w:r>
      <w:r>
        <w:rPr>
          <w:rFonts w:ascii="Times New Roman" w:hAnsi="Times New Roman" w:eastAsia="Times New Roman" w:cs="Times New Roman"/>
          <w:b/>
          <w:i/>
          <w:sz w:val="24"/>
          <w:szCs w:val="24"/>
          <w:lang w:val="en-GB"/>
        </w:rPr>
        <w:t>Nobu Matsuhisa</w:t>
      </w:r>
      <w:r>
        <w:rPr>
          <w:rFonts w:ascii="Times New Roman" w:hAnsi="Times New Roman" w:eastAsia="Times New Roman" w:cs="Times New Roman"/>
          <w:sz w:val="24"/>
          <w:szCs w:val="24"/>
          <w:lang w:val="en-GB"/>
        </w:rPr>
        <w:t xml:space="preserve">, the co-founder of Nobu Hotels exhibited a risk-taking propensity which helped him expand into 54 locations internationally (Nobu, 2024). Nobu began its journey as a restaurant in Tribeca, New York. In the very beginning, Nobu presented a distinctive blend of Peruvian and Japanese flavours, two radically different cuisines. The unique proposition represents the willingness of Nobu Matsuhisa to take entrepreneurial risks. </w:t>
      </w:r>
    </w:p>
    <w:p w14:paraId="7DCA89DC">
      <w:pPr>
        <w:pStyle w:val="2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risk-taking propensity of Nobu Matsuhisa is further reflected by his expansion from a restaurant to the realm of hospitality. The decision to enter the hotel industry was a radical shift for Nobu Matsuhisa who specialises in the culinary and restaurant business. The ability to take and implement such risky decisions might be explained using the habituated action theory. As the habituation action theory suggests, individuals who frequently engage in high-risk behaviour without experiencing a negative outcome tend to repeat such actions (Oppong, 2021). In the case of Nobu Matsuhisa, the decision to start a restaurant business based on the blend of Peruvian and Japanese cuisine brought him anticipated success. As a result, the decision to take the risk of expanding into the hotel industry with Nobu Hotels proved to be another success story for Matsuhisa. Currently, Nobu Hotels operates a total of 38 luxury hotels worldwide along with 54 restaurants globally (Nobu Hotels, 2024). Therefore, from the discussion, it can be deduced that a positive risk-taking propensity is required to tap into the potential of different markets and achieve business success. </w:t>
      </w:r>
    </w:p>
    <w:p w14:paraId="26EE942C">
      <w:pPr>
        <w:pStyle w:val="2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Entrepreneurial resilience refers to the trait of entrepreneurs that allows them to recover from the challenges faced by them throughout their entrepreneurial journey. Garrett and Zettel (2021) defined entrepreneurial resilience as a procedure that enables entrepreneurs to deploy different capabilities to respond to and recover from different adversities encountered in their role as entrepreneurs. The risk-taking propensity of an entrepreneur involves taking different types of risk which, at times, might not bring about the anticipated success. In cases of failure, resilience enables an entrepreneur to accept the setbacks and start over again. For example, the case of </w:t>
      </w:r>
      <w:r>
        <w:rPr>
          <w:rFonts w:ascii="Times New Roman" w:hAnsi="Times New Roman" w:eastAsia="Times New Roman" w:cs="Times New Roman"/>
          <w:b/>
          <w:i/>
          <w:sz w:val="24"/>
          <w:szCs w:val="24"/>
          <w:lang w:val="en-GB"/>
        </w:rPr>
        <w:t>Anita Roddick</w:t>
      </w:r>
      <w:r>
        <w:rPr>
          <w:rFonts w:ascii="Times New Roman" w:hAnsi="Times New Roman" w:eastAsia="Times New Roman" w:cs="Times New Roman"/>
          <w:sz w:val="24"/>
          <w:szCs w:val="24"/>
          <w:lang w:val="en-GB"/>
        </w:rPr>
        <w:t xml:space="preserve"> can be considered in this context. Anita Roddick is the founder of Body Shop, which is currently considering expansion into the hospitality industry. Roddick, the founder of the trailblazing cosmetic chain showed excellent resilience in the early years of the company which helped the company acquire the position in the market it holds today. After commencing its journey in 1976, the Body Shop experienced growth and was listed in the London Stock Exchange by 1984. However, soon after the beginning of the 21st century, the company faced major setbacks, mainly due to the increasing demands of the shareholders. As a result, Anita Roddick had to step down from the position of management and her role was restricted to a mere shareholder. Moreover, in 2006, the Body Shop was sold to the French cosmetic giant L'Oreal. However, the resilience of Anita Roddick helped the company gain a stronghold in the cosmetic sector once again. As a result of the resilient attitude of Anita Roddick, the company has regained its brand visibility and secured a rank among the top 10 most well-recognised health and beauty shops. Furthermore, the company also generated a total of 197 million British Pounds in 2022 which also reflects its resilience (Statista, 2024). The theory of psychological resilience proposes that some individuals are capable of accepting failure and coming back stronger (Vella and Pai, 2019). Therefore, in the case of entrepreneurs, the ability to recover from the potential setbacks associated with their business decisions facilitates the process of developing a successful business as seen in the case of Anita Roddick. </w:t>
      </w:r>
    </w:p>
    <w:p w14:paraId="25D39B22">
      <w:pPr>
        <w:pStyle w:val="23"/>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Trait 4: </w:t>
      </w:r>
      <w:r>
        <w:rPr>
          <w:rFonts w:ascii="Times New Roman" w:hAnsi="Times New Roman" w:eastAsia="Times New Roman" w:cs="Times New Roman"/>
          <w:b/>
          <w:bCs/>
          <w:sz w:val="24"/>
          <w:szCs w:val="24"/>
          <w:lang w:val="en-GB"/>
        </w:rPr>
        <w:t>Vision- (Yotam Ottolenghi (Ottolenghi Restaurants))</w:t>
      </w:r>
    </w:p>
    <w:p w14:paraId="24423343">
      <w:pPr>
        <w:pStyle w:val="2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In addition to the above traits, vision is another key requirement of entrepreneurship. According to Barringer and Ireland (2018), it is the vision of the entrepreneurs which inspires them to take risks and jump into business activities. The need to make the vision into reality is crucial in order to eliminate the challenges and uncertainties associated with entrepreneurship. In this context, the case of </w:t>
      </w:r>
      <w:r>
        <w:rPr>
          <w:rFonts w:ascii="Times New Roman" w:hAnsi="Times New Roman" w:eastAsia="Times New Roman" w:cs="Times New Roman"/>
          <w:b/>
          <w:i/>
          <w:sz w:val="24"/>
          <w:szCs w:val="24"/>
          <w:lang w:val="en-GB"/>
        </w:rPr>
        <w:t>Yotam Ottolenghi</w:t>
      </w:r>
      <w:r>
        <w:rPr>
          <w:rFonts w:ascii="Times New Roman" w:hAnsi="Times New Roman" w:eastAsia="Times New Roman" w:cs="Times New Roman"/>
          <w:sz w:val="24"/>
          <w:szCs w:val="24"/>
          <w:lang w:val="en-GB"/>
        </w:rPr>
        <w:t>, co-founder of Ottolenghi Restaurants will be considered. As per the opinion of Sibeko and Barnard (2020), creating a definite entrepreneurial vision which addresses a key necessity of the consumers is the foundation of an entrepreneurship's success. Yotam Ottolenghi was the first one to introduce a store in Notting Hill in 2002 (Ottolenghi, 2024). It is also noticeable that at that time Ottolenghi's deli was significantly opposite to the typical London style. Hence, it would not be wrong to conclude that the vision of Yotam Ottolenghi to differentiate and innovate from the already existing players in the restaurant industry was the key factor behind his success. This vision of Yotam also shows his innovative nature which is also another important entrepreneurial trait found by applying the Innovative Theory in the earlier section of this discussion. Hence, this example of Yotam practically supports the findings by Barringer and Ireland (2018) which has been stated earlier.</w:t>
      </w:r>
    </w:p>
    <w:p w14:paraId="154BA199">
      <w:pPr>
        <w:pStyle w:val="2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On the other hand, Yamin (2020) stated that entrepreneurs can successfully innovate by transforming the existing processes with the new and more efficient ones to get competitive advantage. The transformational leadership theory also indicates a similar aspect where leaders innovate and successfully incorporate the innovative measures within business operations (Asbari, 2020). In the case of Yotam, it can be observed that he was one of the few people to introduce cookbooks, groups of delis and others (Smith, 2023). Further it is also well-known that in 2002 he successfully transformed product differentiation from typical London style to open, minimalist Israeli delis. In association with this the report by Smith (2023) shows that Ottolenghi also transformed the culinary landscape of Britain by using more eggplants in the cuisines which is also significantly deviating from typical Briton culture and innovative. Therefore, from these examples it can be appropriately stated that the transformation leadership theory is also aligned with the entrepreneurial vision of Ottolenghi to innovate in terms of incorporating new dishes, new ingredients and others.</w:t>
      </w:r>
    </w:p>
    <w:p w14:paraId="675B795A">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Transformational leadership is based on motivation and empowerment within the proactive leadership style that seeks for continuous changes. The transformational leaders understand the significance of vision and try to work with the people to achieve success. Ducasse Paris focuses on pushing the boundaries of fine dining whereas Yotam Ottolenghi focuses on the introduction of making exotic ingredients that will be more accessible to the broader audiences. Both the chefs exhibit a high level of creativity in their own space. However, the approach used by Yotam Ottolenghi is more diverse and caters to different segments of the hospitality market. The different traits discussed above are interrelated, however, have contrasting features. For instance, risk-taking propensity and resilience are two faces of a coin, however, can lead to very different outcomes. For instance, risk taking attitude might manifest into two different forms, such as positive risk taking and negative risk taking. While positive risk taking is often based on judicious decisions and thorough assessment, negative risk taking attitudes are generally not (Zaleskiewicz </w:t>
      </w:r>
      <w:r>
        <w:rPr>
          <w:rFonts w:ascii="Times New Roman" w:hAnsi="Times New Roman" w:eastAsia="Times New Roman" w:cs="Times New Roman"/>
          <w:i/>
          <w:iCs/>
          <w:sz w:val="24"/>
          <w:szCs w:val="24"/>
          <w:lang w:val="en-GB"/>
        </w:rPr>
        <w:t xml:space="preserve">et al., </w:t>
      </w:r>
      <w:r>
        <w:rPr>
          <w:rFonts w:ascii="Times New Roman" w:hAnsi="Times New Roman" w:eastAsia="Times New Roman" w:cs="Times New Roman"/>
          <w:sz w:val="24"/>
          <w:szCs w:val="24"/>
          <w:lang w:val="en-GB"/>
        </w:rPr>
        <w:t xml:space="preserve">2020). As a result, positive risk-taking propensity is frequently associated with success in entrepreneurial ventures while negative risk-taking attitude results in a spectrum of risks ranging from financial setbacks to reputational risks. On the other hand, resilience is a positive trait that leads entrepreneurs and enterprises to success (Hartmann </w:t>
      </w:r>
      <w:r>
        <w:rPr>
          <w:rFonts w:ascii="Times New Roman" w:hAnsi="Times New Roman" w:eastAsia="Times New Roman" w:cs="Times New Roman"/>
          <w:i/>
          <w:iCs/>
          <w:sz w:val="24"/>
          <w:szCs w:val="24"/>
          <w:lang w:val="en-GB"/>
        </w:rPr>
        <w:t xml:space="preserve">et al., </w:t>
      </w:r>
      <w:r>
        <w:rPr>
          <w:rFonts w:ascii="Times New Roman" w:hAnsi="Times New Roman" w:eastAsia="Times New Roman" w:cs="Times New Roman"/>
          <w:sz w:val="24"/>
          <w:szCs w:val="24"/>
          <w:lang w:val="en-GB"/>
        </w:rPr>
        <w:t>2022). For instance, the case of Anita Roddick, her resilience helped the Body Shop recover from the setbacks faced in the early years and transform into a profit-making company. In contrast, the positive risk-taking attitude of Nobu Matsuhisa helped him tap into the potential markets and expand his business further. Hence, comparing these two traits, it can be said that while a risk-taking attitude might either bring about positive or negative results, resilience is essential in an entrepreneurial journey.</w:t>
      </w:r>
    </w:p>
    <w:p w14:paraId="1C470A8A">
      <w:pPr>
        <w:pStyle w:val="2"/>
        <w:rPr>
          <w:lang w:val="en-GB"/>
        </w:rPr>
      </w:pPr>
      <w:bookmarkStart w:id="2" w:name="_Toc179816562"/>
      <w:r>
        <w:rPr>
          <w:lang w:val="en-GB"/>
        </w:rPr>
        <w:t>3.0 Conclusion</w:t>
      </w:r>
      <w:bookmarkEnd w:id="2"/>
    </w:p>
    <w:p w14:paraId="26CD4C9A">
      <w:pPr>
        <w:pStyle w:val="2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essay has critically discussed different important entrepreneurial traits with reference to real world examples of different entrepreneurs. Innovativeness has been found to one of the key traits of entrepreneurs which has also been the basis of risk taking abilities. The cases of Alain Ducasse and Nobu Matsuhisa have been considered in analysing these traits respectively. The other traits covered here are resilience and vision. However, as the ultimate findings of this study it can be concluded that the traits and motivations of different entrepreneurs across wide demographics are not independent from each other. It has also been evidenced by indicating the fact that the vision of Yotam Ottolenghi has been the base for him to transform the culinary scenario of Britain.</w:t>
      </w:r>
    </w:p>
    <w:p w14:paraId="729C10B4">
      <w:pPr>
        <w:pStyle w:val="2"/>
        <w:rPr>
          <w:lang w:val="en-GB"/>
        </w:rPr>
      </w:pPr>
      <w:bookmarkStart w:id="3" w:name="_Toc179816563"/>
      <w:r>
        <w:rPr>
          <w:lang w:val="en-GB"/>
        </w:rPr>
        <w:t>Reference list</w:t>
      </w:r>
      <w:bookmarkEnd w:id="3"/>
    </w:p>
    <w:p w14:paraId="1F739EAC">
      <w:pPr>
        <w:pStyle w:val="23"/>
        <w:spacing w:before="240" w:after="240" w:line="360" w:lineRule="auto"/>
        <w:jc w:val="both"/>
        <w:rPr>
          <w:rFonts w:ascii="Times New Roman" w:hAnsi="Times New Roman" w:cs="Times New Roman"/>
          <w:color w:val="222222"/>
          <w:sz w:val="24"/>
          <w:szCs w:val="24"/>
          <w:highlight w:val="white"/>
          <w:lang w:val="en-GB"/>
        </w:rPr>
      </w:pPr>
      <w:r>
        <w:rPr>
          <w:rFonts w:ascii="Times New Roman" w:hAnsi="Times New Roman" w:cs="Times New Roman"/>
          <w:color w:val="222222"/>
          <w:sz w:val="24"/>
          <w:szCs w:val="24"/>
          <w:highlight w:val="white"/>
          <w:lang w:val="en-GB"/>
        </w:rPr>
        <w:t xml:space="preserve">Asbari, M., (2020). Is transformational leadership suitable for future organizational needs?. </w:t>
      </w:r>
      <w:r>
        <w:rPr>
          <w:rFonts w:ascii="Times New Roman" w:hAnsi="Times New Roman" w:cs="Times New Roman"/>
          <w:i/>
          <w:color w:val="222222"/>
          <w:sz w:val="24"/>
          <w:szCs w:val="24"/>
          <w:highlight w:val="white"/>
          <w:lang w:val="en-GB"/>
        </w:rPr>
        <w:t>International Journal of Social, Policy and Law</w:t>
      </w:r>
      <w:r>
        <w:rPr>
          <w:rFonts w:ascii="Times New Roman" w:hAnsi="Times New Roman" w:cs="Times New Roman"/>
          <w:color w:val="222222"/>
          <w:sz w:val="24"/>
          <w:szCs w:val="24"/>
          <w:highlight w:val="white"/>
          <w:lang w:val="en-GB"/>
        </w:rPr>
        <w:t xml:space="preserve">, </w:t>
      </w:r>
      <w:r>
        <w:rPr>
          <w:rFonts w:ascii="Times New Roman" w:hAnsi="Times New Roman" w:cs="Times New Roman"/>
          <w:i/>
          <w:color w:val="222222"/>
          <w:sz w:val="24"/>
          <w:szCs w:val="24"/>
          <w:highlight w:val="white"/>
          <w:lang w:val="en-GB"/>
        </w:rPr>
        <w:t>1</w:t>
      </w:r>
      <w:r>
        <w:rPr>
          <w:rFonts w:ascii="Times New Roman" w:hAnsi="Times New Roman" w:cs="Times New Roman"/>
          <w:color w:val="222222"/>
          <w:sz w:val="24"/>
          <w:szCs w:val="24"/>
          <w:highlight w:val="white"/>
          <w:lang w:val="en-GB"/>
        </w:rPr>
        <w:t>(1), pp.51-55.</w:t>
      </w:r>
    </w:p>
    <w:p w14:paraId="0C556A1A">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Barringer, B. R. and Ireland, R.D. (2018). Entrepreneurship: Successfully Launching New Ventures, 4</w:t>
      </w:r>
      <w:r>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Ed., Prentice Hall: New Jersey</w:t>
      </w:r>
    </w:p>
    <w:p w14:paraId="123B7436">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Callegari, B. and Nybakk, E., (2022). Schumpeterian theory and research on forestry innovation and entrepreneurship: The state of the art, issues and an agenda. </w:t>
      </w:r>
      <w:r>
        <w:rPr>
          <w:rFonts w:ascii="Times New Roman" w:hAnsi="Times New Roman" w:cs="Times New Roman"/>
          <w:i/>
          <w:iCs/>
          <w:sz w:val="24"/>
          <w:szCs w:val="24"/>
          <w:lang w:val="en-GB"/>
        </w:rPr>
        <w:t>Forest Policy and Economics</w:t>
      </w:r>
      <w:r>
        <w:rPr>
          <w:rFonts w:ascii="Times New Roman" w:hAnsi="Times New Roman" w:cs="Times New Roman"/>
          <w:sz w:val="24"/>
          <w:szCs w:val="24"/>
          <w:lang w:val="en-GB"/>
        </w:rPr>
        <w:t>, </w:t>
      </w:r>
      <w:r>
        <w:rPr>
          <w:rFonts w:ascii="Times New Roman" w:hAnsi="Times New Roman" w:cs="Times New Roman"/>
          <w:i/>
          <w:iCs/>
          <w:sz w:val="24"/>
          <w:szCs w:val="24"/>
          <w:lang w:val="en-GB"/>
        </w:rPr>
        <w:t>138</w:t>
      </w:r>
      <w:r>
        <w:rPr>
          <w:rFonts w:ascii="Times New Roman" w:hAnsi="Times New Roman" w:cs="Times New Roman"/>
          <w:sz w:val="24"/>
          <w:szCs w:val="24"/>
          <w:lang w:val="en-GB"/>
        </w:rPr>
        <w:t>, p.102720.</w:t>
      </w:r>
    </w:p>
    <w:p w14:paraId="7924CA07">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Ducasse Paris, (2024). </w:t>
      </w:r>
      <w:r>
        <w:rPr>
          <w:rFonts w:ascii="Times New Roman" w:hAnsi="Times New Roman" w:cs="Times New Roman"/>
          <w:i/>
          <w:iCs/>
          <w:sz w:val="24"/>
          <w:szCs w:val="24"/>
          <w:lang w:val="en-GB"/>
        </w:rPr>
        <w:t xml:space="preserve">AboutAlain Ducasse </w:t>
      </w:r>
      <w:r>
        <w:rPr>
          <w:rFonts w:ascii="Times New Roman" w:hAnsi="Times New Roman" w:cs="Times New Roman"/>
          <w:sz w:val="24"/>
          <w:szCs w:val="24"/>
          <w:lang w:val="en-GB"/>
        </w:rPr>
        <w:t>[Online]. Available at: &lt;https://www.ducasse-paris.com/en/alain-ducasse&gt; [Accessed on: 14 October 2024]</w:t>
      </w:r>
    </w:p>
    <w:p w14:paraId="40862DEB">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Garrett, R. and Zettel, L., (2021). Entrepreneurial resilience. In </w:t>
      </w:r>
      <w:r>
        <w:rPr>
          <w:rFonts w:ascii="Times New Roman" w:hAnsi="Times New Roman" w:cs="Times New Roman"/>
          <w:i/>
          <w:iCs/>
          <w:sz w:val="24"/>
          <w:szCs w:val="24"/>
          <w:lang w:val="en-GB"/>
        </w:rPr>
        <w:t>Oxford Research Encyclopedia of Business and Management</w:t>
      </w:r>
      <w:r>
        <w:rPr>
          <w:rFonts w:ascii="Times New Roman" w:hAnsi="Times New Roman" w:cs="Times New Roman"/>
          <w:sz w:val="24"/>
          <w:szCs w:val="24"/>
          <w:lang w:val="en-GB"/>
        </w:rPr>
        <w:t>.</w:t>
      </w:r>
    </w:p>
    <w:p w14:paraId="3D70D92D">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Hartmann, S., Backmann, J., Newman, A., Brykman, K.M. and Pidduck, R.J., (2022). Psychological resilience of entrepreneurs: A review and agenda for future research. </w:t>
      </w:r>
      <w:r>
        <w:rPr>
          <w:rFonts w:ascii="Times New Roman" w:hAnsi="Times New Roman" w:cs="Times New Roman"/>
          <w:i/>
          <w:iCs/>
          <w:sz w:val="24"/>
          <w:szCs w:val="24"/>
          <w:lang w:val="en-GB"/>
        </w:rPr>
        <w:t>Journal of small business management</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60</w:t>
      </w:r>
      <w:r>
        <w:rPr>
          <w:rFonts w:ascii="Times New Roman" w:hAnsi="Times New Roman" w:cs="Times New Roman"/>
          <w:sz w:val="24"/>
          <w:szCs w:val="24"/>
          <w:lang w:val="en-GB"/>
        </w:rPr>
        <w:t>(5), pp.1041-1079.</w:t>
      </w:r>
    </w:p>
    <w:p w14:paraId="3C5AA8F1">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HBR, (2014). </w:t>
      </w:r>
      <w:r>
        <w:rPr>
          <w:rFonts w:ascii="Times New Roman" w:hAnsi="Times New Roman" w:cs="Times New Roman"/>
          <w:i/>
          <w:iCs/>
          <w:sz w:val="24"/>
          <w:szCs w:val="24"/>
          <w:lang w:val="en-GB"/>
        </w:rPr>
        <w:t>Life’s Work: An Interview with Alain Ducasse</w:t>
      </w:r>
      <w:r>
        <w:rPr>
          <w:rFonts w:ascii="Times New Roman" w:hAnsi="Times New Roman" w:cs="Times New Roman"/>
          <w:sz w:val="24"/>
          <w:szCs w:val="24"/>
          <w:lang w:val="en-GB"/>
        </w:rPr>
        <w:t xml:space="preserve"> [Online]. Available at: &lt;https://hbr.org/2014/05/alain-ducasse&gt; [Accessed on: 14 October 2024]</w:t>
      </w:r>
    </w:p>
    <w:p w14:paraId="181CF11E">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L'hocine Walid, H.P., (2022). Entrepreneurial risk perception and sustainable entrepreneurship intention among SMEs in Algeria: a multidimensional approach. </w:t>
      </w:r>
      <w:r>
        <w:rPr>
          <w:rFonts w:ascii="Times New Roman" w:hAnsi="Times New Roman" w:cs="Times New Roman"/>
          <w:i/>
          <w:iCs/>
          <w:sz w:val="24"/>
          <w:szCs w:val="24"/>
          <w:lang w:val="en-GB"/>
        </w:rPr>
        <w:t>Development</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1</w:t>
      </w:r>
      <w:r>
        <w:rPr>
          <w:rFonts w:ascii="Times New Roman" w:hAnsi="Times New Roman" w:cs="Times New Roman"/>
          <w:sz w:val="24"/>
          <w:szCs w:val="24"/>
          <w:lang w:val="en-GB"/>
        </w:rPr>
        <w:t>(2), pp.7-15.</w:t>
      </w:r>
    </w:p>
    <w:p w14:paraId="03AC16FC">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Ncokazi, A. and Mpiti, P.T., (2023). Critical evaluation of the relationship between the need for achievement and entrepreneurship performance: risk-taking propensity, entrepreneurial independence and motivation. In </w:t>
      </w:r>
      <w:r>
        <w:rPr>
          <w:rFonts w:ascii="Times New Roman" w:hAnsi="Times New Roman" w:cs="Times New Roman"/>
          <w:i/>
          <w:iCs/>
          <w:sz w:val="24"/>
          <w:szCs w:val="24"/>
          <w:lang w:val="en-GB"/>
        </w:rPr>
        <w:t>Motivation and Success</w:t>
      </w:r>
      <w:r>
        <w:rPr>
          <w:rFonts w:ascii="Times New Roman" w:hAnsi="Times New Roman" w:cs="Times New Roman"/>
          <w:sz w:val="24"/>
          <w:szCs w:val="24"/>
          <w:lang w:val="en-GB"/>
        </w:rPr>
        <w:t>. IntechOpen.</w:t>
      </w:r>
    </w:p>
    <w:p w14:paraId="17C74C71">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Nobu, (2024). </w:t>
      </w:r>
      <w:r>
        <w:rPr>
          <w:rFonts w:ascii="Times New Roman" w:hAnsi="Times New Roman" w:cs="Times New Roman"/>
          <w:i/>
          <w:iCs/>
          <w:sz w:val="24"/>
          <w:szCs w:val="24"/>
          <w:lang w:val="en-GB"/>
        </w:rPr>
        <w:t xml:space="preserve">30 YEARS OF NOBU. </w:t>
      </w:r>
      <w:r>
        <w:rPr>
          <w:rFonts w:ascii="Times New Roman" w:hAnsi="Times New Roman" w:cs="Times New Roman"/>
          <w:sz w:val="24"/>
          <w:szCs w:val="24"/>
          <w:lang w:val="en-GB"/>
        </w:rPr>
        <w:t xml:space="preserve">[online]. Available at: </w:t>
      </w:r>
      <w:r>
        <w:fldChar w:fldCharType="begin"/>
      </w:r>
      <w:r>
        <w:instrText xml:space="preserve"> HYPERLINK "https://noburestaurants.com/" </w:instrText>
      </w:r>
      <w:r>
        <w:fldChar w:fldCharType="separate"/>
      </w:r>
      <w:r>
        <w:rPr>
          <w:rStyle w:val="14"/>
          <w:rFonts w:ascii="Times New Roman" w:hAnsi="Times New Roman" w:cs="Times New Roman"/>
          <w:sz w:val="24"/>
          <w:szCs w:val="24"/>
          <w:lang w:val="en-GB"/>
        </w:rPr>
        <w:t>https://noburestaurants.com/</w:t>
      </w:r>
      <w:r>
        <w:rPr>
          <w:rStyle w:val="14"/>
          <w:rFonts w:ascii="Times New Roman" w:hAnsi="Times New Roman" w:cs="Times New Roman"/>
          <w:sz w:val="24"/>
          <w:szCs w:val="24"/>
          <w:lang w:val="en-GB"/>
        </w:rPr>
        <w:fldChar w:fldCharType="end"/>
      </w:r>
      <w:r>
        <w:rPr>
          <w:rFonts w:ascii="Times New Roman" w:hAnsi="Times New Roman" w:cs="Times New Roman"/>
          <w:sz w:val="24"/>
          <w:szCs w:val="24"/>
          <w:lang w:val="en-GB"/>
        </w:rPr>
        <w:t xml:space="preserve"> [Accessed on: 14th October 2024]. </w:t>
      </w:r>
    </w:p>
    <w:p w14:paraId="20D39539">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Nobuhotels, (2024). </w:t>
      </w:r>
      <w:r>
        <w:rPr>
          <w:rFonts w:ascii="Times New Roman" w:hAnsi="Times New Roman" w:cs="Times New Roman"/>
          <w:i/>
          <w:iCs/>
          <w:sz w:val="24"/>
          <w:szCs w:val="24"/>
          <w:lang w:val="en-GB"/>
        </w:rPr>
        <w:t xml:space="preserve">Nobu Hotels: A Leading Group Among Luxury Hotel Chains. </w:t>
      </w:r>
      <w:r>
        <w:rPr>
          <w:rFonts w:ascii="Times New Roman" w:hAnsi="Times New Roman" w:cs="Times New Roman"/>
          <w:sz w:val="24"/>
          <w:szCs w:val="24"/>
          <w:lang w:val="en-GB"/>
        </w:rPr>
        <w:t xml:space="preserve">[online]. Available at: </w:t>
      </w:r>
      <w:r>
        <w:fldChar w:fldCharType="begin"/>
      </w:r>
      <w:r>
        <w:instrText xml:space="preserve"> HYPERLINK "https://www.nobuhotels.com/" </w:instrText>
      </w:r>
      <w:r>
        <w:fldChar w:fldCharType="separate"/>
      </w:r>
      <w:r>
        <w:rPr>
          <w:rStyle w:val="14"/>
          <w:rFonts w:ascii="Times New Roman" w:hAnsi="Times New Roman" w:cs="Times New Roman"/>
          <w:sz w:val="24"/>
          <w:szCs w:val="24"/>
          <w:lang w:val="en-GB"/>
        </w:rPr>
        <w:t>https://www.nobuhotels.com/</w:t>
      </w:r>
      <w:r>
        <w:rPr>
          <w:rStyle w:val="14"/>
          <w:rFonts w:ascii="Times New Roman" w:hAnsi="Times New Roman" w:cs="Times New Roman"/>
          <w:sz w:val="24"/>
          <w:szCs w:val="24"/>
          <w:lang w:val="en-GB"/>
        </w:rPr>
        <w:fldChar w:fldCharType="end"/>
      </w:r>
      <w:r>
        <w:rPr>
          <w:rFonts w:ascii="Times New Roman" w:hAnsi="Times New Roman" w:cs="Times New Roman"/>
          <w:sz w:val="24"/>
          <w:szCs w:val="24"/>
          <w:lang w:val="en-GB"/>
        </w:rPr>
        <w:t xml:space="preserve"> [Accessed on: 14th October 2024]. </w:t>
      </w:r>
    </w:p>
    <w:p w14:paraId="3C3C12C5">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Oppong, S., (2021). From risk perception to accident: An empirical test of the risk chain process model. </w:t>
      </w:r>
      <w:r>
        <w:rPr>
          <w:rFonts w:ascii="Times New Roman" w:hAnsi="Times New Roman" w:cs="Times New Roman"/>
          <w:i/>
          <w:iCs/>
          <w:sz w:val="24"/>
          <w:szCs w:val="24"/>
          <w:lang w:val="en-GB"/>
        </w:rPr>
        <w:t>Sigurnost</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63</w:t>
      </w:r>
      <w:r>
        <w:rPr>
          <w:rFonts w:ascii="Times New Roman" w:hAnsi="Times New Roman" w:cs="Times New Roman"/>
          <w:sz w:val="24"/>
          <w:szCs w:val="24"/>
          <w:lang w:val="en-GB"/>
        </w:rPr>
        <w:t>(2), pp.125-142.</w:t>
      </w:r>
    </w:p>
    <w:p w14:paraId="22430FF4">
      <w:pPr>
        <w:pStyle w:val="23"/>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Ottolenghi. 2024. </w:t>
      </w:r>
      <w:r>
        <w:rPr>
          <w:rFonts w:ascii="Times New Roman" w:hAnsi="Times New Roman" w:eastAsia="Times New Roman" w:cs="Times New Roman"/>
          <w:i/>
          <w:sz w:val="24"/>
          <w:szCs w:val="24"/>
          <w:lang w:val="en-GB"/>
        </w:rPr>
        <w:t>About us.</w:t>
      </w:r>
      <w:r>
        <w:rPr>
          <w:rFonts w:ascii="Times New Roman" w:hAnsi="Times New Roman" w:eastAsia="Times New Roman" w:cs="Times New Roman"/>
          <w:sz w:val="24"/>
          <w:szCs w:val="24"/>
          <w:lang w:val="en-GB"/>
        </w:rPr>
        <w:t xml:space="preserve"> [online] Available at:&lt;</w:t>
      </w:r>
      <w:r>
        <w:fldChar w:fldCharType="begin"/>
      </w:r>
      <w:r>
        <w:instrText xml:space="preserve"> HYPERLINK "https://ottolenghi.co.uk/pages/about" \h </w:instrText>
      </w:r>
      <w:r>
        <w:fldChar w:fldCharType="separate"/>
      </w:r>
      <w:r>
        <w:rPr>
          <w:rFonts w:ascii="Times New Roman" w:hAnsi="Times New Roman" w:cs="Times New Roman"/>
          <w:color w:val="1155CC"/>
          <w:sz w:val="24"/>
          <w:szCs w:val="24"/>
          <w:highlight w:val="white"/>
          <w:u w:val="single"/>
          <w:lang w:val="en-GB"/>
        </w:rPr>
        <w:t>https://ottolenghi.co.uk/pages/about</w:t>
      </w:r>
      <w:r>
        <w:rPr>
          <w:rFonts w:ascii="Times New Roman" w:hAnsi="Times New Roman" w:cs="Times New Roman"/>
          <w:color w:val="1155CC"/>
          <w:sz w:val="24"/>
          <w:szCs w:val="24"/>
          <w:highlight w:val="white"/>
          <w:u w:val="single"/>
          <w:lang w:val="en-GB"/>
        </w:rPr>
        <w:fldChar w:fldCharType="end"/>
      </w:r>
      <w:r>
        <w:rPr>
          <w:rFonts w:ascii="Times New Roman" w:hAnsi="Times New Roman" w:eastAsia="Times New Roman" w:cs="Times New Roman"/>
          <w:sz w:val="24"/>
          <w:szCs w:val="24"/>
          <w:lang w:val="en-GB"/>
        </w:rPr>
        <w:t>&gt; [Accessed on 14th October 2024]</w:t>
      </w:r>
    </w:p>
    <w:p w14:paraId="7829EC6D">
      <w:pPr>
        <w:pStyle w:val="23"/>
        <w:spacing w:before="240" w:after="240" w:line="360" w:lineRule="auto"/>
        <w:jc w:val="both"/>
        <w:rPr>
          <w:rFonts w:ascii="Times New Roman" w:hAnsi="Times New Roman" w:cs="Times New Roman"/>
          <w:color w:val="222222"/>
          <w:sz w:val="24"/>
          <w:szCs w:val="24"/>
          <w:highlight w:val="white"/>
          <w:lang w:val="en-GB"/>
        </w:rPr>
      </w:pPr>
      <w:r>
        <w:rPr>
          <w:rFonts w:ascii="Times New Roman" w:hAnsi="Times New Roman" w:cs="Times New Roman"/>
          <w:color w:val="222222"/>
          <w:sz w:val="24"/>
          <w:szCs w:val="24"/>
          <w:highlight w:val="white"/>
          <w:lang w:val="en-GB"/>
        </w:rPr>
        <w:t xml:space="preserve">Sibeko, M.S. and Barnard, B., (2020). Visionary leadership and entrepreneurial vision within entrepreneurship. </w:t>
      </w:r>
      <w:r>
        <w:rPr>
          <w:rFonts w:ascii="Times New Roman" w:hAnsi="Times New Roman" w:cs="Times New Roman"/>
          <w:i/>
          <w:color w:val="222222"/>
          <w:sz w:val="24"/>
          <w:szCs w:val="24"/>
          <w:highlight w:val="white"/>
          <w:lang w:val="en-GB"/>
        </w:rPr>
        <w:t>IUP Journal of Entrepreneurship Development</w:t>
      </w:r>
      <w:r>
        <w:rPr>
          <w:rFonts w:ascii="Times New Roman" w:hAnsi="Times New Roman" w:cs="Times New Roman"/>
          <w:color w:val="222222"/>
          <w:sz w:val="24"/>
          <w:szCs w:val="24"/>
          <w:highlight w:val="white"/>
          <w:lang w:val="en-GB"/>
        </w:rPr>
        <w:t xml:space="preserve">, </w:t>
      </w:r>
      <w:r>
        <w:rPr>
          <w:rFonts w:ascii="Times New Roman" w:hAnsi="Times New Roman" w:cs="Times New Roman"/>
          <w:i/>
          <w:color w:val="222222"/>
          <w:sz w:val="24"/>
          <w:szCs w:val="24"/>
          <w:highlight w:val="white"/>
          <w:lang w:val="en-GB"/>
        </w:rPr>
        <w:t>17</w:t>
      </w:r>
      <w:r>
        <w:rPr>
          <w:rFonts w:ascii="Times New Roman" w:hAnsi="Times New Roman" w:cs="Times New Roman"/>
          <w:color w:val="222222"/>
          <w:sz w:val="24"/>
          <w:szCs w:val="24"/>
          <w:highlight w:val="white"/>
          <w:lang w:val="en-GB"/>
        </w:rPr>
        <w:t>(2), pp.1-91.</w:t>
      </w:r>
    </w:p>
    <w:p w14:paraId="13796318">
      <w:pPr>
        <w:pStyle w:val="23"/>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Smith. J. (2023). </w:t>
      </w:r>
      <w:r>
        <w:rPr>
          <w:rFonts w:ascii="Times New Roman" w:hAnsi="Times New Roman" w:eastAsia="Times New Roman" w:cs="Times New Roman"/>
          <w:i/>
          <w:sz w:val="24"/>
          <w:szCs w:val="24"/>
          <w:lang w:val="en-GB"/>
        </w:rPr>
        <w:t>Everything You Need To Know About Chef Yotam Ottolenghi.</w:t>
      </w:r>
      <w:r>
        <w:rPr>
          <w:rFonts w:ascii="Times New Roman" w:hAnsi="Times New Roman" w:eastAsia="Times New Roman" w:cs="Times New Roman"/>
          <w:sz w:val="24"/>
          <w:szCs w:val="24"/>
          <w:lang w:val="en-GB"/>
        </w:rPr>
        <w:t xml:space="preserve"> [online] Available at:&lt;</w:t>
      </w:r>
      <w:r>
        <w:fldChar w:fldCharType="begin"/>
      </w:r>
      <w:r>
        <w:instrText xml:space="preserve"> HYPERLINK "https://www.thedailymeal.com/1244241/everything-you-need-to-know-about-chef-yotam-ottolenghi/" \h </w:instrText>
      </w:r>
      <w:r>
        <w:fldChar w:fldCharType="separate"/>
      </w:r>
      <w:r>
        <w:rPr>
          <w:rFonts w:ascii="Times New Roman" w:hAnsi="Times New Roman" w:eastAsia="Times New Roman" w:cs="Times New Roman"/>
          <w:color w:val="1155CC"/>
          <w:sz w:val="24"/>
          <w:szCs w:val="24"/>
          <w:u w:val="single"/>
          <w:lang w:val="en-GB"/>
        </w:rPr>
        <w:t>https://www.thedailymeal.com/1244241/everything-you-need-to-know-about-chef-yotam-ottolenghi/</w:t>
      </w:r>
      <w:r>
        <w:rPr>
          <w:rFonts w:ascii="Times New Roman" w:hAnsi="Times New Roman" w:eastAsia="Times New Roman" w:cs="Times New Roman"/>
          <w:color w:val="1155CC"/>
          <w:sz w:val="24"/>
          <w:szCs w:val="24"/>
          <w:u w:val="single"/>
          <w:lang w:val="en-GB"/>
        </w:rPr>
        <w:fldChar w:fldCharType="end"/>
      </w:r>
      <w:r>
        <w:rPr>
          <w:rFonts w:ascii="Times New Roman" w:hAnsi="Times New Roman" w:eastAsia="Times New Roman" w:cs="Times New Roman"/>
          <w:sz w:val="24"/>
          <w:szCs w:val="24"/>
          <w:lang w:val="en-GB"/>
        </w:rPr>
        <w:t>&gt; [Accessed on 14th October 2024]</w:t>
      </w:r>
    </w:p>
    <w:p w14:paraId="6C972BDD">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Statista, 2024. </w:t>
      </w:r>
      <w:r>
        <w:rPr>
          <w:rFonts w:ascii="Times New Roman" w:hAnsi="Times New Roman" w:cs="Times New Roman"/>
          <w:i/>
          <w:iCs/>
          <w:sz w:val="24"/>
          <w:szCs w:val="24"/>
          <w:lang w:val="en-GB"/>
        </w:rPr>
        <w:t xml:space="preserve">The Body Shop - statistics &amp; facts. </w:t>
      </w:r>
      <w:r>
        <w:rPr>
          <w:rFonts w:ascii="Times New Roman" w:hAnsi="Times New Roman" w:cs="Times New Roman"/>
          <w:sz w:val="24"/>
          <w:szCs w:val="24"/>
          <w:lang w:val="en-GB"/>
        </w:rPr>
        <w:t xml:space="preserve">[online]. Available at: </w:t>
      </w:r>
      <w:r>
        <w:fldChar w:fldCharType="begin"/>
      </w:r>
      <w:r>
        <w:instrText xml:space="preserve"> HYPERLINK "https://www.statista.com/topics/12229/the-body-shop/" \l "topicOverview" </w:instrText>
      </w:r>
      <w:r>
        <w:fldChar w:fldCharType="separate"/>
      </w:r>
      <w:r>
        <w:rPr>
          <w:rStyle w:val="14"/>
          <w:rFonts w:ascii="Times New Roman" w:hAnsi="Times New Roman" w:cs="Times New Roman"/>
          <w:sz w:val="24"/>
          <w:szCs w:val="24"/>
          <w:lang w:val="en-GB"/>
        </w:rPr>
        <w:t>https://www.statista.com/topics/12229/the-body-shop/#topicOverview</w:t>
      </w:r>
      <w:r>
        <w:rPr>
          <w:rStyle w:val="14"/>
          <w:rFonts w:ascii="Times New Roman" w:hAnsi="Times New Roman" w:cs="Times New Roman"/>
          <w:sz w:val="24"/>
          <w:szCs w:val="24"/>
          <w:lang w:val="en-GB"/>
        </w:rPr>
        <w:fldChar w:fldCharType="end"/>
      </w:r>
      <w:r>
        <w:rPr>
          <w:rFonts w:ascii="Times New Roman" w:hAnsi="Times New Roman" w:cs="Times New Roman"/>
          <w:sz w:val="24"/>
          <w:szCs w:val="24"/>
          <w:lang w:val="en-GB"/>
        </w:rPr>
        <w:t xml:space="preserve"> [Accessed on: 14th October 2024]. </w:t>
      </w:r>
    </w:p>
    <w:p w14:paraId="47C2CB6F">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Vella, S.L.C. and Pai, N.B., (2019). A theoretical review of psychological resilience: Defining resilience and resilience research over the decades. </w:t>
      </w:r>
      <w:r>
        <w:rPr>
          <w:rFonts w:ascii="Times New Roman" w:hAnsi="Times New Roman" w:cs="Times New Roman"/>
          <w:i/>
          <w:iCs/>
          <w:sz w:val="24"/>
          <w:szCs w:val="24"/>
          <w:lang w:val="en-GB"/>
        </w:rPr>
        <w:t>Archives of Medicine and Health Sciences</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7</w:t>
      </w:r>
      <w:r>
        <w:rPr>
          <w:rFonts w:ascii="Times New Roman" w:hAnsi="Times New Roman" w:cs="Times New Roman"/>
          <w:sz w:val="24"/>
          <w:szCs w:val="24"/>
          <w:lang w:val="en-GB"/>
        </w:rPr>
        <w:t>(2), pp.233-239.</w:t>
      </w:r>
    </w:p>
    <w:p w14:paraId="6CC1E4BD">
      <w:pPr>
        <w:pStyle w:val="23"/>
        <w:spacing w:before="240" w:after="240" w:line="360" w:lineRule="auto"/>
        <w:jc w:val="both"/>
        <w:rPr>
          <w:rFonts w:ascii="Times New Roman" w:hAnsi="Times New Roman" w:cs="Times New Roman"/>
          <w:color w:val="222222"/>
          <w:sz w:val="24"/>
          <w:szCs w:val="24"/>
          <w:highlight w:val="white"/>
          <w:lang w:val="en-GB"/>
        </w:rPr>
      </w:pPr>
      <w:r>
        <w:rPr>
          <w:rFonts w:ascii="Times New Roman" w:hAnsi="Times New Roman" w:cs="Times New Roman"/>
          <w:color w:val="222222"/>
          <w:sz w:val="24"/>
          <w:szCs w:val="24"/>
          <w:highlight w:val="white"/>
          <w:lang w:val="en-GB"/>
        </w:rPr>
        <w:t xml:space="preserve">Yamin, M., (2020). Examining the role of transformational leadership and entrepreneurial orientation on employee retention with moderating role of competitive advantage. </w:t>
      </w:r>
      <w:r>
        <w:rPr>
          <w:rFonts w:ascii="Times New Roman" w:hAnsi="Times New Roman" w:cs="Times New Roman"/>
          <w:i/>
          <w:color w:val="222222"/>
          <w:sz w:val="24"/>
          <w:szCs w:val="24"/>
          <w:highlight w:val="white"/>
          <w:lang w:val="en-GB"/>
        </w:rPr>
        <w:t>Management Science Letters</w:t>
      </w:r>
      <w:r>
        <w:rPr>
          <w:rFonts w:ascii="Times New Roman" w:hAnsi="Times New Roman" w:cs="Times New Roman"/>
          <w:color w:val="222222"/>
          <w:sz w:val="24"/>
          <w:szCs w:val="24"/>
          <w:highlight w:val="white"/>
          <w:lang w:val="en-GB"/>
        </w:rPr>
        <w:t xml:space="preserve">, </w:t>
      </w:r>
      <w:r>
        <w:rPr>
          <w:rFonts w:ascii="Times New Roman" w:hAnsi="Times New Roman" w:cs="Times New Roman"/>
          <w:i/>
          <w:color w:val="222222"/>
          <w:sz w:val="24"/>
          <w:szCs w:val="24"/>
          <w:highlight w:val="white"/>
          <w:lang w:val="en-GB"/>
        </w:rPr>
        <w:t>10</w:t>
      </w:r>
      <w:r>
        <w:rPr>
          <w:rFonts w:ascii="Times New Roman" w:hAnsi="Times New Roman" w:cs="Times New Roman"/>
          <w:color w:val="222222"/>
          <w:sz w:val="24"/>
          <w:szCs w:val="24"/>
          <w:highlight w:val="white"/>
          <w:lang w:val="en-GB"/>
        </w:rPr>
        <w:t>(2), pp.313-326.</w:t>
      </w:r>
    </w:p>
    <w:p w14:paraId="139D30B9">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Zaleskiewicz, T., Bernady, A. and Traczyk, J., (2020). Entrepreneurial risk taking is related to mental imagery: A fresh look at the old issue of entrepreneurship and risk. </w:t>
      </w:r>
      <w:r>
        <w:rPr>
          <w:rFonts w:ascii="Times New Roman" w:hAnsi="Times New Roman" w:cs="Times New Roman"/>
          <w:i/>
          <w:iCs/>
          <w:sz w:val="24"/>
          <w:szCs w:val="24"/>
          <w:lang w:val="en-GB"/>
        </w:rPr>
        <w:t>Applied Psychology</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69</w:t>
      </w:r>
      <w:r>
        <w:rPr>
          <w:rFonts w:ascii="Times New Roman" w:hAnsi="Times New Roman" w:cs="Times New Roman"/>
          <w:sz w:val="24"/>
          <w:szCs w:val="24"/>
          <w:lang w:val="en-GB"/>
        </w:rPr>
        <w:t>(4), pp.1438-1469.</w:t>
      </w:r>
    </w:p>
    <w:p w14:paraId="07B9BC5B">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Ziemnowicz, C., (2020). Joseph A. Schumpeter and innovation. In </w:t>
      </w:r>
      <w:r>
        <w:rPr>
          <w:rFonts w:ascii="Times New Roman" w:hAnsi="Times New Roman" w:cs="Times New Roman"/>
          <w:i/>
          <w:iCs/>
          <w:sz w:val="24"/>
          <w:szCs w:val="24"/>
          <w:lang w:val="en-GB"/>
        </w:rPr>
        <w:t>Encyclopedia of creativity, invention, innovation and entrepreneurship</w:t>
      </w:r>
      <w:r>
        <w:rPr>
          <w:rFonts w:ascii="Times New Roman" w:hAnsi="Times New Roman" w:cs="Times New Roman"/>
          <w:sz w:val="24"/>
          <w:szCs w:val="24"/>
          <w:lang w:val="en-GB"/>
        </w:rPr>
        <w:t> (pp. 1517-1522). Cham: Springer International Publishing.</w:t>
      </w: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08"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4002EFF" w:usb1="C000E47F" w:usb2="00000009" w:usb3="00000000" w:csb0="200001FF"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01446211"/>
      <w:docPartObj>
        <w:docPartGallery w:val="AutoText"/>
      </w:docPartObj>
    </w:sdtPr>
    <w:sdtContent>
      <w:p w14:paraId="5536E6CE">
        <w:pPr>
          <w:pStyle w:val="12"/>
          <w:jc w:val="right"/>
        </w:pPr>
        <w:r>
          <w:fldChar w:fldCharType="begin"/>
        </w:r>
        <w:r>
          <w:instrText xml:space="preserve"> PAGE   \* MERGEFORMAT </w:instrText>
        </w:r>
        <w:r>
          <w:fldChar w:fldCharType="separate"/>
        </w:r>
        <w:r>
          <w:t>7</w:t>
        </w:r>
        <w:r>
          <w:fldChar w:fldCharType="end"/>
        </w:r>
      </w:p>
    </w:sdtContent>
  </w:sdt>
  <w:p w14:paraId="09634AC4">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2"/>
  </w:compat>
  <w:rsids>
    <w:rsidRoot w:val="00EB318B"/>
    <w:rsid w:val="001050B0"/>
    <w:rsid w:val="00196693"/>
    <w:rsid w:val="002322E0"/>
    <w:rsid w:val="002E25B8"/>
    <w:rsid w:val="002F7F7B"/>
    <w:rsid w:val="0030153C"/>
    <w:rsid w:val="00325B6A"/>
    <w:rsid w:val="00326CD7"/>
    <w:rsid w:val="003656F7"/>
    <w:rsid w:val="003C0A4B"/>
    <w:rsid w:val="003E4A2C"/>
    <w:rsid w:val="003F3F28"/>
    <w:rsid w:val="00434495"/>
    <w:rsid w:val="00435692"/>
    <w:rsid w:val="004C75AE"/>
    <w:rsid w:val="004E0D95"/>
    <w:rsid w:val="0052559E"/>
    <w:rsid w:val="005D33CF"/>
    <w:rsid w:val="00660184"/>
    <w:rsid w:val="006D5A21"/>
    <w:rsid w:val="00812380"/>
    <w:rsid w:val="0086552E"/>
    <w:rsid w:val="00933F96"/>
    <w:rsid w:val="00A21DFD"/>
    <w:rsid w:val="00A42086"/>
    <w:rsid w:val="00AF6C04"/>
    <w:rsid w:val="00B50C47"/>
    <w:rsid w:val="00C95F98"/>
    <w:rsid w:val="00EB318B"/>
    <w:rsid w:val="00F94510"/>
    <w:rsid w:val="751A0C4C"/>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US" w:eastAsia="en-US" w:bidi="ar-SA"/>
    </w:rPr>
  </w:style>
  <w:style w:type="paragraph" w:styleId="2">
    <w:name w:val="heading 1"/>
    <w:basedOn w:val="3"/>
    <w:next w:val="3"/>
    <w:autoRedefine/>
    <w:uiPriority w:val="0"/>
    <w:pPr>
      <w:keepNext/>
      <w:keepLines/>
      <w:spacing w:before="400" w:after="120" w:line="360" w:lineRule="auto"/>
      <w:jc w:val="both"/>
      <w:outlineLvl w:val="0"/>
    </w:pPr>
    <w:rPr>
      <w:rFonts w:ascii="Times New Roman" w:hAnsi="Times New Roman"/>
      <w:b/>
      <w:sz w:val="28"/>
      <w:szCs w:val="40"/>
    </w:rPr>
  </w:style>
  <w:style w:type="paragraph" w:styleId="4">
    <w:name w:val="heading 2"/>
    <w:basedOn w:val="3"/>
    <w:next w:val="3"/>
    <w:uiPriority w:val="0"/>
    <w:pPr>
      <w:keepNext/>
      <w:keepLines/>
      <w:spacing w:before="360" w:after="120"/>
      <w:outlineLvl w:val="1"/>
    </w:pPr>
    <w:rPr>
      <w:sz w:val="32"/>
      <w:szCs w:val="32"/>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uiPriority w:val="0"/>
    <w:pPr>
      <w:keepNext/>
      <w:keepLines/>
      <w:spacing w:before="280" w:after="80"/>
      <w:outlineLvl w:val="3"/>
    </w:pPr>
    <w:rPr>
      <w:color w:val="666666"/>
      <w:sz w:val="24"/>
      <w:szCs w:val="24"/>
    </w:rPr>
  </w:style>
  <w:style w:type="paragraph" w:styleId="7">
    <w:name w:val="heading 5"/>
    <w:basedOn w:val="3"/>
    <w:next w:val="3"/>
    <w:uiPriority w:val="0"/>
    <w:pPr>
      <w:keepNext/>
      <w:keepLines/>
      <w:spacing w:before="240" w:after="80"/>
      <w:outlineLvl w:val="4"/>
    </w:pPr>
    <w:rPr>
      <w:color w:val="666666"/>
    </w:rPr>
  </w:style>
  <w:style w:type="paragraph" w:styleId="8">
    <w:name w:val="heading 6"/>
    <w:basedOn w:val="3"/>
    <w:next w:val="3"/>
    <w:uiPriority w:val="0"/>
    <w:pPr>
      <w:keepNext/>
      <w:keepLines/>
      <w:spacing w:before="240" w:after="80"/>
      <w:outlineLvl w:val="5"/>
    </w:pPr>
    <w:rPr>
      <w:i/>
      <w:color w:val="666666"/>
    </w:rPr>
  </w:style>
  <w:style w:type="character" w:default="1" w:styleId="9">
    <w:name w:val="Default Paragraph Font"/>
    <w:semiHidden/>
    <w:unhideWhenUsed/>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customStyle="1" w:styleId="3">
    <w:name w:val="Normal1"/>
    <w:uiPriority w:val="0"/>
    <w:pPr>
      <w:spacing w:line="276" w:lineRule="auto"/>
    </w:pPr>
    <w:rPr>
      <w:rFonts w:ascii="Arial" w:hAnsi="Arial" w:eastAsia="Arial" w:cs="Arial"/>
      <w:sz w:val="22"/>
      <w:szCs w:val="22"/>
      <w:lang w:val="en-US" w:eastAsia="en-US" w:bidi="ar-SA"/>
    </w:rPr>
  </w:style>
  <w:style w:type="paragraph" w:styleId="11">
    <w:name w:val="Balloon Text"/>
    <w:basedOn w:val="1"/>
    <w:link w:val="22"/>
    <w:semiHidden/>
    <w:unhideWhenUsed/>
    <w:uiPriority w:val="99"/>
    <w:pPr>
      <w:spacing w:line="240" w:lineRule="auto"/>
    </w:pPr>
    <w:rPr>
      <w:rFonts w:ascii="Tahoma" w:hAnsi="Tahoma" w:cs="Tahoma"/>
      <w:sz w:val="16"/>
      <w:szCs w:val="16"/>
    </w:rPr>
  </w:style>
  <w:style w:type="paragraph" w:styleId="12">
    <w:name w:val="footer"/>
    <w:basedOn w:val="1"/>
    <w:link w:val="20"/>
    <w:unhideWhenUsed/>
    <w:uiPriority w:val="99"/>
    <w:pPr>
      <w:tabs>
        <w:tab w:val="center" w:pos="4513"/>
        <w:tab w:val="right" w:pos="9026"/>
      </w:tabs>
      <w:spacing w:line="240" w:lineRule="auto"/>
    </w:pPr>
  </w:style>
  <w:style w:type="paragraph" w:styleId="13">
    <w:name w:val="header"/>
    <w:basedOn w:val="1"/>
    <w:link w:val="19"/>
    <w:unhideWhenUsed/>
    <w:uiPriority w:val="99"/>
    <w:pPr>
      <w:tabs>
        <w:tab w:val="center" w:pos="4513"/>
        <w:tab w:val="right" w:pos="9026"/>
      </w:tabs>
      <w:spacing w:line="240" w:lineRule="auto"/>
    </w:pPr>
  </w:style>
  <w:style w:type="character" w:styleId="14">
    <w:name w:val="Hyperlink"/>
    <w:basedOn w:val="9"/>
    <w:unhideWhenUsed/>
    <w:uiPriority w:val="99"/>
    <w:rPr>
      <w:color w:val="0000FF" w:themeColor="hyperlink"/>
      <w:u w:val="single"/>
    </w:rPr>
  </w:style>
  <w:style w:type="paragraph" w:styleId="15">
    <w:name w:val="Subtitle"/>
    <w:basedOn w:val="3"/>
    <w:next w:val="3"/>
    <w:uiPriority w:val="0"/>
    <w:pPr>
      <w:keepNext/>
      <w:keepLines/>
      <w:spacing w:after="320"/>
    </w:pPr>
    <w:rPr>
      <w:color w:val="666666"/>
      <w:sz w:val="30"/>
      <w:szCs w:val="30"/>
    </w:rPr>
  </w:style>
  <w:style w:type="paragraph" w:styleId="16">
    <w:name w:val="Title"/>
    <w:basedOn w:val="3"/>
    <w:next w:val="3"/>
    <w:uiPriority w:val="0"/>
    <w:pPr>
      <w:keepNext/>
      <w:keepLines/>
      <w:spacing w:after="60"/>
    </w:pPr>
    <w:rPr>
      <w:sz w:val="52"/>
      <w:szCs w:val="52"/>
    </w:rPr>
  </w:style>
  <w:style w:type="paragraph" w:styleId="17">
    <w:name w:val="toc 1"/>
    <w:basedOn w:val="1"/>
    <w:next w:val="1"/>
    <w:autoRedefine/>
    <w:unhideWhenUsed/>
    <w:uiPriority w:val="39"/>
    <w:pPr>
      <w:spacing w:after="100"/>
    </w:pPr>
  </w:style>
  <w:style w:type="table" w:customStyle="1" w:styleId="18">
    <w:name w:val="Table Normal1"/>
    <w:uiPriority w:val="0"/>
    <w:tblPr>
      <w:tblCellMar>
        <w:top w:w="0" w:type="dxa"/>
        <w:left w:w="0" w:type="dxa"/>
        <w:bottom w:w="0" w:type="dxa"/>
        <w:right w:w="0" w:type="dxa"/>
      </w:tblCellMar>
    </w:tblPr>
  </w:style>
  <w:style w:type="character" w:customStyle="1" w:styleId="19">
    <w:name w:val="Header Char"/>
    <w:basedOn w:val="9"/>
    <w:link w:val="13"/>
    <w:uiPriority w:val="99"/>
  </w:style>
  <w:style w:type="character" w:customStyle="1" w:styleId="20">
    <w:name w:val="Footer Char"/>
    <w:basedOn w:val="9"/>
    <w:link w:val="12"/>
    <w:uiPriority w:val="99"/>
  </w:style>
  <w:style w:type="paragraph" w:customStyle="1" w:styleId="21">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366091" w:themeColor="accent1" w:themeShade="BF"/>
      <w:sz w:val="32"/>
      <w:szCs w:val="32"/>
    </w:rPr>
  </w:style>
  <w:style w:type="character" w:customStyle="1" w:styleId="22">
    <w:name w:val="Balloon Text Char"/>
    <w:basedOn w:val="9"/>
    <w:link w:val="11"/>
    <w:semiHidden/>
    <w:uiPriority w:val="99"/>
    <w:rPr>
      <w:rFonts w:ascii="Tahoma" w:hAnsi="Tahoma" w:cs="Tahoma"/>
      <w:sz w:val="16"/>
      <w:szCs w:val="16"/>
    </w:rPr>
  </w:style>
  <w:style w:type="paragraph" w:customStyle="1" w:styleId="23">
    <w:name w:val="normal"/>
    <w:uiPriority w:val="0"/>
    <w:pPr>
      <w:spacing w:line="276" w:lineRule="auto"/>
    </w:pPr>
    <w:rPr>
      <w:rFonts w:ascii="Arial" w:hAnsi="Arial" w:eastAsia="Arial" w:cs="Arial"/>
      <w:sz w:val="22"/>
      <w:szCs w:val="22"/>
      <w:lang w:val="en-US" w:eastAsia="en-IN" w:bidi="ar-SA"/>
    </w:rPr>
  </w:style>
  <w:style w:type="paragraph" w:styleId="24">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D633D6-10B4-4FCD-8219-ED3F4D4EEAD2}">
  <ds:schemaRefs/>
</ds:datastoreItem>
</file>

<file path=docProps/app.xml><?xml version="1.0" encoding="utf-8"?>
<Properties xmlns="http://schemas.openxmlformats.org/officeDocument/2006/extended-properties" xmlns:vt="http://schemas.openxmlformats.org/officeDocument/2006/docPropsVTypes">
  <Template>Normal</Template>
  <Pages>9</Pages>
  <Words>2707</Words>
  <Characters>15435</Characters>
  <Lines>128</Lines>
  <Paragraphs>36</Paragraphs>
  <TotalTime>36</TotalTime>
  <ScaleCrop>false</ScaleCrop>
  <LinksUpToDate>false</LinksUpToDate>
  <CharactersWithSpaces>18106</CharactersWithSpaces>
  <Application>WPS Office_12.2.0.18283_F1E327BC-269C-435d-A152-05C5408002CA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2024-10-14T11:16:00Z</dcterms:created>
  <dc:creator>Alina</dc:creator>
  <cp:lastModifiedBy>i study</cp:lastModifiedBy>
  <dcterms:modified xsi:type="dcterms:W3CDTF">2024-10-15T13:45:19Z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2057-12.2.0.18283</vt:lpwstr>
  </property>
  <property fmtid="{D5CDD505-2E9C-101B-9397-08002B2CF9AE}" pid="3" name="ICV">
    <vt:lpwstr>7B2C430D31D743FC87889DD1A7198FDC_12</vt:lpwstr>
  </property>
</Properties>
</file>