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4BE526" w14:textId="77777777" w:rsidR="00E71948" w:rsidRPr="00915D53" w:rsidRDefault="00E71948" w:rsidP="00E71948">
      <w:pPr>
        <w:spacing w:line="360" w:lineRule="auto"/>
        <w:jc w:val="center"/>
        <w:rPr>
          <w:rFonts w:ascii="Arial" w:hAnsi="Arial" w:cs="Arial"/>
          <w:b/>
          <w:bCs/>
          <w:sz w:val="28"/>
          <w:szCs w:val="28"/>
        </w:rPr>
      </w:pPr>
      <w:r w:rsidRPr="00915D53">
        <w:rPr>
          <w:rFonts w:ascii="Arial" w:hAnsi="Arial" w:cs="Arial"/>
          <w:b/>
          <w:bCs/>
          <w:sz w:val="28"/>
          <w:szCs w:val="28"/>
        </w:rPr>
        <w:t>Course: BSc (Hons) Health and Social Care</w:t>
      </w:r>
    </w:p>
    <w:p w14:paraId="0AA2CF28" w14:textId="5F638A2E" w:rsidR="00E71948" w:rsidRPr="00915D53" w:rsidRDefault="00E71948" w:rsidP="00E71948">
      <w:pPr>
        <w:spacing w:line="360" w:lineRule="auto"/>
        <w:jc w:val="center"/>
        <w:rPr>
          <w:rFonts w:ascii="Arial" w:hAnsi="Arial" w:cs="Arial"/>
          <w:b/>
          <w:bCs/>
          <w:sz w:val="28"/>
          <w:szCs w:val="28"/>
        </w:rPr>
      </w:pPr>
      <w:r w:rsidRPr="00915D53">
        <w:rPr>
          <w:rFonts w:ascii="Arial" w:hAnsi="Arial" w:cs="Arial"/>
          <w:b/>
          <w:bCs/>
          <w:sz w:val="28"/>
          <w:szCs w:val="28"/>
        </w:rPr>
        <w:t xml:space="preserve">Module: </w:t>
      </w:r>
      <w:r w:rsidR="00CA1496">
        <w:rPr>
          <w:rFonts w:ascii="Arial" w:hAnsi="Arial" w:cs="Arial"/>
          <w:b/>
          <w:bCs/>
          <w:sz w:val="28"/>
          <w:szCs w:val="28"/>
        </w:rPr>
        <w:t xml:space="preserve">Health, Wellbeing and Sustainable </w:t>
      </w:r>
      <w:r w:rsidR="00976D53">
        <w:rPr>
          <w:rFonts w:ascii="Arial" w:hAnsi="Arial" w:cs="Arial"/>
          <w:b/>
          <w:bCs/>
          <w:sz w:val="28"/>
          <w:szCs w:val="28"/>
        </w:rPr>
        <w:t>Development</w:t>
      </w:r>
      <w:r w:rsidR="00CA1496">
        <w:rPr>
          <w:rFonts w:ascii="Arial" w:hAnsi="Arial" w:cs="Arial"/>
          <w:b/>
          <w:bCs/>
          <w:sz w:val="28"/>
          <w:szCs w:val="28"/>
        </w:rPr>
        <w:t xml:space="preserve"> (</w:t>
      </w:r>
      <w:r w:rsidR="00976D53">
        <w:rPr>
          <w:rFonts w:ascii="Arial" w:hAnsi="Arial" w:cs="Arial"/>
          <w:b/>
          <w:bCs/>
          <w:sz w:val="28"/>
          <w:szCs w:val="28"/>
        </w:rPr>
        <w:t>BMHP6030_LON)</w:t>
      </w:r>
    </w:p>
    <w:p w14:paraId="155C34E9" w14:textId="77777777" w:rsidR="00E71948" w:rsidRPr="00915D53" w:rsidRDefault="00E71948" w:rsidP="00E71948">
      <w:pPr>
        <w:spacing w:line="360" w:lineRule="auto"/>
        <w:rPr>
          <w:rFonts w:ascii="Arial" w:hAnsi="Arial" w:cs="Arial"/>
          <w:sz w:val="28"/>
          <w:szCs w:val="28"/>
        </w:rPr>
      </w:pPr>
    </w:p>
    <w:p w14:paraId="0D66808D" w14:textId="100B0C6C" w:rsidR="00E71948" w:rsidRPr="00915D53" w:rsidRDefault="000732AF" w:rsidP="00E71948">
      <w:pPr>
        <w:spacing w:line="360" w:lineRule="auto"/>
        <w:rPr>
          <w:rFonts w:ascii="Arial" w:hAnsi="Arial" w:cs="Arial"/>
          <w:sz w:val="28"/>
          <w:szCs w:val="28"/>
        </w:rPr>
      </w:pPr>
      <w:r w:rsidRPr="004C3A0B">
        <w:rPr>
          <w:noProof/>
          <w:lang w:eastAsia="en-GB"/>
        </w:rPr>
        <w:drawing>
          <wp:anchor distT="0" distB="0" distL="114300" distR="114300" simplePos="0" relativeHeight="251659264" behindDoc="0" locked="0" layoutInCell="1" allowOverlap="1" wp14:anchorId="2389FB8C" wp14:editId="2D78E423">
            <wp:simplePos x="0" y="0"/>
            <wp:positionH relativeFrom="margin">
              <wp:posOffset>-390525</wp:posOffset>
            </wp:positionH>
            <wp:positionV relativeFrom="page">
              <wp:posOffset>3235960</wp:posOffset>
            </wp:positionV>
            <wp:extent cx="3155315" cy="1057910"/>
            <wp:effectExtent l="0" t="0" r="0" b="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55315" cy="10579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7F0EBF" w14:textId="1EA15EEC" w:rsidR="000732AF" w:rsidRDefault="000732AF" w:rsidP="00E71948">
      <w:pPr>
        <w:spacing w:line="360" w:lineRule="auto"/>
        <w:rPr>
          <w:rFonts w:ascii="Arial" w:hAnsi="Arial" w:cs="Arial"/>
          <w:b/>
          <w:bCs/>
          <w:sz w:val="28"/>
          <w:szCs w:val="28"/>
        </w:rPr>
      </w:pPr>
    </w:p>
    <w:p w14:paraId="142C01A5" w14:textId="1DCE57CD" w:rsidR="000732AF" w:rsidRDefault="000732AF" w:rsidP="00E71948">
      <w:pPr>
        <w:spacing w:line="360" w:lineRule="auto"/>
        <w:rPr>
          <w:rFonts w:ascii="Arial" w:hAnsi="Arial" w:cs="Arial"/>
          <w:b/>
          <w:bCs/>
          <w:sz w:val="28"/>
          <w:szCs w:val="28"/>
        </w:rPr>
      </w:pPr>
    </w:p>
    <w:p w14:paraId="176F8515" w14:textId="77777777" w:rsidR="000732AF" w:rsidRDefault="000732AF" w:rsidP="00E71948">
      <w:pPr>
        <w:spacing w:line="360" w:lineRule="auto"/>
        <w:rPr>
          <w:rFonts w:ascii="Arial" w:hAnsi="Arial" w:cs="Arial"/>
          <w:b/>
          <w:bCs/>
          <w:sz w:val="28"/>
          <w:szCs w:val="28"/>
        </w:rPr>
      </w:pPr>
    </w:p>
    <w:p w14:paraId="31946E12" w14:textId="2A80B47E" w:rsidR="00427577" w:rsidRPr="00427577" w:rsidRDefault="00427577" w:rsidP="00690744">
      <w:pPr>
        <w:pStyle w:val="Heading1"/>
        <w:spacing w:before="0" w:after="0"/>
        <w:rPr>
          <w:rFonts w:ascii="Segoe UI" w:eastAsia="Times New Roman" w:hAnsi="Segoe UI" w:cs="Segoe UI"/>
          <w:b/>
          <w:bCs/>
          <w:color w:val="FFFFFF"/>
          <w:kern w:val="36"/>
          <w:sz w:val="48"/>
          <w:szCs w:val="48"/>
          <w:lang w:eastAsia="en-GB"/>
          <w14:ligatures w14:val="none"/>
        </w:rPr>
      </w:pPr>
    </w:p>
    <w:p w14:paraId="18D5AE3E" w14:textId="53E2A40D" w:rsidR="000732AF" w:rsidRPr="00427577" w:rsidRDefault="00427577" w:rsidP="00427577">
      <w:pPr>
        <w:spacing w:after="0" w:line="240" w:lineRule="auto"/>
        <w:outlineLvl w:val="0"/>
        <w:rPr>
          <w:rFonts w:ascii="Segoe UI" w:eastAsia="Times New Roman" w:hAnsi="Segoe UI" w:cs="Segoe UI"/>
          <w:b/>
          <w:bCs/>
          <w:color w:val="FFFFFF"/>
          <w:kern w:val="36"/>
          <w:sz w:val="48"/>
          <w:szCs w:val="48"/>
          <w:lang w:eastAsia="en-GB"/>
          <w14:ligatures w14:val="none"/>
        </w:rPr>
      </w:pPr>
      <w:r w:rsidRPr="00427577">
        <w:rPr>
          <w:rFonts w:ascii="Segoe UI" w:eastAsia="Times New Roman" w:hAnsi="Segoe UI" w:cs="Segoe UI"/>
          <w:b/>
          <w:bCs/>
          <w:color w:val="FFFFFF"/>
          <w:kern w:val="36"/>
          <w:sz w:val="48"/>
          <w:szCs w:val="48"/>
          <w:lang w:eastAsia="en-GB"/>
          <w14:ligatures w14:val="none"/>
        </w:rPr>
        <w:t>Health, Wellbeing and Sustainable Dev</w:t>
      </w:r>
    </w:p>
    <w:p w14:paraId="48C03842" w14:textId="77777777" w:rsidR="000732AF" w:rsidRDefault="000732AF" w:rsidP="00E71948">
      <w:pPr>
        <w:spacing w:line="360" w:lineRule="auto"/>
        <w:rPr>
          <w:rFonts w:ascii="Arial" w:hAnsi="Arial" w:cs="Arial"/>
          <w:b/>
          <w:bCs/>
          <w:sz w:val="28"/>
          <w:szCs w:val="28"/>
        </w:rPr>
      </w:pPr>
    </w:p>
    <w:p w14:paraId="305E53A7" w14:textId="588A3280" w:rsidR="00E71948" w:rsidRPr="00915D53" w:rsidRDefault="00E71948" w:rsidP="00E71948">
      <w:pPr>
        <w:spacing w:line="360" w:lineRule="auto"/>
        <w:rPr>
          <w:rFonts w:ascii="Arial" w:hAnsi="Arial" w:cs="Arial"/>
          <w:sz w:val="28"/>
          <w:szCs w:val="28"/>
        </w:rPr>
      </w:pPr>
      <w:r w:rsidRPr="00915D53">
        <w:rPr>
          <w:rFonts w:ascii="Arial" w:hAnsi="Arial" w:cs="Arial"/>
          <w:b/>
          <w:bCs/>
          <w:sz w:val="28"/>
          <w:szCs w:val="28"/>
        </w:rPr>
        <w:t>Student ID</w:t>
      </w:r>
      <w:r w:rsidRPr="00915D53">
        <w:rPr>
          <w:rFonts w:ascii="Arial" w:hAnsi="Arial" w:cs="Arial"/>
          <w:sz w:val="28"/>
          <w:szCs w:val="28"/>
        </w:rPr>
        <w:t>: 2316686</w:t>
      </w:r>
    </w:p>
    <w:p w14:paraId="2DBBEA83" w14:textId="77777777" w:rsidR="00E71948" w:rsidRDefault="00E71948" w:rsidP="00E71948">
      <w:pPr>
        <w:spacing w:line="360" w:lineRule="auto"/>
        <w:rPr>
          <w:rFonts w:ascii="Arial" w:hAnsi="Arial" w:cs="Arial"/>
          <w:sz w:val="28"/>
          <w:szCs w:val="28"/>
        </w:rPr>
      </w:pPr>
      <w:r w:rsidRPr="00915D53">
        <w:rPr>
          <w:rFonts w:ascii="Arial" w:hAnsi="Arial" w:cs="Arial"/>
          <w:b/>
          <w:bCs/>
          <w:sz w:val="28"/>
          <w:szCs w:val="28"/>
        </w:rPr>
        <w:t>Student Name</w:t>
      </w:r>
      <w:r w:rsidRPr="00915D53">
        <w:rPr>
          <w:rFonts w:ascii="Arial" w:hAnsi="Arial" w:cs="Arial"/>
          <w:sz w:val="28"/>
          <w:szCs w:val="28"/>
        </w:rPr>
        <w:t>: VENISHA HENRY</w:t>
      </w:r>
    </w:p>
    <w:p w14:paraId="4F8F4761" w14:textId="6F9F92B2" w:rsidR="003E1FF4" w:rsidRDefault="00A741F7" w:rsidP="00E71948">
      <w:pPr>
        <w:spacing w:line="360" w:lineRule="auto"/>
        <w:rPr>
          <w:rFonts w:ascii="Arial" w:hAnsi="Arial" w:cs="Arial"/>
          <w:sz w:val="28"/>
          <w:szCs w:val="28"/>
        </w:rPr>
      </w:pPr>
      <w:r>
        <w:rPr>
          <w:rFonts w:ascii="Arial" w:hAnsi="Arial" w:cs="Arial"/>
          <w:sz w:val="28"/>
          <w:szCs w:val="28"/>
        </w:rPr>
        <w:t>LECTURER: DR ITSE OLAOYE</w:t>
      </w:r>
    </w:p>
    <w:p w14:paraId="0252B2B0" w14:textId="1424D62D" w:rsidR="00FA08B8" w:rsidRPr="00915D53" w:rsidRDefault="00FA08B8" w:rsidP="00E71948">
      <w:pPr>
        <w:spacing w:line="360" w:lineRule="auto"/>
        <w:rPr>
          <w:rFonts w:ascii="Arial" w:hAnsi="Arial" w:cs="Arial"/>
          <w:sz w:val="28"/>
          <w:szCs w:val="28"/>
        </w:rPr>
      </w:pPr>
      <w:r>
        <w:rPr>
          <w:rFonts w:ascii="Arial" w:hAnsi="Arial" w:cs="Arial"/>
          <w:sz w:val="28"/>
          <w:szCs w:val="28"/>
        </w:rPr>
        <w:t>MODULE: BMHP6030</w:t>
      </w:r>
    </w:p>
    <w:p w14:paraId="1D2069F3" w14:textId="3BEC484C" w:rsidR="00E71948" w:rsidRPr="00915D53" w:rsidRDefault="00E71948" w:rsidP="00E71948">
      <w:pPr>
        <w:spacing w:line="360" w:lineRule="auto"/>
        <w:rPr>
          <w:rFonts w:ascii="Arial" w:hAnsi="Arial" w:cs="Arial"/>
          <w:sz w:val="28"/>
          <w:szCs w:val="28"/>
        </w:rPr>
      </w:pPr>
      <w:r w:rsidRPr="00915D53">
        <w:rPr>
          <w:rFonts w:ascii="Arial" w:hAnsi="Arial" w:cs="Arial"/>
          <w:b/>
          <w:bCs/>
          <w:sz w:val="28"/>
          <w:szCs w:val="28"/>
        </w:rPr>
        <w:t>Date of submission</w:t>
      </w:r>
      <w:r w:rsidRPr="00915D53">
        <w:rPr>
          <w:rFonts w:ascii="Arial" w:hAnsi="Arial" w:cs="Arial"/>
          <w:sz w:val="28"/>
          <w:szCs w:val="28"/>
        </w:rPr>
        <w:t xml:space="preserve">: </w:t>
      </w:r>
      <w:r w:rsidR="006C2759">
        <w:rPr>
          <w:rFonts w:ascii="Arial" w:hAnsi="Arial" w:cs="Arial"/>
          <w:sz w:val="28"/>
          <w:szCs w:val="28"/>
        </w:rPr>
        <w:t>7</w:t>
      </w:r>
      <w:r w:rsidRPr="00915D53">
        <w:rPr>
          <w:rFonts w:ascii="Arial" w:hAnsi="Arial" w:cs="Arial"/>
          <w:sz w:val="28"/>
          <w:szCs w:val="28"/>
          <w:vertAlign w:val="superscript"/>
        </w:rPr>
        <w:t>th</w:t>
      </w:r>
      <w:r w:rsidRPr="00915D53">
        <w:rPr>
          <w:rFonts w:ascii="Arial" w:hAnsi="Arial" w:cs="Arial"/>
          <w:sz w:val="28"/>
          <w:szCs w:val="28"/>
        </w:rPr>
        <w:t xml:space="preserve"> </w:t>
      </w:r>
      <w:r w:rsidR="001533EA" w:rsidRPr="00915D53">
        <w:rPr>
          <w:rFonts w:ascii="Arial" w:hAnsi="Arial" w:cs="Arial"/>
          <w:sz w:val="28"/>
          <w:szCs w:val="28"/>
        </w:rPr>
        <w:t>August</w:t>
      </w:r>
      <w:r w:rsidRPr="00915D53">
        <w:rPr>
          <w:rFonts w:ascii="Arial" w:hAnsi="Arial" w:cs="Arial"/>
          <w:sz w:val="28"/>
          <w:szCs w:val="28"/>
        </w:rPr>
        <w:t xml:space="preserve"> 2026</w:t>
      </w:r>
    </w:p>
    <w:p w14:paraId="7F8D5841" w14:textId="5CDA4C9E" w:rsidR="00E71948" w:rsidRPr="00915D53" w:rsidRDefault="00E71948" w:rsidP="00E71948">
      <w:pPr>
        <w:spacing w:line="360" w:lineRule="auto"/>
        <w:rPr>
          <w:rFonts w:ascii="Arial" w:hAnsi="Arial" w:cs="Arial"/>
          <w:sz w:val="28"/>
          <w:szCs w:val="28"/>
        </w:rPr>
      </w:pPr>
      <w:r w:rsidRPr="00915D53">
        <w:rPr>
          <w:rFonts w:ascii="Arial" w:hAnsi="Arial" w:cs="Arial"/>
          <w:b/>
          <w:bCs/>
          <w:sz w:val="28"/>
          <w:szCs w:val="28"/>
        </w:rPr>
        <w:t>Word count</w:t>
      </w:r>
      <w:r w:rsidRPr="00915D53">
        <w:rPr>
          <w:rFonts w:ascii="Arial" w:hAnsi="Arial" w:cs="Arial"/>
          <w:sz w:val="28"/>
          <w:szCs w:val="28"/>
        </w:rPr>
        <w:t xml:space="preserve">: </w:t>
      </w:r>
    </w:p>
    <w:p w14:paraId="2C67847C" w14:textId="77777777" w:rsidR="00D56D8F" w:rsidRPr="00915D53" w:rsidRDefault="00D56D8F" w:rsidP="00E71948">
      <w:pPr>
        <w:spacing w:line="360" w:lineRule="auto"/>
        <w:rPr>
          <w:rFonts w:ascii="Arial" w:hAnsi="Arial" w:cs="Arial"/>
          <w:sz w:val="28"/>
          <w:szCs w:val="28"/>
        </w:rPr>
      </w:pPr>
    </w:p>
    <w:p w14:paraId="62A0530E" w14:textId="77777777" w:rsidR="00D56D8F" w:rsidRPr="00915D53" w:rsidRDefault="00D56D8F" w:rsidP="00E71948">
      <w:pPr>
        <w:spacing w:line="360" w:lineRule="auto"/>
        <w:rPr>
          <w:rFonts w:ascii="Arial" w:hAnsi="Arial" w:cs="Arial"/>
          <w:sz w:val="28"/>
          <w:szCs w:val="28"/>
        </w:rPr>
      </w:pPr>
    </w:p>
    <w:p w14:paraId="61A6EB49" w14:textId="77777777" w:rsidR="00D56D8F" w:rsidRPr="00915D53" w:rsidRDefault="00D56D8F" w:rsidP="00E71948">
      <w:pPr>
        <w:spacing w:line="360" w:lineRule="auto"/>
        <w:rPr>
          <w:rFonts w:ascii="Arial" w:hAnsi="Arial" w:cs="Arial"/>
          <w:sz w:val="28"/>
          <w:szCs w:val="28"/>
        </w:rPr>
      </w:pPr>
    </w:p>
    <w:p w14:paraId="39AFA46B" w14:textId="77777777" w:rsidR="00D56D8F" w:rsidRPr="00915D53" w:rsidRDefault="00D56D8F" w:rsidP="00E71948">
      <w:pPr>
        <w:spacing w:line="360" w:lineRule="auto"/>
        <w:rPr>
          <w:rFonts w:ascii="Arial" w:hAnsi="Arial" w:cs="Arial"/>
          <w:sz w:val="28"/>
          <w:szCs w:val="28"/>
        </w:rPr>
      </w:pPr>
    </w:p>
    <w:p w14:paraId="112DF5CB" w14:textId="77777777" w:rsidR="00D56D8F" w:rsidRPr="00915D53" w:rsidRDefault="00D56D8F" w:rsidP="00E71948">
      <w:pPr>
        <w:spacing w:line="360" w:lineRule="auto"/>
        <w:rPr>
          <w:rFonts w:ascii="Arial" w:hAnsi="Arial" w:cs="Arial"/>
          <w:sz w:val="28"/>
          <w:szCs w:val="28"/>
        </w:rPr>
      </w:pPr>
    </w:p>
    <w:p w14:paraId="163EBD28" w14:textId="77777777" w:rsidR="00D56D8F" w:rsidRPr="00915D53" w:rsidRDefault="00D56D8F" w:rsidP="00E71948">
      <w:pPr>
        <w:spacing w:line="360" w:lineRule="auto"/>
        <w:rPr>
          <w:rFonts w:ascii="Arial" w:hAnsi="Arial" w:cs="Arial"/>
          <w:sz w:val="28"/>
          <w:szCs w:val="28"/>
        </w:rPr>
      </w:pPr>
    </w:p>
    <w:p w14:paraId="06B28380" w14:textId="77777777" w:rsidR="00D56D8F" w:rsidRPr="00915D53" w:rsidRDefault="00D56D8F" w:rsidP="00E71948">
      <w:pPr>
        <w:spacing w:line="360" w:lineRule="auto"/>
        <w:rPr>
          <w:rFonts w:ascii="Arial" w:hAnsi="Arial" w:cs="Arial"/>
          <w:sz w:val="28"/>
          <w:szCs w:val="28"/>
        </w:rPr>
      </w:pPr>
    </w:p>
    <w:p w14:paraId="7C1B1455" w14:textId="77777777" w:rsidR="00D56D8F" w:rsidRPr="00915D53" w:rsidRDefault="00D56D8F" w:rsidP="00E71948">
      <w:pPr>
        <w:spacing w:line="360" w:lineRule="auto"/>
        <w:rPr>
          <w:rFonts w:ascii="Arial" w:hAnsi="Arial" w:cs="Arial"/>
          <w:sz w:val="28"/>
          <w:szCs w:val="28"/>
        </w:rPr>
      </w:pPr>
    </w:p>
    <w:p w14:paraId="3A71878C" w14:textId="77777777" w:rsidR="00D56D8F" w:rsidRPr="00915D53" w:rsidRDefault="00D56D8F" w:rsidP="00E71948">
      <w:pPr>
        <w:spacing w:line="360" w:lineRule="auto"/>
        <w:rPr>
          <w:rFonts w:ascii="Arial" w:hAnsi="Arial" w:cs="Arial"/>
          <w:sz w:val="28"/>
          <w:szCs w:val="28"/>
        </w:rPr>
      </w:pPr>
    </w:p>
    <w:p w14:paraId="6778960D" w14:textId="77777777" w:rsidR="00D56D8F" w:rsidRPr="00915D53" w:rsidRDefault="00D56D8F" w:rsidP="00E71948">
      <w:pPr>
        <w:spacing w:line="360" w:lineRule="auto"/>
        <w:rPr>
          <w:rFonts w:ascii="Arial" w:hAnsi="Arial" w:cs="Arial"/>
          <w:sz w:val="28"/>
          <w:szCs w:val="28"/>
        </w:rPr>
      </w:pPr>
    </w:p>
    <w:p w14:paraId="5574AB97" w14:textId="77777777" w:rsidR="00D56D8F" w:rsidRPr="00915D53" w:rsidRDefault="00D56D8F" w:rsidP="00E71948">
      <w:pPr>
        <w:spacing w:line="360" w:lineRule="auto"/>
        <w:rPr>
          <w:rFonts w:ascii="Arial" w:hAnsi="Arial" w:cs="Arial"/>
          <w:sz w:val="28"/>
          <w:szCs w:val="28"/>
        </w:rPr>
      </w:pPr>
    </w:p>
    <w:p w14:paraId="09FA7F1C" w14:textId="77777777" w:rsidR="00D56D8F" w:rsidRPr="00915D53" w:rsidRDefault="00D56D8F" w:rsidP="00E71948">
      <w:pPr>
        <w:spacing w:line="360" w:lineRule="auto"/>
        <w:rPr>
          <w:rFonts w:ascii="Arial" w:hAnsi="Arial" w:cs="Arial"/>
          <w:sz w:val="28"/>
          <w:szCs w:val="28"/>
        </w:rPr>
      </w:pPr>
    </w:p>
    <w:p w14:paraId="0B77EBCE" w14:textId="4BF63A8C" w:rsidR="00D56D8F" w:rsidRPr="00FA6804" w:rsidRDefault="00841F1A" w:rsidP="00E71948">
      <w:pPr>
        <w:spacing w:line="360" w:lineRule="auto"/>
        <w:rPr>
          <w:rFonts w:ascii="Arial" w:hAnsi="Arial" w:cs="Arial"/>
          <w:sz w:val="36"/>
          <w:szCs w:val="36"/>
          <w:u w:val="single"/>
        </w:rPr>
      </w:pPr>
      <w:r w:rsidRPr="00FA6804">
        <w:rPr>
          <w:rFonts w:ascii="Arial" w:hAnsi="Arial" w:cs="Arial"/>
          <w:sz w:val="36"/>
          <w:szCs w:val="36"/>
          <w:u w:val="single"/>
        </w:rPr>
        <w:t>Table of Contents</w:t>
      </w:r>
      <w:r w:rsidR="007F4C8A">
        <w:rPr>
          <w:rFonts w:ascii="Arial" w:hAnsi="Arial" w:cs="Arial"/>
          <w:sz w:val="36"/>
          <w:szCs w:val="36"/>
          <w:u w:val="single"/>
        </w:rPr>
        <w:t xml:space="preserve">                                                    Page</w:t>
      </w:r>
    </w:p>
    <w:p w14:paraId="7EE29F00" w14:textId="77777777" w:rsidR="00C50560" w:rsidRPr="006E0BCA" w:rsidRDefault="00C50560" w:rsidP="00E71948">
      <w:pPr>
        <w:spacing w:line="360" w:lineRule="auto"/>
        <w:rPr>
          <w:rFonts w:ascii="Arial" w:hAnsi="Arial" w:cs="Arial"/>
          <w:sz w:val="28"/>
          <w:szCs w:val="28"/>
        </w:rPr>
      </w:pPr>
    </w:p>
    <w:p w14:paraId="1E808BD0" w14:textId="6791DCA0" w:rsidR="00C50560" w:rsidRPr="006E0BCA" w:rsidRDefault="00C50560" w:rsidP="00C50560">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6E0BCA">
        <w:rPr>
          <w:rFonts w:ascii="Arial" w:eastAsia="Times New Roman" w:hAnsi="Arial" w:cs="Arial"/>
          <w:b/>
          <w:bCs/>
          <w:kern w:val="0"/>
          <w:sz w:val="28"/>
          <w:szCs w:val="28"/>
          <w:lang w:eastAsia="en-GB"/>
          <w14:ligatures w14:val="none"/>
        </w:rPr>
        <w:t>Introduction</w:t>
      </w:r>
      <w:r w:rsidR="007F4C8A">
        <w:rPr>
          <w:rFonts w:ascii="Arial" w:eastAsia="Times New Roman" w:hAnsi="Arial" w:cs="Arial"/>
          <w:b/>
          <w:bCs/>
          <w:kern w:val="0"/>
          <w:sz w:val="28"/>
          <w:szCs w:val="28"/>
          <w:lang w:eastAsia="en-GB"/>
          <w14:ligatures w14:val="none"/>
        </w:rPr>
        <w:t xml:space="preserve">                                                                                       3 </w:t>
      </w:r>
    </w:p>
    <w:p w14:paraId="2281D2E4" w14:textId="587C18A6" w:rsidR="00C50560" w:rsidRPr="006E0BCA" w:rsidRDefault="00C50560" w:rsidP="00C50560">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6E0BCA">
        <w:rPr>
          <w:rFonts w:ascii="Arial" w:eastAsia="Times New Roman" w:hAnsi="Arial" w:cs="Arial"/>
          <w:b/>
          <w:bCs/>
          <w:kern w:val="0"/>
          <w:sz w:val="28"/>
          <w:szCs w:val="28"/>
          <w:lang w:eastAsia="en-GB"/>
          <w14:ligatures w14:val="none"/>
        </w:rPr>
        <w:t>Sustainable Development Goal 3: Good Health and Well-Being</w:t>
      </w:r>
      <w:r w:rsidR="007F4C8A">
        <w:rPr>
          <w:rFonts w:ascii="Arial" w:eastAsia="Times New Roman" w:hAnsi="Arial" w:cs="Arial"/>
          <w:b/>
          <w:bCs/>
          <w:kern w:val="0"/>
          <w:sz w:val="28"/>
          <w:szCs w:val="28"/>
          <w:lang w:eastAsia="en-GB"/>
          <w14:ligatures w14:val="none"/>
        </w:rPr>
        <w:t xml:space="preserve">  3</w:t>
      </w:r>
    </w:p>
    <w:p w14:paraId="6C7FB2AB" w14:textId="767D1949" w:rsidR="00E71948" w:rsidRPr="006E0BCA" w:rsidRDefault="0087469F" w:rsidP="00E71948">
      <w:pPr>
        <w:spacing w:line="360" w:lineRule="auto"/>
        <w:rPr>
          <w:rFonts w:ascii="Arial" w:hAnsi="Arial" w:cs="Arial"/>
          <w:b/>
          <w:bCs/>
          <w:sz w:val="28"/>
          <w:szCs w:val="28"/>
        </w:rPr>
      </w:pPr>
      <w:r w:rsidRPr="006E0BCA">
        <w:rPr>
          <w:rFonts w:ascii="Arial" w:hAnsi="Arial" w:cs="Arial"/>
          <w:b/>
          <w:bCs/>
          <w:sz w:val="28"/>
          <w:szCs w:val="28"/>
        </w:rPr>
        <w:t>Sustainable Development Goal 13: Climate Action</w:t>
      </w:r>
      <w:r w:rsidR="007F4C8A">
        <w:rPr>
          <w:rFonts w:ascii="Arial" w:hAnsi="Arial" w:cs="Arial"/>
          <w:b/>
          <w:bCs/>
          <w:sz w:val="28"/>
          <w:szCs w:val="28"/>
        </w:rPr>
        <w:t xml:space="preserve">                        4</w:t>
      </w:r>
    </w:p>
    <w:p w14:paraId="18A30B60" w14:textId="5D6D14F3" w:rsidR="00F248F9" w:rsidRPr="006E0BCA" w:rsidRDefault="00F248F9" w:rsidP="00E71948">
      <w:pPr>
        <w:spacing w:line="360" w:lineRule="auto"/>
        <w:rPr>
          <w:rFonts w:ascii="Arial" w:hAnsi="Arial" w:cs="Arial"/>
          <w:b/>
          <w:bCs/>
          <w:sz w:val="28"/>
          <w:szCs w:val="28"/>
        </w:rPr>
      </w:pPr>
      <w:r w:rsidRPr="006E0BCA">
        <w:rPr>
          <w:rFonts w:ascii="Arial" w:hAnsi="Arial" w:cs="Arial"/>
          <w:b/>
          <w:bCs/>
          <w:sz w:val="28"/>
          <w:szCs w:val="28"/>
        </w:rPr>
        <w:t>National wellbeing initiatives</w:t>
      </w:r>
      <w:r w:rsidR="007F4C8A">
        <w:rPr>
          <w:rFonts w:ascii="Arial" w:hAnsi="Arial" w:cs="Arial"/>
          <w:b/>
          <w:bCs/>
          <w:sz w:val="28"/>
          <w:szCs w:val="28"/>
        </w:rPr>
        <w:t xml:space="preserve">                                                            5</w:t>
      </w:r>
    </w:p>
    <w:p w14:paraId="4B8A2150" w14:textId="54AE77B1" w:rsidR="00976E4F" w:rsidRPr="006E0BCA" w:rsidRDefault="00976E4F" w:rsidP="00976E4F">
      <w:pPr>
        <w:spacing w:line="360" w:lineRule="auto"/>
        <w:rPr>
          <w:rFonts w:ascii="Arial" w:hAnsi="Arial" w:cs="Arial"/>
          <w:b/>
          <w:bCs/>
          <w:sz w:val="28"/>
          <w:szCs w:val="28"/>
        </w:rPr>
      </w:pPr>
      <w:r w:rsidRPr="006E0BCA">
        <w:rPr>
          <w:rFonts w:ascii="Arial" w:hAnsi="Arial" w:cs="Arial"/>
          <w:b/>
          <w:bCs/>
          <w:sz w:val="28"/>
          <w:szCs w:val="28"/>
        </w:rPr>
        <w:t>Local wellbeing initiatives</w:t>
      </w:r>
      <w:r w:rsidR="007F4C8A">
        <w:rPr>
          <w:rFonts w:ascii="Arial" w:hAnsi="Arial" w:cs="Arial"/>
          <w:b/>
          <w:bCs/>
          <w:sz w:val="28"/>
          <w:szCs w:val="28"/>
        </w:rPr>
        <w:t xml:space="preserve">                                                                6</w:t>
      </w:r>
    </w:p>
    <w:p w14:paraId="0D2CDD92" w14:textId="4927A9A1" w:rsidR="00976E4F" w:rsidRDefault="00976E4F" w:rsidP="00976E4F">
      <w:pPr>
        <w:rPr>
          <w:rFonts w:ascii="Arial" w:hAnsi="Arial" w:cs="Arial"/>
          <w:b/>
          <w:bCs/>
          <w:sz w:val="28"/>
          <w:szCs w:val="28"/>
        </w:rPr>
      </w:pPr>
      <w:r w:rsidRPr="006E0BCA">
        <w:rPr>
          <w:rFonts w:ascii="Arial" w:hAnsi="Arial" w:cs="Arial"/>
          <w:b/>
          <w:bCs/>
          <w:sz w:val="28"/>
          <w:szCs w:val="28"/>
        </w:rPr>
        <w:t>Conclusion</w:t>
      </w:r>
      <w:r w:rsidR="007F4C8A">
        <w:rPr>
          <w:rFonts w:ascii="Arial" w:hAnsi="Arial" w:cs="Arial"/>
          <w:b/>
          <w:bCs/>
          <w:sz w:val="28"/>
          <w:szCs w:val="28"/>
        </w:rPr>
        <w:t xml:space="preserve">                                                                                         7</w:t>
      </w:r>
    </w:p>
    <w:p w14:paraId="4261F8A3" w14:textId="55553E9D" w:rsidR="007F4C8A" w:rsidRPr="006E0BCA" w:rsidRDefault="007F4C8A" w:rsidP="00976E4F">
      <w:pPr>
        <w:rPr>
          <w:rFonts w:ascii="Arial" w:hAnsi="Arial" w:cs="Arial"/>
          <w:b/>
          <w:bCs/>
          <w:sz w:val="28"/>
          <w:szCs w:val="28"/>
        </w:rPr>
      </w:pPr>
      <w:r w:rsidRPr="007F4C8A">
        <w:rPr>
          <w:rFonts w:ascii="Arial" w:hAnsi="Arial" w:cs="Arial"/>
          <w:b/>
          <w:bCs/>
          <w:sz w:val="28"/>
          <w:szCs w:val="28"/>
        </w:rPr>
        <w:t>Reference</w:t>
      </w:r>
      <w:r>
        <w:rPr>
          <w:rFonts w:ascii="Arial" w:hAnsi="Arial" w:cs="Arial"/>
          <w:b/>
          <w:bCs/>
          <w:sz w:val="28"/>
          <w:szCs w:val="28"/>
        </w:rPr>
        <w:t xml:space="preserve"> List                                                                                    8</w:t>
      </w:r>
    </w:p>
    <w:p w14:paraId="453FA6CC" w14:textId="77777777" w:rsidR="00E27363" w:rsidRPr="00915D53" w:rsidRDefault="00E27363" w:rsidP="00E27363">
      <w:pPr>
        <w:spacing w:line="360" w:lineRule="auto"/>
        <w:rPr>
          <w:rFonts w:ascii="Arial" w:hAnsi="Arial" w:cs="Arial"/>
        </w:rPr>
      </w:pPr>
    </w:p>
    <w:p w14:paraId="23C2010B" w14:textId="77777777" w:rsidR="00E27363" w:rsidRPr="00915D53" w:rsidRDefault="00E27363" w:rsidP="00E27363">
      <w:pPr>
        <w:spacing w:line="360" w:lineRule="auto"/>
        <w:rPr>
          <w:rFonts w:ascii="Arial" w:hAnsi="Arial" w:cs="Arial"/>
        </w:rPr>
      </w:pPr>
    </w:p>
    <w:p w14:paraId="22103E4A" w14:textId="77777777" w:rsidR="00E27363" w:rsidRPr="00915D53" w:rsidRDefault="00E27363" w:rsidP="00E27363">
      <w:pPr>
        <w:spacing w:line="360" w:lineRule="auto"/>
        <w:rPr>
          <w:rFonts w:ascii="Arial" w:hAnsi="Arial" w:cs="Arial"/>
        </w:rPr>
      </w:pPr>
    </w:p>
    <w:p w14:paraId="7B38B475" w14:textId="77777777" w:rsidR="00E27363" w:rsidRPr="00915D53" w:rsidRDefault="00E27363" w:rsidP="00E27363">
      <w:pPr>
        <w:spacing w:line="360" w:lineRule="auto"/>
        <w:rPr>
          <w:rFonts w:ascii="Arial" w:hAnsi="Arial" w:cs="Arial"/>
        </w:rPr>
      </w:pPr>
    </w:p>
    <w:p w14:paraId="66EF80E1" w14:textId="77777777" w:rsidR="00E27363" w:rsidRPr="00915D53" w:rsidRDefault="00E27363" w:rsidP="00E27363">
      <w:pPr>
        <w:spacing w:line="360" w:lineRule="auto"/>
        <w:rPr>
          <w:rFonts w:ascii="Arial" w:hAnsi="Arial" w:cs="Arial"/>
        </w:rPr>
      </w:pPr>
    </w:p>
    <w:p w14:paraId="0B63A6CF" w14:textId="77777777" w:rsidR="00E27363" w:rsidRPr="00915D53" w:rsidRDefault="00E27363" w:rsidP="00E27363">
      <w:pPr>
        <w:spacing w:line="360" w:lineRule="auto"/>
        <w:rPr>
          <w:rFonts w:ascii="Arial" w:hAnsi="Arial" w:cs="Arial"/>
        </w:rPr>
      </w:pPr>
    </w:p>
    <w:p w14:paraId="52945E7F" w14:textId="77777777" w:rsidR="00E27363" w:rsidRPr="00915D53" w:rsidRDefault="00E27363" w:rsidP="00E27363">
      <w:pPr>
        <w:spacing w:line="360" w:lineRule="auto"/>
        <w:rPr>
          <w:rFonts w:ascii="Arial" w:hAnsi="Arial" w:cs="Arial"/>
        </w:rPr>
      </w:pPr>
    </w:p>
    <w:p w14:paraId="329AF8CC" w14:textId="77777777" w:rsidR="00E27363" w:rsidRPr="00915D53" w:rsidRDefault="00E27363" w:rsidP="00E27363">
      <w:pPr>
        <w:spacing w:line="360" w:lineRule="auto"/>
        <w:rPr>
          <w:rFonts w:ascii="Arial" w:hAnsi="Arial" w:cs="Arial"/>
        </w:rPr>
      </w:pPr>
    </w:p>
    <w:p w14:paraId="151FDB2C" w14:textId="77777777" w:rsidR="00E27363" w:rsidRPr="00915D53" w:rsidRDefault="00E27363" w:rsidP="00E27363">
      <w:pPr>
        <w:spacing w:line="360" w:lineRule="auto"/>
        <w:rPr>
          <w:rFonts w:ascii="Arial" w:hAnsi="Arial" w:cs="Arial"/>
        </w:rPr>
      </w:pPr>
    </w:p>
    <w:p w14:paraId="503F1828" w14:textId="77777777" w:rsidR="00E27363" w:rsidRPr="00915D53" w:rsidRDefault="00E27363" w:rsidP="00E27363">
      <w:pPr>
        <w:spacing w:line="360" w:lineRule="auto"/>
        <w:rPr>
          <w:rFonts w:ascii="Arial" w:hAnsi="Arial" w:cs="Arial"/>
        </w:rPr>
      </w:pPr>
    </w:p>
    <w:p w14:paraId="3BB2B046" w14:textId="77777777" w:rsidR="00E27363" w:rsidRPr="00915D53" w:rsidRDefault="00E27363" w:rsidP="00E27363">
      <w:pPr>
        <w:spacing w:line="360" w:lineRule="auto"/>
        <w:rPr>
          <w:rFonts w:ascii="Arial" w:hAnsi="Arial" w:cs="Arial"/>
        </w:rPr>
      </w:pPr>
    </w:p>
    <w:p w14:paraId="02D22999" w14:textId="77777777" w:rsidR="00E27363" w:rsidRPr="00915D53" w:rsidRDefault="00E27363" w:rsidP="00E27363">
      <w:pPr>
        <w:spacing w:line="360" w:lineRule="auto"/>
        <w:rPr>
          <w:rFonts w:ascii="Arial" w:hAnsi="Arial" w:cs="Arial"/>
        </w:rPr>
      </w:pPr>
    </w:p>
    <w:p w14:paraId="55DB11EF" w14:textId="77777777" w:rsidR="00E71948" w:rsidRDefault="00E71948" w:rsidP="00CA3A91">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18976467" w14:textId="77777777" w:rsidR="00310B67" w:rsidRDefault="00310B67" w:rsidP="00CA3A91">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373CD67C" w14:textId="77777777" w:rsidR="00443EB0" w:rsidRPr="00915D53" w:rsidRDefault="00443EB0" w:rsidP="00CA3A91">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0726F5F5" w14:textId="153964C2" w:rsidR="00CA3A91" w:rsidRPr="00915D53" w:rsidRDefault="00CA3A91" w:rsidP="00CA3A91">
      <w:pPr>
        <w:spacing w:before="100" w:beforeAutospacing="1" w:after="100" w:afterAutospacing="1" w:line="240" w:lineRule="auto"/>
        <w:outlineLvl w:val="1"/>
        <w:rPr>
          <w:rFonts w:ascii="Arial" w:eastAsia="Times New Roman" w:hAnsi="Arial" w:cs="Arial"/>
          <w:b/>
          <w:bCs/>
          <w:kern w:val="0"/>
          <w:sz w:val="30"/>
          <w:szCs w:val="30"/>
          <w:lang w:eastAsia="en-GB"/>
          <w14:ligatures w14:val="none"/>
        </w:rPr>
      </w:pPr>
      <w:r w:rsidRPr="00915D53">
        <w:rPr>
          <w:rFonts w:ascii="Arial" w:eastAsia="Times New Roman" w:hAnsi="Arial" w:cs="Arial"/>
          <w:b/>
          <w:bCs/>
          <w:kern w:val="0"/>
          <w:sz w:val="30"/>
          <w:szCs w:val="30"/>
          <w:lang w:eastAsia="en-GB"/>
          <w14:ligatures w14:val="none"/>
        </w:rPr>
        <w:t>Introduction</w:t>
      </w:r>
    </w:p>
    <w:p w14:paraId="7CB66C60" w14:textId="7973FA26" w:rsidR="00CA3A91" w:rsidRPr="00915D53" w:rsidRDefault="00CA3A91" w:rsidP="00CA3A91">
      <w:pPr>
        <w:spacing w:before="100" w:beforeAutospacing="1" w:after="100" w:afterAutospacing="1" w:line="240" w:lineRule="auto"/>
        <w:rPr>
          <w:rFonts w:ascii="Arial" w:eastAsia="Times New Roman" w:hAnsi="Arial" w:cs="Arial"/>
          <w:kern w:val="0"/>
          <w:lang w:eastAsia="en-GB"/>
          <w14:ligatures w14:val="none"/>
        </w:rPr>
      </w:pPr>
      <w:r w:rsidRPr="00915D53">
        <w:rPr>
          <w:rFonts w:ascii="Arial" w:eastAsia="Times New Roman" w:hAnsi="Arial" w:cs="Arial"/>
          <w:kern w:val="0"/>
          <w:lang w:eastAsia="en-GB"/>
          <w14:ligatures w14:val="none"/>
        </w:rPr>
        <w:t xml:space="preserve">Health, wellbeing and sustainability are closely linked within modern policy because people’s health </w:t>
      </w:r>
      <w:r w:rsidR="00B75B35" w:rsidRPr="00915D53">
        <w:rPr>
          <w:rFonts w:ascii="Arial" w:eastAsia="Times New Roman" w:hAnsi="Arial" w:cs="Arial"/>
          <w:kern w:val="0"/>
          <w:lang w:eastAsia="en-GB"/>
          <w14:ligatures w14:val="none"/>
        </w:rPr>
        <w:t>are</w:t>
      </w:r>
      <w:r w:rsidRPr="00915D53">
        <w:rPr>
          <w:rFonts w:ascii="Arial" w:eastAsia="Times New Roman" w:hAnsi="Arial" w:cs="Arial"/>
          <w:kern w:val="0"/>
          <w:lang w:eastAsia="en-GB"/>
          <w14:ligatures w14:val="none"/>
        </w:rPr>
        <w:t xml:space="preserve"> not only </w:t>
      </w:r>
      <w:r w:rsidR="00B75B35" w:rsidRPr="00915D53">
        <w:rPr>
          <w:rFonts w:ascii="Arial" w:eastAsia="Times New Roman" w:hAnsi="Arial" w:cs="Arial"/>
          <w:kern w:val="0"/>
          <w:lang w:eastAsia="en-GB"/>
          <w14:ligatures w14:val="none"/>
        </w:rPr>
        <w:t xml:space="preserve">shaped </w:t>
      </w:r>
      <w:r w:rsidRPr="00915D53">
        <w:rPr>
          <w:rFonts w:ascii="Arial" w:eastAsia="Times New Roman" w:hAnsi="Arial" w:cs="Arial"/>
          <w:kern w:val="0"/>
          <w:lang w:eastAsia="en-GB"/>
          <w14:ligatures w14:val="none"/>
        </w:rPr>
        <w:t>by healthcare services, but also by wider social, economic and environmental conditions (WHO, 2025). This report critically examines how Sustainable Development Goal 3</w:t>
      </w:r>
      <w:r w:rsidR="002653CA" w:rsidRPr="00915D53">
        <w:rPr>
          <w:rFonts w:ascii="Arial" w:eastAsia="Times New Roman" w:hAnsi="Arial" w:cs="Arial"/>
          <w:kern w:val="0"/>
          <w:lang w:eastAsia="en-GB"/>
          <w14:ligatures w14:val="none"/>
        </w:rPr>
        <w:t xml:space="preserve"> and Sustainable Development Goal 13</w:t>
      </w:r>
      <w:r w:rsidRPr="00915D53">
        <w:rPr>
          <w:rFonts w:ascii="Arial" w:eastAsia="Times New Roman" w:hAnsi="Arial" w:cs="Arial"/>
          <w:kern w:val="0"/>
          <w:lang w:eastAsia="en-GB"/>
          <w14:ligatures w14:val="none"/>
        </w:rPr>
        <w:t>, which focuses on good health and wellbeing, and</w:t>
      </w:r>
      <w:r w:rsidR="002653CA" w:rsidRPr="00915D53">
        <w:rPr>
          <w:rFonts w:ascii="Arial" w:eastAsia="Times New Roman" w:hAnsi="Arial" w:cs="Arial"/>
          <w:kern w:val="0"/>
          <w:lang w:eastAsia="en-GB"/>
          <w14:ligatures w14:val="none"/>
        </w:rPr>
        <w:t xml:space="preserve"> </w:t>
      </w:r>
      <w:r w:rsidRPr="00915D53">
        <w:rPr>
          <w:rFonts w:ascii="Arial" w:eastAsia="Times New Roman" w:hAnsi="Arial" w:cs="Arial"/>
          <w:kern w:val="0"/>
          <w:lang w:eastAsia="en-GB"/>
          <w14:ligatures w14:val="none"/>
        </w:rPr>
        <w:t xml:space="preserve">addresses climate action, influence the lives of citizens at global, national and local levels </w:t>
      </w:r>
      <w:r w:rsidR="00A52353" w:rsidRPr="00915D53">
        <w:rPr>
          <w:rFonts w:ascii="Arial" w:eastAsia="Times New Roman" w:hAnsi="Arial" w:cs="Arial"/>
          <w:kern w:val="0"/>
          <w:lang w:eastAsia="en-GB"/>
          <w14:ligatures w14:val="none"/>
        </w:rPr>
        <w:t>(</w:t>
      </w:r>
      <w:r w:rsidRPr="00915D53">
        <w:rPr>
          <w:rFonts w:ascii="Arial" w:eastAsia="Times New Roman" w:hAnsi="Arial" w:cs="Arial"/>
          <w:kern w:val="0"/>
          <w:lang w:eastAsia="en-GB"/>
          <w14:ligatures w14:val="none"/>
        </w:rPr>
        <w:t>United Nations, 2025). It also evaluates national and local wellbeing initiatives and considers how their effectiveness could be improved through stronger prevention, equity and long-term planning.</w:t>
      </w:r>
    </w:p>
    <w:p w14:paraId="144B5353" w14:textId="77777777" w:rsidR="00EA04E1" w:rsidRPr="00915D53" w:rsidRDefault="00EA04E1" w:rsidP="00CB63DD">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5115855F" w14:textId="21ECCB98" w:rsidR="00CB63DD" w:rsidRPr="00915D53" w:rsidRDefault="00CB63DD" w:rsidP="00CB63DD">
      <w:pPr>
        <w:spacing w:before="100" w:beforeAutospacing="1" w:after="100" w:afterAutospacing="1" w:line="240" w:lineRule="auto"/>
        <w:outlineLvl w:val="1"/>
        <w:rPr>
          <w:rFonts w:ascii="Arial" w:eastAsia="Times New Roman" w:hAnsi="Arial" w:cs="Arial"/>
          <w:b/>
          <w:bCs/>
          <w:kern w:val="0"/>
          <w:sz w:val="30"/>
          <w:szCs w:val="30"/>
          <w:lang w:eastAsia="en-GB"/>
          <w14:ligatures w14:val="none"/>
        </w:rPr>
      </w:pPr>
      <w:r w:rsidRPr="00915D53">
        <w:rPr>
          <w:rFonts w:ascii="Arial" w:eastAsia="Times New Roman" w:hAnsi="Arial" w:cs="Arial"/>
          <w:b/>
          <w:bCs/>
          <w:kern w:val="0"/>
          <w:sz w:val="30"/>
          <w:szCs w:val="30"/>
          <w:lang w:eastAsia="en-GB"/>
          <w14:ligatures w14:val="none"/>
        </w:rPr>
        <w:t>Sustainable Development Goal 3: Good Health and Well-Being</w:t>
      </w:r>
    </w:p>
    <w:p w14:paraId="41AA71EA" w14:textId="4D15B56F" w:rsidR="00CB63DD" w:rsidRPr="00915D53" w:rsidRDefault="00CB63DD" w:rsidP="00CB63DD">
      <w:pPr>
        <w:spacing w:before="100" w:beforeAutospacing="1" w:after="100" w:afterAutospacing="1" w:line="240" w:lineRule="auto"/>
        <w:rPr>
          <w:rFonts w:ascii="Arial" w:eastAsia="Times New Roman" w:hAnsi="Arial" w:cs="Arial"/>
          <w:kern w:val="0"/>
          <w:sz w:val="22"/>
          <w:szCs w:val="22"/>
          <w:lang w:eastAsia="en-GB"/>
          <w14:ligatures w14:val="none"/>
        </w:rPr>
      </w:pPr>
      <w:r w:rsidRPr="00915D53">
        <w:rPr>
          <w:rFonts w:ascii="Arial" w:eastAsia="Times New Roman" w:hAnsi="Arial" w:cs="Arial"/>
          <w:kern w:val="0"/>
          <w:sz w:val="22"/>
          <w:szCs w:val="22"/>
          <w:lang w:eastAsia="en-GB"/>
          <w14:ligatures w14:val="none"/>
        </w:rPr>
        <w:t>Sustainable Development Goal 3</w:t>
      </w:r>
      <w:r w:rsidR="002E5DA0" w:rsidRPr="00915D53">
        <w:rPr>
          <w:rFonts w:ascii="Arial" w:eastAsia="Times New Roman" w:hAnsi="Arial" w:cs="Arial"/>
          <w:kern w:val="0"/>
          <w:sz w:val="22"/>
          <w:szCs w:val="22"/>
          <w:lang w:eastAsia="en-GB"/>
          <w14:ligatures w14:val="none"/>
        </w:rPr>
        <w:t xml:space="preserve"> (SDG 3)</w:t>
      </w:r>
      <w:r w:rsidRPr="00915D53">
        <w:rPr>
          <w:rFonts w:ascii="Arial" w:eastAsia="Times New Roman" w:hAnsi="Arial" w:cs="Arial"/>
          <w:kern w:val="0"/>
          <w:sz w:val="22"/>
          <w:szCs w:val="22"/>
          <w:lang w:eastAsia="en-GB"/>
          <w14:ligatures w14:val="none"/>
        </w:rPr>
        <w:t xml:space="preserve"> aims to ensure healthy lives and promote wellbeing for all at all ages (United Nations, 2025). It is a central part of the 2030 Agenda because health is both a basic human need and a foundation for social and economic development (WHO, 2024). SDG 3 is broad in scope and includes thirteen targets covering major public health priorities. These include maternal health, newborn and child survival, communicable diseases, non-communicable diseases, mental health, substance misuse, road traffic injuries, sexual and reproductive health, universal health coverage, pollution-related illness, tobacco control, the health workforce, and protection from national and global health risks (UN Statistics Division, 2024).</w:t>
      </w:r>
    </w:p>
    <w:p w14:paraId="42E10722" w14:textId="6BE76B1B" w:rsidR="00CB63DD" w:rsidRPr="00915D53" w:rsidRDefault="00CB63DD" w:rsidP="00CB63DD">
      <w:pPr>
        <w:spacing w:before="100" w:beforeAutospacing="1" w:after="100" w:afterAutospacing="1" w:line="240" w:lineRule="auto"/>
        <w:rPr>
          <w:rFonts w:ascii="Arial" w:eastAsia="Times New Roman" w:hAnsi="Arial" w:cs="Arial"/>
          <w:kern w:val="0"/>
          <w:sz w:val="22"/>
          <w:szCs w:val="22"/>
          <w:lang w:eastAsia="en-GB"/>
          <w14:ligatures w14:val="none"/>
        </w:rPr>
      </w:pPr>
      <w:r w:rsidRPr="00915D53">
        <w:rPr>
          <w:rFonts w:ascii="Arial" w:eastAsia="Times New Roman" w:hAnsi="Arial" w:cs="Arial"/>
          <w:kern w:val="0"/>
          <w:sz w:val="22"/>
          <w:szCs w:val="22"/>
          <w:lang w:eastAsia="en-GB"/>
          <w14:ligatures w14:val="none"/>
        </w:rPr>
        <w:t xml:space="preserve">A key construct of SDG 3 is the reduction of preventable deaths among mothers, newborns and children. This reflects the view that health must be protected from the earliest stages of life if citizens are to achieve long-term wellbeing (UNICEF, 2023). Another major construct is the control of communicable diseases such as HIV/AIDS, tuberculosis, malaria and hepatitis, </w:t>
      </w:r>
      <w:r w:rsidRPr="00915D53">
        <w:rPr>
          <w:rFonts w:ascii="Arial" w:eastAsia="Times New Roman" w:hAnsi="Arial" w:cs="Arial"/>
          <w:kern w:val="0"/>
          <w:sz w:val="22"/>
          <w:szCs w:val="22"/>
          <w:lang w:eastAsia="en-GB"/>
          <w14:ligatures w14:val="none"/>
        </w:rPr>
        <w:lastRenderedPageBreak/>
        <w:t>which remain serious threats in many parts of the world (UN Statistics Division, 2024). SDG 3 also gives significant attention to non-communicable diseases, including cardiovascular disease, diabetes and cancer, alongside mental health and wellbeing. This is important because these conditions account for a large proportion of illness, disability and premature death globally (WHO, 2024).</w:t>
      </w:r>
    </w:p>
    <w:p w14:paraId="4DDB771F" w14:textId="00E7E3F2" w:rsidR="00CB63DD" w:rsidRPr="00915D53" w:rsidRDefault="00CB63DD" w:rsidP="00CB63DD">
      <w:pPr>
        <w:spacing w:before="100" w:beforeAutospacing="1" w:after="100" w:afterAutospacing="1" w:line="240" w:lineRule="auto"/>
        <w:rPr>
          <w:rFonts w:ascii="Arial" w:eastAsia="Times New Roman" w:hAnsi="Arial" w:cs="Arial"/>
          <w:kern w:val="0"/>
          <w:sz w:val="22"/>
          <w:szCs w:val="22"/>
          <w:lang w:eastAsia="en-GB"/>
          <w14:ligatures w14:val="none"/>
        </w:rPr>
      </w:pPr>
      <w:r w:rsidRPr="00915D53">
        <w:rPr>
          <w:rFonts w:ascii="Arial" w:eastAsia="Times New Roman" w:hAnsi="Arial" w:cs="Arial"/>
          <w:kern w:val="0"/>
          <w:sz w:val="22"/>
          <w:szCs w:val="22"/>
          <w:lang w:eastAsia="en-GB"/>
          <w14:ligatures w14:val="none"/>
        </w:rPr>
        <w:t>The goal has a direct impact on citizens’ health because it promotes access to prevention, treatment and care across the life course. Improved maternal and child health services reduce mortality and create stronger foundations for physical and cognitive development (UNICEF, 2023). Action on infectious diseases, vaccines and essential medicines protects communities from avoidable illness and helps reduce the spread of outbreaks (UN Statistics Division, 2024). In addition, progress on universal health coverage can improve access to affordable healthcare and reduce the financial burden of treatment on households, which is closely linked to both health and wellbeing (UNICEF, 2020).</w:t>
      </w:r>
    </w:p>
    <w:p w14:paraId="7775BCF2" w14:textId="5B205BA9" w:rsidR="00CB63DD" w:rsidRPr="00915D53" w:rsidRDefault="00CB63DD" w:rsidP="00CB63DD">
      <w:pPr>
        <w:spacing w:before="100" w:beforeAutospacing="1" w:after="100" w:afterAutospacing="1" w:line="240" w:lineRule="auto"/>
        <w:rPr>
          <w:rFonts w:ascii="Arial" w:eastAsia="Times New Roman" w:hAnsi="Arial" w:cs="Arial"/>
          <w:kern w:val="0"/>
          <w:sz w:val="22"/>
          <w:szCs w:val="22"/>
          <w:lang w:eastAsia="en-GB"/>
          <w14:ligatures w14:val="none"/>
        </w:rPr>
      </w:pPr>
      <w:r w:rsidRPr="00915D53">
        <w:rPr>
          <w:rFonts w:ascii="Arial" w:eastAsia="Times New Roman" w:hAnsi="Arial" w:cs="Arial"/>
          <w:kern w:val="0"/>
          <w:sz w:val="22"/>
          <w:szCs w:val="22"/>
          <w:lang w:eastAsia="en-GB"/>
          <w14:ligatures w14:val="none"/>
        </w:rPr>
        <w:t>SDG 3 also affects wellbeing in a wider sense because it recognises that health is not limited to survival alone. By addressing mental health, substance misuse, injuries and environmental risks, the goal supports quality of life, social participation and long-term wellbeing (WHO, 2024). This broader perspective is important for citizens because poor health can reduce educational achievement, employment opportunities and social inclusion. In this way, SDG 3 contributes not only to individual outcomes, but also to stronger families, communities and economies (UNICEF, 2023).</w:t>
      </w:r>
    </w:p>
    <w:p w14:paraId="49F6CCD7" w14:textId="4F3F6FDE" w:rsidR="00A21271" w:rsidRPr="00915D53" w:rsidRDefault="00CB63DD" w:rsidP="00A336FB">
      <w:pPr>
        <w:spacing w:before="100" w:beforeAutospacing="1" w:after="100" w:afterAutospacing="1" w:line="240" w:lineRule="auto"/>
        <w:rPr>
          <w:rFonts w:ascii="Arial" w:eastAsia="Times New Roman" w:hAnsi="Arial" w:cs="Arial"/>
          <w:kern w:val="0"/>
          <w:sz w:val="22"/>
          <w:szCs w:val="22"/>
          <w:lang w:eastAsia="en-GB"/>
          <w14:ligatures w14:val="none"/>
        </w:rPr>
      </w:pPr>
      <w:r w:rsidRPr="00915D53">
        <w:rPr>
          <w:rFonts w:ascii="Arial" w:eastAsia="Times New Roman" w:hAnsi="Arial" w:cs="Arial"/>
          <w:kern w:val="0"/>
          <w:sz w:val="22"/>
          <w:szCs w:val="22"/>
          <w:lang w:eastAsia="en-GB"/>
          <w14:ligatures w14:val="none"/>
        </w:rPr>
        <w:t>However, the impact of SDG 3 is uneven. Despite global progress, many people still lack access to basic and affordable health services, and out-of-pocket healthcare costs continue to push households into poverty (UN Statistics Division, 2024). In addition, health inequalities remain closely linked to poverty, geography and social conditions. This means that the success of SDG 3 depends not only on healthcare systems, but also on wider action to address inequality and the social determinants of health. Overall, SDG 3 provides a comprehensive framework for improving citizens’ health and wellbeing, but its full benefits depend on effective implementation, equitable access and sustained investment.</w:t>
      </w:r>
    </w:p>
    <w:p w14:paraId="24BA17B8" w14:textId="77777777" w:rsidR="00A336FB" w:rsidRPr="00915D53" w:rsidRDefault="00A336FB" w:rsidP="00F50903">
      <w:pPr>
        <w:rPr>
          <w:rFonts w:ascii="Arial" w:hAnsi="Arial" w:cs="Arial"/>
          <w:sz w:val="36"/>
          <w:szCs w:val="36"/>
        </w:rPr>
      </w:pPr>
    </w:p>
    <w:p w14:paraId="39BF8F91" w14:textId="77777777" w:rsidR="00300D48" w:rsidRPr="00915D53" w:rsidRDefault="00300D48" w:rsidP="00300D48">
      <w:pPr>
        <w:rPr>
          <w:rFonts w:ascii="Arial" w:hAnsi="Arial" w:cs="Arial"/>
          <w:b/>
          <w:bCs/>
          <w:sz w:val="30"/>
          <w:szCs w:val="30"/>
        </w:rPr>
      </w:pPr>
      <w:r w:rsidRPr="00915D53">
        <w:rPr>
          <w:rFonts w:ascii="Arial" w:hAnsi="Arial" w:cs="Arial"/>
          <w:b/>
          <w:bCs/>
          <w:sz w:val="30"/>
          <w:szCs w:val="30"/>
        </w:rPr>
        <w:t>Sustainable Development Goal 13: Climate Action</w:t>
      </w:r>
    </w:p>
    <w:p w14:paraId="04F382E0" w14:textId="77777777" w:rsidR="00300D48" w:rsidRPr="00915D53" w:rsidRDefault="00300D48" w:rsidP="00300D48">
      <w:pPr>
        <w:rPr>
          <w:rFonts w:ascii="Arial" w:hAnsi="Arial" w:cs="Arial"/>
          <w:sz w:val="22"/>
          <w:szCs w:val="22"/>
        </w:rPr>
      </w:pPr>
      <w:r w:rsidRPr="00915D53">
        <w:rPr>
          <w:rFonts w:ascii="Arial" w:hAnsi="Arial" w:cs="Arial"/>
          <w:sz w:val="22"/>
          <w:szCs w:val="22"/>
        </w:rPr>
        <w:t>Sustainable Development Goal 13 calls for urgent action to combat climate change and its impacts (United Nations, 2026). The goal recognises that climate change is not only an environmental issue, but also a social, economic and public health challenge. Its main constructs include strengthening resilience and adaptive capacity to climate-related hazards, integrating climate measures into national policies and planning, improving education and awareness, and increasing support for mitigation, adaptation and climate-related management in vulnerable countries and communities (United Nations, 2026). These constructs show that SDG 13 is concerned not only with reducing emissions, but also with protecting people from the effects of climate change and helping societies prepare for future risks.</w:t>
      </w:r>
    </w:p>
    <w:p w14:paraId="0CF06CA6" w14:textId="77777777" w:rsidR="00300D48" w:rsidRPr="00915D53" w:rsidRDefault="00300D48" w:rsidP="00300D48">
      <w:pPr>
        <w:rPr>
          <w:rFonts w:ascii="Arial" w:hAnsi="Arial" w:cs="Arial"/>
          <w:sz w:val="22"/>
          <w:szCs w:val="22"/>
        </w:rPr>
      </w:pPr>
    </w:p>
    <w:p w14:paraId="7E84C24A" w14:textId="4E7C0A43" w:rsidR="00300D48" w:rsidRPr="00915D53" w:rsidRDefault="00300D48" w:rsidP="00300D48">
      <w:pPr>
        <w:rPr>
          <w:rFonts w:ascii="Arial" w:hAnsi="Arial" w:cs="Arial"/>
          <w:sz w:val="22"/>
          <w:szCs w:val="22"/>
        </w:rPr>
      </w:pPr>
      <w:r w:rsidRPr="00915D53">
        <w:rPr>
          <w:rFonts w:ascii="Arial" w:hAnsi="Arial" w:cs="Arial"/>
          <w:sz w:val="22"/>
          <w:szCs w:val="22"/>
        </w:rPr>
        <w:t>A key construct of SDG 13 is adaptation and resilience. This means helping countries and communities respond more effectively to climate-related hazards such as floods, heatwaves, droughts and storms</w:t>
      </w:r>
      <w:r w:rsidR="002841BC" w:rsidRPr="00915D53">
        <w:rPr>
          <w:rFonts w:ascii="Arial" w:hAnsi="Arial" w:cs="Arial"/>
          <w:sz w:val="22"/>
          <w:szCs w:val="22"/>
        </w:rPr>
        <w:t xml:space="preserve">. </w:t>
      </w:r>
      <w:r w:rsidRPr="00915D53">
        <w:rPr>
          <w:rFonts w:ascii="Arial" w:hAnsi="Arial" w:cs="Arial"/>
          <w:sz w:val="22"/>
          <w:szCs w:val="22"/>
        </w:rPr>
        <w:t xml:space="preserve">Another central construct is the integration of climate action into </w:t>
      </w:r>
      <w:r w:rsidRPr="00915D53">
        <w:rPr>
          <w:rFonts w:ascii="Arial" w:hAnsi="Arial" w:cs="Arial"/>
          <w:sz w:val="22"/>
          <w:szCs w:val="22"/>
        </w:rPr>
        <w:lastRenderedPageBreak/>
        <w:t>government policy and planning. This is important because climate change affects many sectors, including housing, transport, food systems, energy, employment and healthcare, so policy responses need to be coordinated rather than isolated (United Nations, 2026). A further construct is public awareness and education, which encourages citizens, institutions and governments to understand climate risks and take action to reduce harm and improve preparedness (United Nations, 2026). Together, these elements show that SDG 13 promotes both prevention and long-term social protection.</w:t>
      </w:r>
    </w:p>
    <w:p w14:paraId="461E949B" w14:textId="77777777" w:rsidR="00300D48" w:rsidRPr="00915D53" w:rsidRDefault="00300D48" w:rsidP="00300D48">
      <w:pPr>
        <w:rPr>
          <w:rFonts w:ascii="Arial" w:hAnsi="Arial" w:cs="Arial"/>
          <w:sz w:val="22"/>
          <w:szCs w:val="22"/>
        </w:rPr>
      </w:pPr>
    </w:p>
    <w:p w14:paraId="1E37E497" w14:textId="1ADDD85A" w:rsidR="00300D48" w:rsidRPr="00915D53" w:rsidRDefault="00300D48" w:rsidP="00300D48">
      <w:pPr>
        <w:rPr>
          <w:rFonts w:ascii="Arial" w:hAnsi="Arial" w:cs="Arial"/>
          <w:sz w:val="22"/>
          <w:szCs w:val="22"/>
        </w:rPr>
      </w:pPr>
      <w:r w:rsidRPr="00915D53">
        <w:rPr>
          <w:rFonts w:ascii="Arial" w:hAnsi="Arial" w:cs="Arial"/>
          <w:sz w:val="22"/>
          <w:szCs w:val="22"/>
        </w:rPr>
        <w:t>SDG 13 has a major impact on the health and wellbeing of citizens because climate change directly affects the conditions needed for healthy lives. The European Environment Agency states that climate change threatens clean air, safe drinking water, nutritious food and secure shelter, all of which are essential for health (European Environment Agency, 2025). Rising temperatures, extreme weather events and environmental degradation increase the risks of injury, infectious disease, respiratory illness, food insecurity and mental distress (WHO, 2019). In this sense, climate change weakens both physical health and overall wellbeing by making daily life less stable, safe and sustainable.</w:t>
      </w:r>
    </w:p>
    <w:p w14:paraId="61492602" w14:textId="77777777" w:rsidR="00300D48" w:rsidRPr="00915D53" w:rsidRDefault="00300D48" w:rsidP="00300D48">
      <w:pPr>
        <w:rPr>
          <w:rFonts w:ascii="Arial" w:hAnsi="Arial" w:cs="Arial"/>
          <w:sz w:val="22"/>
          <w:szCs w:val="22"/>
        </w:rPr>
      </w:pPr>
    </w:p>
    <w:p w14:paraId="3C0C5712" w14:textId="1EDCAC58" w:rsidR="00A336FB" w:rsidRDefault="00300D48" w:rsidP="00300D48">
      <w:pPr>
        <w:rPr>
          <w:rFonts w:ascii="Arial" w:hAnsi="Arial" w:cs="Arial"/>
          <w:sz w:val="22"/>
          <w:szCs w:val="22"/>
        </w:rPr>
      </w:pPr>
      <w:r w:rsidRPr="00915D53">
        <w:rPr>
          <w:rFonts w:ascii="Arial" w:hAnsi="Arial" w:cs="Arial"/>
          <w:sz w:val="22"/>
          <w:szCs w:val="22"/>
        </w:rPr>
        <w:t>SDG 13 also supports health and wellbeing by promoting policies that create co-benefits. According to WHO, action on climate and health is closely linked, and reducing greenhouse gas emissions can save lives, reduce disease and improve societal wellbeing (European Environment Agency, 2025). For example, cleaner transport systems, better housing, greener urban environments and stronger local adaptation plans can improve both environmental outcomes and population health. Overall, SDG 13 is highly relevant to citizens because it highlights that good health depends on a safe and sustainable environment. Its success will depend on how far governments turn global commitments into practical national and local action.</w:t>
      </w:r>
    </w:p>
    <w:p w14:paraId="40845293" w14:textId="77777777" w:rsidR="00294F75" w:rsidRPr="00915D53" w:rsidRDefault="00294F75" w:rsidP="00300D48">
      <w:pPr>
        <w:rPr>
          <w:rFonts w:ascii="Arial" w:hAnsi="Arial" w:cs="Arial"/>
          <w:sz w:val="22"/>
          <w:szCs w:val="22"/>
        </w:rPr>
      </w:pPr>
    </w:p>
    <w:p w14:paraId="43C6329E" w14:textId="77777777" w:rsidR="001F697B" w:rsidRPr="00915D53" w:rsidRDefault="001F697B" w:rsidP="001F697B">
      <w:pPr>
        <w:rPr>
          <w:rFonts w:ascii="Arial" w:hAnsi="Arial" w:cs="Arial"/>
          <w:b/>
          <w:bCs/>
          <w:sz w:val="30"/>
          <w:szCs w:val="30"/>
        </w:rPr>
      </w:pPr>
      <w:r w:rsidRPr="00915D53">
        <w:rPr>
          <w:rFonts w:ascii="Arial" w:hAnsi="Arial" w:cs="Arial"/>
          <w:b/>
          <w:bCs/>
          <w:sz w:val="30"/>
          <w:szCs w:val="30"/>
        </w:rPr>
        <w:t>National wellbeing initiatives</w:t>
      </w:r>
    </w:p>
    <w:p w14:paraId="2590A8FF" w14:textId="58FC65F0" w:rsidR="001F697B" w:rsidRPr="00915D53" w:rsidRDefault="001F697B" w:rsidP="001F697B">
      <w:pPr>
        <w:rPr>
          <w:rFonts w:ascii="Arial" w:hAnsi="Arial" w:cs="Arial"/>
          <w:sz w:val="22"/>
          <w:szCs w:val="22"/>
        </w:rPr>
      </w:pPr>
      <w:r w:rsidRPr="00915D53">
        <w:rPr>
          <w:rFonts w:ascii="Arial" w:hAnsi="Arial" w:cs="Arial"/>
          <w:sz w:val="22"/>
          <w:szCs w:val="22"/>
        </w:rPr>
        <w:t>Two important national initiatives in England are the integrated care reform programme and the Neighbourhood Health Framework. Both aim to improve health and wellbeing by creating more joined-up, preventive and community-based services. They are also linked to sustainable development because they promote efficiency, equity and long-term population health rather than relying only on hospital-based treatment (NHS England, 2025).</w:t>
      </w:r>
    </w:p>
    <w:p w14:paraId="39B0110F" w14:textId="77777777" w:rsidR="001F697B" w:rsidRPr="00915D53" w:rsidRDefault="001F697B" w:rsidP="001F697B">
      <w:pPr>
        <w:rPr>
          <w:rFonts w:ascii="Arial" w:hAnsi="Arial" w:cs="Arial"/>
          <w:sz w:val="22"/>
          <w:szCs w:val="22"/>
        </w:rPr>
      </w:pPr>
    </w:p>
    <w:p w14:paraId="328B3ECC" w14:textId="6ABE1B1F" w:rsidR="001F697B" w:rsidRPr="00915D53" w:rsidRDefault="001F697B" w:rsidP="001F697B">
      <w:pPr>
        <w:rPr>
          <w:rFonts w:ascii="Arial" w:hAnsi="Arial" w:cs="Arial"/>
          <w:sz w:val="22"/>
          <w:szCs w:val="22"/>
        </w:rPr>
      </w:pPr>
      <w:r w:rsidRPr="00915D53">
        <w:rPr>
          <w:rFonts w:ascii="Arial" w:hAnsi="Arial" w:cs="Arial"/>
          <w:sz w:val="22"/>
          <w:szCs w:val="22"/>
        </w:rPr>
        <w:t xml:space="preserve">The first initiative is the development of Integrated Care Boards (ICBs) and wider integrated care systems. NHS England states that integrated care is intended to improve population health, reduce inequalities, enhance productivity and support social and economic development (NHS England, 2026a). This initiative is effective in principle because it encourages organisations to work together across health, social care and local government rather than operating in isolation. Such coordination can improve continuity of care, reduce duplication and support a stronger focus on prevention. It is also relevant to sustainability </w:t>
      </w:r>
      <w:r w:rsidRPr="00915D53">
        <w:rPr>
          <w:rFonts w:ascii="Arial" w:hAnsi="Arial" w:cs="Arial"/>
          <w:sz w:val="22"/>
          <w:szCs w:val="22"/>
        </w:rPr>
        <w:lastRenderedPageBreak/>
        <w:t>because better planning and reduced fragmentation may use resources more efficiently over time (NHS England, 2022).</w:t>
      </w:r>
    </w:p>
    <w:p w14:paraId="3EFE16C5" w14:textId="77777777" w:rsidR="001F697B" w:rsidRPr="00915D53" w:rsidRDefault="001F697B" w:rsidP="001F697B">
      <w:pPr>
        <w:rPr>
          <w:rFonts w:ascii="Arial" w:hAnsi="Arial" w:cs="Arial"/>
          <w:sz w:val="22"/>
          <w:szCs w:val="22"/>
        </w:rPr>
      </w:pPr>
    </w:p>
    <w:p w14:paraId="34BC5637" w14:textId="63A19DD4" w:rsidR="001F697B" w:rsidRPr="00915D53" w:rsidRDefault="001F697B" w:rsidP="001F697B">
      <w:pPr>
        <w:rPr>
          <w:rFonts w:ascii="Arial" w:hAnsi="Arial" w:cs="Arial"/>
          <w:sz w:val="22"/>
          <w:szCs w:val="22"/>
        </w:rPr>
      </w:pPr>
      <w:r w:rsidRPr="00915D53">
        <w:rPr>
          <w:rFonts w:ascii="Arial" w:hAnsi="Arial" w:cs="Arial"/>
          <w:sz w:val="22"/>
          <w:szCs w:val="22"/>
        </w:rPr>
        <w:t>The second initiative is the Neighbourhood Health Framework, published by the Department of Health and Social Care and NHS England in 2026. This framework aims to reorganise care around local communities by shifting services from hospital to community, from treatment to prevention, and from analogue to digital systems</w:t>
      </w:r>
      <w:r w:rsidR="004D2E81" w:rsidRPr="00915D53">
        <w:rPr>
          <w:rFonts w:ascii="Arial" w:hAnsi="Arial" w:cs="Arial"/>
          <w:sz w:val="22"/>
          <w:szCs w:val="22"/>
        </w:rPr>
        <w:t xml:space="preserve">. </w:t>
      </w:r>
      <w:r w:rsidRPr="00915D53">
        <w:rPr>
          <w:rFonts w:ascii="Arial" w:hAnsi="Arial" w:cs="Arial"/>
          <w:sz w:val="22"/>
          <w:szCs w:val="22"/>
        </w:rPr>
        <w:t>Its strengths include a stronger focus on early intervention, multidisciplinary working and local accessibility. The commitment to build or upgrade 250 Neighbourhood Health Centres also suggests a long-term attempt to strengthen community infrastructure (ADPH London, 2026).</w:t>
      </w:r>
    </w:p>
    <w:p w14:paraId="38443CDF" w14:textId="77777777" w:rsidR="001F697B" w:rsidRPr="00915D53" w:rsidRDefault="001F697B" w:rsidP="001F697B">
      <w:pPr>
        <w:rPr>
          <w:rFonts w:ascii="Arial" w:hAnsi="Arial" w:cs="Arial"/>
          <w:sz w:val="22"/>
          <w:szCs w:val="22"/>
        </w:rPr>
      </w:pPr>
    </w:p>
    <w:p w14:paraId="0C916B10" w14:textId="2CDFF607" w:rsidR="001F697B" w:rsidRPr="00915D53" w:rsidRDefault="001F697B" w:rsidP="001F697B">
      <w:pPr>
        <w:rPr>
          <w:rFonts w:ascii="Arial" w:hAnsi="Arial" w:cs="Arial"/>
          <w:sz w:val="22"/>
          <w:szCs w:val="22"/>
        </w:rPr>
      </w:pPr>
      <w:r w:rsidRPr="00915D53">
        <w:rPr>
          <w:rFonts w:ascii="Arial" w:hAnsi="Arial" w:cs="Arial"/>
          <w:sz w:val="22"/>
          <w:szCs w:val="22"/>
        </w:rPr>
        <w:t>Despite these strengths, the framework remains dependent on successful local delivery. Ambitious policy goals may not be achieved if funding, staffing and local coordination are insufficient. There is also a risk that digital change may widen inequalities for groups with limited digital access. To improve the framework, government should provide stable funding, stronger workforce development and regular public reporting on health, access and inequality outcomes. Overall, both initiatives offer strong potential, but their long-term success depends on effective implementation and sustained national support.</w:t>
      </w:r>
    </w:p>
    <w:p w14:paraId="50844E26" w14:textId="77777777" w:rsidR="005E0F5A" w:rsidRPr="00915D53" w:rsidRDefault="005E0F5A" w:rsidP="001F697B">
      <w:pPr>
        <w:rPr>
          <w:rFonts w:ascii="Arial" w:hAnsi="Arial" w:cs="Arial"/>
          <w:sz w:val="22"/>
          <w:szCs w:val="22"/>
        </w:rPr>
      </w:pPr>
    </w:p>
    <w:p w14:paraId="2584837F" w14:textId="77777777" w:rsidR="00AE1885" w:rsidRPr="00915D53" w:rsidRDefault="00AE1885" w:rsidP="00AE1885">
      <w:pPr>
        <w:rPr>
          <w:rFonts w:ascii="Arial" w:hAnsi="Arial" w:cs="Arial"/>
          <w:b/>
          <w:bCs/>
          <w:sz w:val="30"/>
          <w:szCs w:val="30"/>
        </w:rPr>
      </w:pPr>
      <w:r w:rsidRPr="00915D53">
        <w:rPr>
          <w:rFonts w:ascii="Arial" w:hAnsi="Arial" w:cs="Arial"/>
          <w:b/>
          <w:bCs/>
          <w:sz w:val="30"/>
          <w:szCs w:val="30"/>
        </w:rPr>
        <w:t>Local wellbeing initiatives</w:t>
      </w:r>
    </w:p>
    <w:p w14:paraId="67B55FA6" w14:textId="6F05343F" w:rsidR="00AE1885" w:rsidRPr="00915D53" w:rsidRDefault="00AE1885" w:rsidP="00AE1885">
      <w:pPr>
        <w:rPr>
          <w:rFonts w:ascii="Arial" w:hAnsi="Arial" w:cs="Arial"/>
          <w:sz w:val="22"/>
          <w:szCs w:val="22"/>
        </w:rPr>
      </w:pPr>
      <w:r w:rsidRPr="00915D53">
        <w:rPr>
          <w:rFonts w:ascii="Arial" w:hAnsi="Arial" w:cs="Arial"/>
          <w:sz w:val="22"/>
          <w:szCs w:val="22"/>
        </w:rPr>
        <w:t>Two useful examples of local health, wellbeing and sustainable development initiatives are the Royal Borough of Windsor and Maidenhead Joint Health and Wellbeing Strategy 2026–2036 and the Norfolk and Suffolk Integrated Care Board Population Health and Commissioning Strategy 2026/27–2030/31. Both initiatives aim to improve local wellbeing through prevention, partnership working and a stronger focus on the wider determinants of health. They are also linked to sustainable development because they promote long-term planning, reduced inequalities and healthier local environments rather than short-term responses alone (Royal Borough of Windsor and Maidenhead, 2026).</w:t>
      </w:r>
    </w:p>
    <w:p w14:paraId="34234C35" w14:textId="77777777" w:rsidR="00AE1885" w:rsidRPr="00915D53" w:rsidRDefault="00AE1885" w:rsidP="00AE1885">
      <w:pPr>
        <w:rPr>
          <w:rFonts w:ascii="Arial" w:hAnsi="Arial" w:cs="Arial"/>
          <w:sz w:val="22"/>
          <w:szCs w:val="22"/>
        </w:rPr>
      </w:pPr>
    </w:p>
    <w:p w14:paraId="492F4C1E" w14:textId="2DBFE4BA" w:rsidR="00AE1885" w:rsidRPr="00915D53" w:rsidRDefault="00AE1885" w:rsidP="00AE1885">
      <w:pPr>
        <w:rPr>
          <w:rFonts w:ascii="Arial" w:hAnsi="Arial" w:cs="Arial"/>
          <w:sz w:val="22"/>
          <w:szCs w:val="22"/>
        </w:rPr>
      </w:pPr>
      <w:r w:rsidRPr="00915D53">
        <w:rPr>
          <w:rFonts w:ascii="Arial" w:hAnsi="Arial" w:cs="Arial"/>
          <w:sz w:val="22"/>
          <w:szCs w:val="22"/>
        </w:rPr>
        <w:t>The Royal Borough of Windsor and Maidenhead Joint Health and Wellbeing Strategy is a local initiative designed to improve health outcomes across the life course. It focuses on four main priority areas: best start in life, living well, healthy ageing and healthy places. This gives the strategy a broad and holistic approach, as it addresses children’s health, adult prevention, support for older people and the quality of local environments. Its effectiveness lies in its emphasis on prevention, reducing inequalities and encouraging collaboration between the council, NHS partners and community organisations (Royal Borough of Windsor and Maidenhead, 2026). To improve it, local partners should publish regular progress reports, set clearer outcome measures and ensure that the most disadvantaged neighbourhoods receive targeted support.</w:t>
      </w:r>
    </w:p>
    <w:p w14:paraId="368803F3" w14:textId="77777777" w:rsidR="00AE1885" w:rsidRPr="00915D53" w:rsidRDefault="00AE1885" w:rsidP="00AE1885">
      <w:pPr>
        <w:rPr>
          <w:rFonts w:ascii="Arial" w:hAnsi="Arial" w:cs="Arial"/>
          <w:sz w:val="22"/>
          <w:szCs w:val="22"/>
        </w:rPr>
      </w:pPr>
    </w:p>
    <w:p w14:paraId="1B0C4E15" w14:textId="75739568" w:rsidR="00AE1885" w:rsidRPr="00915D53" w:rsidRDefault="00AE1885" w:rsidP="00AE1885">
      <w:pPr>
        <w:rPr>
          <w:rFonts w:ascii="Arial" w:hAnsi="Arial" w:cs="Arial"/>
          <w:sz w:val="22"/>
          <w:szCs w:val="22"/>
        </w:rPr>
      </w:pPr>
      <w:r w:rsidRPr="00915D53">
        <w:rPr>
          <w:rFonts w:ascii="Arial" w:hAnsi="Arial" w:cs="Arial"/>
          <w:sz w:val="22"/>
          <w:szCs w:val="22"/>
        </w:rPr>
        <w:lastRenderedPageBreak/>
        <w:t>The Norfolk and Suffolk Integrated Care Board Population Health and Commissioning Strategy is another strong local initiative. It aims to help people live longer, healthier and happier lives by improving access to services, reducing unfair differences in health and shifting care towards prevention and community-based support</w:t>
      </w:r>
      <w:r w:rsidR="00E80677" w:rsidRPr="00915D53">
        <w:rPr>
          <w:rFonts w:ascii="Arial" w:hAnsi="Arial" w:cs="Arial"/>
          <w:sz w:val="22"/>
          <w:szCs w:val="22"/>
        </w:rPr>
        <w:t xml:space="preserve">. </w:t>
      </w:r>
      <w:r w:rsidRPr="00915D53">
        <w:rPr>
          <w:rFonts w:ascii="Arial" w:hAnsi="Arial" w:cs="Arial"/>
          <w:sz w:val="22"/>
          <w:szCs w:val="22"/>
        </w:rPr>
        <w:t>Its strengths include a clear focus on care closer to home, digital tools, partnership working and long-term planning. These elements are important because they can improve efficiency, increase accessibility and create a more sustainable model of care. The strategy also recognises that health is influenced by more than healthcare alone, which is a major strength from a public health perspective (Norfolk and Suffolk Integrated Care Board, 2026).</w:t>
      </w:r>
    </w:p>
    <w:p w14:paraId="421C3613" w14:textId="77777777" w:rsidR="00AE1885" w:rsidRPr="00915D53" w:rsidRDefault="00AE1885" w:rsidP="00AE1885">
      <w:pPr>
        <w:rPr>
          <w:rFonts w:ascii="Arial" w:hAnsi="Arial" w:cs="Arial"/>
          <w:sz w:val="22"/>
          <w:szCs w:val="22"/>
        </w:rPr>
      </w:pPr>
    </w:p>
    <w:p w14:paraId="4F534474" w14:textId="77777777" w:rsidR="00AE1885" w:rsidRPr="00915D53" w:rsidRDefault="00AE1885" w:rsidP="00AE1885">
      <w:pPr>
        <w:rPr>
          <w:rFonts w:ascii="Arial" w:hAnsi="Arial" w:cs="Arial"/>
          <w:sz w:val="22"/>
          <w:szCs w:val="22"/>
        </w:rPr>
      </w:pPr>
      <w:r w:rsidRPr="00915D53">
        <w:rPr>
          <w:rFonts w:ascii="Arial" w:hAnsi="Arial" w:cs="Arial"/>
          <w:sz w:val="22"/>
          <w:szCs w:val="22"/>
        </w:rPr>
        <w:t>Despite this, the strategy may face implementation challenges such as workforce shortages, service pressures and digital inequality. Long-term plans can also lose impact if progress is not monitored carefully. To improve this initiative, the ICB should strengthen evaluation, involve local communities more directly and ensure that digital development does not exclude vulnerable groups. Overall, both local initiatives show strong potential, but their success depends on sustained funding, effective monitoring and continued community engagement.</w:t>
      </w:r>
    </w:p>
    <w:p w14:paraId="0B5AFBA3" w14:textId="77777777" w:rsidR="00BC1F57" w:rsidRPr="00915D53" w:rsidRDefault="00BC1F57" w:rsidP="00AE1885">
      <w:pPr>
        <w:rPr>
          <w:rFonts w:ascii="Arial" w:hAnsi="Arial" w:cs="Arial"/>
          <w:sz w:val="22"/>
          <w:szCs w:val="22"/>
        </w:rPr>
      </w:pPr>
    </w:p>
    <w:p w14:paraId="58246850" w14:textId="77777777" w:rsidR="00BC1F57" w:rsidRPr="00915D53" w:rsidRDefault="00BC1F57" w:rsidP="00AE1885">
      <w:pPr>
        <w:rPr>
          <w:rFonts w:ascii="Arial" w:hAnsi="Arial" w:cs="Arial"/>
          <w:sz w:val="22"/>
          <w:szCs w:val="22"/>
        </w:rPr>
      </w:pPr>
    </w:p>
    <w:p w14:paraId="1AE4B6CF" w14:textId="77777777" w:rsidR="00DD4F47" w:rsidRPr="00915D53" w:rsidRDefault="00DD4F47" w:rsidP="00DD4F47">
      <w:pPr>
        <w:rPr>
          <w:rFonts w:ascii="Arial" w:hAnsi="Arial" w:cs="Arial"/>
          <w:b/>
          <w:bCs/>
          <w:sz w:val="30"/>
          <w:szCs w:val="30"/>
        </w:rPr>
      </w:pPr>
      <w:r w:rsidRPr="00915D53">
        <w:rPr>
          <w:rFonts w:ascii="Arial" w:hAnsi="Arial" w:cs="Arial"/>
          <w:b/>
          <w:bCs/>
          <w:sz w:val="30"/>
          <w:szCs w:val="30"/>
        </w:rPr>
        <w:t>Conclusion</w:t>
      </w:r>
    </w:p>
    <w:p w14:paraId="7A2ACBCB" w14:textId="6C74671F" w:rsidR="00DD4F47" w:rsidRPr="00915D53" w:rsidRDefault="00DD4F47" w:rsidP="00F50903">
      <w:pPr>
        <w:rPr>
          <w:rFonts w:ascii="Arial" w:hAnsi="Arial" w:cs="Arial"/>
          <w:sz w:val="22"/>
          <w:szCs w:val="22"/>
        </w:rPr>
      </w:pPr>
      <w:r w:rsidRPr="00915D53">
        <w:rPr>
          <w:rFonts w:ascii="Arial" w:hAnsi="Arial" w:cs="Arial"/>
          <w:sz w:val="22"/>
          <w:szCs w:val="22"/>
        </w:rPr>
        <w:t>In conclusion, this report has shown that health, wellbeing and sustainability are closely interconnected at global, national and local levels. SDG 3 highlights the importance of universal health, prevention and equitable access to care, while SDG 13 shows that climate action is essential for protecting the conditions needed for healthy lives (United Nations, 2025). The national and local initiatives examined demonstrate progress towards integrated and community-based care, but their effectiveness is limited by unequal access, funding pressures and implementation challenges (NHS England, 2026). Stronger collaboration, sustained investment and clearer evaluation are needed to improve long-term outcome</w:t>
      </w:r>
      <w:r w:rsidR="006B5256" w:rsidRPr="00915D53">
        <w:rPr>
          <w:rFonts w:ascii="Arial" w:hAnsi="Arial" w:cs="Arial"/>
          <w:sz w:val="22"/>
          <w:szCs w:val="22"/>
        </w:rPr>
        <w:t>.</w:t>
      </w:r>
    </w:p>
    <w:p w14:paraId="09CEA660" w14:textId="77777777" w:rsidR="00A336FB" w:rsidRDefault="00A336FB" w:rsidP="00F50903"/>
    <w:p w14:paraId="16CA24F5" w14:textId="77777777" w:rsidR="00A336FB" w:rsidRDefault="00A336FB" w:rsidP="00F50903"/>
    <w:p w14:paraId="6DB8F1F1" w14:textId="77777777" w:rsidR="00BC1F57" w:rsidRDefault="00BC1F57" w:rsidP="00F50903"/>
    <w:p w14:paraId="42B41F6A" w14:textId="77777777" w:rsidR="00BC1F57" w:rsidRDefault="00BC1F57" w:rsidP="00F50903"/>
    <w:p w14:paraId="35F531A8" w14:textId="77777777" w:rsidR="00BC1F57" w:rsidRDefault="00BC1F57" w:rsidP="00F50903"/>
    <w:p w14:paraId="0E312816" w14:textId="77777777" w:rsidR="00BC1F57" w:rsidRDefault="00BC1F57" w:rsidP="00F50903"/>
    <w:p w14:paraId="4FE23D4D" w14:textId="77777777" w:rsidR="00A336FB" w:rsidRDefault="00A336FB" w:rsidP="00F50903"/>
    <w:p w14:paraId="05D62AAE" w14:textId="77777777" w:rsidR="00260671" w:rsidRDefault="00260671" w:rsidP="00F50903"/>
    <w:p w14:paraId="43B2C3A0" w14:textId="77777777" w:rsidR="00260671" w:rsidRDefault="00260671" w:rsidP="00F50903"/>
    <w:p w14:paraId="0BA42983" w14:textId="77777777" w:rsidR="00260671" w:rsidRDefault="00260671" w:rsidP="00F50903"/>
    <w:p w14:paraId="2FBDAE0A" w14:textId="77777777" w:rsidR="00260671" w:rsidRDefault="00260671" w:rsidP="00F50903"/>
    <w:p w14:paraId="64F808C5" w14:textId="77777777" w:rsidR="00260671" w:rsidRDefault="00260671" w:rsidP="00F50903"/>
    <w:p w14:paraId="2240DB6F" w14:textId="77777777" w:rsidR="00260671" w:rsidRDefault="00260671" w:rsidP="00F50903"/>
    <w:p w14:paraId="0008A4BA" w14:textId="77777777" w:rsidR="00260671" w:rsidRDefault="00260671" w:rsidP="00F50903"/>
    <w:p w14:paraId="4429F5A2" w14:textId="77777777" w:rsidR="00260671" w:rsidRDefault="00260671" w:rsidP="00F50903"/>
    <w:p w14:paraId="458985B6" w14:textId="77777777" w:rsidR="00260671" w:rsidRDefault="00260671" w:rsidP="00F50903"/>
    <w:p w14:paraId="4A5523FC" w14:textId="77777777" w:rsidR="00260671" w:rsidRDefault="00260671" w:rsidP="00F50903"/>
    <w:p w14:paraId="5356F8D4" w14:textId="77777777" w:rsidR="00260671" w:rsidRDefault="00260671" w:rsidP="00F50903"/>
    <w:p w14:paraId="45E744DA" w14:textId="77777777" w:rsidR="00260671" w:rsidRDefault="00260671" w:rsidP="00F50903"/>
    <w:p w14:paraId="720C4447" w14:textId="77777777" w:rsidR="00C70C40" w:rsidRDefault="00C70C40" w:rsidP="00F50903"/>
    <w:p w14:paraId="38AAC245" w14:textId="77777777" w:rsidR="00726A5E" w:rsidRDefault="00726A5E" w:rsidP="00F50903"/>
    <w:p w14:paraId="5716BA32" w14:textId="248B4315" w:rsidR="00A336FB" w:rsidRDefault="00A336FB" w:rsidP="00F50903">
      <w:pPr>
        <w:rPr>
          <w:b/>
          <w:bCs/>
          <w:u w:val="single"/>
        </w:rPr>
      </w:pPr>
      <w:r w:rsidRPr="00726A5E">
        <w:rPr>
          <w:b/>
          <w:bCs/>
          <w:u w:val="single"/>
        </w:rPr>
        <w:t>R</w:t>
      </w:r>
      <w:r w:rsidR="002F7BAF" w:rsidRPr="00726A5E">
        <w:rPr>
          <w:b/>
          <w:bCs/>
          <w:u w:val="single"/>
        </w:rPr>
        <w:t>EFERENCES LIST</w:t>
      </w:r>
    </w:p>
    <w:p w14:paraId="7F3C68C5" w14:textId="77777777" w:rsidR="00F4027C" w:rsidRPr="0074572B" w:rsidRDefault="00F4027C" w:rsidP="00F50903">
      <w:pPr>
        <w:rPr>
          <w:rFonts w:ascii="Arial" w:hAnsi="Arial" w:cs="Arial"/>
          <w:b/>
          <w:bCs/>
          <w:sz w:val="22"/>
          <w:szCs w:val="22"/>
          <w:u w:val="single"/>
        </w:rPr>
      </w:pPr>
    </w:p>
    <w:p w14:paraId="6EF94BA1" w14:textId="11F5734D" w:rsidR="00F4027C" w:rsidRPr="00544BEF" w:rsidRDefault="00F4027C" w:rsidP="00F4027C">
      <w:pPr>
        <w:pStyle w:val="my-2"/>
        <w:rPr>
          <w:rFonts w:ascii="Arial" w:hAnsi="Arial" w:cs="Arial"/>
          <w:sz w:val="22"/>
          <w:szCs w:val="22"/>
        </w:rPr>
      </w:pPr>
      <w:r w:rsidRPr="00544BEF">
        <w:rPr>
          <w:rFonts w:ascii="Arial" w:hAnsi="Arial" w:cs="Arial"/>
          <w:sz w:val="22"/>
          <w:szCs w:val="22"/>
        </w:rPr>
        <w:t xml:space="preserve">ADPH London (2026) </w:t>
      </w:r>
      <w:r w:rsidRPr="00544BEF">
        <w:rPr>
          <w:rStyle w:val="Emphasis"/>
          <w:rFonts w:ascii="Arial" w:eastAsiaTheme="majorEastAsia" w:hAnsi="Arial" w:cs="Arial"/>
          <w:sz w:val="22"/>
          <w:szCs w:val="22"/>
        </w:rPr>
        <w:t>Neighbourhood health framework published</w:t>
      </w:r>
      <w:r w:rsidRPr="00544BEF">
        <w:rPr>
          <w:rFonts w:ascii="Arial" w:hAnsi="Arial" w:cs="Arial"/>
          <w:sz w:val="22"/>
          <w:szCs w:val="22"/>
        </w:rPr>
        <w:t xml:space="preserve">. Available at: </w:t>
      </w:r>
      <w:hyperlink r:id="rId6" w:tgtFrame="_blank" w:history="1">
        <w:r w:rsidRPr="00544BEF">
          <w:rPr>
            <w:rStyle w:val="text-box-trim-both"/>
            <w:rFonts w:ascii="Arial" w:eastAsiaTheme="majorEastAsia" w:hAnsi="Arial" w:cs="Arial"/>
            <w:color w:val="0000FF"/>
            <w:sz w:val="22"/>
            <w:szCs w:val="22"/>
            <w:u w:val="single"/>
          </w:rPr>
          <w:t>https://www.adph.org.uk/networks/london/2026/03/19/neighbourhood-health-framework-published/</w:t>
        </w:r>
      </w:hyperlink>
      <w:r w:rsidRPr="00544BEF">
        <w:rPr>
          <w:rFonts w:ascii="Arial" w:hAnsi="Arial" w:cs="Arial"/>
          <w:sz w:val="22"/>
          <w:szCs w:val="22"/>
        </w:rPr>
        <w:t xml:space="preserve"> (Accessed: 16 July 2026)</w:t>
      </w:r>
      <w:r w:rsidR="0014260B" w:rsidRPr="00544BEF">
        <w:rPr>
          <w:rFonts w:ascii="Arial" w:hAnsi="Arial" w:cs="Arial"/>
          <w:sz w:val="22"/>
          <w:szCs w:val="22"/>
        </w:rPr>
        <w:t xml:space="preserve">. </w:t>
      </w:r>
    </w:p>
    <w:p w14:paraId="36B4A4D3" w14:textId="4CFCBD03" w:rsidR="00F4027C" w:rsidRPr="00544BEF" w:rsidRDefault="00F4027C" w:rsidP="00F4027C">
      <w:pPr>
        <w:pStyle w:val="my-2"/>
        <w:rPr>
          <w:rFonts w:ascii="Arial" w:hAnsi="Arial" w:cs="Arial"/>
          <w:sz w:val="22"/>
          <w:szCs w:val="22"/>
        </w:rPr>
      </w:pPr>
      <w:r w:rsidRPr="00544BEF">
        <w:rPr>
          <w:rFonts w:ascii="Arial" w:hAnsi="Arial" w:cs="Arial"/>
          <w:sz w:val="22"/>
          <w:szCs w:val="22"/>
        </w:rPr>
        <w:t xml:space="preserve">European Environment Agency (2025) </w:t>
      </w:r>
      <w:r w:rsidRPr="00544BEF">
        <w:rPr>
          <w:rStyle w:val="Emphasis"/>
          <w:rFonts w:ascii="Arial" w:eastAsiaTheme="majorEastAsia" w:hAnsi="Arial" w:cs="Arial"/>
          <w:sz w:val="22"/>
          <w:szCs w:val="22"/>
        </w:rPr>
        <w:t>SDG 13: Health and climate action</w:t>
      </w:r>
      <w:r w:rsidRPr="00544BEF">
        <w:rPr>
          <w:rFonts w:ascii="Arial" w:hAnsi="Arial" w:cs="Arial"/>
          <w:sz w:val="22"/>
          <w:szCs w:val="22"/>
        </w:rPr>
        <w:t xml:space="preserve">. Available at: </w:t>
      </w:r>
      <w:hyperlink r:id="rId7" w:tgtFrame="_blank" w:history="1">
        <w:r w:rsidRPr="00544BEF">
          <w:rPr>
            <w:rStyle w:val="text-box-trim-both"/>
            <w:rFonts w:ascii="Arial" w:eastAsiaTheme="majorEastAsia" w:hAnsi="Arial" w:cs="Arial"/>
            <w:color w:val="0000FF"/>
            <w:sz w:val="22"/>
            <w:szCs w:val="22"/>
            <w:u w:val="single"/>
          </w:rPr>
          <w:t>https://climate-adapt.eea.europa.eu/en/metadata/publications/sdg-13-health-and-climate-action</w:t>
        </w:r>
      </w:hyperlink>
      <w:r w:rsidRPr="00544BEF">
        <w:rPr>
          <w:rFonts w:ascii="Arial" w:hAnsi="Arial" w:cs="Arial"/>
          <w:sz w:val="22"/>
          <w:szCs w:val="22"/>
        </w:rPr>
        <w:t xml:space="preserve"> (Accessed: 1</w:t>
      </w:r>
      <w:r w:rsidR="00891FBE" w:rsidRPr="00544BEF">
        <w:rPr>
          <w:rFonts w:ascii="Arial" w:hAnsi="Arial" w:cs="Arial"/>
          <w:sz w:val="22"/>
          <w:szCs w:val="22"/>
        </w:rPr>
        <w:t>4</w:t>
      </w:r>
      <w:r w:rsidRPr="00544BEF">
        <w:rPr>
          <w:rFonts w:ascii="Arial" w:hAnsi="Arial" w:cs="Arial"/>
          <w:sz w:val="22"/>
          <w:szCs w:val="22"/>
        </w:rPr>
        <w:t xml:space="preserve"> July 2026)</w:t>
      </w:r>
      <w:r w:rsidR="0014260B" w:rsidRPr="00544BEF">
        <w:rPr>
          <w:rFonts w:ascii="Arial" w:hAnsi="Arial" w:cs="Arial"/>
          <w:sz w:val="22"/>
          <w:szCs w:val="22"/>
        </w:rPr>
        <w:t xml:space="preserve">. </w:t>
      </w:r>
    </w:p>
    <w:p w14:paraId="4776ABAB" w14:textId="76FA8051" w:rsidR="001F1CA5" w:rsidRPr="00544BEF" w:rsidRDefault="00CE1555" w:rsidP="001F1CA5">
      <w:pPr>
        <w:pStyle w:val="my-2"/>
        <w:rPr>
          <w:rFonts w:ascii="Arial" w:hAnsi="Arial" w:cs="Arial"/>
          <w:sz w:val="22"/>
          <w:szCs w:val="22"/>
        </w:rPr>
      </w:pPr>
      <w:r w:rsidRPr="00544BEF">
        <w:rPr>
          <w:rFonts w:ascii="Arial" w:hAnsi="Arial" w:cs="Arial"/>
          <w:sz w:val="22"/>
          <w:szCs w:val="22"/>
        </w:rPr>
        <w:t xml:space="preserve">Norfolk and Suffolk Integrated Care Board (2026) </w:t>
      </w:r>
      <w:r w:rsidRPr="00544BEF">
        <w:rPr>
          <w:rStyle w:val="Emphasis"/>
          <w:rFonts w:ascii="Arial" w:eastAsiaTheme="majorEastAsia" w:hAnsi="Arial" w:cs="Arial"/>
          <w:sz w:val="22"/>
          <w:szCs w:val="22"/>
        </w:rPr>
        <w:t>Population Health and Commissioning Strategy</w:t>
      </w:r>
      <w:r w:rsidRPr="00544BEF">
        <w:rPr>
          <w:rFonts w:ascii="Arial" w:hAnsi="Arial" w:cs="Arial"/>
          <w:sz w:val="22"/>
          <w:szCs w:val="22"/>
        </w:rPr>
        <w:t xml:space="preserve">. Available at: </w:t>
      </w:r>
      <w:hyperlink r:id="rId8" w:tgtFrame="_blank" w:history="1">
        <w:r w:rsidRPr="00544BEF">
          <w:rPr>
            <w:rStyle w:val="text-box-trim-both"/>
            <w:rFonts w:ascii="Arial" w:eastAsiaTheme="majorEastAsia" w:hAnsi="Arial" w:cs="Arial"/>
            <w:color w:val="0000FF"/>
            <w:sz w:val="22"/>
            <w:szCs w:val="22"/>
            <w:u w:val="single"/>
          </w:rPr>
          <w:t>https://www.norfolkandsuffolk.icb.nhs.uk/about/governance/population-health-and-commissioning-strategy/</w:t>
        </w:r>
      </w:hyperlink>
      <w:r w:rsidRPr="00544BEF">
        <w:rPr>
          <w:rFonts w:ascii="Arial" w:hAnsi="Arial" w:cs="Arial"/>
          <w:sz w:val="22"/>
          <w:szCs w:val="22"/>
        </w:rPr>
        <w:t xml:space="preserve"> (Accessed: 1</w:t>
      </w:r>
      <w:r w:rsidR="00891FBE" w:rsidRPr="00544BEF">
        <w:rPr>
          <w:rFonts w:ascii="Arial" w:hAnsi="Arial" w:cs="Arial"/>
          <w:sz w:val="22"/>
          <w:szCs w:val="22"/>
        </w:rPr>
        <w:t>4</w:t>
      </w:r>
      <w:r w:rsidRPr="00544BEF">
        <w:rPr>
          <w:rFonts w:ascii="Arial" w:hAnsi="Arial" w:cs="Arial"/>
          <w:sz w:val="22"/>
          <w:szCs w:val="22"/>
        </w:rPr>
        <w:t xml:space="preserve"> July 2026)</w:t>
      </w:r>
    </w:p>
    <w:p w14:paraId="2EA49F68" w14:textId="08AFF45C" w:rsidR="001F1CA5" w:rsidRPr="00544BEF" w:rsidRDefault="001F1CA5" w:rsidP="001F1CA5">
      <w:pPr>
        <w:pStyle w:val="my-2"/>
        <w:rPr>
          <w:rFonts w:ascii="Arial" w:hAnsi="Arial" w:cs="Arial"/>
          <w:sz w:val="22"/>
          <w:szCs w:val="22"/>
        </w:rPr>
      </w:pPr>
      <w:r w:rsidRPr="00544BEF">
        <w:rPr>
          <w:rFonts w:ascii="Arial" w:hAnsi="Arial" w:cs="Arial"/>
          <w:sz w:val="22"/>
          <w:szCs w:val="22"/>
        </w:rPr>
        <w:t xml:space="preserve">Royal Borough of Windsor and Maidenhead (2026a) </w:t>
      </w:r>
      <w:r w:rsidRPr="00544BEF">
        <w:rPr>
          <w:rStyle w:val="Emphasis"/>
          <w:rFonts w:ascii="Arial" w:eastAsiaTheme="majorEastAsia" w:hAnsi="Arial" w:cs="Arial"/>
          <w:sz w:val="22"/>
          <w:szCs w:val="22"/>
        </w:rPr>
        <w:t>Joint Health and Wellbeing Strategy 2026–2036</w:t>
      </w:r>
      <w:r w:rsidRPr="00544BEF">
        <w:rPr>
          <w:rFonts w:ascii="Arial" w:hAnsi="Arial" w:cs="Arial"/>
          <w:sz w:val="22"/>
          <w:szCs w:val="22"/>
        </w:rPr>
        <w:t xml:space="preserve">. Available at: </w:t>
      </w:r>
      <w:hyperlink r:id="rId9" w:tgtFrame="_blank" w:history="1">
        <w:r w:rsidRPr="00544BEF">
          <w:rPr>
            <w:rStyle w:val="text-box-trim-both"/>
            <w:rFonts w:ascii="Arial" w:eastAsiaTheme="majorEastAsia" w:hAnsi="Arial" w:cs="Arial"/>
            <w:color w:val="0000FF"/>
            <w:sz w:val="22"/>
            <w:szCs w:val="22"/>
            <w:u w:val="single"/>
          </w:rPr>
          <w:t>https://www.rbwm.gov.uk/sites/default/files/2026-01/ph_joint_health_wellbeing_strategy_2026-2036_0.pdf</w:t>
        </w:r>
      </w:hyperlink>
      <w:r w:rsidRPr="00544BEF">
        <w:rPr>
          <w:rFonts w:ascii="Arial" w:hAnsi="Arial" w:cs="Arial"/>
          <w:sz w:val="22"/>
          <w:szCs w:val="22"/>
        </w:rPr>
        <w:t xml:space="preserve"> (Accessed: 1</w:t>
      </w:r>
      <w:r w:rsidR="00891FBE" w:rsidRPr="00544BEF">
        <w:rPr>
          <w:rFonts w:ascii="Arial" w:hAnsi="Arial" w:cs="Arial"/>
          <w:sz w:val="22"/>
          <w:szCs w:val="22"/>
        </w:rPr>
        <w:t>4</w:t>
      </w:r>
      <w:r w:rsidRPr="00544BEF">
        <w:rPr>
          <w:rFonts w:ascii="Arial" w:hAnsi="Arial" w:cs="Arial"/>
          <w:sz w:val="22"/>
          <w:szCs w:val="22"/>
        </w:rPr>
        <w:t xml:space="preserve"> July 2026). </w:t>
      </w:r>
    </w:p>
    <w:p w14:paraId="4BB059ED" w14:textId="69B5B478" w:rsidR="001F1CA5" w:rsidRPr="00544BEF" w:rsidRDefault="001F1CA5" w:rsidP="00737AD4">
      <w:pPr>
        <w:pStyle w:val="my-2"/>
        <w:rPr>
          <w:rFonts w:ascii="Arial" w:hAnsi="Arial" w:cs="Arial"/>
          <w:sz w:val="22"/>
          <w:szCs w:val="22"/>
        </w:rPr>
      </w:pPr>
      <w:r w:rsidRPr="00544BEF">
        <w:rPr>
          <w:rFonts w:ascii="Arial" w:hAnsi="Arial" w:cs="Arial"/>
          <w:sz w:val="22"/>
          <w:szCs w:val="22"/>
        </w:rPr>
        <w:t xml:space="preserve">Royal Borough of Windsor and Maidenhead (2026b) </w:t>
      </w:r>
      <w:r w:rsidRPr="00544BEF">
        <w:rPr>
          <w:rStyle w:val="Emphasis"/>
          <w:rFonts w:ascii="Arial" w:eastAsiaTheme="majorEastAsia" w:hAnsi="Arial" w:cs="Arial"/>
          <w:sz w:val="22"/>
          <w:szCs w:val="22"/>
        </w:rPr>
        <w:t>New strategy to support a healthier Royal Borough gets the green light</w:t>
      </w:r>
      <w:r w:rsidRPr="00544BEF">
        <w:rPr>
          <w:rFonts w:ascii="Arial" w:hAnsi="Arial" w:cs="Arial"/>
          <w:sz w:val="22"/>
          <w:szCs w:val="22"/>
        </w:rPr>
        <w:t xml:space="preserve">. Available at: </w:t>
      </w:r>
      <w:hyperlink r:id="rId10" w:tgtFrame="_blank" w:history="1">
        <w:r w:rsidRPr="00544BEF">
          <w:rPr>
            <w:rStyle w:val="text-box-trim-both"/>
            <w:rFonts w:ascii="Arial" w:eastAsiaTheme="majorEastAsia" w:hAnsi="Arial" w:cs="Arial"/>
            <w:color w:val="0000FF"/>
            <w:sz w:val="22"/>
            <w:szCs w:val="22"/>
            <w:u w:val="single"/>
          </w:rPr>
          <w:t>https://www.rbwm.gov.uk/news/2026/new-strategy-support-healthier-royal-borough-gets-green-light-1</w:t>
        </w:r>
      </w:hyperlink>
      <w:r w:rsidRPr="00544BEF">
        <w:rPr>
          <w:rFonts w:ascii="Arial" w:hAnsi="Arial" w:cs="Arial"/>
          <w:sz w:val="22"/>
          <w:szCs w:val="22"/>
        </w:rPr>
        <w:t xml:space="preserve"> (Accessed: 16 July 2026). </w:t>
      </w:r>
    </w:p>
    <w:p w14:paraId="1BB72CE4" w14:textId="4B7916FD" w:rsidR="00915D39" w:rsidRPr="00544BEF" w:rsidRDefault="00915D39" w:rsidP="00737AD4">
      <w:pPr>
        <w:pStyle w:val="my-2"/>
        <w:rPr>
          <w:rFonts w:ascii="Arial" w:hAnsi="Arial" w:cs="Arial"/>
          <w:sz w:val="22"/>
          <w:szCs w:val="22"/>
        </w:rPr>
      </w:pPr>
      <w:r w:rsidRPr="00544BEF">
        <w:rPr>
          <w:rFonts w:ascii="Arial" w:hAnsi="Arial" w:cs="Arial"/>
          <w:sz w:val="22"/>
          <w:szCs w:val="22"/>
        </w:rPr>
        <w:t xml:space="preserve">UNICEF (2020) </w:t>
      </w:r>
      <w:r w:rsidRPr="00544BEF">
        <w:rPr>
          <w:rStyle w:val="Emphasis"/>
          <w:rFonts w:ascii="Arial" w:eastAsiaTheme="majorEastAsia" w:hAnsi="Arial" w:cs="Arial"/>
          <w:sz w:val="22"/>
          <w:szCs w:val="22"/>
        </w:rPr>
        <w:t>Key Asks 2023 Voluntary National Reviews: SDG 3</w:t>
      </w:r>
      <w:r w:rsidRPr="00544BEF">
        <w:rPr>
          <w:rFonts w:ascii="Arial" w:hAnsi="Arial" w:cs="Arial"/>
          <w:sz w:val="22"/>
          <w:szCs w:val="22"/>
        </w:rPr>
        <w:t xml:space="preserve">. Available at: </w:t>
      </w:r>
      <w:hyperlink r:id="rId11" w:tgtFrame="_blank" w:history="1">
        <w:r w:rsidRPr="00544BEF">
          <w:rPr>
            <w:rStyle w:val="text-box-trim-both"/>
            <w:rFonts w:ascii="Arial" w:eastAsiaTheme="majorEastAsia" w:hAnsi="Arial" w:cs="Arial"/>
            <w:color w:val="0000FF"/>
            <w:sz w:val="22"/>
            <w:szCs w:val="22"/>
            <w:u w:val="single"/>
          </w:rPr>
          <w:t>https://www.unicef.org/documents/sdg-issue-brief-3</w:t>
        </w:r>
      </w:hyperlink>
      <w:r w:rsidRPr="00544BEF">
        <w:rPr>
          <w:rFonts w:ascii="Arial" w:hAnsi="Arial" w:cs="Arial"/>
          <w:sz w:val="22"/>
          <w:szCs w:val="22"/>
        </w:rPr>
        <w:t xml:space="preserve"> (Accessed: 1</w:t>
      </w:r>
      <w:r w:rsidR="00544BEF" w:rsidRPr="00544BEF">
        <w:rPr>
          <w:rFonts w:ascii="Arial" w:hAnsi="Arial" w:cs="Arial"/>
          <w:sz w:val="22"/>
          <w:szCs w:val="22"/>
        </w:rPr>
        <w:t>1</w:t>
      </w:r>
      <w:r w:rsidRPr="00544BEF">
        <w:rPr>
          <w:rFonts w:ascii="Arial" w:hAnsi="Arial" w:cs="Arial"/>
          <w:sz w:val="22"/>
          <w:szCs w:val="22"/>
        </w:rPr>
        <w:t xml:space="preserve"> July 2026).</w:t>
      </w:r>
    </w:p>
    <w:p w14:paraId="03BB5060" w14:textId="57A28236" w:rsidR="00F91486" w:rsidRPr="00544BEF" w:rsidRDefault="00F91486" w:rsidP="00737AD4">
      <w:pPr>
        <w:pStyle w:val="my-2"/>
        <w:rPr>
          <w:rFonts w:ascii="Arial" w:hAnsi="Arial" w:cs="Arial"/>
          <w:sz w:val="22"/>
          <w:szCs w:val="22"/>
        </w:rPr>
      </w:pPr>
      <w:r w:rsidRPr="00544BEF">
        <w:rPr>
          <w:rFonts w:ascii="Arial" w:hAnsi="Arial" w:cs="Arial"/>
          <w:sz w:val="22"/>
          <w:szCs w:val="22"/>
        </w:rPr>
        <w:t xml:space="preserve">UNICEF (2026) </w:t>
      </w:r>
      <w:r w:rsidRPr="00544BEF">
        <w:rPr>
          <w:rStyle w:val="Emphasis"/>
          <w:rFonts w:ascii="Arial" w:eastAsiaTheme="majorEastAsia" w:hAnsi="Arial" w:cs="Arial"/>
          <w:sz w:val="22"/>
          <w:szCs w:val="22"/>
        </w:rPr>
        <w:t>SDG Goal 13: Climate Action</w:t>
      </w:r>
      <w:r w:rsidRPr="00544BEF">
        <w:rPr>
          <w:rFonts w:ascii="Arial" w:hAnsi="Arial" w:cs="Arial"/>
          <w:sz w:val="22"/>
          <w:szCs w:val="22"/>
        </w:rPr>
        <w:t xml:space="preserve">. Available at: </w:t>
      </w:r>
      <w:hyperlink r:id="rId12" w:tgtFrame="_blank" w:history="1">
        <w:r w:rsidRPr="00544BEF">
          <w:rPr>
            <w:rStyle w:val="text-box-trim-both"/>
            <w:rFonts w:ascii="Arial" w:eastAsiaTheme="majorEastAsia" w:hAnsi="Arial" w:cs="Arial"/>
            <w:color w:val="0000FF"/>
            <w:sz w:val="22"/>
            <w:szCs w:val="22"/>
            <w:u w:val="single"/>
          </w:rPr>
          <w:t>https://data.unicef.org/sdgs/goal-13-climate-action/</w:t>
        </w:r>
      </w:hyperlink>
      <w:r w:rsidRPr="00544BEF">
        <w:rPr>
          <w:rFonts w:ascii="Arial" w:hAnsi="Arial" w:cs="Arial"/>
          <w:sz w:val="22"/>
          <w:szCs w:val="22"/>
        </w:rPr>
        <w:t xml:space="preserve"> (Accessed: 1</w:t>
      </w:r>
      <w:r w:rsidR="00544BEF" w:rsidRPr="00544BEF">
        <w:rPr>
          <w:rFonts w:ascii="Arial" w:hAnsi="Arial" w:cs="Arial"/>
          <w:sz w:val="22"/>
          <w:szCs w:val="22"/>
        </w:rPr>
        <w:t xml:space="preserve">2 </w:t>
      </w:r>
      <w:r w:rsidRPr="00544BEF">
        <w:rPr>
          <w:rFonts w:ascii="Arial" w:hAnsi="Arial" w:cs="Arial"/>
          <w:sz w:val="22"/>
          <w:szCs w:val="22"/>
        </w:rPr>
        <w:t>July 2026).</w:t>
      </w:r>
    </w:p>
    <w:p w14:paraId="3CE54167" w14:textId="7D3BB926" w:rsidR="000C22A0" w:rsidRPr="00544BEF" w:rsidRDefault="000C22A0" w:rsidP="00737AD4">
      <w:pPr>
        <w:pStyle w:val="my-2"/>
        <w:rPr>
          <w:rFonts w:ascii="Arial" w:hAnsi="Arial" w:cs="Arial"/>
          <w:sz w:val="22"/>
          <w:szCs w:val="22"/>
        </w:rPr>
      </w:pPr>
      <w:r w:rsidRPr="00544BEF">
        <w:rPr>
          <w:rFonts w:ascii="Arial" w:hAnsi="Arial" w:cs="Arial"/>
          <w:sz w:val="22"/>
          <w:szCs w:val="22"/>
        </w:rPr>
        <w:lastRenderedPageBreak/>
        <w:t xml:space="preserve">UNICEF (2023) </w:t>
      </w:r>
      <w:r w:rsidRPr="00544BEF">
        <w:rPr>
          <w:rStyle w:val="Emphasis"/>
          <w:rFonts w:ascii="Arial" w:eastAsiaTheme="majorEastAsia" w:hAnsi="Arial" w:cs="Arial"/>
          <w:sz w:val="22"/>
          <w:szCs w:val="22"/>
        </w:rPr>
        <w:t>SDG Goal 3: Good Health and Well-being</w:t>
      </w:r>
      <w:r w:rsidRPr="00544BEF">
        <w:rPr>
          <w:rFonts w:ascii="Arial" w:hAnsi="Arial" w:cs="Arial"/>
          <w:sz w:val="22"/>
          <w:szCs w:val="22"/>
        </w:rPr>
        <w:t xml:space="preserve">. Available at: </w:t>
      </w:r>
      <w:hyperlink r:id="rId13" w:tgtFrame="_blank" w:history="1">
        <w:r w:rsidRPr="00544BEF">
          <w:rPr>
            <w:rStyle w:val="text-box-trim-both"/>
            <w:rFonts w:ascii="Arial" w:eastAsiaTheme="majorEastAsia" w:hAnsi="Arial" w:cs="Arial"/>
            <w:color w:val="0000FF"/>
            <w:sz w:val="22"/>
            <w:szCs w:val="22"/>
            <w:u w:val="single"/>
          </w:rPr>
          <w:t>https://data.unicef.org/sdgs/goal-3-good-health-wellbeing/</w:t>
        </w:r>
      </w:hyperlink>
      <w:r w:rsidRPr="00544BEF">
        <w:rPr>
          <w:rFonts w:ascii="Arial" w:hAnsi="Arial" w:cs="Arial"/>
          <w:sz w:val="22"/>
          <w:szCs w:val="22"/>
        </w:rPr>
        <w:t xml:space="preserve"> (Accessed: 1</w:t>
      </w:r>
      <w:r w:rsidR="00544BEF" w:rsidRPr="00544BEF">
        <w:rPr>
          <w:rFonts w:ascii="Arial" w:hAnsi="Arial" w:cs="Arial"/>
          <w:sz w:val="22"/>
          <w:szCs w:val="22"/>
        </w:rPr>
        <w:t>4</w:t>
      </w:r>
      <w:r w:rsidRPr="00544BEF">
        <w:rPr>
          <w:rFonts w:ascii="Arial" w:hAnsi="Arial" w:cs="Arial"/>
          <w:sz w:val="22"/>
          <w:szCs w:val="22"/>
        </w:rPr>
        <w:t xml:space="preserve"> July 2026).</w:t>
      </w:r>
    </w:p>
    <w:p w14:paraId="752E16A5" w14:textId="66F79527" w:rsidR="002F7BAF" w:rsidRPr="00544BEF" w:rsidRDefault="002F7BAF" w:rsidP="002F7BAF">
      <w:pPr>
        <w:pStyle w:val="my-2"/>
        <w:rPr>
          <w:rFonts w:ascii="Arial" w:hAnsi="Arial" w:cs="Arial"/>
          <w:sz w:val="22"/>
          <w:szCs w:val="22"/>
        </w:rPr>
      </w:pPr>
      <w:r w:rsidRPr="00544BEF">
        <w:rPr>
          <w:rFonts w:ascii="Arial" w:hAnsi="Arial" w:cs="Arial"/>
          <w:sz w:val="22"/>
          <w:szCs w:val="22"/>
        </w:rPr>
        <w:t xml:space="preserve">United Nations (2025) </w:t>
      </w:r>
      <w:r w:rsidRPr="00544BEF">
        <w:rPr>
          <w:rStyle w:val="Emphasis"/>
          <w:rFonts w:ascii="Arial" w:eastAsiaTheme="majorEastAsia" w:hAnsi="Arial" w:cs="Arial"/>
          <w:sz w:val="22"/>
          <w:szCs w:val="22"/>
        </w:rPr>
        <w:t>Ensure healthy lives and promote well-being for all at all ages</w:t>
      </w:r>
      <w:r w:rsidRPr="00544BEF">
        <w:rPr>
          <w:rFonts w:ascii="Arial" w:hAnsi="Arial" w:cs="Arial"/>
          <w:sz w:val="22"/>
          <w:szCs w:val="22"/>
        </w:rPr>
        <w:t xml:space="preserve">. Available at: </w:t>
      </w:r>
      <w:hyperlink r:id="rId14" w:tgtFrame="_blank" w:history="1">
        <w:r w:rsidRPr="00544BEF">
          <w:rPr>
            <w:rStyle w:val="text-box-trim-both"/>
            <w:rFonts w:ascii="Arial" w:eastAsiaTheme="majorEastAsia" w:hAnsi="Arial" w:cs="Arial"/>
            <w:color w:val="0000FF"/>
            <w:sz w:val="22"/>
            <w:szCs w:val="22"/>
            <w:u w:val="single"/>
          </w:rPr>
          <w:t>https://sdgs.un.org/goals/goal3</w:t>
        </w:r>
      </w:hyperlink>
      <w:r w:rsidRPr="00544BEF">
        <w:rPr>
          <w:rFonts w:ascii="Arial" w:hAnsi="Arial" w:cs="Arial"/>
          <w:sz w:val="22"/>
          <w:szCs w:val="22"/>
        </w:rPr>
        <w:t xml:space="preserve"> (Accessed: 1</w:t>
      </w:r>
      <w:r w:rsidR="00544BEF" w:rsidRPr="00544BEF">
        <w:rPr>
          <w:rFonts w:ascii="Arial" w:hAnsi="Arial" w:cs="Arial"/>
          <w:sz w:val="22"/>
          <w:szCs w:val="22"/>
        </w:rPr>
        <w:t>1</w:t>
      </w:r>
      <w:r w:rsidRPr="00544BEF">
        <w:rPr>
          <w:rFonts w:ascii="Arial" w:hAnsi="Arial" w:cs="Arial"/>
          <w:sz w:val="22"/>
          <w:szCs w:val="22"/>
        </w:rPr>
        <w:t xml:space="preserve"> July 2026)</w:t>
      </w:r>
      <w:r w:rsidR="00E836EF" w:rsidRPr="00544BEF">
        <w:rPr>
          <w:rFonts w:ascii="Arial" w:hAnsi="Arial" w:cs="Arial"/>
          <w:sz w:val="22"/>
          <w:szCs w:val="22"/>
        </w:rPr>
        <w:t>.</w:t>
      </w:r>
    </w:p>
    <w:p w14:paraId="6394D815" w14:textId="096E42EE" w:rsidR="00F91486" w:rsidRPr="00544BEF" w:rsidRDefault="00F91486" w:rsidP="002F7BAF">
      <w:pPr>
        <w:pStyle w:val="my-2"/>
        <w:rPr>
          <w:rFonts w:ascii="Arial" w:hAnsi="Arial" w:cs="Arial"/>
          <w:sz w:val="22"/>
          <w:szCs w:val="22"/>
        </w:rPr>
      </w:pPr>
      <w:r w:rsidRPr="00544BEF">
        <w:rPr>
          <w:rFonts w:ascii="Arial" w:hAnsi="Arial" w:cs="Arial"/>
          <w:sz w:val="22"/>
          <w:szCs w:val="22"/>
        </w:rPr>
        <w:t xml:space="preserve">United Nations (2026) </w:t>
      </w:r>
      <w:r w:rsidRPr="00544BEF">
        <w:rPr>
          <w:rStyle w:val="Emphasis"/>
          <w:rFonts w:ascii="Arial" w:eastAsiaTheme="majorEastAsia" w:hAnsi="Arial" w:cs="Arial"/>
          <w:sz w:val="22"/>
          <w:szCs w:val="22"/>
        </w:rPr>
        <w:t>Goal 13: Climate Action</w:t>
      </w:r>
      <w:r w:rsidRPr="00544BEF">
        <w:rPr>
          <w:rFonts w:ascii="Arial" w:hAnsi="Arial" w:cs="Arial"/>
          <w:sz w:val="22"/>
          <w:szCs w:val="22"/>
        </w:rPr>
        <w:t xml:space="preserve">. Available at: </w:t>
      </w:r>
      <w:hyperlink r:id="rId15" w:tgtFrame="_blank" w:history="1">
        <w:r w:rsidRPr="00544BEF">
          <w:rPr>
            <w:rStyle w:val="text-box-trim-both"/>
            <w:rFonts w:ascii="Arial" w:eastAsiaTheme="majorEastAsia" w:hAnsi="Arial" w:cs="Arial"/>
            <w:color w:val="0000FF"/>
            <w:sz w:val="22"/>
            <w:szCs w:val="22"/>
            <w:u w:val="single"/>
          </w:rPr>
          <w:t>https://sdgs.un.org/goals/goal13</w:t>
        </w:r>
      </w:hyperlink>
      <w:r w:rsidRPr="00544BEF">
        <w:rPr>
          <w:rFonts w:ascii="Arial" w:hAnsi="Arial" w:cs="Arial"/>
          <w:sz w:val="22"/>
          <w:szCs w:val="22"/>
        </w:rPr>
        <w:t xml:space="preserve"> (Accessed: 1</w:t>
      </w:r>
      <w:r w:rsidR="00544BEF" w:rsidRPr="00544BEF">
        <w:rPr>
          <w:rFonts w:ascii="Arial" w:hAnsi="Arial" w:cs="Arial"/>
          <w:sz w:val="22"/>
          <w:szCs w:val="22"/>
        </w:rPr>
        <w:t>2</w:t>
      </w:r>
      <w:r w:rsidRPr="00544BEF">
        <w:rPr>
          <w:rFonts w:ascii="Arial" w:hAnsi="Arial" w:cs="Arial"/>
          <w:sz w:val="22"/>
          <w:szCs w:val="22"/>
        </w:rPr>
        <w:t xml:space="preserve"> July 2026)</w:t>
      </w:r>
    </w:p>
    <w:p w14:paraId="6D69C70D" w14:textId="1466A49A" w:rsidR="00F91486" w:rsidRPr="00544BEF" w:rsidRDefault="00F91486" w:rsidP="002F7BAF">
      <w:pPr>
        <w:pStyle w:val="my-2"/>
        <w:rPr>
          <w:rFonts w:ascii="Arial" w:hAnsi="Arial" w:cs="Arial"/>
          <w:sz w:val="22"/>
          <w:szCs w:val="22"/>
        </w:rPr>
      </w:pPr>
      <w:r w:rsidRPr="00544BEF">
        <w:rPr>
          <w:rFonts w:ascii="Arial" w:hAnsi="Arial" w:cs="Arial"/>
          <w:sz w:val="22"/>
          <w:szCs w:val="22"/>
        </w:rPr>
        <w:t xml:space="preserve">UNDP (2026) </w:t>
      </w:r>
      <w:r w:rsidRPr="00544BEF">
        <w:rPr>
          <w:rStyle w:val="Emphasis"/>
          <w:rFonts w:ascii="Arial" w:eastAsiaTheme="majorEastAsia" w:hAnsi="Arial" w:cs="Arial"/>
          <w:sz w:val="22"/>
          <w:szCs w:val="22"/>
        </w:rPr>
        <w:t>Goal 13: Climate action</w:t>
      </w:r>
      <w:r w:rsidRPr="00544BEF">
        <w:rPr>
          <w:rFonts w:ascii="Arial" w:hAnsi="Arial" w:cs="Arial"/>
          <w:sz w:val="22"/>
          <w:szCs w:val="22"/>
        </w:rPr>
        <w:t xml:space="preserve">. Available at: </w:t>
      </w:r>
      <w:hyperlink r:id="rId16" w:tgtFrame="_blank" w:history="1">
        <w:r w:rsidRPr="00544BEF">
          <w:rPr>
            <w:rStyle w:val="text-box-trim-both"/>
            <w:rFonts w:ascii="Arial" w:eastAsiaTheme="majorEastAsia" w:hAnsi="Arial" w:cs="Arial"/>
            <w:color w:val="0000FF"/>
            <w:sz w:val="22"/>
            <w:szCs w:val="22"/>
            <w:u w:val="single"/>
          </w:rPr>
          <w:t>https://www.undp.org/sustainable-development-goals/climate-action</w:t>
        </w:r>
      </w:hyperlink>
      <w:r w:rsidRPr="00544BEF">
        <w:rPr>
          <w:rFonts w:ascii="Arial" w:hAnsi="Arial" w:cs="Arial"/>
          <w:sz w:val="22"/>
          <w:szCs w:val="22"/>
        </w:rPr>
        <w:t xml:space="preserve"> (Accessed: 16 July 2026).</w:t>
      </w:r>
    </w:p>
    <w:p w14:paraId="736B4BE0" w14:textId="25501BC5" w:rsidR="002F7BAF" w:rsidRPr="00544BEF" w:rsidRDefault="002F7BAF" w:rsidP="002F7BAF">
      <w:pPr>
        <w:pStyle w:val="my-2"/>
        <w:rPr>
          <w:rFonts w:ascii="Arial" w:hAnsi="Arial" w:cs="Arial"/>
          <w:sz w:val="22"/>
          <w:szCs w:val="22"/>
        </w:rPr>
      </w:pPr>
      <w:r w:rsidRPr="00544BEF">
        <w:rPr>
          <w:rFonts w:ascii="Arial" w:hAnsi="Arial" w:cs="Arial"/>
          <w:sz w:val="22"/>
          <w:szCs w:val="22"/>
        </w:rPr>
        <w:t xml:space="preserve">UN Statistics Division (2024) </w:t>
      </w:r>
      <w:r w:rsidRPr="00544BEF">
        <w:rPr>
          <w:rStyle w:val="Emphasis"/>
          <w:rFonts w:ascii="Arial" w:eastAsiaTheme="majorEastAsia" w:hAnsi="Arial" w:cs="Arial"/>
          <w:sz w:val="22"/>
          <w:szCs w:val="22"/>
        </w:rPr>
        <w:t>Goal 3: Ensure healthy lives and promote well-being for all at all ages</w:t>
      </w:r>
      <w:r w:rsidRPr="00544BEF">
        <w:rPr>
          <w:rFonts w:ascii="Arial" w:hAnsi="Arial" w:cs="Arial"/>
          <w:sz w:val="22"/>
          <w:szCs w:val="22"/>
        </w:rPr>
        <w:t xml:space="preserve">. Available at: </w:t>
      </w:r>
      <w:hyperlink r:id="rId17" w:tgtFrame="_blank" w:history="1">
        <w:r w:rsidRPr="00544BEF">
          <w:rPr>
            <w:rStyle w:val="text-box-trim-both"/>
            <w:rFonts w:ascii="Arial" w:eastAsiaTheme="majorEastAsia" w:hAnsi="Arial" w:cs="Arial"/>
            <w:color w:val="0000FF"/>
            <w:sz w:val="22"/>
            <w:szCs w:val="22"/>
            <w:u w:val="single"/>
          </w:rPr>
          <w:t>https://unstats.un.org/sdgs/report/2016/goal-03/</w:t>
        </w:r>
      </w:hyperlink>
      <w:r w:rsidRPr="00544BEF">
        <w:rPr>
          <w:rFonts w:ascii="Arial" w:hAnsi="Arial" w:cs="Arial"/>
          <w:sz w:val="22"/>
          <w:szCs w:val="22"/>
        </w:rPr>
        <w:t xml:space="preserve"> (Accessed: 1</w:t>
      </w:r>
      <w:r w:rsidR="00544BEF" w:rsidRPr="00544BEF">
        <w:rPr>
          <w:rFonts w:ascii="Arial" w:hAnsi="Arial" w:cs="Arial"/>
          <w:sz w:val="22"/>
          <w:szCs w:val="22"/>
        </w:rPr>
        <w:t>4</w:t>
      </w:r>
      <w:r w:rsidRPr="00544BEF">
        <w:rPr>
          <w:rFonts w:ascii="Arial" w:hAnsi="Arial" w:cs="Arial"/>
          <w:sz w:val="22"/>
          <w:szCs w:val="22"/>
        </w:rPr>
        <w:t xml:space="preserve"> July 2026).</w:t>
      </w:r>
    </w:p>
    <w:p w14:paraId="09F63481" w14:textId="11CF8A43" w:rsidR="00B13825" w:rsidRPr="00544BEF" w:rsidRDefault="00B13825" w:rsidP="00B13825">
      <w:pPr>
        <w:pStyle w:val="my-2"/>
        <w:rPr>
          <w:rFonts w:ascii="Arial" w:hAnsi="Arial" w:cs="Arial"/>
          <w:sz w:val="22"/>
          <w:szCs w:val="22"/>
        </w:rPr>
      </w:pPr>
      <w:r w:rsidRPr="00544BEF">
        <w:rPr>
          <w:rFonts w:ascii="Arial" w:hAnsi="Arial" w:cs="Arial"/>
          <w:sz w:val="22"/>
          <w:szCs w:val="22"/>
        </w:rPr>
        <w:t xml:space="preserve">World Health Organization (2019) </w:t>
      </w:r>
      <w:r w:rsidRPr="00544BEF">
        <w:rPr>
          <w:rStyle w:val="Emphasis"/>
          <w:rFonts w:ascii="Arial" w:eastAsiaTheme="majorEastAsia" w:hAnsi="Arial" w:cs="Arial"/>
          <w:sz w:val="22"/>
          <w:szCs w:val="22"/>
        </w:rPr>
        <w:t>Health and climate action: policy brief</w:t>
      </w:r>
      <w:r w:rsidRPr="00544BEF">
        <w:rPr>
          <w:rFonts w:ascii="Arial" w:hAnsi="Arial" w:cs="Arial"/>
          <w:sz w:val="22"/>
          <w:szCs w:val="22"/>
        </w:rPr>
        <w:t xml:space="preserve">. Available at: </w:t>
      </w:r>
      <w:hyperlink r:id="rId18" w:tgtFrame="_blank" w:history="1">
        <w:r w:rsidRPr="00544BEF">
          <w:rPr>
            <w:rStyle w:val="text-box-trim-both"/>
            <w:rFonts w:ascii="Arial" w:eastAsiaTheme="majorEastAsia" w:hAnsi="Arial" w:cs="Arial"/>
            <w:color w:val="0000FF"/>
            <w:sz w:val="22"/>
            <w:szCs w:val="22"/>
            <w:u w:val="single"/>
          </w:rPr>
          <w:t>https://www.who.int/europe/publications/i/item/WHO-EURO-2019-3443-43202-60522</w:t>
        </w:r>
      </w:hyperlink>
      <w:r w:rsidRPr="00544BEF">
        <w:rPr>
          <w:rFonts w:ascii="Arial" w:hAnsi="Arial" w:cs="Arial"/>
          <w:sz w:val="22"/>
          <w:szCs w:val="22"/>
        </w:rPr>
        <w:t xml:space="preserve"> (Accessed: 16 July 2026)</w:t>
      </w:r>
      <w:r w:rsidR="00CE1555" w:rsidRPr="00544BEF">
        <w:rPr>
          <w:rFonts w:ascii="Arial" w:hAnsi="Arial" w:cs="Arial"/>
          <w:sz w:val="22"/>
          <w:szCs w:val="22"/>
        </w:rPr>
        <w:t xml:space="preserve">. </w:t>
      </w:r>
    </w:p>
    <w:p w14:paraId="4FA51456" w14:textId="544D4D0B" w:rsidR="001F1CA5" w:rsidRPr="00544BEF" w:rsidRDefault="001F1CA5" w:rsidP="00B13825">
      <w:pPr>
        <w:pStyle w:val="my-2"/>
        <w:rPr>
          <w:rFonts w:ascii="Arial" w:hAnsi="Arial" w:cs="Arial"/>
          <w:sz w:val="22"/>
          <w:szCs w:val="22"/>
        </w:rPr>
      </w:pPr>
      <w:r w:rsidRPr="00544BEF">
        <w:rPr>
          <w:rFonts w:ascii="Arial" w:hAnsi="Arial" w:cs="Arial"/>
          <w:sz w:val="22"/>
          <w:szCs w:val="22"/>
        </w:rPr>
        <w:t xml:space="preserve">World Health Organization (2024) </w:t>
      </w:r>
      <w:r w:rsidRPr="00544BEF">
        <w:rPr>
          <w:rStyle w:val="Emphasis"/>
          <w:rFonts w:ascii="Arial" w:eastAsiaTheme="majorEastAsia" w:hAnsi="Arial" w:cs="Arial"/>
          <w:sz w:val="22"/>
          <w:szCs w:val="22"/>
        </w:rPr>
        <w:t>World Health Statistics</w:t>
      </w:r>
      <w:r w:rsidRPr="00544BEF">
        <w:rPr>
          <w:rFonts w:ascii="Arial" w:hAnsi="Arial" w:cs="Arial"/>
          <w:sz w:val="22"/>
          <w:szCs w:val="22"/>
        </w:rPr>
        <w:t xml:space="preserve">. Available at: </w:t>
      </w:r>
      <w:hyperlink r:id="rId19" w:tgtFrame="_blank" w:history="1">
        <w:r w:rsidRPr="00544BEF">
          <w:rPr>
            <w:rStyle w:val="text-box-trim-both"/>
            <w:rFonts w:ascii="Arial" w:eastAsiaTheme="majorEastAsia" w:hAnsi="Arial" w:cs="Arial"/>
            <w:color w:val="0000FF"/>
            <w:sz w:val="22"/>
            <w:szCs w:val="22"/>
            <w:u w:val="single"/>
          </w:rPr>
          <w:t>https://www.who.int/data/gho/data/themes/world-health-statistics</w:t>
        </w:r>
      </w:hyperlink>
      <w:r w:rsidRPr="00544BEF">
        <w:rPr>
          <w:rFonts w:ascii="Arial" w:hAnsi="Arial" w:cs="Arial"/>
          <w:sz w:val="22"/>
          <w:szCs w:val="22"/>
        </w:rPr>
        <w:t xml:space="preserve"> (Accessed: 1</w:t>
      </w:r>
      <w:r w:rsidR="00544BEF" w:rsidRPr="00544BEF">
        <w:rPr>
          <w:rFonts w:ascii="Arial" w:hAnsi="Arial" w:cs="Arial"/>
          <w:sz w:val="22"/>
          <w:szCs w:val="22"/>
        </w:rPr>
        <w:t>5</w:t>
      </w:r>
      <w:r w:rsidRPr="00544BEF">
        <w:rPr>
          <w:rFonts w:ascii="Arial" w:hAnsi="Arial" w:cs="Arial"/>
          <w:sz w:val="22"/>
          <w:szCs w:val="22"/>
        </w:rPr>
        <w:t xml:space="preserve"> July 2026).</w:t>
      </w:r>
    </w:p>
    <w:p w14:paraId="4A65909E" w14:textId="77777777" w:rsidR="00A21573" w:rsidRDefault="00A21573" w:rsidP="00D230E1">
      <w:pPr>
        <w:pStyle w:val="my-2"/>
      </w:pPr>
    </w:p>
    <w:p w14:paraId="7DCD644D" w14:textId="77777777" w:rsidR="00D230E1" w:rsidRDefault="00D230E1" w:rsidP="00B13825">
      <w:pPr>
        <w:pStyle w:val="my-2"/>
      </w:pPr>
    </w:p>
    <w:p w14:paraId="6B6BA853" w14:textId="77777777" w:rsidR="00B13825" w:rsidRDefault="00B13825" w:rsidP="002F7BAF">
      <w:pPr>
        <w:pStyle w:val="my-2"/>
      </w:pPr>
    </w:p>
    <w:p w14:paraId="4BD3EB14" w14:textId="77777777" w:rsidR="002F7BAF" w:rsidRDefault="002F7BAF" w:rsidP="00F50903"/>
    <w:sectPr w:rsidR="002F7B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903"/>
    <w:rsid w:val="00001A89"/>
    <w:rsid w:val="000524C0"/>
    <w:rsid w:val="000607A4"/>
    <w:rsid w:val="000720D3"/>
    <w:rsid w:val="000732AF"/>
    <w:rsid w:val="000A53E0"/>
    <w:rsid w:val="000C22A0"/>
    <w:rsid w:val="000E652D"/>
    <w:rsid w:val="0014260B"/>
    <w:rsid w:val="001533EA"/>
    <w:rsid w:val="001C5FF8"/>
    <w:rsid w:val="001F1CA5"/>
    <w:rsid w:val="001F697B"/>
    <w:rsid w:val="00260671"/>
    <w:rsid w:val="002653CA"/>
    <w:rsid w:val="002841BC"/>
    <w:rsid w:val="00294F75"/>
    <w:rsid w:val="002B1ABC"/>
    <w:rsid w:val="002E0F13"/>
    <w:rsid w:val="002E5DA0"/>
    <w:rsid w:val="002F7BAF"/>
    <w:rsid w:val="00300D48"/>
    <w:rsid w:val="00310B67"/>
    <w:rsid w:val="00347401"/>
    <w:rsid w:val="003D6AAC"/>
    <w:rsid w:val="003E1FF4"/>
    <w:rsid w:val="00406308"/>
    <w:rsid w:val="00427577"/>
    <w:rsid w:val="00443EB0"/>
    <w:rsid w:val="004D2E81"/>
    <w:rsid w:val="00514684"/>
    <w:rsid w:val="0053192A"/>
    <w:rsid w:val="00544BEF"/>
    <w:rsid w:val="005B7700"/>
    <w:rsid w:val="005E0F5A"/>
    <w:rsid w:val="00607B75"/>
    <w:rsid w:val="00652355"/>
    <w:rsid w:val="00673A50"/>
    <w:rsid w:val="00690744"/>
    <w:rsid w:val="006B5256"/>
    <w:rsid w:val="006C2759"/>
    <w:rsid w:val="006E0BCA"/>
    <w:rsid w:val="00726A5E"/>
    <w:rsid w:val="00737AD4"/>
    <w:rsid w:val="0074572B"/>
    <w:rsid w:val="00757384"/>
    <w:rsid w:val="00795481"/>
    <w:rsid w:val="007A70E9"/>
    <w:rsid w:val="007F4C8A"/>
    <w:rsid w:val="00841F1A"/>
    <w:rsid w:val="0085758E"/>
    <w:rsid w:val="0087469F"/>
    <w:rsid w:val="00876D22"/>
    <w:rsid w:val="0087739D"/>
    <w:rsid w:val="00891FBE"/>
    <w:rsid w:val="008F2F82"/>
    <w:rsid w:val="00911669"/>
    <w:rsid w:val="00915D39"/>
    <w:rsid w:val="00915D53"/>
    <w:rsid w:val="00976D53"/>
    <w:rsid w:val="00976E4F"/>
    <w:rsid w:val="00990D3C"/>
    <w:rsid w:val="009C79FA"/>
    <w:rsid w:val="00A21271"/>
    <w:rsid w:val="00A21573"/>
    <w:rsid w:val="00A336FB"/>
    <w:rsid w:val="00A52353"/>
    <w:rsid w:val="00A628B3"/>
    <w:rsid w:val="00A741F7"/>
    <w:rsid w:val="00A85991"/>
    <w:rsid w:val="00AE1885"/>
    <w:rsid w:val="00B13825"/>
    <w:rsid w:val="00B6518D"/>
    <w:rsid w:val="00B75B35"/>
    <w:rsid w:val="00B85B2B"/>
    <w:rsid w:val="00BC1F57"/>
    <w:rsid w:val="00C079F2"/>
    <w:rsid w:val="00C50560"/>
    <w:rsid w:val="00C70C40"/>
    <w:rsid w:val="00CA1496"/>
    <w:rsid w:val="00CA3A91"/>
    <w:rsid w:val="00CB3A1B"/>
    <w:rsid w:val="00CB63DD"/>
    <w:rsid w:val="00CE1555"/>
    <w:rsid w:val="00D230E1"/>
    <w:rsid w:val="00D42E89"/>
    <w:rsid w:val="00D56D8F"/>
    <w:rsid w:val="00DB5EBB"/>
    <w:rsid w:val="00DD4F47"/>
    <w:rsid w:val="00E246ED"/>
    <w:rsid w:val="00E27363"/>
    <w:rsid w:val="00E71948"/>
    <w:rsid w:val="00E80677"/>
    <w:rsid w:val="00E836EF"/>
    <w:rsid w:val="00EA04E1"/>
    <w:rsid w:val="00EB1FEA"/>
    <w:rsid w:val="00F248F9"/>
    <w:rsid w:val="00F4027C"/>
    <w:rsid w:val="00F410FF"/>
    <w:rsid w:val="00F50903"/>
    <w:rsid w:val="00F91486"/>
    <w:rsid w:val="00FA08B8"/>
    <w:rsid w:val="00FA6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9BA60C"/>
  <w15:chartTrackingRefBased/>
  <w15:docId w15:val="{381AC192-8D92-4347-80C4-FDE0BAD4E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9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09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09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9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9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9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9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9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9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9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09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09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9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9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9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9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9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903"/>
    <w:rPr>
      <w:rFonts w:eastAsiaTheme="majorEastAsia" w:cstheme="majorBidi"/>
      <w:color w:val="272727" w:themeColor="text1" w:themeTint="D8"/>
    </w:rPr>
  </w:style>
  <w:style w:type="paragraph" w:styleId="Title">
    <w:name w:val="Title"/>
    <w:basedOn w:val="Normal"/>
    <w:next w:val="Normal"/>
    <w:link w:val="TitleChar"/>
    <w:uiPriority w:val="10"/>
    <w:qFormat/>
    <w:rsid w:val="00F509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9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9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9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903"/>
    <w:pPr>
      <w:spacing w:before="160"/>
      <w:jc w:val="center"/>
    </w:pPr>
    <w:rPr>
      <w:i/>
      <w:iCs/>
      <w:color w:val="404040" w:themeColor="text1" w:themeTint="BF"/>
    </w:rPr>
  </w:style>
  <w:style w:type="character" w:customStyle="1" w:styleId="QuoteChar">
    <w:name w:val="Quote Char"/>
    <w:basedOn w:val="DefaultParagraphFont"/>
    <w:link w:val="Quote"/>
    <w:uiPriority w:val="29"/>
    <w:rsid w:val="00F50903"/>
    <w:rPr>
      <w:i/>
      <w:iCs/>
      <w:color w:val="404040" w:themeColor="text1" w:themeTint="BF"/>
    </w:rPr>
  </w:style>
  <w:style w:type="paragraph" w:styleId="ListParagraph">
    <w:name w:val="List Paragraph"/>
    <w:basedOn w:val="Normal"/>
    <w:uiPriority w:val="34"/>
    <w:qFormat/>
    <w:rsid w:val="00F50903"/>
    <w:pPr>
      <w:ind w:left="720"/>
      <w:contextualSpacing/>
    </w:pPr>
  </w:style>
  <w:style w:type="character" w:styleId="IntenseEmphasis">
    <w:name w:val="Intense Emphasis"/>
    <w:basedOn w:val="DefaultParagraphFont"/>
    <w:uiPriority w:val="21"/>
    <w:qFormat/>
    <w:rsid w:val="00F50903"/>
    <w:rPr>
      <w:i/>
      <w:iCs/>
      <w:color w:val="0F4761" w:themeColor="accent1" w:themeShade="BF"/>
    </w:rPr>
  </w:style>
  <w:style w:type="paragraph" w:styleId="IntenseQuote">
    <w:name w:val="Intense Quote"/>
    <w:basedOn w:val="Normal"/>
    <w:next w:val="Normal"/>
    <w:link w:val="IntenseQuoteChar"/>
    <w:uiPriority w:val="30"/>
    <w:qFormat/>
    <w:rsid w:val="00F509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903"/>
    <w:rPr>
      <w:i/>
      <w:iCs/>
      <w:color w:val="0F4761" w:themeColor="accent1" w:themeShade="BF"/>
    </w:rPr>
  </w:style>
  <w:style w:type="character" w:styleId="IntenseReference">
    <w:name w:val="Intense Reference"/>
    <w:basedOn w:val="DefaultParagraphFont"/>
    <w:uiPriority w:val="32"/>
    <w:qFormat/>
    <w:rsid w:val="00F50903"/>
    <w:rPr>
      <w:b/>
      <w:bCs/>
      <w:smallCaps/>
      <w:color w:val="0F4761" w:themeColor="accent1" w:themeShade="BF"/>
      <w:spacing w:val="5"/>
    </w:rPr>
  </w:style>
  <w:style w:type="paragraph" w:customStyle="1" w:styleId="my-2">
    <w:name w:val="my-2"/>
    <w:basedOn w:val="Normal"/>
    <w:rsid w:val="00CB63D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inline-block">
    <w:name w:val="inline-block"/>
    <w:basedOn w:val="DefaultParagraphFont"/>
    <w:rsid w:val="00CB63DD"/>
  </w:style>
  <w:style w:type="character" w:customStyle="1" w:styleId="opacity-50">
    <w:name w:val="opacity-50"/>
    <w:basedOn w:val="DefaultParagraphFont"/>
    <w:rsid w:val="00CB63DD"/>
  </w:style>
  <w:style w:type="character" w:styleId="Emphasis">
    <w:name w:val="Emphasis"/>
    <w:basedOn w:val="DefaultParagraphFont"/>
    <w:uiPriority w:val="20"/>
    <w:qFormat/>
    <w:rsid w:val="002F7BAF"/>
    <w:rPr>
      <w:i/>
      <w:iCs/>
    </w:rPr>
  </w:style>
  <w:style w:type="character" w:customStyle="1" w:styleId="text-box-trim-both">
    <w:name w:val="text-box-trim-both"/>
    <w:basedOn w:val="DefaultParagraphFont"/>
    <w:rsid w:val="002F7BAF"/>
  </w:style>
  <w:style w:type="character" w:customStyle="1" w:styleId="inline-flex">
    <w:name w:val="inline-flex"/>
    <w:basedOn w:val="DefaultParagraphFont"/>
    <w:rsid w:val="00B13825"/>
  </w:style>
  <w:style w:type="character" w:customStyle="1" w:styleId="citation">
    <w:name w:val="citation"/>
    <w:basedOn w:val="DefaultParagraphFont"/>
    <w:rsid w:val="00B138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69064">
      <w:bodyDiv w:val="1"/>
      <w:marLeft w:val="0"/>
      <w:marRight w:val="0"/>
      <w:marTop w:val="0"/>
      <w:marBottom w:val="0"/>
      <w:divBdr>
        <w:top w:val="none" w:sz="0" w:space="0" w:color="auto"/>
        <w:left w:val="none" w:sz="0" w:space="0" w:color="auto"/>
        <w:bottom w:val="none" w:sz="0" w:space="0" w:color="auto"/>
        <w:right w:val="none" w:sz="0" w:space="0" w:color="auto"/>
      </w:divBdr>
    </w:div>
    <w:div w:id="275333884">
      <w:bodyDiv w:val="1"/>
      <w:marLeft w:val="0"/>
      <w:marRight w:val="0"/>
      <w:marTop w:val="0"/>
      <w:marBottom w:val="0"/>
      <w:divBdr>
        <w:top w:val="none" w:sz="0" w:space="0" w:color="auto"/>
        <w:left w:val="none" w:sz="0" w:space="0" w:color="auto"/>
        <w:bottom w:val="none" w:sz="0" w:space="0" w:color="auto"/>
        <w:right w:val="none" w:sz="0" w:space="0" w:color="auto"/>
      </w:divBdr>
    </w:div>
    <w:div w:id="428819394">
      <w:bodyDiv w:val="1"/>
      <w:marLeft w:val="0"/>
      <w:marRight w:val="0"/>
      <w:marTop w:val="0"/>
      <w:marBottom w:val="0"/>
      <w:divBdr>
        <w:top w:val="none" w:sz="0" w:space="0" w:color="auto"/>
        <w:left w:val="none" w:sz="0" w:space="0" w:color="auto"/>
        <w:bottom w:val="none" w:sz="0" w:space="0" w:color="auto"/>
        <w:right w:val="none" w:sz="0" w:space="0" w:color="auto"/>
      </w:divBdr>
    </w:div>
    <w:div w:id="450981396">
      <w:bodyDiv w:val="1"/>
      <w:marLeft w:val="0"/>
      <w:marRight w:val="0"/>
      <w:marTop w:val="0"/>
      <w:marBottom w:val="0"/>
      <w:divBdr>
        <w:top w:val="none" w:sz="0" w:space="0" w:color="auto"/>
        <w:left w:val="none" w:sz="0" w:space="0" w:color="auto"/>
        <w:bottom w:val="none" w:sz="0" w:space="0" w:color="auto"/>
        <w:right w:val="none" w:sz="0" w:space="0" w:color="auto"/>
      </w:divBdr>
    </w:div>
    <w:div w:id="769083265">
      <w:bodyDiv w:val="1"/>
      <w:marLeft w:val="0"/>
      <w:marRight w:val="0"/>
      <w:marTop w:val="0"/>
      <w:marBottom w:val="0"/>
      <w:divBdr>
        <w:top w:val="none" w:sz="0" w:space="0" w:color="auto"/>
        <w:left w:val="none" w:sz="0" w:space="0" w:color="auto"/>
        <w:bottom w:val="none" w:sz="0" w:space="0" w:color="auto"/>
        <w:right w:val="none" w:sz="0" w:space="0" w:color="auto"/>
      </w:divBdr>
    </w:div>
    <w:div w:id="800348800">
      <w:bodyDiv w:val="1"/>
      <w:marLeft w:val="0"/>
      <w:marRight w:val="0"/>
      <w:marTop w:val="0"/>
      <w:marBottom w:val="0"/>
      <w:divBdr>
        <w:top w:val="none" w:sz="0" w:space="0" w:color="auto"/>
        <w:left w:val="none" w:sz="0" w:space="0" w:color="auto"/>
        <w:bottom w:val="none" w:sz="0" w:space="0" w:color="auto"/>
        <w:right w:val="none" w:sz="0" w:space="0" w:color="auto"/>
      </w:divBdr>
    </w:div>
    <w:div w:id="993222644">
      <w:bodyDiv w:val="1"/>
      <w:marLeft w:val="0"/>
      <w:marRight w:val="0"/>
      <w:marTop w:val="0"/>
      <w:marBottom w:val="0"/>
      <w:divBdr>
        <w:top w:val="none" w:sz="0" w:space="0" w:color="auto"/>
        <w:left w:val="none" w:sz="0" w:space="0" w:color="auto"/>
        <w:bottom w:val="none" w:sz="0" w:space="0" w:color="auto"/>
        <w:right w:val="none" w:sz="0" w:space="0" w:color="auto"/>
      </w:divBdr>
    </w:div>
    <w:div w:id="1078668635">
      <w:bodyDiv w:val="1"/>
      <w:marLeft w:val="0"/>
      <w:marRight w:val="0"/>
      <w:marTop w:val="0"/>
      <w:marBottom w:val="0"/>
      <w:divBdr>
        <w:top w:val="none" w:sz="0" w:space="0" w:color="auto"/>
        <w:left w:val="none" w:sz="0" w:space="0" w:color="auto"/>
        <w:bottom w:val="none" w:sz="0" w:space="0" w:color="auto"/>
        <w:right w:val="none" w:sz="0" w:space="0" w:color="auto"/>
      </w:divBdr>
    </w:div>
    <w:div w:id="1168667993">
      <w:bodyDiv w:val="1"/>
      <w:marLeft w:val="0"/>
      <w:marRight w:val="0"/>
      <w:marTop w:val="0"/>
      <w:marBottom w:val="0"/>
      <w:divBdr>
        <w:top w:val="none" w:sz="0" w:space="0" w:color="auto"/>
        <w:left w:val="none" w:sz="0" w:space="0" w:color="auto"/>
        <w:bottom w:val="none" w:sz="0" w:space="0" w:color="auto"/>
        <w:right w:val="none" w:sz="0" w:space="0" w:color="auto"/>
      </w:divBdr>
    </w:div>
    <w:div w:id="1207376534">
      <w:bodyDiv w:val="1"/>
      <w:marLeft w:val="0"/>
      <w:marRight w:val="0"/>
      <w:marTop w:val="0"/>
      <w:marBottom w:val="0"/>
      <w:divBdr>
        <w:top w:val="none" w:sz="0" w:space="0" w:color="auto"/>
        <w:left w:val="none" w:sz="0" w:space="0" w:color="auto"/>
        <w:bottom w:val="none" w:sz="0" w:space="0" w:color="auto"/>
        <w:right w:val="none" w:sz="0" w:space="0" w:color="auto"/>
      </w:divBdr>
    </w:div>
    <w:div w:id="1473060974">
      <w:bodyDiv w:val="1"/>
      <w:marLeft w:val="0"/>
      <w:marRight w:val="0"/>
      <w:marTop w:val="0"/>
      <w:marBottom w:val="0"/>
      <w:divBdr>
        <w:top w:val="none" w:sz="0" w:space="0" w:color="auto"/>
        <w:left w:val="none" w:sz="0" w:space="0" w:color="auto"/>
        <w:bottom w:val="none" w:sz="0" w:space="0" w:color="auto"/>
        <w:right w:val="none" w:sz="0" w:space="0" w:color="auto"/>
      </w:divBdr>
    </w:div>
    <w:div w:id="1488861981">
      <w:bodyDiv w:val="1"/>
      <w:marLeft w:val="0"/>
      <w:marRight w:val="0"/>
      <w:marTop w:val="0"/>
      <w:marBottom w:val="0"/>
      <w:divBdr>
        <w:top w:val="none" w:sz="0" w:space="0" w:color="auto"/>
        <w:left w:val="none" w:sz="0" w:space="0" w:color="auto"/>
        <w:bottom w:val="none" w:sz="0" w:space="0" w:color="auto"/>
        <w:right w:val="none" w:sz="0" w:space="0" w:color="auto"/>
      </w:divBdr>
    </w:div>
    <w:div w:id="1557811973">
      <w:bodyDiv w:val="1"/>
      <w:marLeft w:val="0"/>
      <w:marRight w:val="0"/>
      <w:marTop w:val="0"/>
      <w:marBottom w:val="0"/>
      <w:divBdr>
        <w:top w:val="none" w:sz="0" w:space="0" w:color="auto"/>
        <w:left w:val="none" w:sz="0" w:space="0" w:color="auto"/>
        <w:bottom w:val="none" w:sz="0" w:space="0" w:color="auto"/>
        <w:right w:val="none" w:sz="0" w:space="0" w:color="auto"/>
      </w:divBdr>
    </w:div>
    <w:div w:id="1813792423">
      <w:bodyDiv w:val="1"/>
      <w:marLeft w:val="0"/>
      <w:marRight w:val="0"/>
      <w:marTop w:val="0"/>
      <w:marBottom w:val="0"/>
      <w:divBdr>
        <w:top w:val="none" w:sz="0" w:space="0" w:color="auto"/>
        <w:left w:val="none" w:sz="0" w:space="0" w:color="auto"/>
        <w:bottom w:val="none" w:sz="0" w:space="0" w:color="auto"/>
        <w:right w:val="none" w:sz="0" w:space="0" w:color="auto"/>
      </w:divBdr>
    </w:div>
    <w:div w:id="1976983189">
      <w:bodyDiv w:val="1"/>
      <w:marLeft w:val="0"/>
      <w:marRight w:val="0"/>
      <w:marTop w:val="0"/>
      <w:marBottom w:val="0"/>
      <w:divBdr>
        <w:top w:val="none" w:sz="0" w:space="0" w:color="auto"/>
        <w:left w:val="none" w:sz="0" w:space="0" w:color="auto"/>
        <w:bottom w:val="none" w:sz="0" w:space="0" w:color="auto"/>
        <w:right w:val="none" w:sz="0" w:space="0" w:color="auto"/>
      </w:divBdr>
    </w:div>
    <w:div w:id="2081053447">
      <w:bodyDiv w:val="1"/>
      <w:marLeft w:val="0"/>
      <w:marRight w:val="0"/>
      <w:marTop w:val="0"/>
      <w:marBottom w:val="0"/>
      <w:divBdr>
        <w:top w:val="none" w:sz="0" w:space="0" w:color="auto"/>
        <w:left w:val="none" w:sz="0" w:space="0" w:color="auto"/>
        <w:bottom w:val="none" w:sz="0" w:space="0" w:color="auto"/>
        <w:right w:val="none" w:sz="0" w:space="0" w:color="auto"/>
      </w:divBdr>
    </w:div>
    <w:div w:id="2111924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rfolkandsuffolk.icb.nhs.uk/about/governance/population-health-and-commissioning-strategy/" TargetMode="External"/><Relationship Id="rId13" Type="http://schemas.openxmlformats.org/officeDocument/2006/relationships/hyperlink" Target="https://data.unicef.org/sdgs/goal-3-good-health-wellbeing/" TargetMode="External"/><Relationship Id="rId18" Type="http://schemas.openxmlformats.org/officeDocument/2006/relationships/hyperlink" Target="https://www.who.int/europe/publications/i/item/WHO-EURO-2019-3443-43202-6052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limate-adapt.eea.europa.eu/en/metadata/publications/sdg-13-health-and-climate-action" TargetMode="External"/><Relationship Id="rId12" Type="http://schemas.openxmlformats.org/officeDocument/2006/relationships/hyperlink" Target="https://data.unicef.org/sdgs/goal-13-climate-action/" TargetMode="External"/><Relationship Id="rId17" Type="http://schemas.openxmlformats.org/officeDocument/2006/relationships/hyperlink" Target="https://unstats.un.org/sdgs/report/2016/goal-03/" TargetMode="External"/><Relationship Id="rId2" Type="http://schemas.openxmlformats.org/officeDocument/2006/relationships/styles" Target="styles.xml"/><Relationship Id="rId16" Type="http://schemas.openxmlformats.org/officeDocument/2006/relationships/hyperlink" Target="https://www.undp.org/sustainable-development-goals/climate-ac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dph.org.uk/networks/london/2026/03/19/neighbourhood-health-framework-published/" TargetMode="External"/><Relationship Id="rId11" Type="http://schemas.openxmlformats.org/officeDocument/2006/relationships/hyperlink" Target="https://www.unicef.org/documents/sdg-issue-brief-3" TargetMode="External"/><Relationship Id="rId5" Type="http://schemas.openxmlformats.org/officeDocument/2006/relationships/image" Target="media/image1.jpeg"/><Relationship Id="rId15" Type="http://schemas.openxmlformats.org/officeDocument/2006/relationships/hyperlink" Target="https://sdgs.un.org/goals/goal13" TargetMode="External"/><Relationship Id="rId10" Type="http://schemas.openxmlformats.org/officeDocument/2006/relationships/hyperlink" Target="https://www.rbwm.gov.uk/news/2026/new-strategy-support-healthier-royal-borough-gets-green-light-1" TargetMode="External"/><Relationship Id="rId19" Type="http://schemas.openxmlformats.org/officeDocument/2006/relationships/hyperlink" Target="https://www.who.int/data/gho/data/themes/world-health-statistics" TargetMode="External"/><Relationship Id="rId4" Type="http://schemas.openxmlformats.org/officeDocument/2006/relationships/webSettings" Target="webSettings.xml"/><Relationship Id="rId9" Type="http://schemas.openxmlformats.org/officeDocument/2006/relationships/hyperlink" Target="https://www.rbwm.gov.uk/sites/default/files/2026-01/ph_joint_health_wellbeing_strategy_2026-2036_0.pdf" TargetMode="External"/><Relationship Id="rId14" Type="http://schemas.openxmlformats.org/officeDocument/2006/relationships/hyperlink" Target="https://sdgs.un.org/goals/goal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6F67E-81C7-1945-9EC6-ACA389624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9</Pages>
  <Words>2732</Words>
  <Characters>15578</Characters>
  <Application>Microsoft Office Word</Application>
  <DocSecurity>0</DocSecurity>
  <Lines>129</Lines>
  <Paragraphs>36</Paragraphs>
  <ScaleCrop>false</ScaleCrop>
  <Company/>
  <LinksUpToDate>false</LinksUpToDate>
  <CharactersWithSpaces>18274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Venisha Henry (2316686)</dc:creator>
  <cp:keywords/>
  <dc:description/>
  <cp:lastModifiedBy>Venisha Henry (2316686)</cp:lastModifiedBy>
  <cp:revision>98</cp:revision>
  <dcterms:created xsi:type="dcterms:W3CDTF">2026-07-09T21:17:00Z</dcterms:created>
  <dcterms:modified xsi:type="dcterms:W3CDTF">2026-08-06T06:25:00Z</dcterms:modified>
</cp:coreProperties>
</file>