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EA9A3" w14:textId="12C54696" w:rsidR="008949C1" w:rsidRPr="00CF2A80" w:rsidRDefault="008949C1" w:rsidP="00CF2A80">
      <w:pPr>
        <w:pStyle w:val="Heading41"/>
      </w:pPr>
    </w:p>
    <w:p w14:paraId="33CE9CB2"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p>
    <w:p w14:paraId="185E2146"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p>
    <w:p w14:paraId="6E2F2E47"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p>
    <w:p w14:paraId="230F4E4F"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p>
    <w:p w14:paraId="1D3BF190"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p>
    <w:p w14:paraId="1FAED205"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p>
    <w:p w14:paraId="10BBBFD8"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p>
    <w:p w14:paraId="0DBB7386"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p>
    <w:p w14:paraId="6B4B9C0A"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p>
    <w:p w14:paraId="4EAE2CF5" w14:textId="77777777" w:rsidR="008949C1" w:rsidRPr="008949C1" w:rsidRDefault="008949C1" w:rsidP="008949C1">
      <w:pPr>
        <w:spacing w:line="360" w:lineRule="auto"/>
        <w:jc w:val="center"/>
        <w:rPr>
          <w:rFonts w:ascii="Times New Roman" w:eastAsia="Calibri" w:hAnsi="Times New Roman" w:cs="Vrinda"/>
          <w:b/>
          <w:bCs/>
          <w:kern w:val="2"/>
          <w:sz w:val="28"/>
          <w:szCs w:val="24"/>
          <w:lang w:eastAsia="en-US"/>
          <w14:ligatures w14:val="standard"/>
        </w:rPr>
      </w:pPr>
      <w:r w:rsidRPr="008949C1">
        <w:rPr>
          <w:rFonts w:ascii="Times New Roman" w:eastAsia="Calibri" w:hAnsi="Times New Roman" w:cs="Vrinda"/>
          <w:b/>
          <w:bCs/>
          <w:kern w:val="2"/>
          <w:sz w:val="28"/>
          <w:szCs w:val="24"/>
          <w:lang w:eastAsia="en-US"/>
          <w14:ligatures w14:val="standard"/>
        </w:rPr>
        <w:t>Unit Name: Financial Management for the Hotel Industry</w:t>
      </w:r>
    </w:p>
    <w:p w14:paraId="0AFFA0A1" w14:textId="77777777" w:rsidR="008949C1" w:rsidRPr="008949C1" w:rsidRDefault="008949C1" w:rsidP="008949C1">
      <w:pPr>
        <w:spacing w:line="360" w:lineRule="auto"/>
        <w:jc w:val="center"/>
        <w:rPr>
          <w:rFonts w:ascii="Times New Roman" w:eastAsia="Calibri" w:hAnsi="Times New Roman" w:cs="Vrinda"/>
          <w:b/>
          <w:bCs/>
          <w:kern w:val="2"/>
          <w:sz w:val="28"/>
          <w:szCs w:val="24"/>
          <w:lang w:eastAsia="en-US"/>
          <w14:ligatures w14:val="standard"/>
        </w:rPr>
      </w:pPr>
      <w:r w:rsidRPr="008949C1">
        <w:rPr>
          <w:rFonts w:ascii="Times New Roman" w:eastAsia="Calibri" w:hAnsi="Times New Roman" w:cs="Vrinda"/>
          <w:b/>
          <w:bCs/>
          <w:kern w:val="2"/>
          <w:sz w:val="28"/>
          <w:szCs w:val="24"/>
          <w:lang w:eastAsia="en-US"/>
          <w14:ligatures w14:val="standard"/>
        </w:rPr>
        <w:t>Unit CODE: BMIH5007</w:t>
      </w:r>
    </w:p>
    <w:p w14:paraId="0BC1EA01" w14:textId="265C248A" w:rsidR="008949C1" w:rsidRPr="008949C1" w:rsidRDefault="008949C1" w:rsidP="008949C1">
      <w:pPr>
        <w:spacing w:line="360" w:lineRule="auto"/>
        <w:rPr>
          <w:rFonts w:ascii="Times New Roman" w:eastAsia="Calibri" w:hAnsi="Times New Roman" w:cs="Vrinda"/>
          <w:b/>
          <w:bCs/>
          <w:kern w:val="2"/>
          <w:sz w:val="28"/>
          <w:szCs w:val="24"/>
          <w:lang w:eastAsia="en-US"/>
          <w14:ligatures w14:val="standard"/>
        </w:rPr>
      </w:pPr>
      <w:r w:rsidRPr="008949C1">
        <w:rPr>
          <w:rFonts w:ascii="Times New Roman" w:eastAsia="Calibri" w:hAnsi="Times New Roman" w:cs="Vrinda"/>
          <w:b/>
          <w:bCs/>
          <w:kern w:val="2"/>
          <w:sz w:val="28"/>
          <w:szCs w:val="24"/>
          <w:lang w:eastAsia="en-US"/>
          <w14:ligatures w14:val="standard"/>
        </w:rPr>
        <w:t>Student Name:</w:t>
      </w:r>
      <w:r w:rsidR="0020689E">
        <w:rPr>
          <w:rFonts w:ascii="Times New Roman" w:eastAsia="Calibri" w:hAnsi="Times New Roman" w:cs="Vrinda"/>
          <w:b/>
          <w:bCs/>
          <w:kern w:val="2"/>
          <w:sz w:val="28"/>
          <w:szCs w:val="24"/>
          <w:lang w:eastAsia="en-US"/>
          <w14:ligatures w14:val="standard"/>
        </w:rPr>
        <w:t>Shanaz Begum Seikh Nesa</w:t>
      </w:r>
    </w:p>
    <w:p w14:paraId="293ACD9B" w14:textId="4B09A2B0" w:rsidR="008949C1" w:rsidRPr="008949C1" w:rsidRDefault="008949C1" w:rsidP="008949C1">
      <w:pPr>
        <w:spacing w:line="360" w:lineRule="auto"/>
        <w:rPr>
          <w:rFonts w:ascii="Times New Roman" w:eastAsia="Calibri" w:hAnsi="Times New Roman" w:cs="Vrinda"/>
          <w:b/>
          <w:bCs/>
          <w:kern w:val="2"/>
          <w:sz w:val="28"/>
          <w:szCs w:val="24"/>
          <w:lang w:eastAsia="en-US"/>
          <w14:ligatures w14:val="standard"/>
        </w:rPr>
      </w:pPr>
      <w:r w:rsidRPr="008949C1">
        <w:rPr>
          <w:rFonts w:ascii="Times New Roman" w:eastAsia="Calibri" w:hAnsi="Times New Roman" w:cs="Vrinda"/>
          <w:b/>
          <w:bCs/>
          <w:kern w:val="2"/>
          <w:sz w:val="28"/>
          <w:szCs w:val="24"/>
          <w:lang w:eastAsia="en-US"/>
          <w14:ligatures w14:val="standard"/>
        </w:rPr>
        <w:t>Student ID:</w:t>
      </w:r>
      <w:r w:rsidR="008F3C4E">
        <w:rPr>
          <w:rFonts w:ascii="Times New Roman" w:eastAsia="Calibri" w:hAnsi="Times New Roman" w:cs="Vrinda"/>
          <w:b/>
          <w:bCs/>
          <w:kern w:val="2"/>
          <w:sz w:val="28"/>
          <w:szCs w:val="24"/>
          <w:lang w:eastAsia="en-US"/>
          <w14:ligatures w14:val="standard"/>
        </w:rPr>
        <w:t>2012084</w:t>
      </w:r>
    </w:p>
    <w:p w14:paraId="4FEE7159" w14:textId="459BE71D" w:rsidR="008949C1" w:rsidRPr="008949C1" w:rsidRDefault="008949C1" w:rsidP="008949C1">
      <w:pPr>
        <w:spacing w:line="360" w:lineRule="auto"/>
        <w:rPr>
          <w:rFonts w:ascii="Times New Roman" w:eastAsia="Calibri" w:hAnsi="Times New Roman" w:cs="Vrinda"/>
          <w:b/>
          <w:bCs/>
          <w:kern w:val="2"/>
          <w:sz w:val="28"/>
          <w:szCs w:val="24"/>
          <w:lang w:eastAsia="en-US"/>
          <w14:ligatures w14:val="standard"/>
        </w:rPr>
      </w:pPr>
      <w:r w:rsidRPr="008949C1">
        <w:rPr>
          <w:rFonts w:ascii="Times New Roman" w:eastAsia="Calibri" w:hAnsi="Times New Roman" w:cs="Vrinda"/>
          <w:b/>
          <w:bCs/>
          <w:kern w:val="2"/>
          <w:sz w:val="28"/>
          <w:szCs w:val="24"/>
          <w:lang w:eastAsia="en-US"/>
          <w14:ligatures w14:val="standard"/>
        </w:rPr>
        <w:t xml:space="preserve">Word Count: </w:t>
      </w:r>
      <w:r w:rsidR="008F3C4E">
        <w:rPr>
          <w:rFonts w:ascii="Times New Roman" w:eastAsia="Calibri" w:hAnsi="Times New Roman" w:cs="Vrinda"/>
          <w:b/>
          <w:bCs/>
          <w:kern w:val="2"/>
          <w:sz w:val="28"/>
          <w:szCs w:val="24"/>
          <w:lang w:eastAsia="en-US"/>
          <w14:ligatures w14:val="standard"/>
        </w:rPr>
        <w:t>2472</w:t>
      </w:r>
    </w:p>
    <w:p w14:paraId="097F4C76" w14:textId="77777777" w:rsidR="008949C1" w:rsidRPr="008949C1" w:rsidRDefault="008949C1" w:rsidP="008949C1">
      <w:pPr>
        <w:spacing w:line="360" w:lineRule="auto"/>
        <w:rPr>
          <w:rFonts w:ascii="Times New Roman" w:eastAsia="Calibri" w:hAnsi="Times New Roman" w:cs="Vrinda"/>
          <w:kern w:val="2"/>
          <w:sz w:val="24"/>
          <w:lang w:eastAsia="en-US"/>
          <w14:ligatures w14:val="standard"/>
        </w:rPr>
      </w:pPr>
      <w:r w:rsidRPr="008949C1">
        <w:rPr>
          <w:rFonts w:ascii="Times New Roman" w:eastAsia="Calibri" w:hAnsi="Times New Roman" w:cs="Vrinda"/>
          <w:kern w:val="2"/>
          <w:sz w:val="24"/>
          <w:lang w:eastAsia="en-US"/>
          <w14:ligatures w14:val="standard"/>
        </w:rPr>
        <w:br w:type="page"/>
      </w:r>
    </w:p>
    <w:p w14:paraId="73A4F845" w14:textId="77777777" w:rsidR="008949C1" w:rsidRPr="008949C1" w:rsidRDefault="008949C1" w:rsidP="008949C1">
      <w:pPr>
        <w:widowControl w:val="0"/>
        <w:autoSpaceDE w:val="0"/>
        <w:autoSpaceDN w:val="0"/>
        <w:spacing w:before="57" w:after="0" w:line="360" w:lineRule="auto"/>
        <w:ind w:right="2647"/>
        <w:outlineLvl w:val="0"/>
        <w:rPr>
          <w:rFonts w:ascii="Times New Roman" w:eastAsia="Times New Roman" w:hAnsi="Times New Roman" w:cs="Times New Roman"/>
          <w:b/>
          <w:bCs/>
          <w:sz w:val="28"/>
          <w:szCs w:val="32"/>
          <w:u w:color="000000"/>
          <w:lang w:eastAsia="en-US"/>
        </w:rPr>
      </w:pPr>
      <w:bookmarkStart w:id="0" w:name="_Toc94310379"/>
      <w:r w:rsidRPr="008949C1">
        <w:rPr>
          <w:rFonts w:ascii="Times New Roman" w:eastAsia="Times New Roman" w:hAnsi="Times New Roman" w:cs="Times New Roman"/>
          <w:b/>
          <w:bCs/>
          <w:sz w:val="28"/>
          <w:szCs w:val="32"/>
          <w:u w:color="000000"/>
          <w:lang w:eastAsia="en-US"/>
        </w:rPr>
        <w:lastRenderedPageBreak/>
        <w:t>Executive Summary:</w:t>
      </w:r>
      <w:bookmarkEnd w:id="0"/>
    </w:p>
    <w:p w14:paraId="1AD5721E" w14:textId="77777777" w:rsidR="008949C1" w:rsidRPr="008949C1" w:rsidRDefault="008949C1" w:rsidP="008949C1">
      <w:pPr>
        <w:spacing w:line="360" w:lineRule="auto"/>
        <w:jc w:val="both"/>
        <w:rPr>
          <w:rFonts w:ascii="Times New Roman" w:eastAsia="Calibri" w:hAnsi="Times New Roman" w:cs="Vrinda"/>
          <w:kern w:val="2"/>
          <w:sz w:val="24"/>
          <w:lang w:eastAsia="en-US"/>
          <w14:ligatures w14:val="standard"/>
        </w:rPr>
      </w:pPr>
      <w:r w:rsidRPr="008949C1">
        <w:rPr>
          <w:rFonts w:ascii="Times New Roman" w:eastAsia="Calibri" w:hAnsi="Times New Roman" w:cs="Vrinda"/>
          <w:kern w:val="2"/>
          <w:sz w:val="24"/>
          <w:lang w:eastAsia="en-US"/>
          <w14:ligatures w14:val="standard"/>
        </w:rPr>
        <w:t xml:space="preserve">Ratio analysis is a mathematical process of acquiring a look into a firm’s operational performance, liquidity, earnings, and profitability by assessing its financial documents and reports. Jurys Inn is a renowned hotel. The financial performance of this hotel for the years 2019 and 2020 has been analysed through ratio analysis. Profitability ratios, liquidity ratios and gearing ratios are analysed of this hotel. The profitability of this hotel reduced overall in 2020 compared to 2019. Besides, liquidity ratios stated that the number of short-term assets had been reduced while the number of overall assets had little been reduced compared to 2019. Covid-19 could be the reason behind this decline. Understanding the ratio analysis has helped the management of Jurys Inn to identify their development scope, present condition, and what they need to do for their development. The benefits of ratio analysis include making the right business plan and ensuring the correct prediction. Besides, it helps an organisation to know how is it doing. While it has many disadvantages, it is not easy to understand. </w:t>
      </w:r>
      <w:r w:rsidRPr="008949C1">
        <w:rPr>
          <w:rFonts w:ascii="Times New Roman" w:eastAsia="Calibri" w:hAnsi="Times New Roman" w:cs="Vrinda"/>
          <w:kern w:val="2"/>
          <w:sz w:val="24"/>
          <w:lang w:eastAsia="en-US"/>
          <w14:ligatures w14:val="standard"/>
        </w:rPr>
        <w:br w:type="page"/>
      </w:r>
    </w:p>
    <w:sdt>
      <w:sdtPr>
        <w:rPr>
          <w:rFonts w:ascii="Times New Roman" w:eastAsia="Calibri" w:hAnsi="Times New Roman" w:cs="Vrinda"/>
          <w:kern w:val="2"/>
          <w:sz w:val="24"/>
          <w:lang w:eastAsia="en-US"/>
          <w14:ligatures w14:val="standard"/>
        </w:rPr>
        <w:id w:val="-665554051"/>
        <w:docPartObj>
          <w:docPartGallery w:val="Table of Contents"/>
          <w:docPartUnique/>
        </w:docPartObj>
      </w:sdtPr>
      <w:sdtEndPr>
        <w:rPr>
          <w:b/>
          <w:bCs/>
          <w:noProof/>
        </w:rPr>
      </w:sdtEndPr>
      <w:sdtContent>
        <w:p w14:paraId="0987B6E7" w14:textId="77777777" w:rsidR="008949C1" w:rsidRPr="008949C1" w:rsidRDefault="008949C1" w:rsidP="008949C1">
          <w:pPr>
            <w:keepNext/>
            <w:keepLines/>
            <w:spacing w:before="240" w:after="0"/>
            <w:rPr>
              <w:rFonts w:ascii="Times New Roman" w:eastAsia="SimSun" w:hAnsi="Times New Roman" w:cs="Times New Roman"/>
              <w:b/>
              <w:bCs/>
              <w:sz w:val="28"/>
              <w:szCs w:val="28"/>
              <w:u w:color="000000"/>
              <w:lang w:eastAsia="en-US"/>
            </w:rPr>
          </w:pPr>
          <w:r w:rsidRPr="008949C1">
            <w:rPr>
              <w:rFonts w:ascii="Times New Roman" w:eastAsia="SimSun" w:hAnsi="Times New Roman" w:cs="Times New Roman"/>
              <w:b/>
              <w:bCs/>
              <w:sz w:val="28"/>
              <w:szCs w:val="28"/>
              <w:u w:color="000000"/>
              <w:lang w:eastAsia="en-US"/>
            </w:rPr>
            <w:t>Table of Contents</w:t>
          </w:r>
        </w:p>
        <w:p w14:paraId="368072C4" w14:textId="3E8A4F55" w:rsidR="008949C1" w:rsidRPr="008949C1" w:rsidRDefault="008949C1" w:rsidP="008949C1">
          <w:pPr>
            <w:tabs>
              <w:tab w:val="right" w:leader="dot" w:pos="9350"/>
            </w:tabs>
            <w:spacing w:after="0" w:line="360" w:lineRule="auto"/>
            <w:jc w:val="both"/>
            <w:rPr>
              <w:rFonts w:ascii="Calibri" w:eastAsia="SimSun" w:hAnsi="Calibri" w:cs="Vrinda"/>
              <w:noProof/>
              <w:lang w:eastAsia="en-US"/>
            </w:rPr>
          </w:pPr>
          <w:r w:rsidRPr="008949C1">
            <w:rPr>
              <w:rFonts w:ascii="Times New Roman" w:eastAsia="Calibri" w:hAnsi="Times New Roman" w:cs="Vrinda"/>
              <w:kern w:val="2"/>
              <w:sz w:val="24"/>
              <w:lang w:eastAsia="en-US"/>
              <w14:ligatures w14:val="standard"/>
            </w:rPr>
            <w:fldChar w:fldCharType="begin"/>
          </w:r>
          <w:r w:rsidRPr="008949C1">
            <w:rPr>
              <w:rFonts w:ascii="Times New Roman" w:eastAsia="Calibri" w:hAnsi="Times New Roman" w:cs="Vrinda"/>
              <w:kern w:val="2"/>
              <w:sz w:val="24"/>
              <w:lang w:eastAsia="en-US"/>
              <w14:ligatures w14:val="standard"/>
            </w:rPr>
            <w:instrText xml:space="preserve"> TOC \o "1-3" \h \z \u </w:instrText>
          </w:r>
          <w:r w:rsidRPr="008949C1">
            <w:rPr>
              <w:rFonts w:ascii="Times New Roman" w:eastAsia="Calibri" w:hAnsi="Times New Roman" w:cs="Vrinda"/>
              <w:kern w:val="2"/>
              <w:sz w:val="24"/>
              <w:lang w:eastAsia="en-US"/>
              <w14:ligatures w14:val="standard"/>
            </w:rPr>
            <w:fldChar w:fldCharType="separate"/>
          </w:r>
          <w:hyperlink w:anchor="_Toc94310379" w:history="1">
            <w:r w:rsidRPr="008949C1">
              <w:rPr>
                <w:rFonts w:ascii="Times New Roman" w:eastAsia="Calibri" w:hAnsi="Times New Roman" w:cs="Vrinda"/>
                <w:noProof/>
                <w:color w:val="0563C1"/>
                <w:kern w:val="2"/>
                <w:sz w:val="24"/>
                <w:u w:val="single"/>
                <w:lang w:eastAsia="en-US"/>
                <w14:ligatures w14:val="standard"/>
              </w:rPr>
              <w:t>Executive Summary:</w:t>
            </w:r>
            <w:r w:rsidRPr="008949C1">
              <w:rPr>
                <w:rFonts w:ascii="Times New Roman" w:eastAsia="Calibri" w:hAnsi="Times New Roman" w:cs="Vrinda"/>
                <w:noProof/>
                <w:webHidden/>
                <w:kern w:val="2"/>
                <w:sz w:val="24"/>
                <w:lang w:eastAsia="en-US"/>
                <w14:ligatures w14:val="standard"/>
              </w:rPr>
              <w:tab/>
            </w:r>
            <w:r w:rsidRPr="008949C1">
              <w:rPr>
                <w:rFonts w:ascii="Times New Roman" w:eastAsia="Calibri" w:hAnsi="Times New Roman" w:cs="Vrinda"/>
                <w:noProof/>
                <w:webHidden/>
                <w:kern w:val="2"/>
                <w:sz w:val="24"/>
                <w:lang w:eastAsia="en-US"/>
                <w14:ligatures w14:val="standard"/>
              </w:rPr>
              <w:fldChar w:fldCharType="begin"/>
            </w:r>
            <w:r w:rsidRPr="008949C1">
              <w:rPr>
                <w:rFonts w:ascii="Times New Roman" w:eastAsia="Calibri" w:hAnsi="Times New Roman" w:cs="Vrinda"/>
                <w:noProof/>
                <w:webHidden/>
                <w:kern w:val="2"/>
                <w:sz w:val="24"/>
                <w:lang w:eastAsia="en-US"/>
                <w14:ligatures w14:val="standard"/>
              </w:rPr>
              <w:instrText xml:space="preserve"> PAGEREF _Toc94310379 \h </w:instrText>
            </w:r>
            <w:r w:rsidRPr="008949C1">
              <w:rPr>
                <w:rFonts w:ascii="Times New Roman" w:eastAsia="Calibri" w:hAnsi="Times New Roman" w:cs="Vrinda"/>
                <w:noProof/>
                <w:webHidden/>
                <w:kern w:val="2"/>
                <w:sz w:val="24"/>
                <w:lang w:eastAsia="en-US"/>
                <w14:ligatures w14:val="standard"/>
              </w:rPr>
            </w:r>
            <w:r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ii</w:t>
            </w:r>
            <w:r w:rsidRPr="008949C1">
              <w:rPr>
                <w:rFonts w:ascii="Times New Roman" w:eastAsia="Calibri" w:hAnsi="Times New Roman" w:cs="Vrinda"/>
                <w:noProof/>
                <w:webHidden/>
                <w:kern w:val="2"/>
                <w:sz w:val="24"/>
                <w:lang w:eastAsia="en-US"/>
                <w14:ligatures w14:val="standard"/>
              </w:rPr>
              <w:fldChar w:fldCharType="end"/>
            </w:r>
          </w:hyperlink>
        </w:p>
        <w:p w14:paraId="78BFA18A" w14:textId="1DA05F4F"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380" w:history="1">
            <w:r w:rsidR="008949C1" w:rsidRPr="008949C1">
              <w:rPr>
                <w:rFonts w:ascii="Times New Roman" w:eastAsia="Calibri" w:hAnsi="Times New Roman" w:cs="Vrinda"/>
                <w:noProof/>
                <w:color w:val="0563C1"/>
                <w:kern w:val="2"/>
                <w:sz w:val="24"/>
                <w:u w:val="single"/>
                <w:lang w:eastAsia="en-US"/>
                <w14:ligatures w14:val="standard"/>
              </w:rPr>
              <w:t>1.0 Introduction:</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_Toc94310380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4</w:t>
            </w:r>
            <w:r w:rsidR="008949C1" w:rsidRPr="008949C1">
              <w:rPr>
                <w:rFonts w:ascii="Times New Roman" w:eastAsia="Calibri" w:hAnsi="Times New Roman" w:cs="Vrinda"/>
                <w:noProof/>
                <w:webHidden/>
                <w:kern w:val="2"/>
                <w:sz w:val="24"/>
                <w:lang w:eastAsia="en-US"/>
                <w14:ligatures w14:val="standard"/>
              </w:rPr>
              <w:fldChar w:fldCharType="end"/>
            </w:r>
          </w:hyperlink>
        </w:p>
        <w:p w14:paraId="6AA53141" w14:textId="25755BC2"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381" w:history="1">
            <w:r w:rsidR="008949C1" w:rsidRPr="008949C1">
              <w:rPr>
                <w:rFonts w:ascii="Times New Roman" w:eastAsia="Calibri" w:hAnsi="Times New Roman" w:cs="Vrinda"/>
                <w:noProof/>
                <w:color w:val="0563C1"/>
                <w:kern w:val="2"/>
                <w:sz w:val="24"/>
                <w:u w:val="single"/>
                <w:lang w:eastAsia="en-US"/>
                <w14:ligatures w14:val="standard"/>
              </w:rPr>
              <w:t>2.0 Financial analysis:</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_Toc94310381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5</w:t>
            </w:r>
            <w:r w:rsidR="008949C1" w:rsidRPr="008949C1">
              <w:rPr>
                <w:rFonts w:ascii="Times New Roman" w:eastAsia="Calibri" w:hAnsi="Times New Roman" w:cs="Vrinda"/>
                <w:noProof/>
                <w:webHidden/>
                <w:kern w:val="2"/>
                <w:sz w:val="24"/>
                <w:lang w:eastAsia="en-US"/>
                <w14:ligatures w14:val="standard"/>
              </w:rPr>
              <w:fldChar w:fldCharType="end"/>
            </w:r>
          </w:hyperlink>
        </w:p>
        <w:p w14:paraId="5E5F69D8" w14:textId="212E4C73" w:rsidR="008949C1" w:rsidRPr="008949C1" w:rsidRDefault="00255D3B" w:rsidP="008949C1">
          <w:pPr>
            <w:tabs>
              <w:tab w:val="right" w:leader="dot" w:pos="9350"/>
            </w:tabs>
            <w:spacing w:after="0" w:line="360" w:lineRule="auto"/>
            <w:ind w:left="240"/>
            <w:jc w:val="both"/>
            <w:rPr>
              <w:rFonts w:ascii="Calibri" w:eastAsia="SimSun" w:hAnsi="Calibri" w:cs="Vrinda"/>
              <w:noProof/>
              <w:lang w:eastAsia="en-US"/>
            </w:rPr>
          </w:pPr>
          <w:hyperlink w:anchor="_Toc94310385" w:history="1">
            <w:r w:rsidR="008949C1" w:rsidRPr="008949C1">
              <w:rPr>
                <w:rFonts w:ascii="Times New Roman" w:eastAsia="Calibri" w:hAnsi="Times New Roman" w:cs="Vrinda"/>
                <w:noProof/>
                <w:color w:val="0563C1"/>
                <w:kern w:val="2"/>
                <w:sz w:val="24"/>
                <w:u w:val="single"/>
                <w:lang w:eastAsia="en-US"/>
                <w14:ligatures w14:val="standard"/>
              </w:rPr>
              <w:t>2.1 Financial Trend analysis:</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_Toc94310385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7</w:t>
            </w:r>
            <w:r w:rsidR="008949C1" w:rsidRPr="008949C1">
              <w:rPr>
                <w:rFonts w:ascii="Times New Roman" w:eastAsia="Calibri" w:hAnsi="Times New Roman" w:cs="Vrinda"/>
                <w:noProof/>
                <w:webHidden/>
                <w:kern w:val="2"/>
                <w:sz w:val="24"/>
                <w:lang w:eastAsia="en-US"/>
                <w14:ligatures w14:val="standard"/>
              </w:rPr>
              <w:fldChar w:fldCharType="end"/>
            </w:r>
          </w:hyperlink>
        </w:p>
        <w:p w14:paraId="0D6C7E81" w14:textId="58CBACEB" w:rsidR="008949C1" w:rsidRPr="008949C1" w:rsidRDefault="00255D3B" w:rsidP="008949C1">
          <w:pPr>
            <w:tabs>
              <w:tab w:val="right" w:leader="dot" w:pos="9350"/>
            </w:tabs>
            <w:spacing w:after="0" w:line="360" w:lineRule="auto"/>
            <w:ind w:left="480"/>
            <w:jc w:val="both"/>
            <w:rPr>
              <w:rFonts w:ascii="Calibri" w:eastAsia="SimSun" w:hAnsi="Calibri" w:cs="Vrinda"/>
              <w:noProof/>
              <w:lang w:eastAsia="en-US"/>
            </w:rPr>
          </w:pPr>
          <w:hyperlink w:anchor="_Toc94310386" w:history="1">
            <w:r w:rsidR="008949C1" w:rsidRPr="008949C1">
              <w:rPr>
                <w:rFonts w:ascii="Times New Roman" w:eastAsia="Calibri" w:hAnsi="Times New Roman" w:cs="Times New Roman"/>
                <w:noProof/>
                <w:color w:val="0563C1"/>
                <w:kern w:val="2"/>
                <w:sz w:val="24"/>
                <w:u w:val="single"/>
                <w:lang w:eastAsia="en-US"/>
                <w14:ligatures w14:val="standard"/>
              </w:rPr>
              <w:t>Profitability ratios:</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_Toc94310386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7</w:t>
            </w:r>
            <w:r w:rsidR="008949C1" w:rsidRPr="008949C1">
              <w:rPr>
                <w:rFonts w:ascii="Times New Roman" w:eastAsia="Calibri" w:hAnsi="Times New Roman" w:cs="Vrinda"/>
                <w:noProof/>
                <w:webHidden/>
                <w:kern w:val="2"/>
                <w:sz w:val="24"/>
                <w:lang w:eastAsia="en-US"/>
                <w14:ligatures w14:val="standard"/>
              </w:rPr>
              <w:fldChar w:fldCharType="end"/>
            </w:r>
          </w:hyperlink>
        </w:p>
        <w:p w14:paraId="163DD815" w14:textId="09899030" w:rsidR="008949C1" w:rsidRPr="008949C1" w:rsidRDefault="00255D3B" w:rsidP="008949C1">
          <w:pPr>
            <w:tabs>
              <w:tab w:val="right" w:leader="dot" w:pos="9350"/>
            </w:tabs>
            <w:spacing w:after="0" w:line="360" w:lineRule="auto"/>
            <w:ind w:left="480"/>
            <w:jc w:val="both"/>
            <w:rPr>
              <w:rFonts w:ascii="Calibri" w:eastAsia="SimSun" w:hAnsi="Calibri" w:cs="Vrinda"/>
              <w:noProof/>
              <w:lang w:eastAsia="en-US"/>
            </w:rPr>
          </w:pPr>
          <w:hyperlink w:anchor="_Toc94310387" w:history="1">
            <w:r w:rsidR="008949C1" w:rsidRPr="008949C1">
              <w:rPr>
                <w:rFonts w:ascii="Times New Roman" w:eastAsia="Calibri" w:hAnsi="Times New Roman" w:cs="Times New Roman"/>
                <w:noProof/>
                <w:color w:val="0563C1"/>
                <w:kern w:val="2"/>
                <w:sz w:val="24"/>
                <w:u w:val="single"/>
                <w:lang w:eastAsia="en-US"/>
                <w14:ligatures w14:val="standard"/>
              </w:rPr>
              <w:t>Liquidity ratios:</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_Toc94310387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7</w:t>
            </w:r>
            <w:r w:rsidR="008949C1" w:rsidRPr="008949C1">
              <w:rPr>
                <w:rFonts w:ascii="Times New Roman" w:eastAsia="Calibri" w:hAnsi="Times New Roman" w:cs="Vrinda"/>
                <w:noProof/>
                <w:webHidden/>
                <w:kern w:val="2"/>
                <w:sz w:val="24"/>
                <w:lang w:eastAsia="en-US"/>
                <w14:ligatures w14:val="standard"/>
              </w:rPr>
              <w:fldChar w:fldCharType="end"/>
            </w:r>
          </w:hyperlink>
        </w:p>
        <w:p w14:paraId="5D976077" w14:textId="61490A0A" w:rsidR="008949C1" w:rsidRPr="008949C1" w:rsidRDefault="00255D3B" w:rsidP="008949C1">
          <w:pPr>
            <w:tabs>
              <w:tab w:val="right" w:leader="dot" w:pos="9350"/>
            </w:tabs>
            <w:spacing w:after="0" w:line="360" w:lineRule="auto"/>
            <w:ind w:left="480"/>
            <w:jc w:val="both"/>
            <w:rPr>
              <w:rFonts w:ascii="Calibri" w:eastAsia="SimSun" w:hAnsi="Calibri" w:cs="Vrinda"/>
              <w:noProof/>
              <w:lang w:eastAsia="en-US"/>
            </w:rPr>
          </w:pPr>
          <w:hyperlink w:anchor="_Toc94310388" w:history="1">
            <w:r w:rsidR="008949C1" w:rsidRPr="008949C1">
              <w:rPr>
                <w:rFonts w:ascii="Times New Roman" w:eastAsia="Calibri" w:hAnsi="Times New Roman" w:cs="Times New Roman"/>
                <w:noProof/>
                <w:color w:val="0563C1"/>
                <w:kern w:val="2"/>
                <w:sz w:val="24"/>
                <w:u w:val="single"/>
                <w:lang w:eastAsia="en-US"/>
                <w14:ligatures w14:val="standard"/>
              </w:rPr>
              <w:t>Gearing Ratios</w:t>
            </w:r>
            <w:r w:rsidR="008949C1" w:rsidRPr="008949C1">
              <w:rPr>
                <w:rFonts w:ascii="Times New Roman" w:eastAsia="Calibri" w:hAnsi="Times New Roman" w:cs="Times New Roman"/>
                <w:bCs/>
                <w:noProof/>
                <w:color w:val="0563C1"/>
                <w:kern w:val="2"/>
                <w:sz w:val="24"/>
                <w:u w:val="single"/>
                <w:lang w:eastAsia="en-US"/>
                <w14:ligatures w14:val="standard"/>
              </w:rPr>
              <w:t>:</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_Toc94310388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8</w:t>
            </w:r>
            <w:r w:rsidR="008949C1" w:rsidRPr="008949C1">
              <w:rPr>
                <w:rFonts w:ascii="Times New Roman" w:eastAsia="Calibri" w:hAnsi="Times New Roman" w:cs="Vrinda"/>
                <w:noProof/>
                <w:webHidden/>
                <w:kern w:val="2"/>
                <w:sz w:val="24"/>
                <w:lang w:eastAsia="en-US"/>
                <w14:ligatures w14:val="standard"/>
              </w:rPr>
              <w:fldChar w:fldCharType="end"/>
            </w:r>
          </w:hyperlink>
        </w:p>
        <w:p w14:paraId="135C8FF9" w14:textId="59C3EEE6"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389" w:history="1">
            <w:r w:rsidR="008949C1" w:rsidRPr="008949C1">
              <w:rPr>
                <w:rFonts w:ascii="Times New Roman" w:eastAsia="Calibri" w:hAnsi="Times New Roman" w:cs="Vrinda"/>
                <w:noProof/>
                <w:color w:val="0563C1"/>
                <w:kern w:val="2"/>
                <w:sz w:val="24"/>
                <w:u w:val="single"/>
                <w:lang w:eastAsia="en-US"/>
                <w14:ligatures w14:val="standard"/>
              </w:rPr>
              <w:t>3.0 Importance of understanding ratios and their fluctuations in hotel business</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_Toc94310389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8</w:t>
            </w:r>
            <w:r w:rsidR="008949C1" w:rsidRPr="008949C1">
              <w:rPr>
                <w:rFonts w:ascii="Times New Roman" w:eastAsia="Calibri" w:hAnsi="Times New Roman" w:cs="Vrinda"/>
                <w:noProof/>
                <w:webHidden/>
                <w:kern w:val="2"/>
                <w:sz w:val="24"/>
                <w:lang w:eastAsia="en-US"/>
                <w14:ligatures w14:val="standard"/>
              </w:rPr>
              <w:fldChar w:fldCharType="end"/>
            </w:r>
          </w:hyperlink>
        </w:p>
        <w:p w14:paraId="610BF5A8" w14:textId="34FAFE12"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390" w:history="1">
            <w:r w:rsidR="008949C1" w:rsidRPr="008949C1">
              <w:rPr>
                <w:rFonts w:ascii="Times New Roman" w:eastAsia="Calibri" w:hAnsi="Times New Roman" w:cs="Vrinda"/>
                <w:noProof/>
                <w:color w:val="0563C1"/>
                <w:kern w:val="2"/>
                <w:sz w:val="24"/>
                <w:u w:val="single"/>
                <w:lang w:eastAsia="en-US"/>
                <w14:ligatures w14:val="standard"/>
              </w:rPr>
              <w:t>4.0 Benefits and limitations of ratios:</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_Toc94310390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9</w:t>
            </w:r>
            <w:r w:rsidR="008949C1" w:rsidRPr="008949C1">
              <w:rPr>
                <w:rFonts w:ascii="Times New Roman" w:eastAsia="Calibri" w:hAnsi="Times New Roman" w:cs="Vrinda"/>
                <w:noProof/>
                <w:webHidden/>
                <w:kern w:val="2"/>
                <w:sz w:val="24"/>
                <w:lang w:eastAsia="en-US"/>
                <w14:ligatures w14:val="standard"/>
              </w:rPr>
              <w:fldChar w:fldCharType="end"/>
            </w:r>
          </w:hyperlink>
        </w:p>
        <w:p w14:paraId="22DC22B2" w14:textId="26A22A9A"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391" w:history="1">
            <w:r w:rsidR="008949C1" w:rsidRPr="008949C1">
              <w:rPr>
                <w:rFonts w:ascii="Times New Roman" w:eastAsia="Calibri" w:hAnsi="Times New Roman" w:cs="Vrinda"/>
                <w:noProof/>
                <w:color w:val="0563C1"/>
                <w:kern w:val="2"/>
                <w:sz w:val="24"/>
                <w:u w:val="single"/>
                <w:lang w:eastAsia="en-US"/>
                <w14:ligatures w14:val="standard"/>
              </w:rPr>
              <w:t>5.0 Conclusion:</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_Toc94310391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11</w:t>
            </w:r>
            <w:r w:rsidR="008949C1" w:rsidRPr="008949C1">
              <w:rPr>
                <w:rFonts w:ascii="Times New Roman" w:eastAsia="Calibri" w:hAnsi="Times New Roman" w:cs="Vrinda"/>
                <w:noProof/>
                <w:webHidden/>
                <w:kern w:val="2"/>
                <w:sz w:val="24"/>
                <w:lang w:eastAsia="en-US"/>
                <w14:ligatures w14:val="standard"/>
              </w:rPr>
              <w:fldChar w:fldCharType="end"/>
            </w:r>
          </w:hyperlink>
        </w:p>
        <w:p w14:paraId="722BD962" w14:textId="2F175693"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392" w:history="1">
            <w:r w:rsidR="008949C1" w:rsidRPr="008949C1">
              <w:rPr>
                <w:rFonts w:ascii="Times New Roman" w:eastAsia="Calibri" w:hAnsi="Times New Roman" w:cs="Vrinda"/>
                <w:noProof/>
                <w:color w:val="0563C1"/>
                <w:kern w:val="2"/>
                <w:sz w:val="24"/>
                <w:u w:val="single"/>
                <w:lang w:eastAsia="en-US"/>
                <w14:ligatures w14:val="standard"/>
              </w:rPr>
              <w:t>6.0 References:</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_Toc94310392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12</w:t>
            </w:r>
            <w:r w:rsidR="008949C1" w:rsidRPr="008949C1">
              <w:rPr>
                <w:rFonts w:ascii="Times New Roman" w:eastAsia="Calibri" w:hAnsi="Times New Roman" w:cs="Vrinda"/>
                <w:noProof/>
                <w:webHidden/>
                <w:kern w:val="2"/>
                <w:sz w:val="24"/>
                <w:lang w:eastAsia="en-US"/>
                <w14:ligatures w14:val="standard"/>
              </w:rPr>
              <w:fldChar w:fldCharType="end"/>
            </w:r>
          </w:hyperlink>
        </w:p>
        <w:p w14:paraId="173F72D3" w14:textId="77777777" w:rsidR="008949C1" w:rsidRPr="008949C1" w:rsidRDefault="008949C1" w:rsidP="008949C1">
          <w:pPr>
            <w:spacing w:after="0" w:line="360" w:lineRule="auto"/>
            <w:jc w:val="both"/>
            <w:rPr>
              <w:rFonts w:ascii="Times New Roman" w:eastAsia="Calibri" w:hAnsi="Times New Roman" w:cs="Vrinda"/>
              <w:kern w:val="2"/>
              <w:sz w:val="24"/>
              <w:lang w:eastAsia="en-US"/>
              <w14:ligatures w14:val="standard"/>
            </w:rPr>
          </w:pPr>
          <w:r w:rsidRPr="008949C1">
            <w:rPr>
              <w:rFonts w:ascii="Times New Roman" w:eastAsia="Calibri" w:hAnsi="Times New Roman" w:cs="Vrinda"/>
              <w:b/>
              <w:bCs/>
              <w:noProof/>
              <w:kern w:val="2"/>
              <w:sz w:val="24"/>
              <w:lang w:eastAsia="en-US"/>
              <w14:ligatures w14:val="standard"/>
            </w:rPr>
            <w:fldChar w:fldCharType="end"/>
          </w:r>
        </w:p>
      </w:sdtContent>
    </w:sdt>
    <w:p w14:paraId="7824C39E"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r w:rsidRPr="008949C1">
        <w:rPr>
          <w:rFonts w:ascii="Times New Roman" w:eastAsia="Calibri" w:hAnsi="Times New Roman" w:cs="Vrinda"/>
          <w:b/>
          <w:bCs/>
          <w:kern w:val="2"/>
          <w:sz w:val="28"/>
          <w:szCs w:val="24"/>
          <w:lang w:eastAsia="en-US"/>
          <w14:ligatures w14:val="standard"/>
        </w:rPr>
        <w:t>List of figures:</w:t>
      </w:r>
    </w:p>
    <w:p w14:paraId="357182BB" w14:textId="2E836951" w:rsidR="008949C1" w:rsidRPr="008949C1" w:rsidRDefault="008949C1" w:rsidP="008949C1">
      <w:pPr>
        <w:tabs>
          <w:tab w:val="right" w:leader="dot" w:pos="9350"/>
        </w:tabs>
        <w:spacing w:after="0" w:line="360" w:lineRule="auto"/>
        <w:jc w:val="both"/>
        <w:rPr>
          <w:rFonts w:ascii="Calibri" w:eastAsia="SimSun" w:hAnsi="Calibri" w:cs="Vrinda"/>
          <w:noProof/>
          <w:lang w:eastAsia="en-US"/>
        </w:rPr>
      </w:pPr>
      <w:r w:rsidRPr="008949C1">
        <w:rPr>
          <w:rFonts w:ascii="Times New Roman" w:eastAsia="Calibri" w:hAnsi="Times New Roman" w:cs="Vrinda"/>
          <w:kern w:val="2"/>
          <w:sz w:val="24"/>
          <w:lang w:eastAsia="en-US"/>
          <w14:ligatures w14:val="standard"/>
        </w:rPr>
        <w:fldChar w:fldCharType="begin"/>
      </w:r>
      <w:r w:rsidRPr="008949C1">
        <w:rPr>
          <w:rFonts w:ascii="Times New Roman" w:eastAsia="Calibri" w:hAnsi="Times New Roman" w:cs="Vrinda"/>
          <w:kern w:val="2"/>
          <w:sz w:val="24"/>
          <w:lang w:eastAsia="en-US"/>
          <w14:ligatures w14:val="standard"/>
        </w:rPr>
        <w:instrText xml:space="preserve"> TOC \h \z \c "Figure" </w:instrText>
      </w:r>
      <w:r w:rsidRPr="008949C1">
        <w:rPr>
          <w:rFonts w:ascii="Times New Roman" w:eastAsia="Calibri" w:hAnsi="Times New Roman" w:cs="Vrinda"/>
          <w:kern w:val="2"/>
          <w:sz w:val="24"/>
          <w:lang w:eastAsia="en-US"/>
          <w14:ligatures w14:val="standard"/>
        </w:rPr>
        <w:fldChar w:fldCharType="separate"/>
      </w:r>
      <w:hyperlink w:anchor="_Toc94310407" w:history="1">
        <w:r w:rsidRPr="008949C1">
          <w:rPr>
            <w:rFonts w:ascii="Times New Roman" w:eastAsia="Calibri" w:hAnsi="Times New Roman" w:cs="Times New Roman"/>
            <w:noProof/>
            <w:color w:val="0563C1"/>
            <w:kern w:val="2"/>
            <w:sz w:val="24"/>
            <w:u w:val="single"/>
            <w:lang w:eastAsia="en-US"/>
            <w14:ligatures w14:val="standard"/>
          </w:rPr>
          <w:t>Figure 1: Profitability ratios</w:t>
        </w:r>
        <w:r w:rsidRPr="008949C1">
          <w:rPr>
            <w:rFonts w:ascii="Times New Roman" w:eastAsia="Calibri" w:hAnsi="Times New Roman" w:cs="Vrinda"/>
            <w:noProof/>
            <w:webHidden/>
            <w:kern w:val="2"/>
            <w:sz w:val="24"/>
            <w:lang w:eastAsia="en-US"/>
            <w14:ligatures w14:val="standard"/>
          </w:rPr>
          <w:tab/>
        </w:r>
        <w:r w:rsidRPr="008949C1">
          <w:rPr>
            <w:rFonts w:ascii="Times New Roman" w:eastAsia="Calibri" w:hAnsi="Times New Roman" w:cs="Vrinda"/>
            <w:noProof/>
            <w:webHidden/>
            <w:kern w:val="2"/>
            <w:sz w:val="24"/>
            <w:lang w:eastAsia="en-US"/>
            <w14:ligatures w14:val="standard"/>
          </w:rPr>
          <w:fldChar w:fldCharType="begin"/>
        </w:r>
        <w:r w:rsidRPr="008949C1">
          <w:rPr>
            <w:rFonts w:ascii="Times New Roman" w:eastAsia="Calibri" w:hAnsi="Times New Roman" w:cs="Vrinda"/>
            <w:noProof/>
            <w:webHidden/>
            <w:kern w:val="2"/>
            <w:sz w:val="24"/>
            <w:lang w:eastAsia="en-US"/>
            <w14:ligatures w14:val="standard"/>
          </w:rPr>
          <w:instrText xml:space="preserve"> PAGEREF _Toc94310407 \h </w:instrText>
        </w:r>
        <w:r w:rsidRPr="008949C1">
          <w:rPr>
            <w:rFonts w:ascii="Times New Roman" w:eastAsia="Calibri" w:hAnsi="Times New Roman" w:cs="Vrinda"/>
            <w:noProof/>
            <w:webHidden/>
            <w:kern w:val="2"/>
            <w:sz w:val="24"/>
            <w:lang w:eastAsia="en-US"/>
            <w14:ligatures w14:val="standard"/>
          </w:rPr>
        </w:r>
        <w:r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5</w:t>
        </w:r>
        <w:r w:rsidRPr="008949C1">
          <w:rPr>
            <w:rFonts w:ascii="Times New Roman" w:eastAsia="Calibri" w:hAnsi="Times New Roman" w:cs="Vrinda"/>
            <w:noProof/>
            <w:webHidden/>
            <w:kern w:val="2"/>
            <w:sz w:val="24"/>
            <w:lang w:eastAsia="en-US"/>
            <w14:ligatures w14:val="standard"/>
          </w:rPr>
          <w:fldChar w:fldCharType="end"/>
        </w:r>
      </w:hyperlink>
    </w:p>
    <w:p w14:paraId="5EB0FD00" w14:textId="05B6C70E"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408" w:history="1">
        <w:r w:rsidR="008949C1" w:rsidRPr="008949C1">
          <w:rPr>
            <w:rFonts w:ascii="Times New Roman" w:eastAsia="Calibri" w:hAnsi="Times New Roman" w:cs="Times New Roman"/>
            <w:noProof/>
            <w:color w:val="0563C1"/>
            <w:kern w:val="2"/>
            <w:sz w:val="24"/>
            <w:u w:val="single"/>
            <w:lang w:eastAsia="en-US"/>
            <w14:ligatures w14:val="standard"/>
          </w:rPr>
          <w:t>Figure 2 Liquidity ratios</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_Toc94310408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6</w:t>
        </w:r>
        <w:r w:rsidR="008949C1" w:rsidRPr="008949C1">
          <w:rPr>
            <w:rFonts w:ascii="Times New Roman" w:eastAsia="Calibri" w:hAnsi="Times New Roman" w:cs="Vrinda"/>
            <w:noProof/>
            <w:webHidden/>
            <w:kern w:val="2"/>
            <w:sz w:val="24"/>
            <w:lang w:eastAsia="en-US"/>
            <w14:ligatures w14:val="standard"/>
          </w:rPr>
          <w:fldChar w:fldCharType="end"/>
        </w:r>
      </w:hyperlink>
    </w:p>
    <w:p w14:paraId="46E6C443" w14:textId="77777777" w:rsidR="008949C1" w:rsidRPr="008949C1" w:rsidRDefault="008949C1" w:rsidP="008949C1">
      <w:pPr>
        <w:rPr>
          <w:rFonts w:ascii="Times New Roman" w:eastAsia="Calibri" w:hAnsi="Times New Roman" w:cs="Vrinda"/>
          <w:b/>
          <w:bCs/>
          <w:kern w:val="2"/>
          <w:sz w:val="28"/>
          <w:szCs w:val="24"/>
          <w:lang w:eastAsia="en-US"/>
          <w14:ligatures w14:val="standard"/>
        </w:rPr>
      </w:pPr>
      <w:r w:rsidRPr="008949C1">
        <w:rPr>
          <w:rFonts w:ascii="Times New Roman" w:eastAsia="Calibri" w:hAnsi="Times New Roman" w:cs="Vrinda"/>
          <w:kern w:val="2"/>
          <w:sz w:val="24"/>
          <w:lang w:eastAsia="en-US"/>
          <w14:ligatures w14:val="standard"/>
        </w:rPr>
        <w:fldChar w:fldCharType="end"/>
      </w:r>
      <w:r w:rsidRPr="008949C1">
        <w:rPr>
          <w:rFonts w:ascii="Times New Roman" w:eastAsia="Calibri" w:hAnsi="Times New Roman" w:cs="Vrinda"/>
          <w:b/>
          <w:bCs/>
          <w:kern w:val="2"/>
          <w:sz w:val="28"/>
          <w:szCs w:val="24"/>
          <w:lang w:eastAsia="en-US"/>
          <w14:ligatures w14:val="standard"/>
        </w:rPr>
        <w:t>List of Tables:</w:t>
      </w:r>
    </w:p>
    <w:p w14:paraId="1E042153" w14:textId="0ABBBB03" w:rsidR="008949C1" w:rsidRPr="008949C1" w:rsidRDefault="008949C1" w:rsidP="008949C1">
      <w:pPr>
        <w:tabs>
          <w:tab w:val="right" w:leader="dot" w:pos="9350"/>
        </w:tabs>
        <w:spacing w:after="0" w:line="360" w:lineRule="auto"/>
        <w:jc w:val="both"/>
        <w:rPr>
          <w:rFonts w:ascii="Calibri" w:eastAsia="SimSun" w:hAnsi="Calibri" w:cs="Vrinda"/>
          <w:noProof/>
          <w:lang w:eastAsia="en-US"/>
        </w:rPr>
      </w:pPr>
      <w:r w:rsidRPr="008949C1">
        <w:rPr>
          <w:rFonts w:ascii="Times New Roman" w:eastAsia="Calibri" w:hAnsi="Times New Roman" w:cs="Vrinda"/>
          <w:kern w:val="2"/>
          <w:sz w:val="24"/>
          <w:lang w:eastAsia="en-US"/>
          <w14:ligatures w14:val="standard"/>
        </w:rPr>
        <w:fldChar w:fldCharType="begin"/>
      </w:r>
      <w:r w:rsidRPr="008949C1">
        <w:rPr>
          <w:rFonts w:ascii="Times New Roman" w:eastAsia="Calibri" w:hAnsi="Times New Roman" w:cs="Vrinda"/>
          <w:kern w:val="2"/>
          <w:sz w:val="24"/>
          <w:lang w:eastAsia="en-US"/>
          <w14:ligatures w14:val="standard"/>
        </w:rPr>
        <w:instrText xml:space="preserve"> TOC \h \z \c "Table" </w:instrText>
      </w:r>
      <w:r w:rsidRPr="008949C1">
        <w:rPr>
          <w:rFonts w:ascii="Times New Roman" w:eastAsia="Calibri" w:hAnsi="Times New Roman" w:cs="Vrinda"/>
          <w:kern w:val="2"/>
          <w:sz w:val="24"/>
          <w:lang w:eastAsia="en-US"/>
          <w14:ligatures w14:val="standard"/>
        </w:rPr>
        <w:fldChar w:fldCharType="separate"/>
      </w:r>
      <w:hyperlink w:anchor="_Toc94310423" w:history="1">
        <w:r w:rsidRPr="008949C1">
          <w:rPr>
            <w:rFonts w:ascii="Times New Roman" w:eastAsia="Calibri" w:hAnsi="Times New Roman" w:cs="Times New Roman"/>
            <w:noProof/>
            <w:color w:val="0563C1"/>
            <w:kern w:val="2"/>
            <w:sz w:val="24"/>
            <w:u w:val="single"/>
            <w:lang w:eastAsia="en-US"/>
            <w14:ligatures w14:val="standard"/>
          </w:rPr>
          <w:t>Table 1: Profitability Ratios Calculations</w:t>
        </w:r>
        <w:r w:rsidRPr="008949C1">
          <w:rPr>
            <w:rFonts w:ascii="Times New Roman" w:eastAsia="Calibri" w:hAnsi="Times New Roman" w:cs="Vrinda"/>
            <w:noProof/>
            <w:webHidden/>
            <w:kern w:val="2"/>
            <w:sz w:val="24"/>
            <w:lang w:eastAsia="en-US"/>
            <w14:ligatures w14:val="standard"/>
          </w:rPr>
          <w:tab/>
        </w:r>
        <w:r w:rsidRPr="008949C1">
          <w:rPr>
            <w:rFonts w:ascii="Times New Roman" w:eastAsia="Calibri" w:hAnsi="Times New Roman" w:cs="Vrinda"/>
            <w:noProof/>
            <w:webHidden/>
            <w:kern w:val="2"/>
            <w:sz w:val="24"/>
            <w:lang w:eastAsia="en-US"/>
            <w14:ligatures w14:val="standard"/>
          </w:rPr>
          <w:fldChar w:fldCharType="begin"/>
        </w:r>
        <w:r w:rsidRPr="008949C1">
          <w:rPr>
            <w:rFonts w:ascii="Times New Roman" w:eastAsia="Calibri" w:hAnsi="Times New Roman" w:cs="Vrinda"/>
            <w:noProof/>
            <w:webHidden/>
            <w:kern w:val="2"/>
            <w:sz w:val="24"/>
            <w:lang w:eastAsia="en-US"/>
            <w14:ligatures w14:val="standard"/>
          </w:rPr>
          <w:instrText xml:space="preserve"> PAGEREF _Toc94310423 \h </w:instrText>
        </w:r>
        <w:r w:rsidRPr="008949C1">
          <w:rPr>
            <w:rFonts w:ascii="Times New Roman" w:eastAsia="Calibri" w:hAnsi="Times New Roman" w:cs="Vrinda"/>
            <w:noProof/>
            <w:webHidden/>
            <w:kern w:val="2"/>
            <w:sz w:val="24"/>
            <w:lang w:eastAsia="en-US"/>
            <w14:ligatures w14:val="standard"/>
          </w:rPr>
        </w:r>
        <w:r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5</w:t>
        </w:r>
        <w:r w:rsidRPr="008949C1">
          <w:rPr>
            <w:rFonts w:ascii="Times New Roman" w:eastAsia="Calibri" w:hAnsi="Times New Roman" w:cs="Vrinda"/>
            <w:noProof/>
            <w:webHidden/>
            <w:kern w:val="2"/>
            <w:sz w:val="24"/>
            <w:lang w:eastAsia="en-US"/>
            <w14:ligatures w14:val="standard"/>
          </w:rPr>
          <w:fldChar w:fldCharType="end"/>
        </w:r>
      </w:hyperlink>
    </w:p>
    <w:p w14:paraId="1F7F1E9B" w14:textId="6FAE7A13"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424" w:history="1">
        <w:r w:rsidR="008949C1" w:rsidRPr="008949C1">
          <w:rPr>
            <w:rFonts w:ascii="Times New Roman" w:eastAsia="Calibri" w:hAnsi="Times New Roman" w:cs="Times New Roman"/>
            <w:noProof/>
            <w:color w:val="0563C1"/>
            <w:kern w:val="2"/>
            <w:sz w:val="24"/>
            <w:u w:val="single"/>
            <w:lang w:eastAsia="en-US"/>
            <w14:ligatures w14:val="standard"/>
          </w:rPr>
          <w:t>Table 2: Liquidity Ratios</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_Toc94310424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6</w:t>
        </w:r>
        <w:r w:rsidR="008949C1" w:rsidRPr="008949C1">
          <w:rPr>
            <w:rFonts w:ascii="Times New Roman" w:eastAsia="Calibri" w:hAnsi="Times New Roman" w:cs="Vrinda"/>
            <w:noProof/>
            <w:webHidden/>
            <w:kern w:val="2"/>
            <w:sz w:val="24"/>
            <w:lang w:eastAsia="en-US"/>
            <w14:ligatures w14:val="standard"/>
          </w:rPr>
          <w:fldChar w:fldCharType="end"/>
        </w:r>
      </w:hyperlink>
    </w:p>
    <w:p w14:paraId="6AC5F5A6" w14:textId="4FFE9DCB"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425" w:history="1">
        <w:r w:rsidR="008949C1" w:rsidRPr="008949C1">
          <w:rPr>
            <w:rFonts w:ascii="Times New Roman" w:eastAsia="Calibri" w:hAnsi="Times New Roman" w:cs="Times New Roman"/>
            <w:noProof/>
            <w:color w:val="0563C1"/>
            <w:kern w:val="2"/>
            <w:sz w:val="24"/>
            <w:u w:val="single"/>
            <w:lang w:eastAsia="en-US"/>
            <w14:ligatures w14:val="standard"/>
          </w:rPr>
          <w:t>Table 3: Gearing Ratio</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_Toc94310425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6</w:t>
        </w:r>
        <w:r w:rsidR="008949C1" w:rsidRPr="008949C1">
          <w:rPr>
            <w:rFonts w:ascii="Times New Roman" w:eastAsia="Calibri" w:hAnsi="Times New Roman" w:cs="Vrinda"/>
            <w:noProof/>
            <w:webHidden/>
            <w:kern w:val="2"/>
            <w:sz w:val="24"/>
            <w:lang w:eastAsia="en-US"/>
            <w14:ligatures w14:val="standard"/>
          </w:rPr>
          <w:fldChar w:fldCharType="end"/>
        </w:r>
      </w:hyperlink>
    </w:p>
    <w:p w14:paraId="476DDD3C" w14:textId="53C02D15"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426" w:history="1">
        <w:r w:rsidR="008949C1" w:rsidRPr="008949C1">
          <w:rPr>
            <w:rFonts w:ascii="Times New Roman" w:eastAsia="Calibri" w:hAnsi="Times New Roman" w:cs="Times New Roman"/>
            <w:noProof/>
            <w:color w:val="0563C1"/>
            <w:kern w:val="2"/>
            <w:sz w:val="24"/>
            <w:u w:val="single"/>
            <w:lang w:eastAsia="en-US"/>
            <w14:ligatures w14:val="standard"/>
          </w:rPr>
          <w:t>Table 4: Profitability ratios comparison</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_Toc94310426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7</w:t>
        </w:r>
        <w:r w:rsidR="008949C1" w:rsidRPr="008949C1">
          <w:rPr>
            <w:rFonts w:ascii="Times New Roman" w:eastAsia="Calibri" w:hAnsi="Times New Roman" w:cs="Vrinda"/>
            <w:noProof/>
            <w:webHidden/>
            <w:kern w:val="2"/>
            <w:sz w:val="24"/>
            <w:lang w:eastAsia="en-US"/>
            <w14:ligatures w14:val="standard"/>
          </w:rPr>
          <w:fldChar w:fldCharType="end"/>
        </w:r>
      </w:hyperlink>
    </w:p>
    <w:p w14:paraId="5CCD316B" w14:textId="08A7E575"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427" w:history="1">
        <w:r w:rsidR="008949C1" w:rsidRPr="008949C1">
          <w:rPr>
            <w:rFonts w:ascii="Times New Roman" w:eastAsia="Calibri" w:hAnsi="Times New Roman" w:cs="Times New Roman"/>
            <w:noProof/>
            <w:color w:val="0563C1"/>
            <w:kern w:val="2"/>
            <w:sz w:val="24"/>
            <w:u w:val="single"/>
            <w:lang w:eastAsia="en-US"/>
            <w14:ligatures w14:val="standard"/>
          </w:rPr>
          <w:t>Table 5: Liquidity ratios Comparison</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_Toc94310427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7</w:t>
        </w:r>
        <w:r w:rsidR="008949C1" w:rsidRPr="008949C1">
          <w:rPr>
            <w:rFonts w:ascii="Times New Roman" w:eastAsia="Calibri" w:hAnsi="Times New Roman" w:cs="Vrinda"/>
            <w:noProof/>
            <w:webHidden/>
            <w:kern w:val="2"/>
            <w:sz w:val="24"/>
            <w:lang w:eastAsia="en-US"/>
            <w14:ligatures w14:val="standard"/>
          </w:rPr>
          <w:fldChar w:fldCharType="end"/>
        </w:r>
      </w:hyperlink>
    </w:p>
    <w:p w14:paraId="46EDC1EB" w14:textId="0A4FC7D4"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428" w:history="1">
        <w:r w:rsidR="008949C1" w:rsidRPr="008949C1">
          <w:rPr>
            <w:rFonts w:ascii="Times New Roman" w:eastAsia="Calibri" w:hAnsi="Times New Roman" w:cs="Times New Roman"/>
            <w:noProof/>
            <w:color w:val="0563C1"/>
            <w:kern w:val="2"/>
            <w:sz w:val="24"/>
            <w:u w:val="single"/>
            <w:lang w:eastAsia="en-US"/>
            <w14:ligatures w14:val="standard"/>
          </w:rPr>
          <w:t>Table 6: Gearing ratio Comparison</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_Toc94310428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8</w:t>
        </w:r>
        <w:r w:rsidR="008949C1" w:rsidRPr="008949C1">
          <w:rPr>
            <w:rFonts w:ascii="Times New Roman" w:eastAsia="Calibri" w:hAnsi="Times New Roman" w:cs="Vrinda"/>
            <w:noProof/>
            <w:webHidden/>
            <w:kern w:val="2"/>
            <w:sz w:val="24"/>
            <w:lang w:eastAsia="en-US"/>
            <w14:ligatures w14:val="standard"/>
          </w:rPr>
          <w:fldChar w:fldCharType="end"/>
        </w:r>
      </w:hyperlink>
    </w:p>
    <w:p w14:paraId="2A352B5D" w14:textId="0BF04716" w:rsidR="008949C1" w:rsidRPr="008949C1" w:rsidRDefault="00255D3B" w:rsidP="008949C1">
      <w:pPr>
        <w:tabs>
          <w:tab w:val="right" w:leader="dot" w:pos="9350"/>
        </w:tabs>
        <w:spacing w:after="0" w:line="360" w:lineRule="auto"/>
        <w:jc w:val="both"/>
        <w:rPr>
          <w:rFonts w:ascii="Calibri" w:eastAsia="SimSun" w:hAnsi="Calibri" w:cs="Vrinda"/>
          <w:noProof/>
          <w:lang w:eastAsia="en-US"/>
        </w:rPr>
      </w:pPr>
      <w:hyperlink w:anchor="_Toc94310429" w:history="1">
        <w:r w:rsidR="008949C1" w:rsidRPr="008949C1">
          <w:rPr>
            <w:rFonts w:ascii="Times New Roman" w:eastAsia="Calibri" w:hAnsi="Times New Roman" w:cs="Times New Roman"/>
            <w:noProof/>
            <w:color w:val="0563C1"/>
            <w:kern w:val="2"/>
            <w:sz w:val="24"/>
            <w:u w:val="single"/>
            <w:lang w:eastAsia="en-US"/>
            <w14:ligatures w14:val="standard"/>
          </w:rPr>
          <w:t>Table 7: Benefits and Limitations of Ratio analysis</w:t>
        </w:r>
        <w:r w:rsidR="008949C1" w:rsidRPr="008949C1">
          <w:rPr>
            <w:rFonts w:ascii="Times New Roman" w:eastAsia="Calibri" w:hAnsi="Times New Roman" w:cs="Vrinda"/>
            <w:noProof/>
            <w:webHidden/>
            <w:kern w:val="2"/>
            <w:sz w:val="24"/>
            <w:lang w:eastAsia="en-US"/>
            <w14:ligatures w14:val="standard"/>
          </w:rPr>
          <w:tab/>
        </w:r>
        <w:r w:rsidR="008949C1" w:rsidRPr="008949C1">
          <w:rPr>
            <w:rFonts w:ascii="Times New Roman" w:eastAsia="Calibri" w:hAnsi="Times New Roman" w:cs="Vrinda"/>
            <w:noProof/>
            <w:webHidden/>
            <w:kern w:val="2"/>
            <w:sz w:val="24"/>
            <w:lang w:eastAsia="en-US"/>
            <w14:ligatures w14:val="standard"/>
          </w:rPr>
          <w:fldChar w:fldCharType="begin"/>
        </w:r>
        <w:r w:rsidR="008949C1" w:rsidRPr="008949C1">
          <w:rPr>
            <w:rFonts w:ascii="Times New Roman" w:eastAsia="Calibri" w:hAnsi="Times New Roman" w:cs="Vrinda"/>
            <w:noProof/>
            <w:webHidden/>
            <w:kern w:val="2"/>
            <w:sz w:val="24"/>
            <w:lang w:eastAsia="en-US"/>
            <w14:ligatures w14:val="standard"/>
          </w:rPr>
          <w:instrText xml:space="preserve"> PAGEREF _Toc94310429 \h </w:instrText>
        </w:r>
        <w:r w:rsidR="008949C1" w:rsidRPr="008949C1">
          <w:rPr>
            <w:rFonts w:ascii="Times New Roman" w:eastAsia="Calibri" w:hAnsi="Times New Roman" w:cs="Vrinda"/>
            <w:noProof/>
            <w:webHidden/>
            <w:kern w:val="2"/>
            <w:sz w:val="24"/>
            <w:lang w:eastAsia="en-US"/>
            <w14:ligatures w14:val="standard"/>
          </w:rPr>
        </w:r>
        <w:r w:rsidR="008949C1" w:rsidRPr="008949C1">
          <w:rPr>
            <w:rFonts w:ascii="Times New Roman" w:eastAsia="Calibri" w:hAnsi="Times New Roman" w:cs="Vrinda"/>
            <w:noProof/>
            <w:webHidden/>
            <w:kern w:val="2"/>
            <w:sz w:val="24"/>
            <w:lang w:eastAsia="en-US"/>
            <w14:ligatures w14:val="standard"/>
          </w:rPr>
          <w:fldChar w:fldCharType="separate"/>
        </w:r>
        <w:r w:rsidR="00F611C6">
          <w:rPr>
            <w:rFonts w:ascii="Times New Roman" w:eastAsia="Calibri" w:hAnsi="Times New Roman" w:cs="Vrinda"/>
            <w:noProof/>
            <w:webHidden/>
            <w:kern w:val="2"/>
            <w:sz w:val="24"/>
            <w:lang w:eastAsia="en-US"/>
            <w14:ligatures w14:val="standard"/>
          </w:rPr>
          <w:t>10</w:t>
        </w:r>
        <w:r w:rsidR="008949C1" w:rsidRPr="008949C1">
          <w:rPr>
            <w:rFonts w:ascii="Times New Roman" w:eastAsia="Calibri" w:hAnsi="Times New Roman" w:cs="Vrinda"/>
            <w:noProof/>
            <w:webHidden/>
            <w:kern w:val="2"/>
            <w:sz w:val="24"/>
            <w:lang w:eastAsia="en-US"/>
            <w14:ligatures w14:val="standard"/>
          </w:rPr>
          <w:fldChar w:fldCharType="end"/>
        </w:r>
      </w:hyperlink>
    </w:p>
    <w:p w14:paraId="54CD6434" w14:textId="77777777" w:rsidR="008949C1" w:rsidRPr="008949C1" w:rsidRDefault="008949C1" w:rsidP="008949C1">
      <w:pPr>
        <w:spacing w:line="360" w:lineRule="auto"/>
        <w:jc w:val="both"/>
        <w:rPr>
          <w:rFonts w:ascii="Times New Roman" w:eastAsia="Calibri" w:hAnsi="Times New Roman" w:cs="Vrinda"/>
          <w:kern w:val="2"/>
          <w:sz w:val="24"/>
          <w:lang w:eastAsia="en-US"/>
          <w14:ligatures w14:val="standard"/>
        </w:rPr>
      </w:pPr>
      <w:r w:rsidRPr="008949C1">
        <w:rPr>
          <w:rFonts w:ascii="Times New Roman" w:eastAsia="Calibri" w:hAnsi="Times New Roman" w:cs="Vrinda"/>
          <w:kern w:val="2"/>
          <w:sz w:val="24"/>
          <w:lang w:eastAsia="en-US"/>
          <w14:ligatures w14:val="standard"/>
        </w:rPr>
        <w:fldChar w:fldCharType="end"/>
      </w:r>
    </w:p>
    <w:p w14:paraId="6689FB6D" w14:textId="77777777" w:rsidR="008949C1" w:rsidRPr="008949C1" w:rsidRDefault="008949C1" w:rsidP="008949C1">
      <w:pPr>
        <w:spacing w:line="240" w:lineRule="auto"/>
        <w:jc w:val="both"/>
        <w:rPr>
          <w:rFonts w:ascii="Times New Roman" w:eastAsia="Calibri" w:hAnsi="Times New Roman" w:cs="Vrinda"/>
          <w:kern w:val="2"/>
          <w:sz w:val="24"/>
          <w:lang w:eastAsia="en-US"/>
          <w14:ligatures w14:val="standard"/>
        </w:rPr>
      </w:pPr>
    </w:p>
    <w:p w14:paraId="567F6AF3" w14:textId="77777777" w:rsidR="008949C1" w:rsidRPr="008949C1" w:rsidRDefault="008949C1" w:rsidP="008949C1">
      <w:pPr>
        <w:spacing w:line="240" w:lineRule="auto"/>
        <w:jc w:val="both"/>
        <w:rPr>
          <w:rFonts w:ascii="Times New Roman" w:eastAsia="Calibri" w:hAnsi="Times New Roman" w:cs="Vrinda"/>
          <w:kern w:val="2"/>
          <w:sz w:val="24"/>
          <w:lang w:eastAsia="en-US"/>
          <w14:ligatures w14:val="standard"/>
        </w:rPr>
        <w:sectPr w:rsidR="008949C1" w:rsidRPr="008949C1" w:rsidSect="004851CD">
          <w:footerReference w:type="default" r:id="rId6"/>
          <w:pgSz w:w="12240" w:h="15840"/>
          <w:pgMar w:top="1440" w:right="1440" w:bottom="1440" w:left="1440" w:header="720" w:footer="720" w:gutter="0"/>
          <w:pgNumType w:fmt="lowerRoman" w:start="1"/>
          <w:cols w:space="720"/>
          <w:docGrid w:linePitch="360"/>
        </w:sectPr>
      </w:pPr>
    </w:p>
    <w:p w14:paraId="7136CAC2" w14:textId="77777777" w:rsidR="008949C1" w:rsidRPr="008949C1" w:rsidRDefault="008949C1" w:rsidP="008949C1">
      <w:pPr>
        <w:widowControl w:val="0"/>
        <w:autoSpaceDE w:val="0"/>
        <w:autoSpaceDN w:val="0"/>
        <w:spacing w:before="57" w:after="0" w:line="360" w:lineRule="auto"/>
        <w:ind w:right="2647"/>
        <w:outlineLvl w:val="0"/>
        <w:rPr>
          <w:rFonts w:ascii="Times New Roman" w:eastAsia="Times New Roman" w:hAnsi="Times New Roman" w:cs="Times New Roman"/>
          <w:b/>
          <w:bCs/>
          <w:sz w:val="28"/>
          <w:szCs w:val="32"/>
          <w:u w:color="000000"/>
          <w:lang w:eastAsia="en-US"/>
        </w:rPr>
      </w:pPr>
      <w:bookmarkStart w:id="1" w:name="_Toc94310380"/>
      <w:r w:rsidRPr="008949C1">
        <w:rPr>
          <w:rFonts w:ascii="Times New Roman" w:eastAsia="Times New Roman" w:hAnsi="Times New Roman" w:cs="Times New Roman"/>
          <w:b/>
          <w:bCs/>
          <w:sz w:val="28"/>
          <w:szCs w:val="32"/>
          <w:u w:color="000000"/>
          <w:lang w:eastAsia="en-US"/>
        </w:rPr>
        <w:lastRenderedPageBreak/>
        <w:t>1.0 Introduction:</w:t>
      </w:r>
      <w:bookmarkEnd w:id="1"/>
    </w:p>
    <w:p w14:paraId="5E0D768D" w14:textId="77777777" w:rsidR="008949C1" w:rsidRPr="008949C1" w:rsidRDefault="008949C1" w:rsidP="008949C1">
      <w:pPr>
        <w:spacing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szCs w:val="24"/>
          <w:lang w:eastAsia="en-US"/>
          <w14:ligatures w14:val="standard"/>
        </w:rPr>
        <w:t xml:space="preserve">An income statement and balance sheet can be used in ratio analysis to examine a company's liquidity, operational efficiency, and profitability. In order to assess a company's financial health, investors and analysts look at its past and present financial statements. A company's historical performance may be compared to its projected future performance using comparative data </w:t>
      </w:r>
      <w:r w:rsidRPr="008949C1">
        <w:rPr>
          <w:rFonts w:ascii="Times New Roman" w:eastAsia="Calibri" w:hAnsi="Times New Roman" w:cs="Times New Roman"/>
          <w:color w:val="000000"/>
          <w:kern w:val="2"/>
          <w:sz w:val="24"/>
          <w:szCs w:val="24"/>
          <w:shd w:val="clear" w:color="auto" w:fill="FFFFFF"/>
          <w:lang w:eastAsia="en-US"/>
          <w14:ligatures w14:val="standard"/>
        </w:rPr>
        <w:t>(La Rosa, 2021)</w:t>
      </w:r>
      <w:r w:rsidRPr="008949C1">
        <w:rPr>
          <w:rFonts w:ascii="Times New Roman" w:eastAsia="Calibri" w:hAnsi="Times New Roman" w:cs="Times New Roman"/>
          <w:kern w:val="2"/>
          <w:sz w:val="24"/>
          <w:szCs w:val="24"/>
          <w:lang w:eastAsia="en-US"/>
          <w14:ligatures w14:val="standard"/>
        </w:rPr>
        <w:t xml:space="preserve">. A firm 's financial health may also be compared to industry standards and compared to its rivals using this data. Hotel chain Jurys Inn maintains several properties in the United Kingdom and Northern Ireland. As an accountant of the U.K regions, I have been asked to prepare a report where </w:t>
      </w:r>
      <w:r w:rsidRPr="008949C1">
        <w:rPr>
          <w:rFonts w:ascii="Times New Roman" w:eastAsia="Calibri" w:hAnsi="Times New Roman" w:cs="Times New Roman"/>
          <w:b/>
          <w:bCs/>
          <w:kern w:val="2"/>
          <w:sz w:val="24"/>
          <w:szCs w:val="24"/>
          <w:lang w:eastAsia="en-US"/>
          <w14:ligatures w14:val="standard"/>
        </w:rPr>
        <w:t>profitability ratios, liquidity ratios, and gearing ratios</w:t>
      </w:r>
      <w:r w:rsidRPr="008949C1">
        <w:rPr>
          <w:rFonts w:ascii="Times New Roman" w:eastAsia="Calibri" w:hAnsi="Times New Roman" w:cs="Times New Roman"/>
          <w:kern w:val="2"/>
          <w:sz w:val="24"/>
          <w:szCs w:val="24"/>
          <w:lang w:eastAsia="en-US"/>
          <w14:ligatures w14:val="standard"/>
        </w:rPr>
        <w:t xml:space="preserve"> will be analysed for 2019 and 2020. Besides, financial trends will be analysed in this task. Moreover, the limitations and benefits of ratio analysis will be discussed in this task. </w:t>
      </w:r>
    </w:p>
    <w:p w14:paraId="4589E5A6" w14:textId="77777777" w:rsidR="008949C1" w:rsidRPr="008949C1" w:rsidRDefault="008949C1" w:rsidP="008949C1">
      <w:pPr>
        <w:rPr>
          <w:rFonts w:ascii="Times New Roman" w:eastAsia="Times New Roman" w:hAnsi="Times New Roman" w:cs="Times New Roman"/>
          <w:b/>
          <w:bCs/>
          <w:sz w:val="28"/>
          <w:szCs w:val="32"/>
          <w:u w:color="000000"/>
          <w:lang w:eastAsia="en-US"/>
        </w:rPr>
      </w:pPr>
      <w:r w:rsidRPr="008949C1">
        <w:rPr>
          <w:rFonts w:ascii="Times New Roman" w:eastAsia="Calibri" w:hAnsi="Times New Roman" w:cs="Times New Roman"/>
          <w:kern w:val="2"/>
          <w:sz w:val="24"/>
          <w:lang w:eastAsia="en-US"/>
          <w14:ligatures w14:val="standard"/>
        </w:rPr>
        <w:br w:type="page"/>
      </w:r>
    </w:p>
    <w:p w14:paraId="563BF6C2" w14:textId="77777777" w:rsidR="008949C1" w:rsidRPr="008949C1" w:rsidRDefault="008949C1" w:rsidP="008949C1">
      <w:pPr>
        <w:widowControl w:val="0"/>
        <w:autoSpaceDE w:val="0"/>
        <w:autoSpaceDN w:val="0"/>
        <w:spacing w:after="0" w:line="360" w:lineRule="auto"/>
        <w:ind w:right="2647"/>
        <w:outlineLvl w:val="0"/>
        <w:rPr>
          <w:rFonts w:ascii="Times New Roman" w:eastAsia="Times New Roman" w:hAnsi="Times New Roman" w:cs="Times New Roman"/>
          <w:b/>
          <w:bCs/>
          <w:sz w:val="28"/>
          <w:szCs w:val="32"/>
          <w:u w:color="000000"/>
          <w:lang w:eastAsia="en-US"/>
        </w:rPr>
      </w:pPr>
      <w:bookmarkStart w:id="2" w:name="_Toc94310381"/>
      <w:r w:rsidRPr="008949C1">
        <w:rPr>
          <w:rFonts w:ascii="Times New Roman" w:eastAsia="Times New Roman" w:hAnsi="Times New Roman" w:cs="Times New Roman"/>
          <w:b/>
          <w:bCs/>
          <w:sz w:val="28"/>
          <w:szCs w:val="32"/>
          <w:u w:color="000000"/>
          <w:lang w:eastAsia="en-US"/>
        </w:rPr>
        <w:lastRenderedPageBreak/>
        <w:t>2.0 Financial analysis:</w:t>
      </w:r>
      <w:bookmarkEnd w:id="2"/>
    </w:p>
    <w:p w14:paraId="55764811" w14:textId="77777777" w:rsidR="008949C1" w:rsidRPr="008949C1" w:rsidRDefault="008949C1" w:rsidP="008949C1">
      <w:pPr>
        <w:keepNext/>
        <w:keepLines/>
        <w:spacing w:before="40" w:after="0" w:line="360" w:lineRule="auto"/>
        <w:jc w:val="both"/>
        <w:outlineLvl w:val="2"/>
        <w:rPr>
          <w:rFonts w:ascii="Times New Roman" w:eastAsia="SimSun" w:hAnsi="Times New Roman" w:cs="Times New Roman"/>
          <w:b/>
          <w:kern w:val="2"/>
          <w:sz w:val="24"/>
          <w:szCs w:val="24"/>
          <w:lang w:eastAsia="en-US"/>
          <w14:ligatures w14:val="standard"/>
        </w:rPr>
      </w:pPr>
      <w:bookmarkStart w:id="3" w:name="_Toc94310382"/>
      <w:r w:rsidRPr="008949C1">
        <w:rPr>
          <w:rFonts w:ascii="Times New Roman" w:eastAsia="SimSun" w:hAnsi="Times New Roman" w:cs="Times New Roman"/>
          <w:b/>
          <w:kern w:val="2"/>
          <w:sz w:val="24"/>
          <w:szCs w:val="24"/>
          <w:lang w:eastAsia="en-US"/>
          <w14:ligatures w14:val="standard"/>
        </w:rPr>
        <w:t>Profitability ratios:</w:t>
      </w:r>
      <w:bookmarkEnd w:id="3"/>
    </w:p>
    <w:p w14:paraId="35B79AFA" w14:textId="77777777" w:rsidR="008949C1" w:rsidRPr="008949C1" w:rsidRDefault="008949C1" w:rsidP="008949C1">
      <w:pPr>
        <w:spacing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kern w:val="2"/>
          <w:sz w:val="24"/>
          <w:szCs w:val="24"/>
          <w:lang w:eastAsia="en-US"/>
          <w14:ligatures w14:val="standard"/>
        </w:rPr>
        <w:t>Long-term profitability is assessed using profitability ratios that take into account earnings, resources on the financial statements, operating costs, and equity in the overall organisation. Profitability and shareholder value may be shown through the effective utilization of a company’s resources. When it comes to sales profitability and cash flow, a better ratio or statistic implies that the company is performing well (</w:t>
      </w:r>
      <w:r w:rsidRPr="008949C1">
        <w:rPr>
          <w:rFonts w:ascii="Times New Roman" w:eastAsia="Calibri" w:hAnsi="Times New Roman" w:cs="Times New Roman"/>
          <w:color w:val="000000"/>
          <w:kern w:val="2"/>
          <w:sz w:val="24"/>
          <w:szCs w:val="24"/>
          <w:shd w:val="clear" w:color="auto" w:fill="FFFFFF"/>
          <w:lang w:eastAsia="en-US"/>
          <w14:ligatures w14:val="standard"/>
        </w:rPr>
        <w:t>Corporate Finance Institute, 2022)</w:t>
      </w:r>
      <w:r w:rsidRPr="008949C1">
        <w:rPr>
          <w:rFonts w:ascii="Times New Roman" w:eastAsia="Calibri" w:hAnsi="Times New Roman" w:cs="Times New Roman"/>
          <w:kern w:val="2"/>
          <w:sz w:val="24"/>
          <w:szCs w:val="24"/>
          <w:lang w:eastAsia="en-US"/>
          <w14:ligatures w14:val="standard"/>
        </w:rPr>
        <w:t>. When comparing a company to its peers or past times, the ratios are most beneficial. There are different types of profitability ratios. The following figure represents them:</w:t>
      </w:r>
    </w:p>
    <w:p w14:paraId="5FC14AC0" w14:textId="77777777" w:rsidR="008949C1" w:rsidRPr="008949C1" w:rsidRDefault="008949C1" w:rsidP="008949C1">
      <w:pPr>
        <w:keepNext/>
        <w:spacing w:line="360" w:lineRule="auto"/>
        <w:jc w:val="center"/>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noProof/>
          <w:kern w:val="2"/>
          <w:sz w:val="24"/>
          <w:lang w:eastAsia="en-US"/>
          <w14:ligatures w14:val="standard"/>
        </w:rPr>
        <w:drawing>
          <wp:inline distT="0" distB="0" distL="0" distR="0" wp14:anchorId="52DF746F" wp14:editId="6182B6A4">
            <wp:extent cx="2514600" cy="1760220"/>
            <wp:effectExtent l="0" t="0" r="0" b="0"/>
            <wp:docPr id="1" name="Picture 1" descr="What are Profitability Ratios? definition and meaning - Business Jarg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 are Profitability Ratios? definition and meaning - Business Jargons"/>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532169" cy="1772518"/>
                    </a:xfrm>
                    <a:prstGeom prst="rect">
                      <a:avLst/>
                    </a:prstGeom>
                    <a:noFill/>
                    <a:ln>
                      <a:noFill/>
                    </a:ln>
                  </pic:spPr>
                </pic:pic>
              </a:graphicData>
            </a:graphic>
          </wp:inline>
        </w:drawing>
      </w:r>
    </w:p>
    <w:p w14:paraId="155D911A" w14:textId="5570A8BE"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bookmarkStart w:id="4" w:name="_Toc94310407"/>
      <w:r w:rsidRPr="008949C1">
        <w:rPr>
          <w:rFonts w:ascii="Times New Roman" w:eastAsia="Calibri" w:hAnsi="Times New Roman" w:cs="Times New Roman"/>
          <w:b/>
          <w:bCs/>
          <w:kern w:val="2"/>
          <w:sz w:val="20"/>
          <w:szCs w:val="20"/>
          <w:lang w:eastAsia="en-US"/>
          <w14:ligatures w14:val="standard"/>
        </w:rPr>
        <w:t xml:space="preserve">Figure </w:t>
      </w:r>
      <w:r w:rsidRPr="008949C1">
        <w:rPr>
          <w:rFonts w:ascii="Times New Roman" w:eastAsia="Calibri" w:hAnsi="Times New Roman" w:cs="Times New Roman"/>
          <w:b/>
          <w:bCs/>
          <w:kern w:val="2"/>
          <w:sz w:val="20"/>
          <w:szCs w:val="20"/>
          <w:lang w:eastAsia="en-US"/>
          <w14:ligatures w14:val="standard"/>
        </w:rPr>
        <w:fldChar w:fldCharType="begin"/>
      </w:r>
      <w:r w:rsidRPr="008949C1">
        <w:rPr>
          <w:rFonts w:ascii="Times New Roman" w:eastAsia="Calibri" w:hAnsi="Times New Roman" w:cs="Times New Roman"/>
          <w:b/>
          <w:bCs/>
          <w:kern w:val="2"/>
          <w:sz w:val="20"/>
          <w:szCs w:val="20"/>
          <w:lang w:eastAsia="en-US"/>
          <w14:ligatures w14:val="standard"/>
        </w:rPr>
        <w:instrText xml:space="preserve"> SEQ Figure \* ARABIC </w:instrText>
      </w:r>
      <w:r w:rsidRPr="008949C1">
        <w:rPr>
          <w:rFonts w:ascii="Times New Roman" w:eastAsia="Calibri" w:hAnsi="Times New Roman" w:cs="Times New Roman"/>
          <w:b/>
          <w:bCs/>
          <w:kern w:val="2"/>
          <w:sz w:val="20"/>
          <w:szCs w:val="20"/>
          <w:lang w:eastAsia="en-US"/>
          <w14:ligatures w14:val="standard"/>
        </w:rPr>
        <w:fldChar w:fldCharType="separate"/>
      </w:r>
      <w:r w:rsidR="00F611C6">
        <w:rPr>
          <w:rFonts w:ascii="Times New Roman" w:eastAsia="Calibri" w:hAnsi="Times New Roman" w:cs="Times New Roman"/>
          <w:b/>
          <w:bCs/>
          <w:noProof/>
          <w:kern w:val="2"/>
          <w:sz w:val="20"/>
          <w:szCs w:val="20"/>
          <w:lang w:eastAsia="en-US"/>
          <w14:ligatures w14:val="standard"/>
        </w:rPr>
        <w:t>1</w:t>
      </w:r>
      <w:r w:rsidRPr="008949C1">
        <w:rPr>
          <w:rFonts w:ascii="Times New Roman" w:eastAsia="Calibri" w:hAnsi="Times New Roman" w:cs="Times New Roman"/>
          <w:b/>
          <w:bCs/>
          <w:kern w:val="2"/>
          <w:sz w:val="20"/>
          <w:szCs w:val="20"/>
          <w:lang w:eastAsia="en-US"/>
          <w14:ligatures w14:val="standard"/>
        </w:rPr>
        <w:fldChar w:fldCharType="end"/>
      </w:r>
      <w:r w:rsidRPr="008949C1">
        <w:rPr>
          <w:rFonts w:ascii="Times New Roman" w:eastAsia="Calibri" w:hAnsi="Times New Roman" w:cs="Times New Roman"/>
          <w:b/>
          <w:bCs/>
          <w:kern w:val="2"/>
          <w:sz w:val="20"/>
          <w:szCs w:val="20"/>
          <w:lang w:eastAsia="en-US"/>
          <w14:ligatures w14:val="standard"/>
        </w:rPr>
        <w:t>: Profitability ratios</w:t>
      </w:r>
      <w:bookmarkEnd w:id="4"/>
    </w:p>
    <w:p w14:paraId="419454C2" w14:textId="77777777"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r w:rsidRPr="008949C1">
        <w:rPr>
          <w:rFonts w:ascii="Times New Roman" w:eastAsia="Calibri" w:hAnsi="Times New Roman" w:cs="Times New Roman"/>
          <w:b/>
          <w:bCs/>
          <w:kern w:val="2"/>
          <w:sz w:val="20"/>
          <w:szCs w:val="20"/>
          <w:lang w:eastAsia="en-US"/>
          <w14:ligatures w14:val="standard"/>
        </w:rPr>
        <w:t xml:space="preserve">Source: </w:t>
      </w:r>
      <w:r w:rsidRPr="008949C1">
        <w:rPr>
          <w:rFonts w:ascii="Times New Roman" w:eastAsia="Calibri" w:hAnsi="Times New Roman" w:cs="Times New Roman"/>
          <w:b/>
          <w:bCs/>
          <w:kern w:val="2"/>
          <w:sz w:val="20"/>
          <w:szCs w:val="20"/>
          <w:shd w:val="clear" w:color="auto" w:fill="FFFFFF"/>
          <w:lang w:eastAsia="en-US"/>
          <w14:ligatures w14:val="standard"/>
        </w:rPr>
        <w:t>(Business Jargons, 2022)</w:t>
      </w:r>
    </w:p>
    <w:p w14:paraId="728466CC" w14:textId="77777777" w:rsidR="008949C1" w:rsidRPr="008949C1" w:rsidRDefault="008949C1" w:rsidP="008949C1">
      <w:pPr>
        <w:spacing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lang w:eastAsia="en-US"/>
          <w14:ligatures w14:val="standard"/>
        </w:rPr>
        <w:t xml:space="preserve">In this report, the above profitability ratios of </w:t>
      </w:r>
      <w:r w:rsidRPr="008949C1">
        <w:rPr>
          <w:rFonts w:ascii="Times New Roman" w:eastAsia="Calibri" w:hAnsi="Times New Roman" w:cs="Times New Roman"/>
          <w:kern w:val="2"/>
          <w:sz w:val="24"/>
          <w:szCs w:val="24"/>
          <w:lang w:eastAsia="en-US"/>
          <w14:ligatures w14:val="standard"/>
        </w:rPr>
        <w:t>hotel chain Jurys will be analysed. The following table represents the analysis:</w:t>
      </w:r>
    </w:p>
    <w:tbl>
      <w:tblPr>
        <w:tblStyle w:val="TableGrid"/>
        <w:tblW w:w="9586" w:type="dxa"/>
        <w:tblLook w:val="04A0" w:firstRow="1" w:lastRow="0" w:firstColumn="1" w:lastColumn="0" w:noHBand="0" w:noVBand="1"/>
      </w:tblPr>
      <w:tblGrid>
        <w:gridCol w:w="1615"/>
        <w:gridCol w:w="3240"/>
        <w:gridCol w:w="2587"/>
        <w:gridCol w:w="2144"/>
      </w:tblGrid>
      <w:tr w:rsidR="008949C1" w:rsidRPr="008949C1" w14:paraId="25128B14" w14:textId="77777777" w:rsidTr="00E61341">
        <w:tc>
          <w:tcPr>
            <w:tcW w:w="1615" w:type="dxa"/>
            <w:shd w:val="clear" w:color="auto" w:fill="002060"/>
          </w:tcPr>
          <w:p w14:paraId="5C689585"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Ratios Name</w:t>
            </w:r>
          </w:p>
        </w:tc>
        <w:tc>
          <w:tcPr>
            <w:tcW w:w="3240" w:type="dxa"/>
            <w:shd w:val="clear" w:color="auto" w:fill="002060"/>
          </w:tcPr>
          <w:p w14:paraId="333D016F"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Formula</w:t>
            </w:r>
          </w:p>
        </w:tc>
        <w:tc>
          <w:tcPr>
            <w:tcW w:w="2587" w:type="dxa"/>
            <w:shd w:val="clear" w:color="auto" w:fill="002060"/>
          </w:tcPr>
          <w:p w14:paraId="466CCB4D"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2019</w:t>
            </w:r>
          </w:p>
        </w:tc>
        <w:tc>
          <w:tcPr>
            <w:tcW w:w="2144" w:type="dxa"/>
            <w:shd w:val="clear" w:color="auto" w:fill="002060"/>
          </w:tcPr>
          <w:p w14:paraId="56C029DB"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2020</w:t>
            </w:r>
          </w:p>
        </w:tc>
      </w:tr>
      <w:tr w:rsidR="008949C1" w:rsidRPr="008949C1" w14:paraId="488DFD14" w14:textId="77777777" w:rsidTr="00E61341">
        <w:tc>
          <w:tcPr>
            <w:tcW w:w="1615" w:type="dxa"/>
          </w:tcPr>
          <w:p w14:paraId="536E53E8" w14:textId="77777777" w:rsidR="008949C1" w:rsidRPr="008949C1" w:rsidRDefault="008949C1" w:rsidP="008949C1">
            <w:pPr>
              <w:spacing w:line="360" w:lineRule="auto"/>
              <w:jc w:val="both"/>
              <w:rPr>
                <w:rFonts w:ascii="Times New Roman" w:hAnsi="Times New Roman" w:cs="Times New Roman"/>
                <w:sz w:val="24"/>
              </w:rPr>
            </w:pPr>
            <w:bookmarkStart w:id="5" w:name="_Hlk94737560"/>
            <w:r w:rsidRPr="008949C1">
              <w:rPr>
                <w:rFonts w:ascii="Times New Roman" w:hAnsi="Times New Roman" w:cs="Times New Roman"/>
                <w:sz w:val="24"/>
              </w:rPr>
              <w:t xml:space="preserve">Gross Profit Margin </w:t>
            </w:r>
            <w:bookmarkEnd w:id="5"/>
          </w:p>
        </w:tc>
        <w:tc>
          <w:tcPr>
            <w:tcW w:w="3240" w:type="dxa"/>
          </w:tcPr>
          <w:p w14:paraId="4A95DCB9"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w:t>
            </w:r>
            <w:bookmarkStart w:id="6" w:name="_Hlk94737624"/>
            <w:r w:rsidRPr="008949C1">
              <w:rPr>
                <w:rFonts w:ascii="Times New Roman" w:hAnsi="Times New Roman" w:cs="Times New Roman"/>
                <w:sz w:val="24"/>
              </w:rPr>
              <w:t>Gross profit /Net sales × 100</w:t>
            </w:r>
            <w:bookmarkEnd w:id="6"/>
          </w:p>
        </w:tc>
        <w:tc>
          <w:tcPr>
            <w:tcW w:w="2587" w:type="dxa"/>
          </w:tcPr>
          <w:p w14:paraId="72417F31"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xml:space="preserve">= (5050 / 5500) × 100 = </w:t>
            </w:r>
            <w:r w:rsidRPr="008949C1">
              <w:rPr>
                <w:rFonts w:ascii="Times New Roman" w:hAnsi="Times New Roman" w:cs="Times New Roman"/>
                <w:b/>
                <w:bCs/>
                <w:sz w:val="24"/>
              </w:rPr>
              <w:t>91.819 %</w:t>
            </w:r>
            <w:r w:rsidRPr="008949C1">
              <w:rPr>
                <w:rFonts w:ascii="Times New Roman" w:hAnsi="Times New Roman" w:cs="Times New Roman"/>
                <w:sz w:val="24"/>
              </w:rPr>
              <w:t xml:space="preserve"> </w:t>
            </w:r>
          </w:p>
        </w:tc>
        <w:tc>
          <w:tcPr>
            <w:tcW w:w="2144" w:type="dxa"/>
          </w:tcPr>
          <w:p w14:paraId="55B980C6"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xml:space="preserve">= (5150 / 6000) × 100 = </w:t>
            </w:r>
            <w:r w:rsidRPr="008949C1">
              <w:rPr>
                <w:rFonts w:ascii="Times New Roman" w:hAnsi="Times New Roman" w:cs="Times New Roman"/>
                <w:b/>
                <w:bCs/>
                <w:sz w:val="24"/>
              </w:rPr>
              <w:t>85.833%</w:t>
            </w:r>
          </w:p>
        </w:tc>
      </w:tr>
      <w:tr w:rsidR="008949C1" w:rsidRPr="008949C1" w14:paraId="77A3A73C" w14:textId="77777777" w:rsidTr="00E61341">
        <w:tc>
          <w:tcPr>
            <w:tcW w:w="1615" w:type="dxa"/>
          </w:tcPr>
          <w:p w14:paraId="0A32B73E" w14:textId="77777777" w:rsidR="008949C1" w:rsidRPr="008949C1" w:rsidRDefault="008949C1" w:rsidP="008949C1">
            <w:pPr>
              <w:spacing w:line="360" w:lineRule="auto"/>
              <w:jc w:val="both"/>
              <w:rPr>
                <w:rFonts w:ascii="Times New Roman" w:hAnsi="Times New Roman" w:cs="Times New Roman"/>
                <w:sz w:val="24"/>
              </w:rPr>
            </w:pPr>
            <w:bookmarkStart w:id="7" w:name="_Hlk94737778"/>
            <w:r w:rsidRPr="008949C1">
              <w:rPr>
                <w:rFonts w:ascii="Times New Roman" w:hAnsi="Times New Roman" w:cs="Times New Roman"/>
                <w:sz w:val="24"/>
              </w:rPr>
              <w:t xml:space="preserve">Net Profit Margin </w:t>
            </w:r>
            <w:bookmarkEnd w:id="7"/>
          </w:p>
        </w:tc>
        <w:tc>
          <w:tcPr>
            <w:tcW w:w="3240" w:type="dxa"/>
          </w:tcPr>
          <w:p w14:paraId="56AC8A3B"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xml:space="preserve">= </w:t>
            </w:r>
            <w:bookmarkStart w:id="8" w:name="_Hlk94737807"/>
            <w:r w:rsidRPr="008949C1">
              <w:rPr>
                <w:rFonts w:ascii="Times New Roman" w:hAnsi="Times New Roman" w:cs="Times New Roman"/>
                <w:sz w:val="24"/>
              </w:rPr>
              <w:t>Net profit / Net sales × 100</w:t>
            </w:r>
            <w:bookmarkEnd w:id="8"/>
          </w:p>
        </w:tc>
        <w:tc>
          <w:tcPr>
            <w:tcW w:w="2587" w:type="dxa"/>
          </w:tcPr>
          <w:p w14:paraId="343FE8EE"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xml:space="preserve">= (4008 / 5500) × 100 = </w:t>
            </w:r>
            <w:r w:rsidRPr="008949C1">
              <w:rPr>
                <w:rFonts w:ascii="Times New Roman" w:hAnsi="Times New Roman" w:cs="Times New Roman"/>
                <w:b/>
                <w:bCs/>
                <w:sz w:val="24"/>
              </w:rPr>
              <w:t>72.873 %</w:t>
            </w:r>
          </w:p>
        </w:tc>
        <w:tc>
          <w:tcPr>
            <w:tcW w:w="2144" w:type="dxa"/>
          </w:tcPr>
          <w:p w14:paraId="12D7B0BB"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xml:space="preserve">= (4073/ 6000) × 100 = </w:t>
            </w:r>
            <w:r w:rsidRPr="008949C1">
              <w:rPr>
                <w:rFonts w:ascii="Times New Roman" w:hAnsi="Times New Roman" w:cs="Times New Roman"/>
                <w:b/>
                <w:bCs/>
                <w:sz w:val="24"/>
              </w:rPr>
              <w:t>67.883%</w:t>
            </w:r>
            <w:r w:rsidRPr="008949C1">
              <w:rPr>
                <w:rFonts w:ascii="Times New Roman" w:hAnsi="Times New Roman" w:cs="Times New Roman"/>
                <w:sz w:val="24"/>
              </w:rPr>
              <w:t xml:space="preserve"> </w:t>
            </w:r>
          </w:p>
        </w:tc>
      </w:tr>
      <w:tr w:rsidR="008949C1" w:rsidRPr="008949C1" w14:paraId="6E5DA320" w14:textId="77777777" w:rsidTr="00E61341">
        <w:tc>
          <w:tcPr>
            <w:tcW w:w="1615" w:type="dxa"/>
          </w:tcPr>
          <w:p w14:paraId="5C539691" w14:textId="77777777" w:rsidR="008949C1" w:rsidRPr="008949C1" w:rsidRDefault="008949C1" w:rsidP="008949C1">
            <w:pPr>
              <w:spacing w:line="360" w:lineRule="auto"/>
              <w:jc w:val="both"/>
              <w:rPr>
                <w:rFonts w:ascii="Times New Roman" w:hAnsi="Times New Roman" w:cs="Times New Roman"/>
                <w:sz w:val="24"/>
              </w:rPr>
            </w:pPr>
            <w:bookmarkStart w:id="9" w:name="_Hlk94737918"/>
            <w:bookmarkStart w:id="10" w:name="_Hlk94737962"/>
            <w:r w:rsidRPr="008949C1">
              <w:rPr>
                <w:rFonts w:ascii="Times New Roman" w:hAnsi="Times New Roman" w:cs="Times New Roman"/>
                <w:sz w:val="24"/>
              </w:rPr>
              <w:t xml:space="preserve">Return on Assets </w:t>
            </w:r>
            <w:bookmarkEnd w:id="9"/>
          </w:p>
        </w:tc>
        <w:tc>
          <w:tcPr>
            <w:tcW w:w="3240" w:type="dxa"/>
          </w:tcPr>
          <w:p w14:paraId="0DC41690"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=Net profit /Assets × 100</w:t>
            </w:r>
          </w:p>
        </w:tc>
        <w:tc>
          <w:tcPr>
            <w:tcW w:w="2587" w:type="dxa"/>
          </w:tcPr>
          <w:p w14:paraId="36A25CA4"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xml:space="preserve">= (4008 / 6226) × 100 = </w:t>
            </w:r>
            <w:r w:rsidRPr="008949C1">
              <w:rPr>
                <w:rFonts w:ascii="Times New Roman" w:hAnsi="Times New Roman" w:cs="Times New Roman"/>
                <w:b/>
                <w:bCs/>
                <w:sz w:val="24"/>
              </w:rPr>
              <w:t>64.375%</w:t>
            </w:r>
            <w:r w:rsidRPr="008949C1">
              <w:rPr>
                <w:rFonts w:ascii="Times New Roman" w:hAnsi="Times New Roman" w:cs="Times New Roman"/>
                <w:sz w:val="24"/>
              </w:rPr>
              <w:t xml:space="preserve"> </w:t>
            </w:r>
          </w:p>
        </w:tc>
        <w:tc>
          <w:tcPr>
            <w:tcW w:w="2144" w:type="dxa"/>
          </w:tcPr>
          <w:p w14:paraId="0DC8E09D"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xml:space="preserve">= (4073/ 6274) × 100 = </w:t>
            </w:r>
            <w:r w:rsidRPr="008949C1">
              <w:rPr>
                <w:rFonts w:ascii="Times New Roman" w:hAnsi="Times New Roman" w:cs="Times New Roman"/>
                <w:b/>
                <w:bCs/>
                <w:sz w:val="24"/>
              </w:rPr>
              <w:t>64.919%</w:t>
            </w:r>
          </w:p>
        </w:tc>
      </w:tr>
    </w:tbl>
    <w:p w14:paraId="1947F664" w14:textId="2EED6A88"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bookmarkStart w:id="11" w:name="_Toc94310423"/>
      <w:bookmarkEnd w:id="10"/>
      <w:r w:rsidRPr="008949C1">
        <w:rPr>
          <w:rFonts w:ascii="Times New Roman" w:eastAsia="Calibri" w:hAnsi="Times New Roman" w:cs="Times New Roman"/>
          <w:b/>
          <w:bCs/>
          <w:kern w:val="2"/>
          <w:sz w:val="20"/>
          <w:szCs w:val="20"/>
          <w:lang w:eastAsia="en-US"/>
          <w14:ligatures w14:val="standard"/>
        </w:rPr>
        <w:t xml:space="preserve">Table </w:t>
      </w:r>
      <w:r w:rsidRPr="008949C1">
        <w:rPr>
          <w:rFonts w:ascii="Times New Roman" w:eastAsia="Calibri" w:hAnsi="Times New Roman" w:cs="Times New Roman"/>
          <w:b/>
          <w:bCs/>
          <w:kern w:val="2"/>
          <w:sz w:val="20"/>
          <w:szCs w:val="20"/>
          <w:lang w:eastAsia="en-US"/>
          <w14:ligatures w14:val="standard"/>
        </w:rPr>
        <w:fldChar w:fldCharType="begin"/>
      </w:r>
      <w:r w:rsidRPr="008949C1">
        <w:rPr>
          <w:rFonts w:ascii="Times New Roman" w:eastAsia="Calibri" w:hAnsi="Times New Roman" w:cs="Times New Roman"/>
          <w:b/>
          <w:bCs/>
          <w:kern w:val="2"/>
          <w:sz w:val="20"/>
          <w:szCs w:val="20"/>
          <w:lang w:eastAsia="en-US"/>
          <w14:ligatures w14:val="standard"/>
        </w:rPr>
        <w:instrText xml:space="preserve"> SEQ Table \* ARABIC </w:instrText>
      </w:r>
      <w:r w:rsidRPr="008949C1">
        <w:rPr>
          <w:rFonts w:ascii="Times New Roman" w:eastAsia="Calibri" w:hAnsi="Times New Roman" w:cs="Times New Roman"/>
          <w:b/>
          <w:bCs/>
          <w:kern w:val="2"/>
          <w:sz w:val="20"/>
          <w:szCs w:val="20"/>
          <w:lang w:eastAsia="en-US"/>
          <w14:ligatures w14:val="standard"/>
        </w:rPr>
        <w:fldChar w:fldCharType="separate"/>
      </w:r>
      <w:r w:rsidR="00F611C6">
        <w:rPr>
          <w:rFonts w:ascii="Times New Roman" w:eastAsia="Calibri" w:hAnsi="Times New Roman" w:cs="Times New Roman"/>
          <w:b/>
          <w:bCs/>
          <w:noProof/>
          <w:kern w:val="2"/>
          <w:sz w:val="20"/>
          <w:szCs w:val="20"/>
          <w:lang w:eastAsia="en-US"/>
          <w14:ligatures w14:val="standard"/>
        </w:rPr>
        <w:t>1</w:t>
      </w:r>
      <w:r w:rsidRPr="008949C1">
        <w:rPr>
          <w:rFonts w:ascii="Times New Roman" w:eastAsia="Calibri" w:hAnsi="Times New Roman" w:cs="Times New Roman"/>
          <w:b/>
          <w:bCs/>
          <w:kern w:val="2"/>
          <w:sz w:val="20"/>
          <w:szCs w:val="20"/>
          <w:lang w:eastAsia="en-US"/>
          <w14:ligatures w14:val="standard"/>
        </w:rPr>
        <w:fldChar w:fldCharType="end"/>
      </w:r>
      <w:r w:rsidRPr="008949C1">
        <w:rPr>
          <w:rFonts w:ascii="Times New Roman" w:eastAsia="Calibri" w:hAnsi="Times New Roman" w:cs="Times New Roman"/>
          <w:b/>
          <w:bCs/>
          <w:kern w:val="2"/>
          <w:sz w:val="20"/>
          <w:szCs w:val="20"/>
          <w:lang w:eastAsia="en-US"/>
          <w14:ligatures w14:val="standard"/>
        </w:rPr>
        <w:t>: Profitability Ratios Calculations</w:t>
      </w:r>
      <w:bookmarkEnd w:id="11"/>
    </w:p>
    <w:p w14:paraId="78C4263A" w14:textId="77777777"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r w:rsidRPr="008949C1">
        <w:rPr>
          <w:rFonts w:ascii="Times New Roman" w:eastAsia="Calibri" w:hAnsi="Times New Roman" w:cs="Times New Roman"/>
          <w:b/>
          <w:bCs/>
          <w:kern w:val="2"/>
          <w:sz w:val="20"/>
          <w:szCs w:val="20"/>
          <w:lang w:eastAsia="en-US"/>
          <w14:ligatures w14:val="standard"/>
        </w:rPr>
        <w:t>Source: (Self-Made)</w:t>
      </w:r>
    </w:p>
    <w:p w14:paraId="17FB7F5A" w14:textId="77777777" w:rsidR="008949C1" w:rsidRPr="008949C1" w:rsidRDefault="008949C1" w:rsidP="008949C1">
      <w:pPr>
        <w:keepNext/>
        <w:keepLines/>
        <w:spacing w:before="40" w:after="0" w:line="360" w:lineRule="auto"/>
        <w:jc w:val="both"/>
        <w:outlineLvl w:val="2"/>
        <w:rPr>
          <w:rFonts w:ascii="Times New Roman" w:eastAsia="SimSun" w:hAnsi="Times New Roman" w:cs="Times New Roman"/>
          <w:b/>
          <w:kern w:val="2"/>
          <w:sz w:val="24"/>
          <w:szCs w:val="24"/>
          <w:lang w:eastAsia="en-US"/>
          <w14:ligatures w14:val="standard"/>
        </w:rPr>
      </w:pPr>
      <w:bookmarkStart w:id="12" w:name="_Toc94310383"/>
      <w:r w:rsidRPr="008949C1">
        <w:rPr>
          <w:rFonts w:ascii="Times New Roman" w:eastAsia="SimSun" w:hAnsi="Times New Roman" w:cs="Times New Roman"/>
          <w:b/>
          <w:kern w:val="2"/>
          <w:sz w:val="24"/>
          <w:szCs w:val="24"/>
          <w:lang w:eastAsia="en-US"/>
          <w14:ligatures w14:val="standard"/>
        </w:rPr>
        <w:t>Liquidity Ratios:</w:t>
      </w:r>
      <w:bookmarkEnd w:id="12"/>
    </w:p>
    <w:p w14:paraId="265151F9" w14:textId="77777777" w:rsidR="008949C1" w:rsidRPr="008949C1" w:rsidRDefault="008949C1" w:rsidP="008949C1">
      <w:pPr>
        <w:spacing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szCs w:val="24"/>
          <w:lang w:eastAsia="en-US"/>
          <w14:ligatures w14:val="standard"/>
        </w:rPr>
        <w:t xml:space="preserve">An essential financial indicator used to assess the ability of a debtor to fulfil their current debt obligations without the need for additional financing is the liquidity ratio. The ability of a company to pay its obligations and its safety margin is assessed using liquidity ratios </w:t>
      </w:r>
      <w:r w:rsidRPr="008949C1">
        <w:rPr>
          <w:rFonts w:ascii="Times New Roman" w:eastAsia="Calibri" w:hAnsi="Times New Roman" w:cs="Times New Roman"/>
          <w:kern w:val="2"/>
          <w:sz w:val="24"/>
          <w:szCs w:val="24"/>
          <w:lang w:eastAsia="en-US"/>
          <w14:ligatures w14:val="standard"/>
        </w:rPr>
        <w:lastRenderedPageBreak/>
        <w:t>(</w:t>
      </w: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Boronenkova</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xml:space="preserve">, </w:t>
      </w: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Mironova</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xml:space="preserve"> and </w:t>
      </w: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Popov</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2019)</w:t>
      </w:r>
      <w:r w:rsidRPr="008949C1">
        <w:rPr>
          <w:rFonts w:ascii="Times New Roman" w:eastAsia="Calibri" w:hAnsi="Times New Roman" w:cs="Times New Roman"/>
          <w:kern w:val="2"/>
          <w:sz w:val="24"/>
          <w:szCs w:val="24"/>
          <w:lang w:eastAsia="en-US"/>
          <w14:ligatures w14:val="standard"/>
        </w:rPr>
        <w:t>.</w:t>
      </w:r>
      <w:r w:rsidRPr="008949C1">
        <w:rPr>
          <w:rFonts w:ascii="Times New Roman" w:eastAsia="Calibri" w:hAnsi="Times New Roman" w:cs="Vrinda"/>
          <w:kern w:val="2"/>
          <w:sz w:val="24"/>
          <w:lang w:val="en-US" w:eastAsia="en-US"/>
          <w14:ligatures w14:val="standard"/>
        </w:rPr>
        <w:t xml:space="preserve"> </w:t>
      </w:r>
      <w:r w:rsidRPr="008949C1">
        <w:rPr>
          <w:rFonts w:ascii="Times New Roman" w:eastAsia="Calibri" w:hAnsi="Times New Roman" w:cs="Times New Roman"/>
          <w:kern w:val="2"/>
          <w:sz w:val="24"/>
          <w:szCs w:val="24"/>
          <w:lang w:eastAsia="en-US"/>
          <w14:ligatures w14:val="standard"/>
        </w:rPr>
        <w:t>Liquidity ratios can be used to assess a business's capacity to meet short-term liabilities and cash flows. The following figure represents the liquidity ratios:</w:t>
      </w:r>
    </w:p>
    <w:p w14:paraId="18C292BA" w14:textId="77777777" w:rsidR="008949C1" w:rsidRPr="008949C1" w:rsidRDefault="008949C1" w:rsidP="008949C1">
      <w:pPr>
        <w:keepNext/>
        <w:spacing w:after="0" w:line="240" w:lineRule="auto"/>
        <w:jc w:val="center"/>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noProof/>
          <w:kern w:val="2"/>
          <w:sz w:val="24"/>
          <w:lang w:eastAsia="en-US"/>
          <w14:ligatures w14:val="standard"/>
        </w:rPr>
        <w:drawing>
          <wp:inline distT="0" distB="0" distL="0" distR="0" wp14:anchorId="6EA59621" wp14:editId="617D670C">
            <wp:extent cx="2295524" cy="2276475"/>
            <wp:effectExtent l="0" t="0"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rotWithShape="1">
                    <a:blip r:embed="rId8"/>
                    <a:srcRect l="17466"/>
                    <a:stretch/>
                  </pic:blipFill>
                  <pic:spPr bwMode="auto">
                    <a:xfrm>
                      <a:off x="0" y="0"/>
                      <a:ext cx="2295845" cy="2276793"/>
                    </a:xfrm>
                    <a:prstGeom prst="rect">
                      <a:avLst/>
                    </a:prstGeom>
                    <a:ln>
                      <a:noFill/>
                    </a:ln>
                    <a:extLst>
                      <a:ext uri="{53640926-AAD7-44D8-BBD7-CCE9431645EC}">
                        <a14:shadowObscured xmlns:a14="http://schemas.microsoft.com/office/drawing/2010/main"/>
                      </a:ext>
                    </a:extLst>
                  </pic:spPr>
                </pic:pic>
              </a:graphicData>
            </a:graphic>
          </wp:inline>
        </w:drawing>
      </w:r>
    </w:p>
    <w:p w14:paraId="7B83B82B" w14:textId="133713D5"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bookmarkStart w:id="13" w:name="_Toc94310408"/>
      <w:r w:rsidRPr="008949C1">
        <w:rPr>
          <w:rFonts w:ascii="Times New Roman" w:eastAsia="Calibri" w:hAnsi="Times New Roman" w:cs="Times New Roman"/>
          <w:b/>
          <w:bCs/>
          <w:kern w:val="2"/>
          <w:sz w:val="20"/>
          <w:szCs w:val="20"/>
          <w:lang w:eastAsia="en-US"/>
          <w14:ligatures w14:val="standard"/>
        </w:rPr>
        <w:t xml:space="preserve">Figure </w:t>
      </w:r>
      <w:r w:rsidRPr="008949C1">
        <w:rPr>
          <w:rFonts w:ascii="Times New Roman" w:eastAsia="Calibri" w:hAnsi="Times New Roman" w:cs="Times New Roman"/>
          <w:b/>
          <w:bCs/>
          <w:kern w:val="2"/>
          <w:sz w:val="20"/>
          <w:szCs w:val="20"/>
          <w:lang w:eastAsia="en-US"/>
          <w14:ligatures w14:val="standard"/>
        </w:rPr>
        <w:fldChar w:fldCharType="begin"/>
      </w:r>
      <w:r w:rsidRPr="008949C1">
        <w:rPr>
          <w:rFonts w:ascii="Times New Roman" w:eastAsia="Calibri" w:hAnsi="Times New Roman" w:cs="Times New Roman"/>
          <w:b/>
          <w:bCs/>
          <w:kern w:val="2"/>
          <w:sz w:val="20"/>
          <w:szCs w:val="20"/>
          <w:lang w:eastAsia="en-US"/>
          <w14:ligatures w14:val="standard"/>
        </w:rPr>
        <w:instrText xml:space="preserve"> SEQ Figure \* ARABIC </w:instrText>
      </w:r>
      <w:r w:rsidRPr="008949C1">
        <w:rPr>
          <w:rFonts w:ascii="Times New Roman" w:eastAsia="Calibri" w:hAnsi="Times New Roman" w:cs="Times New Roman"/>
          <w:b/>
          <w:bCs/>
          <w:kern w:val="2"/>
          <w:sz w:val="20"/>
          <w:szCs w:val="20"/>
          <w:lang w:eastAsia="en-US"/>
          <w14:ligatures w14:val="standard"/>
        </w:rPr>
        <w:fldChar w:fldCharType="separate"/>
      </w:r>
      <w:r w:rsidR="00F611C6">
        <w:rPr>
          <w:rFonts w:ascii="Times New Roman" w:eastAsia="Calibri" w:hAnsi="Times New Roman" w:cs="Times New Roman"/>
          <w:b/>
          <w:bCs/>
          <w:noProof/>
          <w:kern w:val="2"/>
          <w:sz w:val="20"/>
          <w:szCs w:val="20"/>
          <w:lang w:eastAsia="en-US"/>
          <w14:ligatures w14:val="standard"/>
        </w:rPr>
        <w:t>2</w:t>
      </w:r>
      <w:r w:rsidRPr="008949C1">
        <w:rPr>
          <w:rFonts w:ascii="Times New Roman" w:eastAsia="Calibri" w:hAnsi="Times New Roman" w:cs="Times New Roman"/>
          <w:b/>
          <w:bCs/>
          <w:kern w:val="2"/>
          <w:sz w:val="20"/>
          <w:szCs w:val="20"/>
          <w:lang w:eastAsia="en-US"/>
          <w14:ligatures w14:val="standard"/>
        </w:rPr>
        <w:fldChar w:fldCharType="end"/>
      </w:r>
      <w:r w:rsidRPr="008949C1">
        <w:rPr>
          <w:rFonts w:ascii="Times New Roman" w:eastAsia="Calibri" w:hAnsi="Times New Roman" w:cs="Times New Roman"/>
          <w:b/>
          <w:bCs/>
          <w:kern w:val="2"/>
          <w:sz w:val="20"/>
          <w:szCs w:val="20"/>
          <w:lang w:eastAsia="en-US"/>
          <w14:ligatures w14:val="standard"/>
        </w:rPr>
        <w:t xml:space="preserve"> Liquidity ratios</w:t>
      </w:r>
      <w:bookmarkEnd w:id="13"/>
    </w:p>
    <w:p w14:paraId="073D3838" w14:textId="77777777"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r w:rsidRPr="008949C1">
        <w:rPr>
          <w:rFonts w:ascii="Times New Roman" w:eastAsia="Calibri" w:hAnsi="Times New Roman" w:cs="Times New Roman"/>
          <w:b/>
          <w:bCs/>
          <w:kern w:val="2"/>
          <w:sz w:val="20"/>
          <w:szCs w:val="20"/>
          <w:lang w:eastAsia="en-US"/>
          <w14:ligatures w14:val="standard"/>
        </w:rPr>
        <w:t xml:space="preserve">Source: </w:t>
      </w:r>
      <w:r w:rsidRPr="008949C1">
        <w:rPr>
          <w:rFonts w:ascii="Times New Roman" w:eastAsia="Calibri" w:hAnsi="Times New Roman" w:cs="Times New Roman"/>
          <w:b/>
          <w:bCs/>
          <w:kern w:val="2"/>
          <w:sz w:val="20"/>
          <w:szCs w:val="20"/>
          <w:shd w:val="clear" w:color="auto" w:fill="FFFFFF"/>
          <w:lang w:eastAsia="en-US"/>
          <w14:ligatures w14:val="standard"/>
        </w:rPr>
        <w:t>(Walsh, 2019)</w:t>
      </w:r>
    </w:p>
    <w:p w14:paraId="52A273B7" w14:textId="77777777" w:rsidR="008949C1" w:rsidRPr="008949C1" w:rsidRDefault="008949C1" w:rsidP="008949C1">
      <w:pPr>
        <w:spacing w:line="24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kern w:val="2"/>
          <w:sz w:val="24"/>
          <w:lang w:eastAsia="en-US"/>
          <w14:ligatures w14:val="standard"/>
        </w:rPr>
        <w:t>The calculations of liquidation ratios are presented below:</w:t>
      </w:r>
    </w:p>
    <w:tbl>
      <w:tblPr>
        <w:tblStyle w:val="TableGrid"/>
        <w:tblW w:w="0" w:type="auto"/>
        <w:tblLook w:val="04A0" w:firstRow="1" w:lastRow="0" w:firstColumn="1" w:lastColumn="0" w:noHBand="0" w:noVBand="1"/>
      </w:tblPr>
      <w:tblGrid>
        <w:gridCol w:w="1822"/>
        <w:gridCol w:w="2676"/>
        <w:gridCol w:w="2264"/>
        <w:gridCol w:w="2254"/>
      </w:tblGrid>
      <w:tr w:rsidR="008949C1" w:rsidRPr="008949C1" w14:paraId="2F5D498E" w14:textId="77777777" w:rsidTr="00E61341">
        <w:tc>
          <w:tcPr>
            <w:tcW w:w="1885" w:type="dxa"/>
            <w:shd w:val="clear" w:color="auto" w:fill="002060"/>
          </w:tcPr>
          <w:p w14:paraId="3D3E163D" w14:textId="77777777" w:rsidR="008949C1" w:rsidRPr="008949C1" w:rsidRDefault="008949C1" w:rsidP="008949C1">
            <w:pPr>
              <w:jc w:val="center"/>
              <w:rPr>
                <w:rFonts w:ascii="Times New Roman" w:hAnsi="Times New Roman" w:cs="Times New Roman"/>
                <w:sz w:val="24"/>
              </w:rPr>
            </w:pPr>
            <w:r w:rsidRPr="008949C1">
              <w:rPr>
                <w:rFonts w:ascii="Times New Roman" w:hAnsi="Times New Roman" w:cs="Times New Roman"/>
                <w:sz w:val="24"/>
              </w:rPr>
              <w:t>Ratios Name</w:t>
            </w:r>
          </w:p>
        </w:tc>
        <w:tc>
          <w:tcPr>
            <w:tcW w:w="2789" w:type="dxa"/>
            <w:shd w:val="clear" w:color="auto" w:fill="002060"/>
          </w:tcPr>
          <w:p w14:paraId="11E7E513" w14:textId="77777777" w:rsidR="008949C1" w:rsidRPr="008949C1" w:rsidRDefault="008949C1" w:rsidP="008949C1">
            <w:pPr>
              <w:jc w:val="center"/>
              <w:rPr>
                <w:rFonts w:ascii="Times New Roman" w:hAnsi="Times New Roman" w:cs="Times New Roman"/>
                <w:sz w:val="24"/>
              </w:rPr>
            </w:pPr>
            <w:r w:rsidRPr="008949C1">
              <w:rPr>
                <w:rFonts w:ascii="Times New Roman" w:hAnsi="Times New Roman" w:cs="Times New Roman"/>
                <w:sz w:val="24"/>
              </w:rPr>
              <w:t>Formula</w:t>
            </w:r>
          </w:p>
        </w:tc>
        <w:tc>
          <w:tcPr>
            <w:tcW w:w="2338" w:type="dxa"/>
            <w:shd w:val="clear" w:color="auto" w:fill="002060"/>
          </w:tcPr>
          <w:p w14:paraId="084BC540" w14:textId="77777777" w:rsidR="008949C1" w:rsidRPr="008949C1" w:rsidRDefault="008949C1" w:rsidP="008949C1">
            <w:pPr>
              <w:jc w:val="center"/>
              <w:rPr>
                <w:rFonts w:ascii="Times New Roman" w:hAnsi="Times New Roman" w:cs="Times New Roman"/>
                <w:sz w:val="24"/>
              </w:rPr>
            </w:pPr>
            <w:r w:rsidRPr="008949C1">
              <w:rPr>
                <w:rFonts w:ascii="Times New Roman" w:hAnsi="Times New Roman" w:cs="Times New Roman"/>
                <w:sz w:val="24"/>
              </w:rPr>
              <w:t>2019</w:t>
            </w:r>
          </w:p>
        </w:tc>
        <w:tc>
          <w:tcPr>
            <w:tcW w:w="2338" w:type="dxa"/>
            <w:shd w:val="clear" w:color="auto" w:fill="002060"/>
          </w:tcPr>
          <w:p w14:paraId="5DDAD654" w14:textId="77777777" w:rsidR="008949C1" w:rsidRPr="008949C1" w:rsidRDefault="008949C1" w:rsidP="008949C1">
            <w:pPr>
              <w:jc w:val="center"/>
              <w:rPr>
                <w:rFonts w:ascii="Times New Roman" w:hAnsi="Times New Roman" w:cs="Times New Roman"/>
                <w:sz w:val="24"/>
              </w:rPr>
            </w:pPr>
            <w:r w:rsidRPr="008949C1">
              <w:rPr>
                <w:rFonts w:ascii="Times New Roman" w:hAnsi="Times New Roman" w:cs="Times New Roman"/>
                <w:sz w:val="24"/>
              </w:rPr>
              <w:t>2020</w:t>
            </w:r>
          </w:p>
        </w:tc>
      </w:tr>
      <w:tr w:rsidR="008949C1" w:rsidRPr="008949C1" w14:paraId="2D9D42F5" w14:textId="77777777" w:rsidTr="00E61341">
        <w:tc>
          <w:tcPr>
            <w:tcW w:w="1885" w:type="dxa"/>
          </w:tcPr>
          <w:p w14:paraId="28DB9BC9" w14:textId="77777777" w:rsidR="008949C1" w:rsidRPr="008949C1" w:rsidRDefault="008949C1" w:rsidP="008949C1">
            <w:pPr>
              <w:spacing w:line="360" w:lineRule="auto"/>
              <w:jc w:val="both"/>
              <w:rPr>
                <w:rFonts w:ascii="Times New Roman" w:hAnsi="Times New Roman" w:cs="Times New Roman"/>
                <w:sz w:val="24"/>
              </w:rPr>
            </w:pPr>
            <w:bookmarkStart w:id="14" w:name="_Hlk94738974"/>
            <w:r w:rsidRPr="008949C1">
              <w:rPr>
                <w:rFonts w:ascii="Times New Roman" w:hAnsi="Times New Roman" w:cs="Times New Roman"/>
                <w:sz w:val="24"/>
              </w:rPr>
              <w:t xml:space="preserve">Current Ratio </w:t>
            </w:r>
            <w:bookmarkEnd w:id="14"/>
          </w:p>
        </w:tc>
        <w:tc>
          <w:tcPr>
            <w:tcW w:w="2789" w:type="dxa"/>
          </w:tcPr>
          <w:p w14:paraId="0BF447A3" w14:textId="77777777" w:rsidR="008949C1" w:rsidRPr="008949C1" w:rsidRDefault="008949C1" w:rsidP="008949C1">
            <w:pPr>
              <w:spacing w:line="360" w:lineRule="auto"/>
              <w:jc w:val="both"/>
              <w:rPr>
                <w:rFonts w:ascii="Times New Roman" w:hAnsi="Times New Roman" w:cs="Times New Roman"/>
                <w:sz w:val="24"/>
              </w:rPr>
            </w:pPr>
            <w:bookmarkStart w:id="15" w:name="_Hlk94739019"/>
            <w:r w:rsidRPr="008949C1">
              <w:rPr>
                <w:rFonts w:ascii="Times New Roman" w:hAnsi="Times New Roman" w:cs="Times New Roman"/>
                <w:sz w:val="24"/>
              </w:rPr>
              <w:t xml:space="preserve">= Current Assets/ Current liabilities </w:t>
            </w:r>
            <w:bookmarkEnd w:id="15"/>
          </w:p>
        </w:tc>
        <w:tc>
          <w:tcPr>
            <w:tcW w:w="2338" w:type="dxa"/>
          </w:tcPr>
          <w:p w14:paraId="356CF4FC"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3065/1339</w:t>
            </w:r>
          </w:p>
          <w:p w14:paraId="2FFF26F0" w14:textId="77777777" w:rsidR="008949C1" w:rsidRPr="008949C1" w:rsidRDefault="008949C1" w:rsidP="008949C1">
            <w:pPr>
              <w:spacing w:line="360" w:lineRule="auto"/>
              <w:jc w:val="both"/>
              <w:rPr>
                <w:rFonts w:ascii="Times New Roman" w:hAnsi="Times New Roman" w:cs="Times New Roman"/>
                <w:b/>
                <w:bCs/>
                <w:sz w:val="24"/>
              </w:rPr>
            </w:pPr>
            <w:r w:rsidRPr="008949C1">
              <w:rPr>
                <w:rFonts w:ascii="Times New Roman" w:hAnsi="Times New Roman" w:cs="Times New Roman"/>
                <w:b/>
                <w:bCs/>
                <w:sz w:val="24"/>
              </w:rPr>
              <w:t>= 2.29:1</w:t>
            </w:r>
          </w:p>
        </w:tc>
        <w:tc>
          <w:tcPr>
            <w:tcW w:w="2338" w:type="dxa"/>
          </w:tcPr>
          <w:p w14:paraId="6A859249"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3240/ 1616</w:t>
            </w:r>
          </w:p>
          <w:p w14:paraId="2149F734"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w:t>
            </w:r>
            <w:r w:rsidRPr="008949C1">
              <w:rPr>
                <w:rFonts w:ascii="Times New Roman" w:hAnsi="Times New Roman" w:cs="Times New Roman"/>
                <w:b/>
                <w:bCs/>
                <w:sz w:val="24"/>
              </w:rPr>
              <w:t>2.00: 1</w:t>
            </w:r>
            <w:r w:rsidRPr="008949C1">
              <w:rPr>
                <w:rFonts w:ascii="Times New Roman" w:hAnsi="Times New Roman" w:cs="Times New Roman"/>
                <w:sz w:val="24"/>
              </w:rPr>
              <w:t xml:space="preserve"> </w:t>
            </w:r>
          </w:p>
        </w:tc>
      </w:tr>
      <w:tr w:rsidR="008949C1" w:rsidRPr="008949C1" w14:paraId="61605A46" w14:textId="77777777" w:rsidTr="00E61341">
        <w:tc>
          <w:tcPr>
            <w:tcW w:w="1885" w:type="dxa"/>
          </w:tcPr>
          <w:p w14:paraId="051E8C45" w14:textId="77777777" w:rsidR="008949C1" w:rsidRPr="008949C1" w:rsidRDefault="008949C1" w:rsidP="008949C1">
            <w:pPr>
              <w:spacing w:line="360" w:lineRule="auto"/>
              <w:jc w:val="both"/>
              <w:rPr>
                <w:rFonts w:ascii="Times New Roman" w:hAnsi="Times New Roman" w:cs="Times New Roman"/>
                <w:sz w:val="24"/>
              </w:rPr>
            </w:pPr>
            <w:bookmarkStart w:id="16" w:name="_Hlk94739161"/>
            <w:r w:rsidRPr="008949C1">
              <w:rPr>
                <w:rFonts w:ascii="Times New Roman" w:hAnsi="Times New Roman" w:cs="Times New Roman"/>
                <w:sz w:val="24"/>
              </w:rPr>
              <w:t xml:space="preserve">Cash Ratio </w:t>
            </w:r>
            <w:bookmarkEnd w:id="16"/>
          </w:p>
        </w:tc>
        <w:tc>
          <w:tcPr>
            <w:tcW w:w="2789" w:type="dxa"/>
          </w:tcPr>
          <w:p w14:paraId="7FF7EFAE" w14:textId="77777777" w:rsidR="008949C1" w:rsidRPr="008949C1" w:rsidRDefault="008949C1" w:rsidP="008949C1">
            <w:pPr>
              <w:spacing w:line="360" w:lineRule="auto"/>
              <w:jc w:val="both"/>
              <w:rPr>
                <w:rFonts w:ascii="Times New Roman" w:hAnsi="Times New Roman" w:cs="Times New Roman"/>
                <w:sz w:val="24"/>
              </w:rPr>
            </w:pPr>
            <w:bookmarkStart w:id="17" w:name="_Hlk94739195"/>
            <w:r w:rsidRPr="008949C1">
              <w:rPr>
                <w:rFonts w:ascii="Times New Roman" w:hAnsi="Times New Roman" w:cs="Times New Roman"/>
                <w:sz w:val="24"/>
              </w:rPr>
              <w:t>= (Cash + Stocks)/ Current liabilities</w:t>
            </w:r>
            <w:bookmarkEnd w:id="17"/>
          </w:p>
        </w:tc>
        <w:tc>
          <w:tcPr>
            <w:tcW w:w="2338" w:type="dxa"/>
          </w:tcPr>
          <w:p w14:paraId="65B2E463"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1455/1339</w:t>
            </w:r>
          </w:p>
          <w:p w14:paraId="1AF0A5AD"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w:t>
            </w:r>
            <w:r w:rsidRPr="008949C1">
              <w:rPr>
                <w:rFonts w:ascii="Times New Roman" w:hAnsi="Times New Roman" w:cs="Times New Roman"/>
                <w:b/>
                <w:bCs/>
                <w:sz w:val="24"/>
              </w:rPr>
              <w:t xml:space="preserve">1.0866:1 </w:t>
            </w:r>
          </w:p>
        </w:tc>
        <w:tc>
          <w:tcPr>
            <w:tcW w:w="2338" w:type="dxa"/>
          </w:tcPr>
          <w:p w14:paraId="1D108D0E"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1425/ 1616</w:t>
            </w:r>
          </w:p>
          <w:p w14:paraId="1F001633"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w:t>
            </w:r>
            <w:r w:rsidRPr="008949C1">
              <w:rPr>
                <w:rFonts w:ascii="Times New Roman" w:hAnsi="Times New Roman" w:cs="Times New Roman"/>
                <w:b/>
                <w:bCs/>
                <w:sz w:val="24"/>
              </w:rPr>
              <w:t>0.882:1</w:t>
            </w:r>
          </w:p>
        </w:tc>
      </w:tr>
    </w:tbl>
    <w:p w14:paraId="48740EAA" w14:textId="223F6A04"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bookmarkStart w:id="18" w:name="_Toc94310424"/>
      <w:r w:rsidRPr="008949C1">
        <w:rPr>
          <w:rFonts w:ascii="Times New Roman" w:eastAsia="Calibri" w:hAnsi="Times New Roman" w:cs="Times New Roman"/>
          <w:b/>
          <w:bCs/>
          <w:kern w:val="2"/>
          <w:sz w:val="20"/>
          <w:szCs w:val="20"/>
          <w:lang w:eastAsia="en-US"/>
          <w14:ligatures w14:val="standard"/>
        </w:rPr>
        <w:t xml:space="preserve">Table </w:t>
      </w:r>
      <w:r w:rsidRPr="008949C1">
        <w:rPr>
          <w:rFonts w:ascii="Times New Roman" w:eastAsia="Calibri" w:hAnsi="Times New Roman" w:cs="Times New Roman"/>
          <w:b/>
          <w:bCs/>
          <w:kern w:val="2"/>
          <w:sz w:val="20"/>
          <w:szCs w:val="20"/>
          <w:lang w:eastAsia="en-US"/>
          <w14:ligatures w14:val="standard"/>
        </w:rPr>
        <w:fldChar w:fldCharType="begin"/>
      </w:r>
      <w:r w:rsidRPr="008949C1">
        <w:rPr>
          <w:rFonts w:ascii="Times New Roman" w:eastAsia="Calibri" w:hAnsi="Times New Roman" w:cs="Times New Roman"/>
          <w:b/>
          <w:bCs/>
          <w:kern w:val="2"/>
          <w:sz w:val="20"/>
          <w:szCs w:val="20"/>
          <w:lang w:eastAsia="en-US"/>
          <w14:ligatures w14:val="standard"/>
        </w:rPr>
        <w:instrText xml:space="preserve"> SEQ Table \* ARABIC </w:instrText>
      </w:r>
      <w:r w:rsidRPr="008949C1">
        <w:rPr>
          <w:rFonts w:ascii="Times New Roman" w:eastAsia="Calibri" w:hAnsi="Times New Roman" w:cs="Times New Roman"/>
          <w:b/>
          <w:bCs/>
          <w:kern w:val="2"/>
          <w:sz w:val="20"/>
          <w:szCs w:val="20"/>
          <w:lang w:eastAsia="en-US"/>
          <w14:ligatures w14:val="standard"/>
        </w:rPr>
        <w:fldChar w:fldCharType="separate"/>
      </w:r>
      <w:r w:rsidR="00F611C6">
        <w:rPr>
          <w:rFonts w:ascii="Times New Roman" w:eastAsia="Calibri" w:hAnsi="Times New Roman" w:cs="Times New Roman"/>
          <w:b/>
          <w:bCs/>
          <w:noProof/>
          <w:kern w:val="2"/>
          <w:sz w:val="20"/>
          <w:szCs w:val="20"/>
          <w:lang w:eastAsia="en-US"/>
          <w14:ligatures w14:val="standard"/>
        </w:rPr>
        <w:t>2</w:t>
      </w:r>
      <w:r w:rsidRPr="008949C1">
        <w:rPr>
          <w:rFonts w:ascii="Times New Roman" w:eastAsia="Calibri" w:hAnsi="Times New Roman" w:cs="Times New Roman"/>
          <w:b/>
          <w:bCs/>
          <w:kern w:val="2"/>
          <w:sz w:val="20"/>
          <w:szCs w:val="20"/>
          <w:lang w:eastAsia="en-US"/>
          <w14:ligatures w14:val="standard"/>
        </w:rPr>
        <w:fldChar w:fldCharType="end"/>
      </w:r>
      <w:r w:rsidRPr="008949C1">
        <w:rPr>
          <w:rFonts w:ascii="Times New Roman" w:eastAsia="Calibri" w:hAnsi="Times New Roman" w:cs="Times New Roman"/>
          <w:b/>
          <w:bCs/>
          <w:kern w:val="2"/>
          <w:sz w:val="20"/>
          <w:szCs w:val="20"/>
          <w:lang w:eastAsia="en-US"/>
          <w14:ligatures w14:val="standard"/>
        </w:rPr>
        <w:t>: Liquidity Ratios</w:t>
      </w:r>
      <w:bookmarkEnd w:id="18"/>
    </w:p>
    <w:p w14:paraId="2763646E" w14:textId="77777777"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r w:rsidRPr="008949C1">
        <w:rPr>
          <w:rFonts w:ascii="Times New Roman" w:eastAsia="Calibri" w:hAnsi="Times New Roman" w:cs="Times New Roman"/>
          <w:b/>
          <w:bCs/>
          <w:kern w:val="2"/>
          <w:sz w:val="20"/>
          <w:szCs w:val="20"/>
          <w:lang w:eastAsia="en-US"/>
          <w14:ligatures w14:val="standard"/>
        </w:rPr>
        <w:t>Source: (Self-Made)</w:t>
      </w:r>
    </w:p>
    <w:p w14:paraId="2B108D2E" w14:textId="77777777" w:rsidR="008949C1" w:rsidRPr="008949C1" w:rsidRDefault="008949C1" w:rsidP="008949C1">
      <w:pPr>
        <w:keepNext/>
        <w:keepLines/>
        <w:spacing w:before="40" w:after="0" w:line="360" w:lineRule="auto"/>
        <w:jc w:val="both"/>
        <w:outlineLvl w:val="2"/>
        <w:rPr>
          <w:rFonts w:ascii="Times New Roman" w:eastAsia="SimSun" w:hAnsi="Times New Roman" w:cs="Times New Roman"/>
          <w:b/>
          <w:kern w:val="2"/>
          <w:sz w:val="24"/>
          <w:szCs w:val="24"/>
          <w:lang w:eastAsia="en-US"/>
          <w14:ligatures w14:val="standard"/>
        </w:rPr>
      </w:pPr>
      <w:bookmarkStart w:id="19" w:name="_Toc94310384"/>
      <w:r w:rsidRPr="008949C1">
        <w:rPr>
          <w:rFonts w:ascii="Times New Roman" w:eastAsia="SimSun" w:hAnsi="Times New Roman" w:cs="Times New Roman"/>
          <w:b/>
          <w:kern w:val="2"/>
          <w:sz w:val="24"/>
          <w:szCs w:val="24"/>
          <w:lang w:eastAsia="en-US"/>
          <w14:ligatures w14:val="standard"/>
        </w:rPr>
        <w:t>Gearing Ratios:</w:t>
      </w:r>
      <w:bookmarkEnd w:id="19"/>
    </w:p>
    <w:p w14:paraId="3504E08C" w14:textId="77777777" w:rsidR="008949C1" w:rsidRPr="008949C1" w:rsidRDefault="008949C1" w:rsidP="008949C1">
      <w:pPr>
        <w:spacing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lang w:eastAsia="en-US"/>
          <w14:ligatures w14:val="standard"/>
        </w:rPr>
        <w:t xml:space="preserve">The ratio of debt-to-equity capital used to support a company's operations is known as gearing. Companies with high gearing ratios have a higher debt to equity ratios than usual, which increases their vulnerability to </w:t>
      </w:r>
      <w:r w:rsidRPr="008949C1">
        <w:rPr>
          <w:rFonts w:ascii="Times New Roman" w:eastAsia="Calibri" w:hAnsi="Times New Roman" w:cs="Times New Roman"/>
          <w:kern w:val="2"/>
          <w:sz w:val="24"/>
          <w:szCs w:val="24"/>
          <w:lang w:eastAsia="en-US"/>
          <w14:ligatures w14:val="standard"/>
        </w:rPr>
        <w:t xml:space="preserve">financial disaster. A company's gearing measures how much money it borrows from lenders versus how much money it raises from shareholders </w:t>
      </w:r>
      <w:r w:rsidRPr="008949C1">
        <w:rPr>
          <w:rFonts w:ascii="Times New Roman" w:eastAsia="Calibri" w:hAnsi="Times New Roman" w:cs="Times New Roman"/>
          <w:color w:val="000000"/>
          <w:kern w:val="2"/>
          <w:sz w:val="24"/>
          <w:szCs w:val="24"/>
          <w:shd w:val="clear" w:color="auto" w:fill="FFFFFF"/>
          <w:lang w:eastAsia="en-US"/>
          <w14:ligatures w14:val="standard"/>
        </w:rPr>
        <w:t>(Robertson, 2020)</w:t>
      </w:r>
      <w:r w:rsidRPr="008949C1">
        <w:rPr>
          <w:rFonts w:ascii="Times New Roman" w:eastAsia="Calibri" w:hAnsi="Times New Roman" w:cs="Times New Roman"/>
          <w:kern w:val="2"/>
          <w:sz w:val="24"/>
          <w:szCs w:val="24"/>
          <w:lang w:eastAsia="en-US"/>
          <w14:ligatures w14:val="standard"/>
        </w:rPr>
        <w:t>. The industry in which a business works determines the proper degree of gearing. As a result, the gearing ratio of a corporation should be compared to the gearing ratios of similar companies. The following table calculates the gearing ratio of hotel chain Jurys:</w:t>
      </w:r>
    </w:p>
    <w:tbl>
      <w:tblPr>
        <w:tblStyle w:val="TableGrid"/>
        <w:tblW w:w="0" w:type="auto"/>
        <w:tblLook w:val="04A0" w:firstRow="1" w:lastRow="0" w:firstColumn="1" w:lastColumn="0" w:noHBand="0" w:noVBand="1"/>
      </w:tblPr>
      <w:tblGrid>
        <w:gridCol w:w="2234"/>
        <w:gridCol w:w="2268"/>
        <w:gridCol w:w="2258"/>
        <w:gridCol w:w="2256"/>
      </w:tblGrid>
      <w:tr w:rsidR="008949C1" w:rsidRPr="008949C1" w14:paraId="54F47243" w14:textId="77777777" w:rsidTr="00E61341">
        <w:tc>
          <w:tcPr>
            <w:tcW w:w="2337" w:type="dxa"/>
            <w:shd w:val="clear" w:color="auto" w:fill="002060"/>
          </w:tcPr>
          <w:p w14:paraId="1727359A"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Ratios Name</w:t>
            </w:r>
          </w:p>
        </w:tc>
        <w:tc>
          <w:tcPr>
            <w:tcW w:w="2337" w:type="dxa"/>
            <w:shd w:val="clear" w:color="auto" w:fill="002060"/>
          </w:tcPr>
          <w:p w14:paraId="56400725"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Formula</w:t>
            </w:r>
          </w:p>
        </w:tc>
        <w:tc>
          <w:tcPr>
            <w:tcW w:w="2338" w:type="dxa"/>
            <w:shd w:val="clear" w:color="auto" w:fill="002060"/>
          </w:tcPr>
          <w:p w14:paraId="715F0B1A"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2019</w:t>
            </w:r>
          </w:p>
        </w:tc>
        <w:tc>
          <w:tcPr>
            <w:tcW w:w="2338" w:type="dxa"/>
            <w:shd w:val="clear" w:color="auto" w:fill="002060"/>
          </w:tcPr>
          <w:p w14:paraId="6639DD87"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2020</w:t>
            </w:r>
          </w:p>
        </w:tc>
      </w:tr>
      <w:tr w:rsidR="008949C1" w:rsidRPr="008949C1" w14:paraId="1E9C5A08" w14:textId="77777777" w:rsidTr="00E61341">
        <w:tc>
          <w:tcPr>
            <w:tcW w:w="2337" w:type="dxa"/>
          </w:tcPr>
          <w:p w14:paraId="40D05599" w14:textId="77777777" w:rsidR="008949C1" w:rsidRPr="008949C1" w:rsidRDefault="008949C1" w:rsidP="008949C1">
            <w:pPr>
              <w:spacing w:line="360" w:lineRule="auto"/>
              <w:jc w:val="both"/>
              <w:rPr>
                <w:rFonts w:ascii="Times New Roman" w:hAnsi="Times New Roman" w:cs="Times New Roman"/>
                <w:sz w:val="24"/>
              </w:rPr>
            </w:pPr>
            <w:bookmarkStart w:id="20" w:name="_Hlk94739733"/>
            <w:r w:rsidRPr="008949C1">
              <w:rPr>
                <w:rFonts w:ascii="Times New Roman" w:hAnsi="Times New Roman" w:cs="Times New Roman"/>
                <w:sz w:val="24"/>
              </w:rPr>
              <w:t xml:space="preserve">Debt to Capital Ratio </w:t>
            </w:r>
            <w:bookmarkEnd w:id="20"/>
          </w:p>
        </w:tc>
        <w:tc>
          <w:tcPr>
            <w:tcW w:w="2337" w:type="dxa"/>
          </w:tcPr>
          <w:p w14:paraId="13709F95" w14:textId="77777777" w:rsidR="008949C1" w:rsidRPr="008949C1" w:rsidRDefault="008949C1" w:rsidP="008949C1">
            <w:pPr>
              <w:spacing w:line="360" w:lineRule="auto"/>
              <w:jc w:val="both"/>
              <w:rPr>
                <w:rFonts w:ascii="Times New Roman" w:hAnsi="Times New Roman" w:cs="Times New Roman"/>
                <w:sz w:val="24"/>
              </w:rPr>
            </w:pPr>
            <w:bookmarkStart w:id="21" w:name="_Hlk94739743"/>
            <w:r w:rsidRPr="008949C1">
              <w:rPr>
                <w:rFonts w:ascii="Times New Roman" w:hAnsi="Times New Roman" w:cs="Times New Roman"/>
                <w:sz w:val="24"/>
              </w:rPr>
              <w:t xml:space="preserve">= Total debt/Capital </w:t>
            </w:r>
            <w:bookmarkEnd w:id="21"/>
          </w:p>
        </w:tc>
        <w:tc>
          <w:tcPr>
            <w:tcW w:w="2338" w:type="dxa"/>
          </w:tcPr>
          <w:p w14:paraId="62A6D82A"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1489/2068</w:t>
            </w:r>
          </w:p>
          <w:p w14:paraId="35BFB693" w14:textId="77777777" w:rsidR="008949C1" w:rsidRPr="008949C1" w:rsidRDefault="008949C1" w:rsidP="008949C1">
            <w:pPr>
              <w:spacing w:line="360" w:lineRule="auto"/>
              <w:jc w:val="both"/>
              <w:rPr>
                <w:rFonts w:ascii="Times New Roman" w:hAnsi="Times New Roman" w:cs="Times New Roman"/>
                <w:b/>
                <w:bCs/>
                <w:sz w:val="24"/>
              </w:rPr>
            </w:pPr>
            <w:r w:rsidRPr="008949C1">
              <w:rPr>
                <w:rFonts w:ascii="Times New Roman" w:hAnsi="Times New Roman" w:cs="Times New Roman"/>
                <w:b/>
                <w:bCs/>
                <w:sz w:val="24"/>
              </w:rPr>
              <w:t xml:space="preserve">=0.720:1 </w:t>
            </w:r>
          </w:p>
        </w:tc>
        <w:tc>
          <w:tcPr>
            <w:tcW w:w="2338" w:type="dxa"/>
          </w:tcPr>
          <w:p w14:paraId="16CBEDC9"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1761/ 2056</w:t>
            </w:r>
          </w:p>
          <w:p w14:paraId="286DFD54"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w:t>
            </w:r>
            <w:r w:rsidRPr="008949C1">
              <w:rPr>
                <w:rFonts w:ascii="Times New Roman" w:hAnsi="Times New Roman" w:cs="Times New Roman"/>
                <w:b/>
                <w:bCs/>
                <w:sz w:val="24"/>
              </w:rPr>
              <w:t>0.8565:1</w:t>
            </w:r>
          </w:p>
        </w:tc>
      </w:tr>
    </w:tbl>
    <w:p w14:paraId="6F36A890" w14:textId="05E118A0" w:rsidR="008949C1" w:rsidRPr="008949C1" w:rsidRDefault="008949C1" w:rsidP="008949C1">
      <w:pPr>
        <w:spacing w:after="200" w:line="240" w:lineRule="auto"/>
        <w:jc w:val="center"/>
        <w:rPr>
          <w:rFonts w:ascii="Times New Roman" w:eastAsia="Calibri" w:hAnsi="Times New Roman" w:cs="Times New Roman"/>
          <w:b/>
          <w:bCs/>
          <w:kern w:val="2"/>
          <w:sz w:val="20"/>
          <w:szCs w:val="20"/>
          <w:lang w:eastAsia="en-US"/>
          <w14:ligatures w14:val="standard"/>
        </w:rPr>
      </w:pPr>
      <w:bookmarkStart w:id="22" w:name="_Toc94310425"/>
      <w:r w:rsidRPr="008949C1">
        <w:rPr>
          <w:rFonts w:ascii="Times New Roman" w:eastAsia="Calibri" w:hAnsi="Times New Roman" w:cs="Times New Roman"/>
          <w:b/>
          <w:bCs/>
          <w:kern w:val="2"/>
          <w:sz w:val="20"/>
          <w:szCs w:val="20"/>
          <w:lang w:eastAsia="en-US"/>
          <w14:ligatures w14:val="standard"/>
        </w:rPr>
        <w:t xml:space="preserve">Table </w:t>
      </w:r>
      <w:r w:rsidRPr="008949C1">
        <w:rPr>
          <w:rFonts w:ascii="Times New Roman" w:eastAsia="Calibri" w:hAnsi="Times New Roman" w:cs="Times New Roman"/>
          <w:b/>
          <w:bCs/>
          <w:kern w:val="2"/>
          <w:sz w:val="20"/>
          <w:szCs w:val="20"/>
          <w:lang w:eastAsia="en-US"/>
          <w14:ligatures w14:val="standard"/>
        </w:rPr>
        <w:fldChar w:fldCharType="begin"/>
      </w:r>
      <w:r w:rsidRPr="008949C1">
        <w:rPr>
          <w:rFonts w:ascii="Times New Roman" w:eastAsia="Calibri" w:hAnsi="Times New Roman" w:cs="Times New Roman"/>
          <w:b/>
          <w:bCs/>
          <w:kern w:val="2"/>
          <w:sz w:val="20"/>
          <w:szCs w:val="20"/>
          <w:lang w:eastAsia="en-US"/>
          <w14:ligatures w14:val="standard"/>
        </w:rPr>
        <w:instrText xml:space="preserve"> SEQ Table \* ARABIC </w:instrText>
      </w:r>
      <w:r w:rsidRPr="008949C1">
        <w:rPr>
          <w:rFonts w:ascii="Times New Roman" w:eastAsia="Calibri" w:hAnsi="Times New Roman" w:cs="Times New Roman"/>
          <w:b/>
          <w:bCs/>
          <w:kern w:val="2"/>
          <w:sz w:val="20"/>
          <w:szCs w:val="20"/>
          <w:lang w:eastAsia="en-US"/>
          <w14:ligatures w14:val="standard"/>
        </w:rPr>
        <w:fldChar w:fldCharType="separate"/>
      </w:r>
      <w:r w:rsidR="00F611C6">
        <w:rPr>
          <w:rFonts w:ascii="Times New Roman" w:eastAsia="Calibri" w:hAnsi="Times New Roman" w:cs="Times New Roman"/>
          <w:b/>
          <w:bCs/>
          <w:noProof/>
          <w:kern w:val="2"/>
          <w:sz w:val="20"/>
          <w:szCs w:val="20"/>
          <w:lang w:eastAsia="en-US"/>
          <w14:ligatures w14:val="standard"/>
        </w:rPr>
        <w:t>3</w:t>
      </w:r>
      <w:r w:rsidRPr="008949C1">
        <w:rPr>
          <w:rFonts w:ascii="Times New Roman" w:eastAsia="Calibri" w:hAnsi="Times New Roman" w:cs="Times New Roman"/>
          <w:b/>
          <w:bCs/>
          <w:kern w:val="2"/>
          <w:sz w:val="20"/>
          <w:szCs w:val="20"/>
          <w:lang w:eastAsia="en-US"/>
          <w14:ligatures w14:val="standard"/>
        </w:rPr>
        <w:fldChar w:fldCharType="end"/>
      </w:r>
      <w:r w:rsidRPr="008949C1">
        <w:rPr>
          <w:rFonts w:ascii="Times New Roman" w:eastAsia="Calibri" w:hAnsi="Times New Roman" w:cs="Times New Roman"/>
          <w:b/>
          <w:bCs/>
          <w:kern w:val="2"/>
          <w:sz w:val="20"/>
          <w:szCs w:val="20"/>
          <w:lang w:eastAsia="en-US"/>
          <w14:ligatures w14:val="standard"/>
        </w:rPr>
        <w:t>: Gearing Ratio</w:t>
      </w:r>
      <w:bookmarkEnd w:id="22"/>
    </w:p>
    <w:p w14:paraId="1EED9D57" w14:textId="77777777" w:rsidR="008949C1" w:rsidRPr="008949C1" w:rsidRDefault="008949C1" w:rsidP="008949C1">
      <w:pPr>
        <w:spacing w:line="240" w:lineRule="auto"/>
        <w:jc w:val="center"/>
        <w:rPr>
          <w:rFonts w:ascii="Times New Roman" w:eastAsia="Calibri" w:hAnsi="Times New Roman" w:cs="Times New Roman"/>
          <w:b/>
          <w:bCs/>
          <w:kern w:val="2"/>
          <w:sz w:val="20"/>
          <w:szCs w:val="20"/>
          <w:lang w:eastAsia="en-US"/>
          <w14:ligatures w14:val="standard"/>
        </w:rPr>
      </w:pPr>
      <w:r w:rsidRPr="008949C1">
        <w:rPr>
          <w:rFonts w:ascii="Times New Roman" w:eastAsia="Calibri" w:hAnsi="Times New Roman" w:cs="Times New Roman"/>
          <w:b/>
          <w:bCs/>
          <w:kern w:val="2"/>
          <w:sz w:val="20"/>
          <w:szCs w:val="20"/>
          <w:lang w:eastAsia="en-US"/>
          <w14:ligatures w14:val="standard"/>
        </w:rPr>
        <w:lastRenderedPageBreak/>
        <w:t>Source: (Self-Made)</w:t>
      </w:r>
    </w:p>
    <w:p w14:paraId="1CB9E45B" w14:textId="77777777" w:rsidR="008949C1" w:rsidRPr="008949C1" w:rsidRDefault="008949C1" w:rsidP="008949C1">
      <w:pPr>
        <w:widowControl w:val="0"/>
        <w:autoSpaceDE w:val="0"/>
        <w:autoSpaceDN w:val="0"/>
        <w:spacing w:after="0" w:line="360" w:lineRule="auto"/>
        <w:ind w:left="423" w:hanging="423"/>
        <w:jc w:val="both"/>
        <w:outlineLvl w:val="1"/>
        <w:rPr>
          <w:rFonts w:ascii="Times New Roman" w:eastAsia="Times New Roman" w:hAnsi="Times New Roman" w:cs="Times New Roman"/>
          <w:b/>
          <w:bCs/>
          <w:sz w:val="26"/>
          <w:szCs w:val="28"/>
          <w:lang w:eastAsia="en-US"/>
        </w:rPr>
      </w:pPr>
      <w:bookmarkStart w:id="23" w:name="_Toc94310385"/>
      <w:r w:rsidRPr="008949C1">
        <w:rPr>
          <w:rFonts w:ascii="Times New Roman" w:eastAsia="Times New Roman" w:hAnsi="Times New Roman" w:cs="Times New Roman"/>
          <w:b/>
          <w:bCs/>
          <w:sz w:val="26"/>
          <w:szCs w:val="28"/>
          <w:lang w:eastAsia="en-US"/>
        </w:rPr>
        <w:t>2.1 Financial Trend analysis:</w:t>
      </w:r>
      <w:bookmarkEnd w:id="23"/>
    </w:p>
    <w:p w14:paraId="227A310E" w14:textId="77777777" w:rsidR="008949C1" w:rsidRPr="008949C1" w:rsidRDefault="008949C1" w:rsidP="008949C1">
      <w:pPr>
        <w:keepNext/>
        <w:keepLines/>
        <w:spacing w:before="40" w:after="0" w:line="360" w:lineRule="auto"/>
        <w:jc w:val="both"/>
        <w:outlineLvl w:val="2"/>
        <w:rPr>
          <w:rFonts w:ascii="Times New Roman" w:eastAsia="SimSun" w:hAnsi="Times New Roman" w:cs="Times New Roman"/>
          <w:b/>
          <w:kern w:val="2"/>
          <w:sz w:val="24"/>
          <w:szCs w:val="24"/>
          <w:lang w:eastAsia="en-US"/>
          <w14:ligatures w14:val="standard"/>
        </w:rPr>
      </w:pPr>
      <w:bookmarkStart w:id="24" w:name="_Toc94310386"/>
      <w:r w:rsidRPr="008949C1">
        <w:rPr>
          <w:rFonts w:ascii="Times New Roman" w:eastAsia="SimSun" w:hAnsi="Times New Roman" w:cs="Times New Roman"/>
          <w:b/>
          <w:kern w:val="2"/>
          <w:sz w:val="24"/>
          <w:szCs w:val="24"/>
          <w:lang w:eastAsia="en-US"/>
          <w14:ligatures w14:val="standard"/>
        </w:rPr>
        <w:t>Profitability ratios:</w:t>
      </w:r>
      <w:bookmarkEnd w:id="24"/>
    </w:p>
    <w:p w14:paraId="44B8B031" w14:textId="77777777" w:rsidR="008949C1" w:rsidRPr="008949C1" w:rsidRDefault="008949C1" w:rsidP="008949C1">
      <w:pPr>
        <w:spacing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kern w:val="2"/>
          <w:sz w:val="24"/>
          <w:lang w:eastAsia="en-US"/>
          <w14:ligatures w14:val="standard"/>
        </w:rPr>
        <w:t xml:space="preserve">Using profitability measures, investors can see how well a company can profit from its sales activities, balance sheet assets, and shareholder equity. Indicators of a company's profitability and wealth creation for its shareholders include its profitability ratios </w:t>
      </w:r>
      <w:r w:rsidRPr="008949C1">
        <w:rPr>
          <w:rFonts w:ascii="Times New Roman" w:eastAsia="Calibri" w:hAnsi="Times New Roman" w:cs="Times New Roman"/>
          <w:color w:val="000000"/>
          <w:kern w:val="2"/>
          <w:sz w:val="24"/>
          <w:szCs w:val="24"/>
          <w:shd w:val="clear" w:color="auto" w:fill="FFFFFF"/>
          <w:lang w:eastAsia="en-US"/>
          <w14:ligatures w14:val="standard"/>
        </w:rPr>
        <w:t>(Corporate Finance Institute, 2022)</w:t>
      </w:r>
      <w:r w:rsidRPr="008949C1">
        <w:rPr>
          <w:rFonts w:ascii="Times New Roman" w:eastAsia="Calibri" w:hAnsi="Times New Roman" w:cs="Times New Roman"/>
          <w:kern w:val="2"/>
          <w:sz w:val="24"/>
          <w:lang w:eastAsia="en-US"/>
          <w14:ligatures w14:val="standard"/>
        </w:rPr>
        <w:t>. The following table summarises the profitability ratios for the years 2019 and 2020:</w:t>
      </w:r>
    </w:p>
    <w:tbl>
      <w:tblPr>
        <w:tblStyle w:val="TableGrid"/>
        <w:tblW w:w="9642" w:type="dxa"/>
        <w:tblLook w:val="04A0" w:firstRow="1" w:lastRow="0" w:firstColumn="1" w:lastColumn="0" w:noHBand="0" w:noVBand="1"/>
      </w:tblPr>
      <w:tblGrid>
        <w:gridCol w:w="3214"/>
        <w:gridCol w:w="3214"/>
        <w:gridCol w:w="3214"/>
      </w:tblGrid>
      <w:tr w:rsidR="008949C1" w:rsidRPr="008949C1" w14:paraId="4C938E91" w14:textId="77777777" w:rsidTr="00E61341">
        <w:trPr>
          <w:trHeight w:val="691"/>
        </w:trPr>
        <w:tc>
          <w:tcPr>
            <w:tcW w:w="3214" w:type="dxa"/>
            <w:shd w:val="clear" w:color="auto" w:fill="002060"/>
          </w:tcPr>
          <w:p w14:paraId="7C4C13ED"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Ratios Name</w:t>
            </w:r>
          </w:p>
        </w:tc>
        <w:tc>
          <w:tcPr>
            <w:tcW w:w="3214" w:type="dxa"/>
            <w:shd w:val="clear" w:color="auto" w:fill="002060"/>
          </w:tcPr>
          <w:p w14:paraId="0DA559EC"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2019</w:t>
            </w:r>
          </w:p>
        </w:tc>
        <w:tc>
          <w:tcPr>
            <w:tcW w:w="3214" w:type="dxa"/>
            <w:shd w:val="clear" w:color="auto" w:fill="002060"/>
          </w:tcPr>
          <w:p w14:paraId="1B7758BA"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2020</w:t>
            </w:r>
          </w:p>
        </w:tc>
      </w:tr>
      <w:tr w:rsidR="008949C1" w:rsidRPr="008949C1" w14:paraId="40C231D6" w14:textId="77777777" w:rsidTr="00E61341">
        <w:trPr>
          <w:trHeight w:val="717"/>
        </w:trPr>
        <w:tc>
          <w:tcPr>
            <w:tcW w:w="3214" w:type="dxa"/>
          </w:tcPr>
          <w:p w14:paraId="53D136F4"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Gross Profit Margin</w:t>
            </w:r>
          </w:p>
        </w:tc>
        <w:tc>
          <w:tcPr>
            <w:tcW w:w="3214" w:type="dxa"/>
          </w:tcPr>
          <w:p w14:paraId="1C360629"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91.819 %</w:t>
            </w:r>
          </w:p>
        </w:tc>
        <w:tc>
          <w:tcPr>
            <w:tcW w:w="3214" w:type="dxa"/>
          </w:tcPr>
          <w:p w14:paraId="5F970C5D"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85.833%</w:t>
            </w:r>
          </w:p>
        </w:tc>
      </w:tr>
      <w:tr w:rsidR="008949C1" w:rsidRPr="008949C1" w14:paraId="5861878B" w14:textId="77777777" w:rsidTr="00E61341">
        <w:trPr>
          <w:trHeight w:val="691"/>
        </w:trPr>
        <w:tc>
          <w:tcPr>
            <w:tcW w:w="3214" w:type="dxa"/>
          </w:tcPr>
          <w:p w14:paraId="74FEC7B7"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Net Profit Margin</w:t>
            </w:r>
          </w:p>
        </w:tc>
        <w:tc>
          <w:tcPr>
            <w:tcW w:w="3214" w:type="dxa"/>
          </w:tcPr>
          <w:p w14:paraId="6D40A3AD"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72.873 %</w:t>
            </w:r>
          </w:p>
        </w:tc>
        <w:tc>
          <w:tcPr>
            <w:tcW w:w="3214" w:type="dxa"/>
          </w:tcPr>
          <w:p w14:paraId="63D408C6"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67.883%</w:t>
            </w:r>
          </w:p>
        </w:tc>
      </w:tr>
      <w:tr w:rsidR="008949C1" w:rsidRPr="008949C1" w14:paraId="764A9676" w14:textId="77777777" w:rsidTr="00E61341">
        <w:trPr>
          <w:trHeight w:val="691"/>
        </w:trPr>
        <w:tc>
          <w:tcPr>
            <w:tcW w:w="3214" w:type="dxa"/>
          </w:tcPr>
          <w:p w14:paraId="3099C3C0"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Return on Assets</w:t>
            </w:r>
          </w:p>
        </w:tc>
        <w:tc>
          <w:tcPr>
            <w:tcW w:w="3214" w:type="dxa"/>
          </w:tcPr>
          <w:p w14:paraId="15F777F1"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64.375%</w:t>
            </w:r>
          </w:p>
        </w:tc>
        <w:tc>
          <w:tcPr>
            <w:tcW w:w="3214" w:type="dxa"/>
          </w:tcPr>
          <w:p w14:paraId="51C10E33"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64.919%</w:t>
            </w:r>
          </w:p>
        </w:tc>
      </w:tr>
    </w:tbl>
    <w:p w14:paraId="267B2833" w14:textId="31BAE89C"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bookmarkStart w:id="25" w:name="_Toc94310426"/>
      <w:r w:rsidRPr="008949C1">
        <w:rPr>
          <w:rFonts w:ascii="Times New Roman" w:eastAsia="Calibri" w:hAnsi="Times New Roman" w:cs="Times New Roman"/>
          <w:b/>
          <w:bCs/>
          <w:kern w:val="2"/>
          <w:sz w:val="20"/>
          <w:szCs w:val="20"/>
          <w:lang w:eastAsia="en-US"/>
          <w14:ligatures w14:val="standard"/>
        </w:rPr>
        <w:t xml:space="preserve">Table </w:t>
      </w:r>
      <w:r w:rsidRPr="008949C1">
        <w:rPr>
          <w:rFonts w:ascii="Times New Roman" w:eastAsia="Calibri" w:hAnsi="Times New Roman" w:cs="Times New Roman"/>
          <w:b/>
          <w:bCs/>
          <w:kern w:val="2"/>
          <w:sz w:val="20"/>
          <w:szCs w:val="20"/>
          <w:lang w:eastAsia="en-US"/>
          <w14:ligatures w14:val="standard"/>
        </w:rPr>
        <w:fldChar w:fldCharType="begin"/>
      </w:r>
      <w:r w:rsidRPr="008949C1">
        <w:rPr>
          <w:rFonts w:ascii="Times New Roman" w:eastAsia="Calibri" w:hAnsi="Times New Roman" w:cs="Times New Roman"/>
          <w:b/>
          <w:bCs/>
          <w:kern w:val="2"/>
          <w:sz w:val="20"/>
          <w:szCs w:val="20"/>
          <w:lang w:eastAsia="en-US"/>
          <w14:ligatures w14:val="standard"/>
        </w:rPr>
        <w:instrText xml:space="preserve"> SEQ Table \* ARABIC </w:instrText>
      </w:r>
      <w:r w:rsidRPr="008949C1">
        <w:rPr>
          <w:rFonts w:ascii="Times New Roman" w:eastAsia="Calibri" w:hAnsi="Times New Roman" w:cs="Times New Roman"/>
          <w:b/>
          <w:bCs/>
          <w:kern w:val="2"/>
          <w:sz w:val="20"/>
          <w:szCs w:val="20"/>
          <w:lang w:eastAsia="en-US"/>
          <w14:ligatures w14:val="standard"/>
        </w:rPr>
        <w:fldChar w:fldCharType="separate"/>
      </w:r>
      <w:r w:rsidR="00F611C6">
        <w:rPr>
          <w:rFonts w:ascii="Times New Roman" w:eastAsia="Calibri" w:hAnsi="Times New Roman" w:cs="Times New Roman"/>
          <w:b/>
          <w:bCs/>
          <w:noProof/>
          <w:kern w:val="2"/>
          <w:sz w:val="20"/>
          <w:szCs w:val="20"/>
          <w:lang w:eastAsia="en-US"/>
          <w14:ligatures w14:val="standard"/>
        </w:rPr>
        <w:t>4</w:t>
      </w:r>
      <w:r w:rsidRPr="008949C1">
        <w:rPr>
          <w:rFonts w:ascii="Times New Roman" w:eastAsia="Calibri" w:hAnsi="Times New Roman" w:cs="Times New Roman"/>
          <w:b/>
          <w:bCs/>
          <w:kern w:val="2"/>
          <w:sz w:val="20"/>
          <w:szCs w:val="20"/>
          <w:lang w:eastAsia="en-US"/>
          <w14:ligatures w14:val="standard"/>
        </w:rPr>
        <w:fldChar w:fldCharType="end"/>
      </w:r>
      <w:r w:rsidRPr="008949C1">
        <w:rPr>
          <w:rFonts w:ascii="Times New Roman" w:eastAsia="Calibri" w:hAnsi="Times New Roman" w:cs="Times New Roman"/>
          <w:b/>
          <w:bCs/>
          <w:kern w:val="2"/>
          <w:sz w:val="20"/>
          <w:szCs w:val="20"/>
          <w:lang w:eastAsia="en-US"/>
          <w14:ligatures w14:val="standard"/>
        </w:rPr>
        <w:t>: Profitability ratios comparison</w:t>
      </w:r>
      <w:bookmarkEnd w:id="25"/>
      <w:r w:rsidRPr="008949C1">
        <w:rPr>
          <w:rFonts w:ascii="Times New Roman" w:eastAsia="Calibri" w:hAnsi="Times New Roman" w:cs="Times New Roman"/>
          <w:b/>
          <w:bCs/>
          <w:kern w:val="2"/>
          <w:sz w:val="20"/>
          <w:szCs w:val="20"/>
          <w:lang w:eastAsia="en-US"/>
          <w14:ligatures w14:val="standard"/>
        </w:rPr>
        <w:t xml:space="preserve"> </w:t>
      </w:r>
    </w:p>
    <w:p w14:paraId="5DC205C4" w14:textId="77777777"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r w:rsidRPr="008949C1">
        <w:rPr>
          <w:rFonts w:ascii="Times New Roman" w:eastAsia="Calibri" w:hAnsi="Times New Roman" w:cs="Times New Roman"/>
          <w:b/>
          <w:bCs/>
          <w:kern w:val="2"/>
          <w:sz w:val="20"/>
          <w:szCs w:val="20"/>
          <w:lang w:eastAsia="en-US"/>
          <w14:ligatures w14:val="standard"/>
        </w:rPr>
        <w:t>Source: (Self-Made)</w:t>
      </w:r>
    </w:p>
    <w:p w14:paraId="776416DA" w14:textId="77777777" w:rsidR="008949C1" w:rsidRPr="008949C1" w:rsidRDefault="008949C1" w:rsidP="008949C1">
      <w:pPr>
        <w:spacing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kern w:val="2"/>
          <w:sz w:val="24"/>
          <w:lang w:eastAsia="en-US"/>
          <w14:ligatures w14:val="standard"/>
        </w:rPr>
        <w:t xml:space="preserve">By </w:t>
      </w:r>
      <w:r w:rsidRPr="008949C1">
        <w:rPr>
          <w:rFonts w:ascii="Times New Roman" w:eastAsia="Calibri" w:hAnsi="Times New Roman" w:cs="Times New Roman"/>
          <w:b/>
          <w:bCs/>
          <w:kern w:val="2"/>
          <w:sz w:val="24"/>
          <w:lang w:eastAsia="en-US"/>
          <w14:ligatures w14:val="standard"/>
        </w:rPr>
        <w:t>comparing the values of 2019 and 2020</w:t>
      </w:r>
      <w:r w:rsidRPr="008949C1">
        <w:rPr>
          <w:rFonts w:ascii="Times New Roman" w:eastAsia="Calibri" w:hAnsi="Times New Roman" w:cs="Times New Roman"/>
          <w:kern w:val="2"/>
          <w:sz w:val="24"/>
          <w:lang w:eastAsia="en-US"/>
          <w14:ligatures w14:val="standard"/>
        </w:rPr>
        <w:t>, it can be seen that the gross profit margin at 2020 has been reduced from 2019 because due to a pandemic, visitors or travellers could not move from one place to another place; therefore, the hotel remained vacant most of the time at 2020. Besides,</w:t>
      </w:r>
      <w:r w:rsidRPr="008949C1">
        <w:rPr>
          <w:rFonts w:ascii="Times New Roman" w:eastAsia="Calibri" w:hAnsi="Times New Roman" w:cs="Vrinda"/>
          <w:kern w:val="2"/>
          <w:sz w:val="24"/>
          <w:lang w:val="en-US" w:eastAsia="en-US"/>
          <w14:ligatures w14:val="standard"/>
        </w:rPr>
        <w:t xml:space="preserve"> </w:t>
      </w:r>
      <w:r w:rsidRPr="008949C1">
        <w:rPr>
          <w:rFonts w:ascii="Times New Roman" w:eastAsia="Calibri" w:hAnsi="Times New Roman" w:cs="Times New Roman"/>
          <w:kern w:val="2"/>
          <w:sz w:val="24"/>
          <w:lang w:eastAsia="en-US"/>
          <w14:ligatures w14:val="standard"/>
        </w:rPr>
        <w:t xml:space="preserve">a reduction in net profit margins might be noticed in 2020 compared with 2019,. This has been reduced due to the pandemic. However, the </w:t>
      </w:r>
      <w:r w:rsidRPr="008949C1">
        <w:rPr>
          <w:rFonts w:ascii="Times New Roman" w:eastAsia="Calibri" w:hAnsi="Times New Roman" w:cs="Times New Roman"/>
          <w:b/>
          <w:bCs/>
          <w:kern w:val="2"/>
          <w:sz w:val="24"/>
          <w:lang w:eastAsia="en-US"/>
          <w14:ligatures w14:val="standard"/>
        </w:rPr>
        <w:t>return on assets has little been increased</w:t>
      </w:r>
      <w:r w:rsidRPr="008949C1">
        <w:rPr>
          <w:rFonts w:ascii="Times New Roman" w:eastAsia="Calibri" w:hAnsi="Times New Roman" w:cs="Times New Roman"/>
          <w:kern w:val="2"/>
          <w:sz w:val="24"/>
          <w:lang w:eastAsia="en-US"/>
          <w14:ligatures w14:val="standard"/>
        </w:rPr>
        <w:t xml:space="preserve"> at 2020 from 2019. This has been increased because debtors have little increased from 2019. </w:t>
      </w:r>
    </w:p>
    <w:p w14:paraId="55CDA38D" w14:textId="77777777" w:rsidR="008949C1" w:rsidRPr="008949C1" w:rsidRDefault="008949C1" w:rsidP="008949C1">
      <w:pPr>
        <w:keepNext/>
        <w:keepLines/>
        <w:spacing w:before="40" w:after="0" w:line="360" w:lineRule="auto"/>
        <w:jc w:val="both"/>
        <w:outlineLvl w:val="2"/>
        <w:rPr>
          <w:rFonts w:ascii="Times New Roman" w:eastAsia="SimSun" w:hAnsi="Times New Roman" w:cs="Times New Roman"/>
          <w:b/>
          <w:kern w:val="2"/>
          <w:sz w:val="24"/>
          <w:szCs w:val="24"/>
          <w:lang w:eastAsia="en-US"/>
          <w14:ligatures w14:val="standard"/>
        </w:rPr>
      </w:pPr>
      <w:bookmarkStart w:id="26" w:name="_Toc94310387"/>
      <w:r w:rsidRPr="008949C1">
        <w:rPr>
          <w:rFonts w:ascii="Times New Roman" w:eastAsia="SimSun" w:hAnsi="Times New Roman" w:cs="Times New Roman"/>
          <w:b/>
          <w:kern w:val="2"/>
          <w:sz w:val="24"/>
          <w:szCs w:val="24"/>
          <w:lang w:eastAsia="en-US"/>
          <w14:ligatures w14:val="standard"/>
        </w:rPr>
        <w:t>Liquidity ratios:</w:t>
      </w:r>
      <w:bookmarkEnd w:id="26"/>
    </w:p>
    <w:p w14:paraId="4D0849E3" w14:textId="77777777" w:rsidR="008949C1" w:rsidRPr="008949C1" w:rsidRDefault="008949C1" w:rsidP="008949C1">
      <w:pPr>
        <w:spacing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szCs w:val="24"/>
          <w:lang w:eastAsia="en-US"/>
          <w14:ligatures w14:val="standard"/>
        </w:rPr>
        <w:t xml:space="preserve">Liquidity ratios are used to gauge a company's ability to satisfy short-term financial obligations. According to the balance sheet, a company's efficiency was determined by its assets, leverage, and other financial criteria </w:t>
      </w:r>
      <w:r w:rsidRPr="008949C1">
        <w:rPr>
          <w:rFonts w:ascii="Times New Roman" w:eastAsia="Calibri" w:hAnsi="Times New Roman" w:cs="Times New Roman"/>
          <w:color w:val="000000"/>
          <w:kern w:val="2"/>
          <w:sz w:val="24"/>
          <w:szCs w:val="24"/>
          <w:shd w:val="clear" w:color="auto" w:fill="FFFFFF"/>
          <w:lang w:eastAsia="en-US"/>
          <w14:ligatures w14:val="standard"/>
        </w:rPr>
        <w:t>(</w:t>
      </w: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Schoenebeck</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xml:space="preserve"> and </w:t>
      </w: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Holtzman</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2019)</w:t>
      </w:r>
      <w:r w:rsidRPr="008949C1">
        <w:rPr>
          <w:rFonts w:ascii="Times New Roman" w:eastAsia="Calibri" w:hAnsi="Times New Roman" w:cs="Times New Roman"/>
          <w:kern w:val="2"/>
          <w:sz w:val="24"/>
          <w:szCs w:val="24"/>
          <w:lang w:eastAsia="en-US"/>
          <w14:ligatures w14:val="standard"/>
        </w:rPr>
        <w:t>. The following table summarises the liquidity ratios for the years 2019 and 2020:</w:t>
      </w:r>
    </w:p>
    <w:tbl>
      <w:tblPr>
        <w:tblStyle w:val="TableGrid"/>
        <w:tblW w:w="9642" w:type="dxa"/>
        <w:tblLook w:val="04A0" w:firstRow="1" w:lastRow="0" w:firstColumn="1" w:lastColumn="0" w:noHBand="0" w:noVBand="1"/>
      </w:tblPr>
      <w:tblGrid>
        <w:gridCol w:w="3214"/>
        <w:gridCol w:w="3214"/>
        <w:gridCol w:w="3214"/>
      </w:tblGrid>
      <w:tr w:rsidR="008949C1" w:rsidRPr="008949C1" w14:paraId="55F5251A" w14:textId="77777777" w:rsidTr="00E61341">
        <w:trPr>
          <w:trHeight w:val="691"/>
        </w:trPr>
        <w:tc>
          <w:tcPr>
            <w:tcW w:w="3214" w:type="dxa"/>
            <w:shd w:val="clear" w:color="auto" w:fill="002060"/>
          </w:tcPr>
          <w:p w14:paraId="5207785C"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Ratios Name</w:t>
            </w:r>
          </w:p>
        </w:tc>
        <w:tc>
          <w:tcPr>
            <w:tcW w:w="3214" w:type="dxa"/>
            <w:shd w:val="clear" w:color="auto" w:fill="002060"/>
          </w:tcPr>
          <w:p w14:paraId="03A134AC"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2019</w:t>
            </w:r>
          </w:p>
        </w:tc>
        <w:tc>
          <w:tcPr>
            <w:tcW w:w="3214" w:type="dxa"/>
            <w:shd w:val="clear" w:color="auto" w:fill="002060"/>
          </w:tcPr>
          <w:p w14:paraId="5A6E5664"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2020</w:t>
            </w:r>
          </w:p>
        </w:tc>
      </w:tr>
      <w:tr w:rsidR="008949C1" w:rsidRPr="008949C1" w14:paraId="65653432" w14:textId="77777777" w:rsidTr="00E61341">
        <w:trPr>
          <w:trHeight w:val="467"/>
        </w:trPr>
        <w:tc>
          <w:tcPr>
            <w:tcW w:w="3214" w:type="dxa"/>
          </w:tcPr>
          <w:p w14:paraId="389D2A11"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 xml:space="preserve">Current Ratio </w:t>
            </w:r>
          </w:p>
        </w:tc>
        <w:tc>
          <w:tcPr>
            <w:tcW w:w="3214" w:type="dxa"/>
          </w:tcPr>
          <w:p w14:paraId="00639CEE"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b/>
                <w:bCs/>
                <w:sz w:val="24"/>
              </w:rPr>
              <w:t>2.29:1</w:t>
            </w:r>
          </w:p>
        </w:tc>
        <w:tc>
          <w:tcPr>
            <w:tcW w:w="3214" w:type="dxa"/>
          </w:tcPr>
          <w:p w14:paraId="08880645"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b/>
                <w:bCs/>
                <w:sz w:val="24"/>
              </w:rPr>
              <w:t>2.00: 1</w:t>
            </w:r>
          </w:p>
        </w:tc>
      </w:tr>
      <w:tr w:rsidR="008949C1" w:rsidRPr="008949C1" w14:paraId="7FA1AED7" w14:textId="77777777" w:rsidTr="00E61341">
        <w:trPr>
          <w:trHeight w:val="350"/>
        </w:trPr>
        <w:tc>
          <w:tcPr>
            <w:tcW w:w="3214" w:type="dxa"/>
          </w:tcPr>
          <w:p w14:paraId="7690540B"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 xml:space="preserve">Cash Ratio </w:t>
            </w:r>
          </w:p>
        </w:tc>
        <w:tc>
          <w:tcPr>
            <w:tcW w:w="3214" w:type="dxa"/>
          </w:tcPr>
          <w:p w14:paraId="19F51E83"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b/>
                <w:bCs/>
                <w:sz w:val="24"/>
              </w:rPr>
              <w:t>1.0866:1</w:t>
            </w:r>
          </w:p>
        </w:tc>
        <w:tc>
          <w:tcPr>
            <w:tcW w:w="3214" w:type="dxa"/>
          </w:tcPr>
          <w:p w14:paraId="6BA04C72"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b/>
                <w:bCs/>
                <w:sz w:val="24"/>
              </w:rPr>
              <w:t>0.882:1</w:t>
            </w:r>
          </w:p>
        </w:tc>
      </w:tr>
    </w:tbl>
    <w:p w14:paraId="78BD7101" w14:textId="48DA179D"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bookmarkStart w:id="27" w:name="_Toc94310427"/>
      <w:r w:rsidRPr="008949C1">
        <w:rPr>
          <w:rFonts w:ascii="Times New Roman" w:eastAsia="Calibri" w:hAnsi="Times New Roman" w:cs="Times New Roman"/>
          <w:b/>
          <w:bCs/>
          <w:kern w:val="2"/>
          <w:sz w:val="20"/>
          <w:szCs w:val="20"/>
          <w:lang w:eastAsia="en-US"/>
          <w14:ligatures w14:val="standard"/>
        </w:rPr>
        <w:t xml:space="preserve">Table </w:t>
      </w:r>
      <w:r w:rsidRPr="008949C1">
        <w:rPr>
          <w:rFonts w:ascii="Times New Roman" w:eastAsia="Calibri" w:hAnsi="Times New Roman" w:cs="Times New Roman"/>
          <w:b/>
          <w:bCs/>
          <w:kern w:val="2"/>
          <w:sz w:val="20"/>
          <w:szCs w:val="20"/>
          <w:lang w:eastAsia="en-US"/>
          <w14:ligatures w14:val="standard"/>
        </w:rPr>
        <w:fldChar w:fldCharType="begin"/>
      </w:r>
      <w:r w:rsidRPr="008949C1">
        <w:rPr>
          <w:rFonts w:ascii="Times New Roman" w:eastAsia="Calibri" w:hAnsi="Times New Roman" w:cs="Times New Roman"/>
          <w:b/>
          <w:bCs/>
          <w:kern w:val="2"/>
          <w:sz w:val="20"/>
          <w:szCs w:val="20"/>
          <w:lang w:eastAsia="en-US"/>
          <w14:ligatures w14:val="standard"/>
        </w:rPr>
        <w:instrText xml:space="preserve"> SEQ Table \* ARABIC </w:instrText>
      </w:r>
      <w:r w:rsidRPr="008949C1">
        <w:rPr>
          <w:rFonts w:ascii="Times New Roman" w:eastAsia="Calibri" w:hAnsi="Times New Roman" w:cs="Times New Roman"/>
          <w:b/>
          <w:bCs/>
          <w:kern w:val="2"/>
          <w:sz w:val="20"/>
          <w:szCs w:val="20"/>
          <w:lang w:eastAsia="en-US"/>
          <w14:ligatures w14:val="standard"/>
        </w:rPr>
        <w:fldChar w:fldCharType="separate"/>
      </w:r>
      <w:r w:rsidR="00F611C6">
        <w:rPr>
          <w:rFonts w:ascii="Times New Roman" w:eastAsia="Calibri" w:hAnsi="Times New Roman" w:cs="Times New Roman"/>
          <w:b/>
          <w:bCs/>
          <w:noProof/>
          <w:kern w:val="2"/>
          <w:sz w:val="20"/>
          <w:szCs w:val="20"/>
          <w:lang w:eastAsia="en-US"/>
          <w14:ligatures w14:val="standard"/>
        </w:rPr>
        <w:t>5</w:t>
      </w:r>
      <w:r w:rsidRPr="008949C1">
        <w:rPr>
          <w:rFonts w:ascii="Times New Roman" w:eastAsia="Calibri" w:hAnsi="Times New Roman" w:cs="Times New Roman"/>
          <w:b/>
          <w:bCs/>
          <w:kern w:val="2"/>
          <w:sz w:val="20"/>
          <w:szCs w:val="20"/>
          <w:lang w:eastAsia="en-US"/>
          <w14:ligatures w14:val="standard"/>
        </w:rPr>
        <w:fldChar w:fldCharType="end"/>
      </w:r>
      <w:r w:rsidRPr="008949C1">
        <w:rPr>
          <w:rFonts w:ascii="Times New Roman" w:eastAsia="Calibri" w:hAnsi="Times New Roman" w:cs="Times New Roman"/>
          <w:b/>
          <w:bCs/>
          <w:kern w:val="2"/>
          <w:sz w:val="20"/>
          <w:szCs w:val="20"/>
          <w:lang w:eastAsia="en-US"/>
          <w14:ligatures w14:val="standard"/>
        </w:rPr>
        <w:t>: Liquidity ratios Comparison</w:t>
      </w:r>
      <w:bookmarkEnd w:id="27"/>
    </w:p>
    <w:p w14:paraId="16A519CB" w14:textId="77777777"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r w:rsidRPr="008949C1">
        <w:rPr>
          <w:rFonts w:ascii="Times New Roman" w:eastAsia="Calibri" w:hAnsi="Times New Roman" w:cs="Times New Roman"/>
          <w:b/>
          <w:bCs/>
          <w:kern w:val="2"/>
          <w:sz w:val="20"/>
          <w:szCs w:val="20"/>
          <w:lang w:eastAsia="en-US"/>
          <w14:ligatures w14:val="standard"/>
        </w:rPr>
        <w:lastRenderedPageBreak/>
        <w:t>Source: (Self-Made)</w:t>
      </w:r>
    </w:p>
    <w:p w14:paraId="56DB3FE9" w14:textId="77777777" w:rsidR="008949C1" w:rsidRPr="008949C1" w:rsidRDefault="008949C1" w:rsidP="008949C1">
      <w:pPr>
        <w:spacing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kern w:val="2"/>
          <w:sz w:val="24"/>
          <w:lang w:eastAsia="en-US"/>
          <w14:ligatures w14:val="standard"/>
        </w:rPr>
        <w:t xml:space="preserve">By </w:t>
      </w:r>
      <w:r w:rsidRPr="008949C1">
        <w:rPr>
          <w:rFonts w:ascii="Times New Roman" w:eastAsia="Calibri" w:hAnsi="Times New Roman" w:cs="Times New Roman"/>
          <w:b/>
          <w:bCs/>
          <w:kern w:val="2"/>
          <w:sz w:val="24"/>
          <w:lang w:eastAsia="en-US"/>
          <w14:ligatures w14:val="standard"/>
        </w:rPr>
        <w:t>comparing the values of 2019 and 2020</w:t>
      </w:r>
      <w:r w:rsidRPr="008949C1">
        <w:rPr>
          <w:rFonts w:ascii="Times New Roman" w:eastAsia="Calibri" w:hAnsi="Times New Roman" w:cs="Times New Roman"/>
          <w:kern w:val="2"/>
          <w:sz w:val="24"/>
          <w:lang w:eastAsia="en-US"/>
          <w14:ligatures w14:val="standard"/>
        </w:rPr>
        <w:t xml:space="preserve">, it can be seen that </w:t>
      </w:r>
      <w:r w:rsidRPr="008949C1">
        <w:rPr>
          <w:rFonts w:ascii="Times New Roman" w:eastAsia="Calibri" w:hAnsi="Times New Roman" w:cs="Times New Roman"/>
          <w:b/>
          <w:bCs/>
          <w:kern w:val="2"/>
          <w:sz w:val="24"/>
          <w:lang w:eastAsia="en-US"/>
          <w14:ligatures w14:val="standard"/>
        </w:rPr>
        <w:t>the company's assets for fulfilling short term obligations have been reduced than in 2019</w:t>
      </w:r>
      <w:r w:rsidRPr="008949C1">
        <w:rPr>
          <w:rFonts w:ascii="Times New Roman" w:eastAsia="Calibri" w:hAnsi="Times New Roman" w:cs="Times New Roman"/>
          <w:kern w:val="2"/>
          <w:sz w:val="24"/>
          <w:lang w:eastAsia="en-US"/>
          <w14:ligatures w14:val="standard"/>
        </w:rPr>
        <w:t xml:space="preserve">. This has been reduced due to the increase of liability. The cash ratio indicates the company's immediate ability to pay the obligations. </w:t>
      </w:r>
      <w:r w:rsidRPr="008949C1">
        <w:rPr>
          <w:rFonts w:ascii="Times New Roman" w:eastAsia="Calibri" w:hAnsi="Times New Roman" w:cs="Times New Roman"/>
          <w:b/>
          <w:bCs/>
          <w:kern w:val="2"/>
          <w:sz w:val="24"/>
          <w:lang w:eastAsia="en-US"/>
          <w14:ligatures w14:val="standard"/>
        </w:rPr>
        <w:t>The cash ratio has been reduced to 2020 than 2019</w:t>
      </w:r>
      <w:r w:rsidRPr="008949C1">
        <w:rPr>
          <w:rFonts w:ascii="Times New Roman" w:eastAsia="Calibri" w:hAnsi="Times New Roman" w:cs="Times New Roman"/>
          <w:kern w:val="2"/>
          <w:sz w:val="24"/>
          <w:lang w:eastAsia="en-US"/>
          <w14:ligatures w14:val="standard"/>
        </w:rPr>
        <w:t xml:space="preserve">. The value of 2020 indicates that the company could not pay the immediate short-term obligations, but in 2019 it was able to pay. </w:t>
      </w:r>
    </w:p>
    <w:p w14:paraId="342FAC35" w14:textId="77777777" w:rsidR="008949C1" w:rsidRPr="008949C1" w:rsidRDefault="008949C1" w:rsidP="008949C1">
      <w:pPr>
        <w:keepNext/>
        <w:keepLines/>
        <w:spacing w:before="40" w:after="0" w:line="360" w:lineRule="auto"/>
        <w:jc w:val="both"/>
        <w:outlineLvl w:val="2"/>
        <w:rPr>
          <w:rFonts w:ascii="Times New Roman" w:eastAsia="SimSun" w:hAnsi="Times New Roman" w:cs="Times New Roman"/>
          <w:bCs/>
          <w:kern w:val="2"/>
          <w:sz w:val="24"/>
          <w:szCs w:val="24"/>
          <w:lang w:eastAsia="en-US"/>
          <w14:ligatures w14:val="standard"/>
        </w:rPr>
      </w:pPr>
      <w:bookmarkStart w:id="28" w:name="_Toc94310388"/>
      <w:r w:rsidRPr="008949C1">
        <w:rPr>
          <w:rFonts w:ascii="Times New Roman" w:eastAsia="Calibri" w:hAnsi="Times New Roman" w:cs="Times New Roman"/>
          <w:b/>
          <w:sz w:val="26"/>
          <w:szCs w:val="28"/>
          <w:lang w:eastAsia="en-US"/>
        </w:rPr>
        <w:t>Gearing</w:t>
      </w:r>
      <w:r w:rsidRPr="008949C1">
        <w:rPr>
          <w:rFonts w:ascii="Times New Roman" w:eastAsia="SimSun" w:hAnsi="Times New Roman" w:cs="Times New Roman"/>
          <w:b/>
          <w:sz w:val="26"/>
          <w:szCs w:val="28"/>
          <w:lang w:eastAsia="en-US"/>
        </w:rPr>
        <w:t xml:space="preserve"> Ratios</w:t>
      </w:r>
      <w:r w:rsidRPr="008949C1">
        <w:rPr>
          <w:rFonts w:ascii="Times New Roman" w:eastAsia="SimSun" w:hAnsi="Times New Roman" w:cs="Times New Roman"/>
          <w:bCs/>
          <w:kern w:val="2"/>
          <w:sz w:val="24"/>
          <w:szCs w:val="24"/>
          <w:lang w:eastAsia="en-US"/>
          <w14:ligatures w14:val="standard"/>
        </w:rPr>
        <w:t>:</w:t>
      </w:r>
      <w:bookmarkEnd w:id="28"/>
    </w:p>
    <w:p w14:paraId="23EE2993" w14:textId="77777777" w:rsidR="008949C1" w:rsidRPr="008949C1" w:rsidRDefault="008949C1" w:rsidP="008949C1">
      <w:pPr>
        <w:spacing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szCs w:val="24"/>
          <w:lang w:eastAsia="en-US"/>
          <w14:ligatures w14:val="standard"/>
        </w:rPr>
        <w:t xml:space="preserve">The debt-to-capital ratio formula measures how much of the company's capital is used to service its debt obligations. By definition, a corporation with assets over liabilities will be able to meet its obligations by selling assets if necessary </w:t>
      </w:r>
      <w:r w:rsidRPr="008949C1">
        <w:rPr>
          <w:rFonts w:ascii="Times New Roman" w:eastAsia="Calibri" w:hAnsi="Times New Roman" w:cs="Times New Roman"/>
          <w:color w:val="000000"/>
          <w:kern w:val="2"/>
          <w:sz w:val="24"/>
          <w:szCs w:val="24"/>
          <w:shd w:val="clear" w:color="auto" w:fill="FFFFFF"/>
          <w:lang w:eastAsia="en-US"/>
          <w14:ligatures w14:val="standard"/>
        </w:rPr>
        <w:t>(Corporate Finance Institute, 2022)</w:t>
      </w:r>
      <w:r w:rsidRPr="008949C1">
        <w:rPr>
          <w:rFonts w:ascii="Times New Roman" w:eastAsia="Calibri" w:hAnsi="Times New Roman" w:cs="Times New Roman"/>
          <w:kern w:val="2"/>
          <w:sz w:val="24"/>
          <w:szCs w:val="24"/>
          <w:lang w:eastAsia="en-US"/>
          <w14:ligatures w14:val="standard"/>
        </w:rPr>
        <w:t>. The lower the debt-to-asset ratio, the safer the business. The following table summarises the debt to capital ratio for the years 2019 and 2020:</w:t>
      </w:r>
    </w:p>
    <w:tbl>
      <w:tblPr>
        <w:tblStyle w:val="TableGrid"/>
        <w:tblW w:w="9642" w:type="dxa"/>
        <w:tblLook w:val="04A0" w:firstRow="1" w:lastRow="0" w:firstColumn="1" w:lastColumn="0" w:noHBand="0" w:noVBand="1"/>
      </w:tblPr>
      <w:tblGrid>
        <w:gridCol w:w="3214"/>
        <w:gridCol w:w="3214"/>
        <w:gridCol w:w="3214"/>
      </w:tblGrid>
      <w:tr w:rsidR="008949C1" w:rsidRPr="008949C1" w14:paraId="4FEBA0E9" w14:textId="77777777" w:rsidTr="00E61341">
        <w:trPr>
          <w:trHeight w:val="395"/>
        </w:trPr>
        <w:tc>
          <w:tcPr>
            <w:tcW w:w="3214" w:type="dxa"/>
            <w:shd w:val="clear" w:color="auto" w:fill="002060"/>
          </w:tcPr>
          <w:p w14:paraId="02BDA859"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Ratio Name</w:t>
            </w:r>
          </w:p>
        </w:tc>
        <w:tc>
          <w:tcPr>
            <w:tcW w:w="3214" w:type="dxa"/>
            <w:shd w:val="clear" w:color="auto" w:fill="002060"/>
          </w:tcPr>
          <w:p w14:paraId="40F01DCC"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2019</w:t>
            </w:r>
          </w:p>
        </w:tc>
        <w:tc>
          <w:tcPr>
            <w:tcW w:w="3214" w:type="dxa"/>
            <w:shd w:val="clear" w:color="auto" w:fill="002060"/>
          </w:tcPr>
          <w:p w14:paraId="56B3EF2E"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2020</w:t>
            </w:r>
          </w:p>
        </w:tc>
      </w:tr>
      <w:tr w:rsidR="008949C1" w:rsidRPr="008949C1" w14:paraId="26225475" w14:textId="77777777" w:rsidTr="00E61341">
        <w:trPr>
          <w:trHeight w:val="467"/>
        </w:trPr>
        <w:tc>
          <w:tcPr>
            <w:tcW w:w="3214" w:type="dxa"/>
          </w:tcPr>
          <w:p w14:paraId="1D88E563"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 xml:space="preserve">Debt to Capital Ratio </w:t>
            </w:r>
          </w:p>
        </w:tc>
        <w:tc>
          <w:tcPr>
            <w:tcW w:w="3214" w:type="dxa"/>
          </w:tcPr>
          <w:p w14:paraId="27D4B92B"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b/>
                <w:bCs/>
                <w:sz w:val="24"/>
              </w:rPr>
              <w:t>0.720:1</w:t>
            </w:r>
          </w:p>
        </w:tc>
        <w:tc>
          <w:tcPr>
            <w:tcW w:w="3214" w:type="dxa"/>
          </w:tcPr>
          <w:p w14:paraId="26D074EC"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b/>
                <w:bCs/>
                <w:sz w:val="24"/>
              </w:rPr>
              <w:t>0.8565:1</w:t>
            </w:r>
          </w:p>
        </w:tc>
      </w:tr>
    </w:tbl>
    <w:p w14:paraId="0E0ED45D" w14:textId="509170A4"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bookmarkStart w:id="29" w:name="_Toc94310428"/>
      <w:r w:rsidRPr="008949C1">
        <w:rPr>
          <w:rFonts w:ascii="Times New Roman" w:eastAsia="Calibri" w:hAnsi="Times New Roman" w:cs="Times New Roman"/>
          <w:b/>
          <w:bCs/>
          <w:kern w:val="2"/>
          <w:sz w:val="20"/>
          <w:szCs w:val="20"/>
          <w:lang w:eastAsia="en-US"/>
          <w14:ligatures w14:val="standard"/>
        </w:rPr>
        <w:t xml:space="preserve">Table </w:t>
      </w:r>
      <w:r w:rsidRPr="008949C1">
        <w:rPr>
          <w:rFonts w:ascii="Times New Roman" w:eastAsia="Calibri" w:hAnsi="Times New Roman" w:cs="Times New Roman"/>
          <w:b/>
          <w:bCs/>
          <w:kern w:val="2"/>
          <w:sz w:val="20"/>
          <w:szCs w:val="20"/>
          <w:lang w:eastAsia="en-US"/>
          <w14:ligatures w14:val="standard"/>
        </w:rPr>
        <w:fldChar w:fldCharType="begin"/>
      </w:r>
      <w:r w:rsidRPr="008949C1">
        <w:rPr>
          <w:rFonts w:ascii="Times New Roman" w:eastAsia="Calibri" w:hAnsi="Times New Roman" w:cs="Times New Roman"/>
          <w:b/>
          <w:bCs/>
          <w:kern w:val="2"/>
          <w:sz w:val="20"/>
          <w:szCs w:val="20"/>
          <w:lang w:eastAsia="en-US"/>
          <w14:ligatures w14:val="standard"/>
        </w:rPr>
        <w:instrText xml:space="preserve"> SEQ Table \* ARABIC </w:instrText>
      </w:r>
      <w:r w:rsidRPr="008949C1">
        <w:rPr>
          <w:rFonts w:ascii="Times New Roman" w:eastAsia="Calibri" w:hAnsi="Times New Roman" w:cs="Times New Roman"/>
          <w:b/>
          <w:bCs/>
          <w:kern w:val="2"/>
          <w:sz w:val="20"/>
          <w:szCs w:val="20"/>
          <w:lang w:eastAsia="en-US"/>
          <w14:ligatures w14:val="standard"/>
        </w:rPr>
        <w:fldChar w:fldCharType="separate"/>
      </w:r>
      <w:r w:rsidR="00F611C6">
        <w:rPr>
          <w:rFonts w:ascii="Times New Roman" w:eastAsia="Calibri" w:hAnsi="Times New Roman" w:cs="Times New Roman"/>
          <w:b/>
          <w:bCs/>
          <w:noProof/>
          <w:kern w:val="2"/>
          <w:sz w:val="20"/>
          <w:szCs w:val="20"/>
          <w:lang w:eastAsia="en-US"/>
          <w14:ligatures w14:val="standard"/>
        </w:rPr>
        <w:t>6</w:t>
      </w:r>
      <w:r w:rsidRPr="008949C1">
        <w:rPr>
          <w:rFonts w:ascii="Times New Roman" w:eastAsia="Calibri" w:hAnsi="Times New Roman" w:cs="Times New Roman"/>
          <w:b/>
          <w:bCs/>
          <w:kern w:val="2"/>
          <w:sz w:val="20"/>
          <w:szCs w:val="20"/>
          <w:lang w:eastAsia="en-US"/>
          <w14:ligatures w14:val="standard"/>
        </w:rPr>
        <w:fldChar w:fldCharType="end"/>
      </w:r>
      <w:r w:rsidRPr="008949C1">
        <w:rPr>
          <w:rFonts w:ascii="Times New Roman" w:eastAsia="Calibri" w:hAnsi="Times New Roman" w:cs="Times New Roman"/>
          <w:b/>
          <w:bCs/>
          <w:kern w:val="2"/>
          <w:sz w:val="20"/>
          <w:szCs w:val="20"/>
          <w:lang w:eastAsia="en-US"/>
          <w14:ligatures w14:val="standard"/>
        </w:rPr>
        <w:t>: Gearing ratio Comparison</w:t>
      </w:r>
      <w:bookmarkEnd w:id="29"/>
    </w:p>
    <w:p w14:paraId="69F5AEAD" w14:textId="77777777"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r w:rsidRPr="008949C1">
        <w:rPr>
          <w:rFonts w:ascii="Times New Roman" w:eastAsia="Calibri" w:hAnsi="Times New Roman" w:cs="Times New Roman"/>
          <w:b/>
          <w:bCs/>
          <w:kern w:val="2"/>
          <w:sz w:val="20"/>
          <w:szCs w:val="20"/>
          <w:lang w:eastAsia="en-US"/>
          <w14:ligatures w14:val="standard"/>
        </w:rPr>
        <w:t>Source: (Self-Made)</w:t>
      </w:r>
    </w:p>
    <w:p w14:paraId="113B1A36" w14:textId="77777777" w:rsidR="008949C1" w:rsidRPr="008949C1" w:rsidRDefault="008949C1" w:rsidP="008949C1">
      <w:pPr>
        <w:spacing w:after="0"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kern w:val="2"/>
          <w:sz w:val="24"/>
          <w:lang w:eastAsia="en-US"/>
          <w14:ligatures w14:val="standard"/>
        </w:rPr>
        <w:t>By comparing the value of 2019 and 2020</w:t>
      </w:r>
      <w:r w:rsidRPr="008949C1">
        <w:rPr>
          <w:rFonts w:ascii="Times New Roman" w:eastAsia="Calibri" w:hAnsi="Times New Roman" w:cs="Times New Roman"/>
          <w:b/>
          <w:bCs/>
          <w:kern w:val="2"/>
          <w:sz w:val="24"/>
          <w:lang w:eastAsia="en-US"/>
          <w14:ligatures w14:val="standard"/>
        </w:rPr>
        <w:t>, it can be seen that the value has been increased than the previous year.</w:t>
      </w:r>
      <w:r w:rsidRPr="008949C1">
        <w:rPr>
          <w:rFonts w:ascii="Times New Roman" w:eastAsia="Calibri" w:hAnsi="Times New Roman" w:cs="Times New Roman"/>
          <w:kern w:val="2"/>
          <w:sz w:val="24"/>
          <w:lang w:eastAsia="en-US"/>
          <w14:ligatures w14:val="standard"/>
        </w:rPr>
        <w:t xml:space="preserve"> The value has been increased because both the debt and the company's capital have increased. As previously stated, the </w:t>
      </w:r>
      <w:r w:rsidRPr="008949C1">
        <w:rPr>
          <w:rFonts w:ascii="Times New Roman" w:eastAsia="Calibri" w:hAnsi="Times New Roman" w:cs="Times New Roman"/>
          <w:b/>
          <w:bCs/>
          <w:kern w:val="2"/>
          <w:sz w:val="24"/>
          <w:lang w:eastAsia="en-US"/>
          <w14:ligatures w14:val="standard"/>
        </w:rPr>
        <w:t>less the value, the more the company can pay the debt by selling assets.</w:t>
      </w:r>
      <w:r w:rsidRPr="008949C1">
        <w:rPr>
          <w:rFonts w:ascii="Times New Roman" w:eastAsia="Calibri" w:hAnsi="Times New Roman" w:cs="Times New Roman"/>
          <w:kern w:val="2"/>
          <w:sz w:val="24"/>
          <w:lang w:eastAsia="en-US"/>
          <w14:ligatures w14:val="standard"/>
        </w:rPr>
        <w:t xml:space="preserve"> As the value increased in 2020, the company’s ability to pay the debt has little been reduced. </w:t>
      </w:r>
    </w:p>
    <w:p w14:paraId="23694AA8" w14:textId="77777777" w:rsidR="008949C1" w:rsidRPr="008949C1" w:rsidRDefault="008949C1" w:rsidP="008949C1">
      <w:pPr>
        <w:spacing w:after="0" w:line="360" w:lineRule="auto"/>
        <w:jc w:val="both"/>
        <w:rPr>
          <w:rFonts w:ascii="Times New Roman" w:eastAsia="Calibri" w:hAnsi="Times New Roman" w:cs="Times New Roman"/>
          <w:kern w:val="2"/>
          <w:sz w:val="24"/>
          <w:lang w:eastAsia="en-US"/>
          <w14:ligatures w14:val="standard"/>
        </w:rPr>
      </w:pPr>
      <w:bookmarkStart w:id="30" w:name="_Toc94310389"/>
      <w:r w:rsidRPr="008949C1">
        <w:rPr>
          <w:rFonts w:ascii="Times New Roman" w:eastAsia="Calibri" w:hAnsi="Times New Roman" w:cs="Times New Roman"/>
          <w:b/>
          <w:bCs/>
          <w:sz w:val="28"/>
          <w:szCs w:val="32"/>
          <w:u w:color="000000"/>
          <w:lang w:eastAsia="en-US"/>
        </w:rPr>
        <w:t>3.0 Importance of understanding ratios and their fluctuations in hotel business</w:t>
      </w:r>
      <w:bookmarkEnd w:id="30"/>
      <w:r w:rsidRPr="008949C1">
        <w:rPr>
          <w:rFonts w:ascii="Times New Roman" w:eastAsia="Calibri" w:hAnsi="Times New Roman" w:cs="Times New Roman"/>
          <w:kern w:val="2"/>
          <w:sz w:val="24"/>
          <w:lang w:eastAsia="en-US"/>
          <w14:ligatures w14:val="standard"/>
        </w:rPr>
        <w:t>:</w:t>
      </w:r>
    </w:p>
    <w:p w14:paraId="1961DBFC" w14:textId="77777777" w:rsidR="008949C1" w:rsidRPr="008949C1" w:rsidRDefault="008949C1" w:rsidP="008949C1">
      <w:pPr>
        <w:spacing w:after="0"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b/>
          <w:bCs/>
          <w:kern w:val="2"/>
          <w:sz w:val="24"/>
          <w:szCs w:val="24"/>
          <w:lang w:eastAsia="en-US"/>
          <w14:ligatures w14:val="standard"/>
        </w:rPr>
        <w:t>Financial measures related to hotels are needed to assess the sector and individual firms' performance</w:t>
      </w:r>
      <w:r w:rsidRPr="008949C1">
        <w:rPr>
          <w:rFonts w:ascii="Times New Roman" w:eastAsia="Calibri" w:hAnsi="Times New Roman" w:cs="Times New Roman"/>
          <w:kern w:val="2"/>
          <w:sz w:val="24"/>
          <w:szCs w:val="24"/>
          <w:lang w:eastAsia="en-US"/>
          <w14:ligatures w14:val="standard"/>
        </w:rPr>
        <w:t xml:space="preserve"> because of the sectors' </w:t>
      </w:r>
      <w:r w:rsidRPr="008949C1">
        <w:rPr>
          <w:rFonts w:ascii="Times New Roman" w:eastAsia="Calibri" w:hAnsi="Times New Roman" w:cs="Times New Roman"/>
          <w:b/>
          <w:bCs/>
          <w:kern w:val="2"/>
          <w:sz w:val="24"/>
          <w:szCs w:val="24"/>
          <w:lang w:eastAsia="en-US"/>
          <w14:ligatures w14:val="standard"/>
        </w:rPr>
        <w:t>high reliance on long-term fixed and tangible assets</w:t>
      </w:r>
      <w:r w:rsidRPr="008949C1">
        <w:rPr>
          <w:rFonts w:ascii="Times New Roman" w:eastAsia="Calibri" w:hAnsi="Times New Roman" w:cs="Times New Roman"/>
          <w:kern w:val="2"/>
          <w:sz w:val="24"/>
          <w:szCs w:val="24"/>
          <w:lang w:eastAsia="en-US"/>
          <w14:ligatures w14:val="standard"/>
        </w:rPr>
        <w:t>.</w:t>
      </w:r>
      <w:r w:rsidRPr="008949C1">
        <w:rPr>
          <w:rFonts w:ascii="Times New Roman" w:eastAsia="Calibri" w:hAnsi="Times New Roman" w:cs="Times New Roman"/>
          <w:kern w:val="2"/>
          <w:sz w:val="24"/>
          <w:lang w:eastAsia="en-US"/>
          <w14:ligatures w14:val="standard"/>
        </w:rPr>
        <w:t xml:space="preserve"> To measure the financial performance of two years, </w:t>
      </w:r>
      <w:r w:rsidRPr="008949C1">
        <w:rPr>
          <w:rFonts w:ascii="Times New Roman" w:eastAsia="Calibri" w:hAnsi="Times New Roman" w:cs="Times New Roman"/>
          <w:kern w:val="2"/>
          <w:sz w:val="24"/>
          <w:szCs w:val="24"/>
          <w:lang w:eastAsia="en-US"/>
          <w14:ligatures w14:val="standard"/>
        </w:rPr>
        <w:t>Hotel chain Jurys Inn has used some ratio analysis techniques, including profitability ratios, liquidity ratios, and gearing ratios. Below the importance of understanding these ratios are presented:</w:t>
      </w:r>
    </w:p>
    <w:p w14:paraId="5A411AED" w14:textId="77777777" w:rsidR="008949C1" w:rsidRPr="008949C1" w:rsidRDefault="008949C1" w:rsidP="008949C1">
      <w:pPr>
        <w:spacing w:after="0"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b/>
          <w:bCs/>
          <w:kern w:val="2"/>
          <w:sz w:val="24"/>
          <w:lang w:eastAsia="en-US"/>
          <w14:ligatures w14:val="standard"/>
        </w:rPr>
        <w:t>Liquidity ratios</w:t>
      </w:r>
      <w:r w:rsidRPr="008949C1">
        <w:rPr>
          <w:rFonts w:ascii="Times New Roman" w:eastAsia="Calibri" w:hAnsi="Times New Roman" w:cs="Times New Roman"/>
          <w:kern w:val="2"/>
          <w:sz w:val="24"/>
          <w:lang w:eastAsia="en-US"/>
          <w14:ligatures w14:val="standard"/>
        </w:rPr>
        <w:t xml:space="preserve">: Liquidity ratios, which are publicly available, are used to assess a company's ability to meet its short-term financial obligations. In summary, it evaluates a company's capacity to meet its short-term commitments with the short-term assets it now has available to do so. There </w:t>
      </w:r>
      <w:r w:rsidRPr="008949C1">
        <w:rPr>
          <w:rFonts w:ascii="Times New Roman" w:eastAsia="Calibri" w:hAnsi="Times New Roman" w:cs="Times New Roman"/>
          <w:b/>
          <w:bCs/>
          <w:kern w:val="2"/>
          <w:sz w:val="24"/>
          <w:lang w:eastAsia="en-US"/>
          <w14:ligatures w14:val="standard"/>
        </w:rPr>
        <w:t xml:space="preserve">are several short-term liabilities in the hotel sector, such as salary and wages, </w:t>
      </w:r>
      <w:r w:rsidRPr="008949C1">
        <w:rPr>
          <w:rFonts w:ascii="Times New Roman" w:eastAsia="Calibri" w:hAnsi="Times New Roman" w:cs="Times New Roman"/>
          <w:b/>
          <w:bCs/>
          <w:kern w:val="2"/>
          <w:sz w:val="24"/>
          <w:szCs w:val="24"/>
          <w:lang w:eastAsia="en-US"/>
          <w14:ligatures w14:val="standard"/>
        </w:rPr>
        <w:lastRenderedPageBreak/>
        <w:t>equipment leasing, and other short-term obligation</w:t>
      </w:r>
      <w:r w:rsidRPr="008949C1">
        <w:rPr>
          <w:rFonts w:ascii="Times New Roman" w:eastAsia="Calibri" w:hAnsi="Times New Roman" w:cs="Times New Roman"/>
          <w:kern w:val="2"/>
          <w:sz w:val="24"/>
          <w:szCs w:val="24"/>
          <w:lang w:eastAsia="en-US"/>
          <w14:ligatures w14:val="standard"/>
        </w:rPr>
        <w:t xml:space="preserve">s. Because the sector is dynamic, organisations must have enough current assets to meet their current liabilities </w:t>
      </w:r>
      <w:r w:rsidRPr="008949C1">
        <w:rPr>
          <w:rFonts w:ascii="Times New Roman" w:eastAsia="Calibri" w:hAnsi="Times New Roman" w:cs="Times New Roman"/>
          <w:color w:val="000000"/>
          <w:kern w:val="2"/>
          <w:sz w:val="24"/>
          <w:szCs w:val="24"/>
          <w:shd w:val="clear" w:color="auto" w:fill="FFFFFF"/>
          <w:lang w:eastAsia="en-US"/>
          <w14:ligatures w14:val="standard"/>
        </w:rPr>
        <w:t xml:space="preserve">(DeFranco and </w:t>
      </w: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Lattin</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2017)</w:t>
      </w:r>
      <w:r w:rsidRPr="008949C1">
        <w:rPr>
          <w:rFonts w:ascii="Times New Roman" w:eastAsia="Calibri" w:hAnsi="Times New Roman" w:cs="Times New Roman"/>
          <w:kern w:val="2"/>
          <w:sz w:val="24"/>
          <w:szCs w:val="24"/>
          <w:lang w:eastAsia="en-US"/>
          <w14:ligatures w14:val="standard"/>
        </w:rPr>
        <w:t xml:space="preserve">. Understanding liquidity ratios will help hotel chain Jurys Inn </w:t>
      </w:r>
      <w:r w:rsidRPr="008949C1">
        <w:rPr>
          <w:rFonts w:ascii="Times New Roman" w:eastAsia="Calibri" w:hAnsi="Times New Roman" w:cs="Times New Roman"/>
          <w:b/>
          <w:bCs/>
          <w:kern w:val="2"/>
          <w:sz w:val="24"/>
          <w:szCs w:val="24"/>
          <w:lang w:eastAsia="en-US"/>
          <w14:ligatures w14:val="standard"/>
        </w:rPr>
        <w:t>to see whether it has been able to pay the short-term obligations or not</w:t>
      </w:r>
      <w:r w:rsidRPr="008949C1">
        <w:rPr>
          <w:rFonts w:ascii="Times New Roman" w:eastAsia="Calibri" w:hAnsi="Times New Roman" w:cs="Times New Roman"/>
          <w:kern w:val="2"/>
          <w:sz w:val="24"/>
          <w:szCs w:val="24"/>
          <w:lang w:eastAsia="en-US"/>
          <w14:ligatures w14:val="standard"/>
        </w:rPr>
        <w:t xml:space="preserve"> because without paying short term obligations, the company could not run its operation while </w:t>
      </w:r>
      <w:r w:rsidRPr="008949C1">
        <w:rPr>
          <w:rFonts w:ascii="Times New Roman" w:eastAsia="Calibri" w:hAnsi="Times New Roman" w:cs="Times New Roman"/>
          <w:b/>
          <w:bCs/>
          <w:kern w:val="2"/>
          <w:sz w:val="24"/>
          <w:szCs w:val="24"/>
          <w:lang w:eastAsia="en-US"/>
          <w14:ligatures w14:val="standard"/>
        </w:rPr>
        <w:t>having excess short-term assets reduce the company’s earning</w:t>
      </w:r>
      <w:r w:rsidRPr="008949C1">
        <w:rPr>
          <w:rFonts w:ascii="Times New Roman" w:eastAsia="Calibri" w:hAnsi="Times New Roman" w:cs="Times New Roman"/>
          <w:kern w:val="2"/>
          <w:sz w:val="24"/>
          <w:szCs w:val="24"/>
          <w:lang w:eastAsia="en-US"/>
          <w14:ligatures w14:val="standard"/>
        </w:rPr>
        <w:t xml:space="preserve">s because by investing the company could earn much profit than keep the assets idle. Besides, understanding fluctuations will help the company to decide whether they </w:t>
      </w:r>
      <w:r w:rsidRPr="008949C1">
        <w:rPr>
          <w:rFonts w:ascii="Times New Roman" w:eastAsia="Calibri" w:hAnsi="Times New Roman" w:cs="Times New Roman"/>
          <w:kern w:val="2"/>
          <w:sz w:val="24"/>
          <w:lang w:eastAsia="en-US"/>
          <w14:ligatures w14:val="standard"/>
        </w:rPr>
        <w:t>should invest the money or not.</w:t>
      </w:r>
    </w:p>
    <w:p w14:paraId="0EB2E1C6" w14:textId="77777777" w:rsidR="008949C1" w:rsidRPr="008949C1" w:rsidRDefault="008949C1" w:rsidP="008949C1">
      <w:pPr>
        <w:spacing w:after="0"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b/>
          <w:bCs/>
          <w:kern w:val="2"/>
          <w:sz w:val="24"/>
          <w:lang w:eastAsia="en-US"/>
          <w14:ligatures w14:val="standard"/>
        </w:rPr>
        <w:t xml:space="preserve">Profitability ratios: </w:t>
      </w:r>
      <w:r w:rsidRPr="008949C1">
        <w:rPr>
          <w:rFonts w:ascii="Times New Roman" w:eastAsia="Calibri" w:hAnsi="Times New Roman" w:cs="Times New Roman"/>
          <w:kern w:val="2"/>
          <w:sz w:val="24"/>
          <w:lang w:eastAsia="en-US"/>
          <w14:ligatures w14:val="standard"/>
        </w:rPr>
        <w:t xml:space="preserve">Gross profit margin of the hotel industry is high than other industries because there is no cost of goods sold in the hotel industry, but the net profit margin of this industry is </w:t>
      </w:r>
      <w:r w:rsidRPr="008949C1">
        <w:rPr>
          <w:rFonts w:ascii="Times New Roman" w:eastAsia="Calibri" w:hAnsi="Times New Roman" w:cs="Times New Roman"/>
          <w:kern w:val="2"/>
          <w:sz w:val="24"/>
          <w:szCs w:val="24"/>
          <w:lang w:eastAsia="en-US"/>
          <w14:ligatures w14:val="standard"/>
        </w:rPr>
        <w:t xml:space="preserve">comparatively low than other industries because the operation cost is high in this industry than other industries </w:t>
      </w:r>
      <w:r w:rsidRPr="008949C1">
        <w:rPr>
          <w:rFonts w:ascii="Times New Roman" w:eastAsia="Calibri" w:hAnsi="Times New Roman" w:cs="Times New Roman"/>
          <w:color w:val="000000"/>
          <w:kern w:val="2"/>
          <w:sz w:val="24"/>
          <w:szCs w:val="24"/>
          <w:shd w:val="clear" w:color="auto" w:fill="FFFFFF"/>
          <w:lang w:eastAsia="en-US"/>
          <w14:ligatures w14:val="standard"/>
        </w:rPr>
        <w:t>(</w:t>
      </w: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Schoenebeck</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xml:space="preserve"> and </w:t>
      </w: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Holtzman</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2019)</w:t>
      </w:r>
      <w:r w:rsidRPr="008949C1">
        <w:rPr>
          <w:rFonts w:ascii="Times New Roman" w:eastAsia="Calibri" w:hAnsi="Times New Roman" w:cs="Times New Roman"/>
          <w:kern w:val="2"/>
          <w:sz w:val="24"/>
          <w:szCs w:val="24"/>
          <w:lang w:eastAsia="en-US"/>
          <w14:ligatures w14:val="standard"/>
        </w:rPr>
        <w:t>. Knowing profitability ratios will help hotel chain Jurys Inn in seeing whether the Gross profit has increased or not. If the gross profit has not increased, the customers are not visiting the hotels more. Therefore, the company could take measures while if the operating margin ratios are not increased than the previous year or reduced, it will indicate that the organisation's efficiency level has been reduced; therefore, the company could increase it.</w:t>
      </w:r>
      <w:r w:rsidRPr="008949C1">
        <w:rPr>
          <w:rFonts w:ascii="Times New Roman" w:eastAsia="Calibri" w:hAnsi="Times New Roman" w:cs="Times New Roman"/>
          <w:kern w:val="2"/>
          <w:sz w:val="24"/>
          <w:lang w:eastAsia="en-US"/>
          <w14:ligatures w14:val="standard"/>
        </w:rPr>
        <w:t xml:space="preserve"> </w:t>
      </w:r>
    </w:p>
    <w:p w14:paraId="7F8C1D14" w14:textId="77777777" w:rsidR="008949C1" w:rsidRPr="008949C1" w:rsidRDefault="008949C1" w:rsidP="008949C1">
      <w:pPr>
        <w:spacing w:after="0"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b/>
          <w:bCs/>
          <w:kern w:val="2"/>
          <w:sz w:val="24"/>
          <w:lang w:eastAsia="en-US"/>
          <w14:ligatures w14:val="standard"/>
        </w:rPr>
        <w:t xml:space="preserve">Gearing ratios: </w:t>
      </w:r>
      <w:r w:rsidRPr="008949C1">
        <w:rPr>
          <w:rFonts w:ascii="Times New Roman" w:eastAsia="Calibri" w:hAnsi="Times New Roman" w:cs="Times New Roman"/>
          <w:kern w:val="2"/>
          <w:sz w:val="24"/>
          <w:lang w:eastAsia="en-US"/>
          <w14:ligatures w14:val="standard"/>
        </w:rPr>
        <w:t xml:space="preserve">The hotel management can learn about a company's long-term financial stability by looking at gearing ratios. These ratios assess a company's long-term debt repayment capacity. There are a lot of long-term obligations in the form of debt and current liabilities in the hotel business </w:t>
      </w:r>
      <w:r w:rsidRPr="008949C1">
        <w:rPr>
          <w:rFonts w:ascii="Times New Roman" w:eastAsia="Calibri" w:hAnsi="Times New Roman" w:cs="Times New Roman"/>
          <w:color w:val="000000"/>
          <w:kern w:val="2"/>
          <w:sz w:val="24"/>
          <w:szCs w:val="24"/>
          <w:shd w:val="clear" w:color="auto" w:fill="FFFFFF"/>
          <w:lang w:eastAsia="en-US"/>
          <w14:ligatures w14:val="standard"/>
        </w:rPr>
        <w:t>(</w:t>
      </w: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Borovčanin</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2019)</w:t>
      </w:r>
      <w:r w:rsidRPr="008949C1">
        <w:rPr>
          <w:rFonts w:ascii="Times New Roman" w:eastAsia="Calibri" w:hAnsi="Times New Roman" w:cs="Times New Roman"/>
          <w:b/>
          <w:bCs/>
          <w:kern w:val="2"/>
          <w:sz w:val="24"/>
          <w:lang w:eastAsia="en-US"/>
          <w14:ligatures w14:val="standard"/>
        </w:rPr>
        <w:t xml:space="preserve">. Knowing gearing ratios </w:t>
      </w:r>
      <w:r w:rsidRPr="008949C1">
        <w:rPr>
          <w:rFonts w:ascii="Times New Roman" w:eastAsia="Calibri" w:hAnsi="Times New Roman" w:cs="Times New Roman"/>
          <w:kern w:val="2"/>
          <w:sz w:val="24"/>
          <w:lang w:eastAsia="en-US"/>
          <w14:ligatures w14:val="standard"/>
        </w:rPr>
        <w:t xml:space="preserve">such as debt to capital ratio will help hotel chain Jurys Inn to understand how much assets it has to pay the debt by selling the assets. The lower the value, the higher the capacity. The company can then take necessary measures if the value has been reduced. Therefore, knowledge is essential. </w:t>
      </w:r>
    </w:p>
    <w:p w14:paraId="3D44724A" w14:textId="77777777" w:rsidR="008949C1" w:rsidRPr="008949C1" w:rsidRDefault="008949C1" w:rsidP="008949C1">
      <w:pPr>
        <w:spacing w:after="0"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kern w:val="2"/>
          <w:sz w:val="24"/>
          <w:lang w:eastAsia="en-US"/>
          <w14:ligatures w14:val="standard"/>
        </w:rPr>
        <w:t xml:space="preserve">Based on the above discussion, it can be said that knowing the ratios will help the management of Jurys to run their business successfully and smoothly in the competitive period. </w:t>
      </w:r>
    </w:p>
    <w:p w14:paraId="05E15BA0" w14:textId="77777777" w:rsidR="008949C1" w:rsidRPr="008949C1" w:rsidRDefault="008949C1" w:rsidP="008949C1">
      <w:pPr>
        <w:widowControl w:val="0"/>
        <w:autoSpaceDE w:val="0"/>
        <w:autoSpaceDN w:val="0"/>
        <w:spacing w:before="57" w:after="0" w:line="360" w:lineRule="auto"/>
        <w:ind w:right="2647"/>
        <w:outlineLvl w:val="0"/>
        <w:rPr>
          <w:rFonts w:ascii="Times New Roman" w:eastAsia="Times New Roman" w:hAnsi="Times New Roman" w:cs="Times New Roman"/>
          <w:b/>
          <w:bCs/>
          <w:sz w:val="28"/>
          <w:szCs w:val="32"/>
          <w:u w:color="000000"/>
          <w:lang w:eastAsia="en-US"/>
        </w:rPr>
      </w:pPr>
      <w:bookmarkStart w:id="31" w:name="_Toc94310390"/>
      <w:r w:rsidRPr="008949C1">
        <w:rPr>
          <w:rFonts w:ascii="Times New Roman" w:eastAsia="Times New Roman" w:hAnsi="Times New Roman" w:cs="Times New Roman"/>
          <w:b/>
          <w:bCs/>
          <w:sz w:val="28"/>
          <w:szCs w:val="32"/>
          <w:u w:color="000000"/>
          <w:lang w:eastAsia="en-US"/>
        </w:rPr>
        <w:t>4.0 Benefits and limitations of ratios:</w:t>
      </w:r>
      <w:bookmarkEnd w:id="31"/>
    </w:p>
    <w:p w14:paraId="3184BB54" w14:textId="77777777" w:rsidR="008949C1" w:rsidRPr="008949C1" w:rsidRDefault="008949C1" w:rsidP="008949C1">
      <w:pPr>
        <w:spacing w:after="0"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kern w:val="2"/>
          <w:sz w:val="24"/>
          <w:lang w:eastAsia="en-US"/>
          <w14:ligatures w14:val="standard"/>
        </w:rPr>
        <w:t>Instead of comparing individual line items on each balance sheet, ratio analysis uses meaningful percentages to compare financial statements as a whole. Ratio analysis has some benefits and limitations. Below the benefits and limitations are presented:</w:t>
      </w:r>
    </w:p>
    <w:tbl>
      <w:tblPr>
        <w:tblStyle w:val="TableGrid"/>
        <w:tblW w:w="9678" w:type="dxa"/>
        <w:tblLook w:val="04A0" w:firstRow="1" w:lastRow="0" w:firstColumn="1" w:lastColumn="0" w:noHBand="0" w:noVBand="1"/>
      </w:tblPr>
      <w:tblGrid>
        <w:gridCol w:w="4839"/>
        <w:gridCol w:w="4839"/>
      </w:tblGrid>
      <w:tr w:rsidR="008949C1" w:rsidRPr="008949C1" w14:paraId="73F9E728" w14:textId="77777777" w:rsidTr="00E61341">
        <w:trPr>
          <w:trHeight w:val="431"/>
        </w:trPr>
        <w:tc>
          <w:tcPr>
            <w:tcW w:w="4839" w:type="dxa"/>
            <w:shd w:val="clear" w:color="auto" w:fill="002060"/>
          </w:tcPr>
          <w:p w14:paraId="4C1353D1"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Benefits</w:t>
            </w:r>
          </w:p>
        </w:tc>
        <w:tc>
          <w:tcPr>
            <w:tcW w:w="4839" w:type="dxa"/>
            <w:shd w:val="clear" w:color="auto" w:fill="002060"/>
          </w:tcPr>
          <w:p w14:paraId="1C834BA6" w14:textId="77777777" w:rsidR="008949C1" w:rsidRPr="008949C1" w:rsidRDefault="008949C1" w:rsidP="008949C1">
            <w:pPr>
              <w:spacing w:line="360" w:lineRule="auto"/>
              <w:jc w:val="center"/>
              <w:rPr>
                <w:rFonts w:ascii="Times New Roman" w:hAnsi="Times New Roman" w:cs="Times New Roman"/>
                <w:sz w:val="24"/>
              </w:rPr>
            </w:pPr>
            <w:r w:rsidRPr="008949C1">
              <w:rPr>
                <w:rFonts w:ascii="Times New Roman" w:hAnsi="Times New Roman" w:cs="Times New Roman"/>
                <w:sz w:val="24"/>
              </w:rPr>
              <w:t xml:space="preserve">Limitations </w:t>
            </w:r>
          </w:p>
        </w:tc>
      </w:tr>
      <w:tr w:rsidR="008949C1" w:rsidRPr="008949C1" w14:paraId="62AD9066" w14:textId="77777777" w:rsidTr="00E61341">
        <w:trPr>
          <w:trHeight w:val="878"/>
        </w:trPr>
        <w:tc>
          <w:tcPr>
            <w:tcW w:w="4839" w:type="dxa"/>
          </w:tcPr>
          <w:p w14:paraId="5525F127"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Foreseeing and planning may be done through trend analysis.s</w:t>
            </w:r>
          </w:p>
        </w:tc>
        <w:tc>
          <w:tcPr>
            <w:tcW w:w="4839" w:type="dxa"/>
          </w:tcPr>
          <w:p w14:paraId="2BA13651"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Financial reports appear to be challenging to understand.</w:t>
            </w:r>
          </w:p>
        </w:tc>
      </w:tr>
      <w:tr w:rsidR="008949C1" w:rsidRPr="008949C1" w14:paraId="2FB0F687" w14:textId="77777777" w:rsidTr="00E61341">
        <w:trPr>
          <w:trHeight w:val="1756"/>
        </w:trPr>
        <w:tc>
          <w:tcPr>
            <w:tcW w:w="4839" w:type="dxa"/>
          </w:tcPr>
          <w:p w14:paraId="37898421"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lastRenderedPageBreak/>
              <w:t xml:space="preserve">It helps in predicting the budget for the </w:t>
            </w:r>
            <w:proofErr w:type="spellStart"/>
            <w:r w:rsidRPr="008949C1">
              <w:rPr>
                <w:rFonts w:ascii="Times New Roman" w:hAnsi="Times New Roman" w:cs="Times New Roman"/>
                <w:sz w:val="24"/>
              </w:rPr>
              <w:t>organisation</w:t>
            </w:r>
            <w:proofErr w:type="spellEnd"/>
            <w:r w:rsidRPr="008949C1">
              <w:rPr>
                <w:rFonts w:ascii="Times New Roman" w:hAnsi="Times New Roman" w:cs="Times New Roman"/>
                <w:sz w:val="24"/>
              </w:rPr>
              <w:t xml:space="preserve"> by examining prior patterns.</w:t>
            </w:r>
          </w:p>
        </w:tc>
        <w:tc>
          <w:tcPr>
            <w:tcW w:w="4839" w:type="dxa"/>
          </w:tcPr>
          <w:p w14:paraId="319EAF1F"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xml:space="preserve">A comparison of two </w:t>
            </w:r>
            <w:proofErr w:type="spellStart"/>
            <w:r w:rsidRPr="008949C1">
              <w:rPr>
                <w:rFonts w:ascii="Times New Roman" w:hAnsi="Times New Roman" w:cs="Times New Roman"/>
                <w:sz w:val="24"/>
              </w:rPr>
              <w:t>organisations</w:t>
            </w:r>
            <w:proofErr w:type="spellEnd"/>
            <w:r w:rsidRPr="008949C1">
              <w:rPr>
                <w:rFonts w:ascii="Times New Roman" w:hAnsi="Times New Roman" w:cs="Times New Roman"/>
                <w:sz w:val="24"/>
              </w:rPr>
              <w:t xml:space="preserve"> from different industries may be unclear because of external variables such as market structure, regulation, etc.</w:t>
            </w:r>
          </w:p>
        </w:tc>
      </w:tr>
      <w:tr w:rsidR="008949C1" w:rsidRPr="008949C1" w14:paraId="00819B7E" w14:textId="77777777" w:rsidTr="00E61341">
        <w:trPr>
          <w:trHeight w:val="2203"/>
        </w:trPr>
        <w:tc>
          <w:tcPr>
            <w:tcW w:w="4839" w:type="dxa"/>
          </w:tcPr>
          <w:p w14:paraId="32EE70B6"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 xml:space="preserve">It aids in figuring out how well a business or </w:t>
            </w:r>
            <w:proofErr w:type="spellStart"/>
            <w:r w:rsidRPr="008949C1">
              <w:rPr>
                <w:rFonts w:ascii="Times New Roman" w:hAnsi="Times New Roman" w:cs="Times New Roman"/>
                <w:sz w:val="24"/>
              </w:rPr>
              <w:t>organisation</w:t>
            </w:r>
            <w:proofErr w:type="spellEnd"/>
            <w:r w:rsidRPr="008949C1">
              <w:rPr>
                <w:rFonts w:ascii="Times New Roman" w:hAnsi="Times New Roman" w:cs="Times New Roman"/>
                <w:sz w:val="24"/>
              </w:rPr>
              <w:t xml:space="preserve"> is doing its job.</w:t>
            </w:r>
          </w:p>
        </w:tc>
        <w:tc>
          <w:tcPr>
            <w:tcW w:w="4839" w:type="dxa"/>
          </w:tcPr>
          <w:p w14:paraId="0066BD87"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There is much room for interpretation in financial accounting data. Ratio analysis is less useful in these situations because accounting criteria supply multiple accounting techniques, which lowers comparability.</w:t>
            </w:r>
          </w:p>
        </w:tc>
      </w:tr>
      <w:tr w:rsidR="008949C1" w:rsidRPr="008949C1" w14:paraId="66A81CA2" w14:textId="77777777" w:rsidTr="00E61341">
        <w:trPr>
          <w:trHeight w:val="1309"/>
        </w:trPr>
        <w:tc>
          <w:tcPr>
            <w:tcW w:w="4839" w:type="dxa"/>
          </w:tcPr>
          <w:p w14:paraId="0736F424"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Users of accounting information can gain much insight into the business's health by looking at this data.</w:t>
            </w:r>
          </w:p>
        </w:tc>
        <w:tc>
          <w:tcPr>
            <w:tcW w:w="4839" w:type="dxa"/>
          </w:tcPr>
          <w:p w14:paraId="6240AFE0"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Ratio analysis shows correlations between previous data, but consumers are more interested in the current and future datasets.</w:t>
            </w:r>
          </w:p>
        </w:tc>
      </w:tr>
      <w:tr w:rsidR="008949C1" w:rsidRPr="008949C1" w14:paraId="6C6C5CFF" w14:textId="77777777" w:rsidTr="00E61341">
        <w:trPr>
          <w:trHeight w:val="878"/>
        </w:trPr>
        <w:tc>
          <w:tcPr>
            <w:tcW w:w="4839" w:type="dxa"/>
          </w:tcPr>
          <w:p w14:paraId="5A5F6125"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This tool makes it easier to compare two or more companies.</w:t>
            </w:r>
          </w:p>
        </w:tc>
        <w:tc>
          <w:tcPr>
            <w:tcW w:w="4839" w:type="dxa"/>
          </w:tcPr>
          <w:p w14:paraId="181EB0AB" w14:textId="77777777" w:rsidR="008949C1" w:rsidRPr="008949C1" w:rsidRDefault="008949C1" w:rsidP="008949C1">
            <w:pPr>
              <w:spacing w:line="360" w:lineRule="auto"/>
              <w:jc w:val="both"/>
              <w:rPr>
                <w:rFonts w:ascii="Times New Roman" w:hAnsi="Times New Roman" w:cs="Times New Roman"/>
                <w:sz w:val="24"/>
              </w:rPr>
            </w:pPr>
          </w:p>
        </w:tc>
      </w:tr>
      <w:tr w:rsidR="008949C1" w:rsidRPr="008949C1" w14:paraId="4A462A32" w14:textId="77777777" w:rsidTr="00E61341">
        <w:trPr>
          <w:trHeight w:val="878"/>
        </w:trPr>
        <w:tc>
          <w:tcPr>
            <w:tcW w:w="4839" w:type="dxa"/>
          </w:tcPr>
          <w:p w14:paraId="14388A6A" w14:textId="77777777" w:rsidR="008949C1" w:rsidRPr="008949C1" w:rsidRDefault="008949C1" w:rsidP="008949C1">
            <w:pPr>
              <w:spacing w:line="360" w:lineRule="auto"/>
              <w:jc w:val="both"/>
              <w:rPr>
                <w:rFonts w:ascii="Times New Roman" w:hAnsi="Times New Roman" w:cs="Times New Roman"/>
                <w:sz w:val="24"/>
              </w:rPr>
            </w:pPr>
            <w:r w:rsidRPr="008949C1">
              <w:rPr>
                <w:rFonts w:ascii="Times New Roman" w:hAnsi="Times New Roman" w:cs="Times New Roman"/>
                <w:sz w:val="24"/>
              </w:rPr>
              <w:t>It aids in assessing the firm's short- and long-term liquidity and solvency.</w:t>
            </w:r>
          </w:p>
        </w:tc>
        <w:tc>
          <w:tcPr>
            <w:tcW w:w="4839" w:type="dxa"/>
          </w:tcPr>
          <w:p w14:paraId="5822CE03" w14:textId="77777777" w:rsidR="008949C1" w:rsidRPr="008949C1" w:rsidRDefault="008949C1" w:rsidP="008949C1">
            <w:pPr>
              <w:spacing w:line="360" w:lineRule="auto"/>
              <w:jc w:val="both"/>
              <w:rPr>
                <w:rFonts w:ascii="Times New Roman" w:hAnsi="Times New Roman" w:cs="Times New Roman"/>
                <w:sz w:val="24"/>
              </w:rPr>
            </w:pPr>
          </w:p>
        </w:tc>
      </w:tr>
    </w:tbl>
    <w:p w14:paraId="00CDA998" w14:textId="4E5A60DD" w:rsidR="008949C1" w:rsidRPr="008949C1" w:rsidRDefault="008949C1" w:rsidP="008949C1">
      <w:pPr>
        <w:spacing w:after="0" w:line="360" w:lineRule="auto"/>
        <w:jc w:val="center"/>
        <w:rPr>
          <w:rFonts w:ascii="Times New Roman" w:eastAsia="Calibri" w:hAnsi="Times New Roman" w:cs="Times New Roman"/>
          <w:b/>
          <w:bCs/>
          <w:kern w:val="2"/>
          <w:sz w:val="20"/>
          <w:szCs w:val="20"/>
          <w:lang w:eastAsia="en-US"/>
          <w14:ligatures w14:val="standard"/>
        </w:rPr>
      </w:pPr>
      <w:bookmarkStart w:id="32" w:name="_Toc94310429"/>
      <w:r w:rsidRPr="008949C1">
        <w:rPr>
          <w:rFonts w:ascii="Times New Roman" w:eastAsia="Calibri" w:hAnsi="Times New Roman" w:cs="Times New Roman"/>
          <w:b/>
          <w:bCs/>
          <w:kern w:val="2"/>
          <w:sz w:val="20"/>
          <w:szCs w:val="20"/>
          <w:lang w:eastAsia="en-US"/>
          <w14:ligatures w14:val="standard"/>
        </w:rPr>
        <w:t xml:space="preserve">Table </w:t>
      </w:r>
      <w:r w:rsidRPr="008949C1">
        <w:rPr>
          <w:rFonts w:ascii="Times New Roman" w:eastAsia="Calibri" w:hAnsi="Times New Roman" w:cs="Times New Roman"/>
          <w:b/>
          <w:bCs/>
          <w:kern w:val="2"/>
          <w:sz w:val="20"/>
          <w:szCs w:val="20"/>
          <w:lang w:eastAsia="en-US"/>
          <w14:ligatures w14:val="standard"/>
        </w:rPr>
        <w:fldChar w:fldCharType="begin"/>
      </w:r>
      <w:r w:rsidRPr="008949C1">
        <w:rPr>
          <w:rFonts w:ascii="Times New Roman" w:eastAsia="Calibri" w:hAnsi="Times New Roman" w:cs="Times New Roman"/>
          <w:b/>
          <w:bCs/>
          <w:kern w:val="2"/>
          <w:sz w:val="20"/>
          <w:szCs w:val="20"/>
          <w:lang w:eastAsia="en-US"/>
          <w14:ligatures w14:val="standard"/>
        </w:rPr>
        <w:instrText xml:space="preserve"> SEQ Table \* ARABIC </w:instrText>
      </w:r>
      <w:r w:rsidRPr="008949C1">
        <w:rPr>
          <w:rFonts w:ascii="Times New Roman" w:eastAsia="Calibri" w:hAnsi="Times New Roman" w:cs="Times New Roman"/>
          <w:b/>
          <w:bCs/>
          <w:kern w:val="2"/>
          <w:sz w:val="20"/>
          <w:szCs w:val="20"/>
          <w:lang w:eastAsia="en-US"/>
          <w14:ligatures w14:val="standard"/>
        </w:rPr>
        <w:fldChar w:fldCharType="separate"/>
      </w:r>
      <w:r w:rsidR="00F611C6">
        <w:rPr>
          <w:rFonts w:ascii="Times New Roman" w:eastAsia="Calibri" w:hAnsi="Times New Roman" w:cs="Times New Roman"/>
          <w:b/>
          <w:bCs/>
          <w:noProof/>
          <w:kern w:val="2"/>
          <w:sz w:val="20"/>
          <w:szCs w:val="20"/>
          <w:lang w:eastAsia="en-US"/>
          <w14:ligatures w14:val="standard"/>
        </w:rPr>
        <w:t>7</w:t>
      </w:r>
      <w:r w:rsidRPr="008949C1">
        <w:rPr>
          <w:rFonts w:ascii="Times New Roman" w:eastAsia="Calibri" w:hAnsi="Times New Roman" w:cs="Times New Roman"/>
          <w:b/>
          <w:bCs/>
          <w:kern w:val="2"/>
          <w:sz w:val="20"/>
          <w:szCs w:val="20"/>
          <w:lang w:eastAsia="en-US"/>
          <w14:ligatures w14:val="standard"/>
        </w:rPr>
        <w:fldChar w:fldCharType="end"/>
      </w:r>
      <w:r w:rsidRPr="008949C1">
        <w:rPr>
          <w:rFonts w:ascii="Times New Roman" w:eastAsia="Calibri" w:hAnsi="Times New Roman" w:cs="Times New Roman"/>
          <w:b/>
          <w:bCs/>
          <w:kern w:val="2"/>
          <w:sz w:val="20"/>
          <w:szCs w:val="20"/>
          <w:lang w:eastAsia="en-US"/>
          <w14:ligatures w14:val="standard"/>
        </w:rPr>
        <w:t>: Benefits and Limitations of Ratio analysis</w:t>
      </w:r>
      <w:bookmarkEnd w:id="32"/>
    </w:p>
    <w:p w14:paraId="6CEFCF22" w14:textId="77777777" w:rsidR="008949C1" w:rsidRPr="008949C1" w:rsidRDefault="008949C1" w:rsidP="008949C1">
      <w:pPr>
        <w:spacing w:after="0" w:line="360" w:lineRule="auto"/>
        <w:jc w:val="center"/>
        <w:rPr>
          <w:rFonts w:ascii="Times New Roman" w:eastAsia="Calibri" w:hAnsi="Times New Roman" w:cs="Times New Roman"/>
          <w:b/>
          <w:bCs/>
          <w:kern w:val="2"/>
          <w:sz w:val="20"/>
          <w:szCs w:val="20"/>
          <w:shd w:val="clear" w:color="auto" w:fill="FFFFFF"/>
          <w:lang w:eastAsia="en-US"/>
          <w14:ligatures w14:val="standard"/>
        </w:rPr>
      </w:pPr>
      <w:r w:rsidRPr="008949C1">
        <w:rPr>
          <w:rFonts w:ascii="Times New Roman" w:eastAsia="Calibri" w:hAnsi="Times New Roman" w:cs="Times New Roman"/>
          <w:b/>
          <w:bCs/>
          <w:kern w:val="2"/>
          <w:sz w:val="20"/>
          <w:szCs w:val="20"/>
          <w:lang w:eastAsia="en-US"/>
          <w14:ligatures w14:val="standard"/>
        </w:rPr>
        <w:t xml:space="preserve">Source: </w:t>
      </w:r>
      <w:r w:rsidRPr="008949C1">
        <w:rPr>
          <w:rFonts w:ascii="Times New Roman" w:eastAsia="Calibri" w:hAnsi="Times New Roman" w:cs="Times New Roman"/>
          <w:b/>
          <w:bCs/>
          <w:kern w:val="2"/>
          <w:sz w:val="20"/>
          <w:szCs w:val="20"/>
          <w:shd w:val="clear" w:color="auto" w:fill="FFFFFF"/>
          <w:lang w:eastAsia="en-US"/>
          <w14:ligatures w14:val="standard"/>
        </w:rPr>
        <w:t>(</w:t>
      </w:r>
      <w:proofErr w:type="spellStart"/>
      <w:r w:rsidRPr="008949C1">
        <w:rPr>
          <w:rFonts w:ascii="Times New Roman" w:eastAsia="Calibri" w:hAnsi="Times New Roman" w:cs="Times New Roman"/>
          <w:b/>
          <w:bCs/>
          <w:kern w:val="2"/>
          <w:sz w:val="20"/>
          <w:szCs w:val="20"/>
          <w:shd w:val="clear" w:color="auto" w:fill="FFFFFF"/>
          <w:lang w:eastAsia="en-US"/>
          <w14:ligatures w14:val="standard"/>
        </w:rPr>
        <w:t>Thakor</w:t>
      </w:r>
      <w:proofErr w:type="spellEnd"/>
      <w:r w:rsidRPr="008949C1">
        <w:rPr>
          <w:rFonts w:ascii="Times New Roman" w:eastAsia="Calibri" w:hAnsi="Times New Roman" w:cs="Times New Roman"/>
          <w:b/>
          <w:bCs/>
          <w:kern w:val="2"/>
          <w:sz w:val="20"/>
          <w:szCs w:val="20"/>
          <w:shd w:val="clear" w:color="auto" w:fill="FFFFFF"/>
          <w:lang w:eastAsia="en-US"/>
          <w14:ligatures w14:val="standard"/>
        </w:rPr>
        <w:t>, 2015)</w:t>
      </w:r>
    </w:p>
    <w:p w14:paraId="46EA3DEB" w14:textId="77777777" w:rsidR="008949C1" w:rsidRPr="008949C1" w:rsidRDefault="008949C1" w:rsidP="008949C1">
      <w:pPr>
        <w:rPr>
          <w:rFonts w:ascii="Times New Roman" w:eastAsia="Times New Roman" w:hAnsi="Times New Roman" w:cs="Times New Roman"/>
          <w:b/>
          <w:bCs/>
          <w:sz w:val="28"/>
          <w:szCs w:val="32"/>
          <w:u w:color="000000"/>
          <w:lang w:eastAsia="en-US"/>
        </w:rPr>
      </w:pPr>
      <w:r w:rsidRPr="008949C1">
        <w:rPr>
          <w:rFonts w:ascii="Times New Roman" w:eastAsia="Calibri" w:hAnsi="Times New Roman" w:cs="Times New Roman"/>
          <w:kern w:val="2"/>
          <w:sz w:val="24"/>
          <w:lang w:eastAsia="en-US"/>
          <w14:ligatures w14:val="standard"/>
        </w:rPr>
        <w:br w:type="page"/>
      </w:r>
    </w:p>
    <w:p w14:paraId="23563B69" w14:textId="77777777" w:rsidR="008949C1" w:rsidRPr="008949C1" w:rsidRDefault="008949C1" w:rsidP="008949C1">
      <w:pPr>
        <w:widowControl w:val="0"/>
        <w:autoSpaceDE w:val="0"/>
        <w:autoSpaceDN w:val="0"/>
        <w:spacing w:before="57" w:after="0" w:line="360" w:lineRule="auto"/>
        <w:ind w:right="2647"/>
        <w:outlineLvl w:val="0"/>
        <w:rPr>
          <w:rFonts w:ascii="Times New Roman" w:eastAsia="Times New Roman" w:hAnsi="Times New Roman" w:cs="Times New Roman"/>
          <w:b/>
          <w:bCs/>
          <w:sz w:val="28"/>
          <w:szCs w:val="32"/>
          <w:u w:color="000000"/>
          <w:lang w:eastAsia="en-US"/>
        </w:rPr>
      </w:pPr>
      <w:bookmarkStart w:id="33" w:name="_Toc94310391"/>
      <w:r w:rsidRPr="008949C1">
        <w:rPr>
          <w:rFonts w:ascii="Times New Roman" w:eastAsia="Times New Roman" w:hAnsi="Times New Roman" w:cs="Times New Roman"/>
          <w:b/>
          <w:bCs/>
          <w:sz w:val="28"/>
          <w:szCs w:val="32"/>
          <w:u w:color="000000"/>
          <w:lang w:eastAsia="en-US"/>
        </w:rPr>
        <w:lastRenderedPageBreak/>
        <w:t>5.0 Conclusion:</w:t>
      </w:r>
      <w:bookmarkEnd w:id="33"/>
    </w:p>
    <w:p w14:paraId="3E31F938" w14:textId="77777777" w:rsidR="008949C1" w:rsidRPr="008949C1" w:rsidRDefault="008949C1" w:rsidP="008949C1">
      <w:pPr>
        <w:spacing w:line="360" w:lineRule="auto"/>
        <w:jc w:val="both"/>
        <w:rPr>
          <w:rFonts w:ascii="Times New Roman" w:eastAsia="Calibri" w:hAnsi="Times New Roman" w:cs="Times New Roman"/>
          <w:kern w:val="2"/>
          <w:sz w:val="24"/>
          <w:lang w:eastAsia="en-US"/>
          <w14:ligatures w14:val="standard"/>
        </w:rPr>
      </w:pPr>
      <w:r w:rsidRPr="008949C1">
        <w:rPr>
          <w:rFonts w:ascii="Times New Roman" w:eastAsia="Calibri" w:hAnsi="Times New Roman" w:cs="Times New Roman"/>
          <w:kern w:val="2"/>
          <w:sz w:val="24"/>
          <w:lang w:eastAsia="en-US"/>
          <w14:ligatures w14:val="standard"/>
        </w:rPr>
        <w:t xml:space="preserve">Before making future choices, business executives who wish to know their company's financial strengths and weaknesses might benefit significantly from using ratio analysis. Use this tool to evaluate the company's current and future financial situation and performance </w:t>
      </w:r>
      <w:r w:rsidRPr="008949C1">
        <w:rPr>
          <w:rFonts w:ascii="Times New Roman" w:eastAsia="Calibri" w:hAnsi="Times New Roman" w:cs="Times New Roman"/>
          <w:color w:val="000000"/>
          <w:kern w:val="2"/>
          <w:sz w:val="24"/>
          <w:szCs w:val="24"/>
          <w:shd w:val="clear" w:color="auto" w:fill="FFFFFF"/>
          <w:lang w:eastAsia="en-US"/>
          <w14:ligatures w14:val="standard"/>
        </w:rPr>
        <w:t>(La Rosa, 2021)</w:t>
      </w:r>
      <w:r w:rsidRPr="008949C1">
        <w:rPr>
          <w:rFonts w:ascii="Times New Roman" w:eastAsia="Calibri" w:hAnsi="Times New Roman" w:cs="Times New Roman"/>
          <w:kern w:val="2"/>
          <w:sz w:val="24"/>
          <w:szCs w:val="24"/>
          <w:lang w:eastAsia="en-US"/>
          <w14:ligatures w14:val="standard"/>
        </w:rPr>
        <w:t>.</w:t>
      </w:r>
      <w:r w:rsidRPr="008949C1">
        <w:rPr>
          <w:rFonts w:ascii="Times New Roman" w:eastAsia="Calibri" w:hAnsi="Times New Roman" w:cs="Times New Roman"/>
          <w:kern w:val="2"/>
          <w:sz w:val="24"/>
          <w:lang w:eastAsia="en-US"/>
          <w14:ligatures w14:val="standard"/>
        </w:rPr>
        <w:t xml:space="preserve"> Analysing the company's capacity to meet its financial commitments and expectations is done using ratio analysis. According to the Jurys Inn ratio research results, the company underwent some transformation between 2019 and 2020. Profitability ratios show that this hotel chain's profits have plummeted due to the epidemic. Besides, by looking at liquidity ratios, it can be seen that this organisation reduced the capacity to pay the short-term debt because due to the pandemic, this hotel had many short-term obligations. Besides, by looking at the debt to capital ratio, it can be seen that the company’s capacity to pay long term debts by selling its assets has little been reduced than 2019. This mainly occurred due to the covid-19 pandemic.</w:t>
      </w:r>
    </w:p>
    <w:p w14:paraId="1E32BD86" w14:textId="77777777" w:rsidR="008949C1" w:rsidRPr="008949C1" w:rsidRDefault="008949C1" w:rsidP="008949C1">
      <w:pPr>
        <w:rPr>
          <w:rFonts w:ascii="Times New Roman" w:eastAsia="Calibri" w:hAnsi="Times New Roman" w:cs="Vrinda"/>
          <w:kern w:val="2"/>
          <w:sz w:val="24"/>
          <w:lang w:eastAsia="en-US"/>
          <w14:ligatures w14:val="standard"/>
        </w:rPr>
      </w:pPr>
      <w:r w:rsidRPr="008949C1">
        <w:rPr>
          <w:rFonts w:ascii="Times New Roman" w:eastAsia="Calibri" w:hAnsi="Times New Roman" w:cs="Vrinda"/>
          <w:kern w:val="2"/>
          <w:sz w:val="24"/>
          <w:lang w:eastAsia="en-US"/>
          <w14:ligatures w14:val="standard"/>
        </w:rPr>
        <w:br w:type="page"/>
      </w:r>
    </w:p>
    <w:p w14:paraId="1B9D91E7" w14:textId="77777777" w:rsidR="008949C1" w:rsidRPr="008949C1" w:rsidRDefault="008949C1" w:rsidP="008949C1">
      <w:pPr>
        <w:widowControl w:val="0"/>
        <w:autoSpaceDE w:val="0"/>
        <w:autoSpaceDN w:val="0"/>
        <w:spacing w:before="57" w:after="0" w:line="360" w:lineRule="auto"/>
        <w:ind w:right="2647"/>
        <w:outlineLvl w:val="0"/>
        <w:rPr>
          <w:rFonts w:ascii="Times New Roman" w:eastAsia="Times New Roman" w:hAnsi="Times New Roman" w:cs="Times New Roman"/>
          <w:b/>
          <w:bCs/>
          <w:sz w:val="28"/>
          <w:szCs w:val="32"/>
          <w:u w:color="000000"/>
          <w:lang w:eastAsia="en-US"/>
        </w:rPr>
      </w:pPr>
      <w:bookmarkStart w:id="34" w:name="_Toc94310392"/>
      <w:r w:rsidRPr="008949C1">
        <w:rPr>
          <w:rFonts w:ascii="Times New Roman" w:eastAsia="Times New Roman" w:hAnsi="Times New Roman" w:cs="Times New Roman"/>
          <w:b/>
          <w:bCs/>
          <w:sz w:val="28"/>
          <w:szCs w:val="32"/>
          <w:u w:color="000000"/>
          <w:lang w:eastAsia="en-US"/>
        </w:rPr>
        <w:lastRenderedPageBreak/>
        <w:t>6.0 References:</w:t>
      </w:r>
      <w:bookmarkEnd w:id="34"/>
    </w:p>
    <w:p w14:paraId="06F304B1" w14:textId="77777777" w:rsidR="008949C1" w:rsidRPr="008949C1" w:rsidRDefault="008949C1" w:rsidP="008949C1">
      <w:pPr>
        <w:spacing w:after="0" w:line="360" w:lineRule="auto"/>
        <w:jc w:val="both"/>
        <w:rPr>
          <w:rFonts w:ascii="Times New Roman" w:eastAsia="Calibri" w:hAnsi="Times New Roman" w:cs="Times New Roman"/>
          <w:kern w:val="2"/>
          <w:sz w:val="24"/>
          <w:szCs w:val="24"/>
          <w:lang w:eastAsia="en-US"/>
          <w14:ligatures w14:val="standard"/>
        </w:rPr>
      </w:pPr>
      <w:proofErr w:type="spellStart"/>
      <w:r w:rsidRPr="008949C1">
        <w:rPr>
          <w:rFonts w:ascii="Times New Roman" w:eastAsia="Calibri" w:hAnsi="Times New Roman" w:cs="Times New Roman"/>
          <w:kern w:val="2"/>
          <w:sz w:val="24"/>
          <w:szCs w:val="24"/>
          <w:lang w:eastAsia="en-US"/>
          <w14:ligatures w14:val="standard"/>
        </w:rPr>
        <w:t>Boronenkova</w:t>
      </w:r>
      <w:proofErr w:type="spellEnd"/>
      <w:r w:rsidRPr="008949C1">
        <w:rPr>
          <w:rFonts w:ascii="Times New Roman" w:eastAsia="Calibri" w:hAnsi="Times New Roman" w:cs="Times New Roman"/>
          <w:kern w:val="2"/>
          <w:sz w:val="24"/>
          <w:szCs w:val="24"/>
          <w:lang w:eastAsia="en-US"/>
          <w14:ligatures w14:val="standard"/>
        </w:rPr>
        <w:t xml:space="preserve">, S., </w:t>
      </w:r>
      <w:proofErr w:type="spellStart"/>
      <w:r w:rsidRPr="008949C1">
        <w:rPr>
          <w:rFonts w:ascii="Times New Roman" w:eastAsia="Calibri" w:hAnsi="Times New Roman" w:cs="Times New Roman"/>
          <w:kern w:val="2"/>
          <w:sz w:val="24"/>
          <w:szCs w:val="24"/>
          <w:lang w:eastAsia="en-US"/>
          <w14:ligatures w14:val="standard"/>
        </w:rPr>
        <w:t>Mironova</w:t>
      </w:r>
      <w:proofErr w:type="spellEnd"/>
      <w:r w:rsidRPr="008949C1">
        <w:rPr>
          <w:rFonts w:ascii="Times New Roman" w:eastAsia="Calibri" w:hAnsi="Times New Roman" w:cs="Times New Roman"/>
          <w:kern w:val="2"/>
          <w:sz w:val="24"/>
          <w:szCs w:val="24"/>
          <w:lang w:eastAsia="en-US"/>
          <w14:ligatures w14:val="standard"/>
        </w:rPr>
        <w:t xml:space="preserve">, O. and Popov, A., 2019. Assessment of Liquidity Ratios as Indicators of an Organization’s Economic Security: Accounting Aspects. </w:t>
      </w:r>
    </w:p>
    <w:p w14:paraId="3407AF80" w14:textId="77777777" w:rsidR="008949C1" w:rsidRPr="008949C1" w:rsidRDefault="008949C1" w:rsidP="008949C1">
      <w:pPr>
        <w:spacing w:after="0" w:line="360" w:lineRule="auto"/>
        <w:jc w:val="both"/>
        <w:rPr>
          <w:rFonts w:ascii="Times New Roman" w:eastAsia="Calibri" w:hAnsi="Times New Roman" w:cs="Times New Roman"/>
          <w:color w:val="000000"/>
          <w:kern w:val="2"/>
          <w:sz w:val="24"/>
          <w:szCs w:val="24"/>
          <w:shd w:val="clear" w:color="auto" w:fill="FFFFFF"/>
          <w:lang w:eastAsia="en-US"/>
          <w14:ligatures w14:val="standard"/>
        </w:rPr>
      </w:pP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Borovčanin</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xml:space="preserve">, D., 2019. A COMPARATIVE ANALYSIS ON HOTEL FINANCIAL PERFORMANCE. Proceedings of the </w:t>
      </w: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Singidunum</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xml:space="preserve"> International Tourism Conference - Sitcom 2015.</w:t>
      </w:r>
    </w:p>
    <w:p w14:paraId="25E499FE" w14:textId="77777777" w:rsidR="008949C1" w:rsidRPr="008949C1" w:rsidRDefault="008949C1" w:rsidP="008949C1">
      <w:pPr>
        <w:spacing w:after="0"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szCs w:val="24"/>
          <w:lang w:eastAsia="en-US"/>
          <w14:ligatures w14:val="standard"/>
        </w:rPr>
        <w:t>Business Jargons, 2022. What are Profitability Ratios? definition and meaning - Business Jargons. [online] Business Jargons. Available at: &lt;https://businessjargons.com/profitability-ratios.html&gt; [Accessed 27 January 2022].</w:t>
      </w:r>
    </w:p>
    <w:p w14:paraId="4DF46C9B" w14:textId="77777777" w:rsidR="008949C1" w:rsidRPr="008949C1" w:rsidRDefault="008949C1" w:rsidP="008949C1">
      <w:pPr>
        <w:spacing w:after="0"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szCs w:val="24"/>
          <w:lang w:eastAsia="en-US"/>
          <w14:ligatures w14:val="standard"/>
        </w:rPr>
        <w:t>Corporate Finance Institute, 2022. Profitability Ratios. [online] Corporate Finance Institute. Available at: &lt;https://corporatefinanceinstitute.com/resources/knowledge/finance/profitability-ratios/&gt; [Accessed 27 January 2022].</w:t>
      </w:r>
    </w:p>
    <w:p w14:paraId="34F74D27" w14:textId="77777777" w:rsidR="008949C1" w:rsidRPr="008949C1" w:rsidRDefault="008949C1" w:rsidP="008949C1">
      <w:pPr>
        <w:spacing w:after="0" w:line="360" w:lineRule="auto"/>
        <w:jc w:val="both"/>
        <w:rPr>
          <w:rFonts w:ascii="Times New Roman" w:eastAsia="Calibri" w:hAnsi="Times New Roman" w:cs="Times New Roman"/>
          <w:color w:val="000000"/>
          <w:kern w:val="2"/>
          <w:sz w:val="24"/>
          <w:szCs w:val="24"/>
          <w:shd w:val="clear" w:color="auto" w:fill="FFFFFF"/>
          <w:lang w:eastAsia="en-US"/>
          <w14:ligatures w14:val="standard"/>
        </w:rPr>
      </w:pPr>
      <w:r w:rsidRPr="008949C1">
        <w:rPr>
          <w:rFonts w:ascii="Times New Roman" w:eastAsia="Calibri" w:hAnsi="Times New Roman" w:cs="Times New Roman"/>
          <w:color w:val="000000"/>
          <w:kern w:val="2"/>
          <w:sz w:val="24"/>
          <w:szCs w:val="24"/>
          <w:shd w:val="clear" w:color="auto" w:fill="FFFFFF"/>
          <w:lang w:eastAsia="en-US"/>
          <w14:ligatures w14:val="standard"/>
        </w:rPr>
        <w:t>Corporate Finance Institute, 2022. Debt to Asset Ratio. [online] Corporate Finance Institute. Available at: &lt;https://corporatefinanceinstitute.com/resources/knowledge/finance/debt-to-asset-ratio/&gt; [Accessed 28 January 2022].</w:t>
      </w:r>
    </w:p>
    <w:p w14:paraId="0E5798A7" w14:textId="77777777" w:rsidR="008949C1" w:rsidRPr="008949C1" w:rsidRDefault="008949C1" w:rsidP="008949C1">
      <w:pPr>
        <w:spacing w:after="0" w:line="360" w:lineRule="auto"/>
        <w:jc w:val="both"/>
        <w:rPr>
          <w:rFonts w:ascii="Times New Roman" w:eastAsia="Calibri" w:hAnsi="Times New Roman" w:cs="Times New Roman"/>
          <w:color w:val="000000"/>
          <w:kern w:val="2"/>
          <w:sz w:val="24"/>
          <w:szCs w:val="24"/>
          <w:shd w:val="clear" w:color="auto" w:fill="FFFFFF"/>
          <w:lang w:eastAsia="en-US"/>
          <w14:ligatures w14:val="standard"/>
        </w:rPr>
      </w:pPr>
      <w:r w:rsidRPr="008949C1">
        <w:rPr>
          <w:rFonts w:ascii="Times New Roman" w:eastAsia="Calibri" w:hAnsi="Times New Roman" w:cs="Times New Roman"/>
          <w:color w:val="000000"/>
          <w:kern w:val="2"/>
          <w:sz w:val="24"/>
          <w:szCs w:val="24"/>
          <w:shd w:val="clear" w:color="auto" w:fill="FFFFFF"/>
          <w:lang w:eastAsia="en-US"/>
          <w14:ligatures w14:val="standard"/>
        </w:rPr>
        <w:t>DeFranco, A. and Lattin, T., 2017. Hospitality Financial Management. 11th ed. London: Wiley.</w:t>
      </w:r>
    </w:p>
    <w:p w14:paraId="5187FD15" w14:textId="77777777" w:rsidR="008949C1" w:rsidRPr="008949C1" w:rsidRDefault="008949C1" w:rsidP="008949C1">
      <w:pPr>
        <w:spacing w:after="0"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szCs w:val="24"/>
          <w:lang w:eastAsia="en-US"/>
          <w14:ligatures w14:val="standard"/>
        </w:rPr>
        <w:t>La Rosa, N., 2021. Analysing financial performance. 1st ed. London: Routledge.</w:t>
      </w:r>
    </w:p>
    <w:p w14:paraId="6904F43B" w14:textId="77777777" w:rsidR="008949C1" w:rsidRPr="008949C1" w:rsidRDefault="008949C1" w:rsidP="008949C1">
      <w:pPr>
        <w:spacing w:after="0"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szCs w:val="24"/>
          <w:lang w:eastAsia="en-US"/>
          <w14:ligatures w14:val="standard"/>
        </w:rPr>
        <w:t>Robertson, B., 2020. Corporate Financial Analysis: Simple Methods and Strategies to Financial Analysis Mastering. London: Independently published.</w:t>
      </w:r>
    </w:p>
    <w:p w14:paraId="7E1A60F5" w14:textId="77777777" w:rsidR="008949C1" w:rsidRPr="008949C1" w:rsidRDefault="008949C1" w:rsidP="008949C1">
      <w:pPr>
        <w:spacing w:after="0" w:line="360" w:lineRule="auto"/>
        <w:jc w:val="both"/>
        <w:rPr>
          <w:rFonts w:ascii="Times New Roman" w:eastAsia="Calibri" w:hAnsi="Times New Roman" w:cs="Times New Roman"/>
          <w:color w:val="000000"/>
          <w:kern w:val="2"/>
          <w:sz w:val="24"/>
          <w:szCs w:val="24"/>
          <w:shd w:val="clear" w:color="auto" w:fill="FFFFFF"/>
          <w:lang w:eastAsia="en-US"/>
          <w14:ligatures w14:val="standard"/>
        </w:rPr>
      </w:pP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Schoenebeck</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K. and Holtzman, M., 2019. Interpreting and Analysing Financial Statements. 13th ed. London: Pearson.</w:t>
      </w:r>
    </w:p>
    <w:p w14:paraId="55069BED" w14:textId="77777777" w:rsidR="008949C1" w:rsidRPr="008949C1" w:rsidRDefault="008949C1" w:rsidP="008949C1">
      <w:pPr>
        <w:spacing w:after="0" w:line="360" w:lineRule="auto"/>
        <w:jc w:val="both"/>
        <w:rPr>
          <w:rFonts w:ascii="Times New Roman" w:eastAsia="Calibri" w:hAnsi="Times New Roman" w:cs="Times New Roman"/>
          <w:kern w:val="2"/>
          <w:sz w:val="24"/>
          <w:szCs w:val="24"/>
          <w:lang w:eastAsia="en-US"/>
          <w14:ligatures w14:val="standard"/>
        </w:rPr>
      </w:pPr>
      <w:proofErr w:type="spellStart"/>
      <w:r w:rsidRPr="008949C1">
        <w:rPr>
          <w:rFonts w:ascii="Times New Roman" w:eastAsia="Calibri" w:hAnsi="Times New Roman" w:cs="Times New Roman"/>
          <w:color w:val="000000"/>
          <w:kern w:val="2"/>
          <w:sz w:val="24"/>
          <w:szCs w:val="24"/>
          <w:shd w:val="clear" w:color="auto" w:fill="FFFFFF"/>
          <w:lang w:eastAsia="en-US"/>
          <w14:ligatures w14:val="standard"/>
        </w:rPr>
        <w:t>Thakor</w:t>
      </w:r>
      <w:proofErr w:type="spellEnd"/>
      <w:r w:rsidRPr="008949C1">
        <w:rPr>
          <w:rFonts w:ascii="Times New Roman" w:eastAsia="Calibri" w:hAnsi="Times New Roman" w:cs="Times New Roman"/>
          <w:color w:val="000000"/>
          <w:kern w:val="2"/>
          <w:sz w:val="24"/>
          <w:szCs w:val="24"/>
          <w:shd w:val="clear" w:color="auto" w:fill="FFFFFF"/>
          <w:lang w:eastAsia="en-US"/>
          <w14:ligatures w14:val="standard"/>
        </w:rPr>
        <w:t>, P., 2015. Ratio Analysis. London: CreateSpace Independent Publishing Platform.</w:t>
      </w:r>
    </w:p>
    <w:p w14:paraId="7998B5ED" w14:textId="77777777" w:rsidR="008949C1" w:rsidRPr="008949C1" w:rsidRDefault="008949C1" w:rsidP="008949C1">
      <w:pPr>
        <w:spacing w:after="0" w:line="360" w:lineRule="auto"/>
        <w:jc w:val="both"/>
        <w:rPr>
          <w:rFonts w:ascii="Times New Roman" w:eastAsia="Calibri" w:hAnsi="Times New Roman" w:cs="Times New Roman"/>
          <w:kern w:val="2"/>
          <w:sz w:val="24"/>
          <w:szCs w:val="24"/>
          <w:lang w:eastAsia="en-US"/>
          <w14:ligatures w14:val="standard"/>
        </w:rPr>
      </w:pPr>
      <w:r w:rsidRPr="008949C1">
        <w:rPr>
          <w:rFonts w:ascii="Times New Roman" w:eastAsia="Calibri" w:hAnsi="Times New Roman" w:cs="Times New Roman"/>
          <w:kern w:val="2"/>
          <w:sz w:val="24"/>
          <w:szCs w:val="24"/>
          <w:lang w:eastAsia="en-US"/>
          <w14:ligatures w14:val="standard"/>
        </w:rPr>
        <w:t>Walsh, C., 2019. Key Management Ratios: The 100+ Ratios Every Manager Needs to Know. 11th ed. London: Prentice-Hall.</w:t>
      </w:r>
    </w:p>
    <w:p w14:paraId="72883556" w14:textId="77777777" w:rsidR="008949C1" w:rsidRPr="008949C1" w:rsidRDefault="008949C1" w:rsidP="008949C1">
      <w:pPr>
        <w:spacing w:line="360" w:lineRule="auto"/>
        <w:jc w:val="both"/>
        <w:rPr>
          <w:rFonts w:ascii="Times New Roman" w:eastAsia="Calibri" w:hAnsi="Times New Roman" w:cs="Vrinda"/>
          <w:kern w:val="2"/>
          <w:sz w:val="24"/>
          <w:lang w:eastAsia="en-US"/>
          <w14:ligatures w14:val="standard"/>
        </w:rPr>
      </w:pPr>
    </w:p>
    <w:p w14:paraId="369083FE" w14:textId="6E732857" w:rsidR="00B413CF" w:rsidRPr="008949C1" w:rsidRDefault="00255D3B"/>
    <w:sectPr w:rsidR="00B413CF" w:rsidRPr="008949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42721" w14:textId="77777777" w:rsidR="00000000" w:rsidRDefault="00255D3B">
      <w:pPr>
        <w:spacing w:after="0" w:line="240" w:lineRule="auto"/>
      </w:pPr>
      <w:r>
        <w:separator/>
      </w:r>
    </w:p>
  </w:endnote>
  <w:endnote w:type="continuationSeparator" w:id="0">
    <w:p w14:paraId="169923E6" w14:textId="77777777" w:rsidR="00000000" w:rsidRDefault="00255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874305"/>
      <w:docPartObj>
        <w:docPartGallery w:val="Page Numbers (Bottom of Page)"/>
        <w:docPartUnique/>
      </w:docPartObj>
    </w:sdtPr>
    <w:sdtEndPr>
      <w:rPr>
        <w:color w:val="7F7F7F" w:themeColor="background1" w:themeShade="7F"/>
        <w:spacing w:val="60"/>
      </w:rPr>
    </w:sdtEndPr>
    <w:sdtContent>
      <w:p w14:paraId="22E72954" w14:textId="77777777" w:rsidR="00993ECF" w:rsidRDefault="00F611C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929398F" w14:textId="77777777" w:rsidR="00993ECF" w:rsidRDefault="00255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C9A53" w14:textId="77777777" w:rsidR="00000000" w:rsidRDefault="00255D3B">
      <w:pPr>
        <w:spacing w:after="0" w:line="240" w:lineRule="auto"/>
      </w:pPr>
      <w:r>
        <w:separator/>
      </w:r>
    </w:p>
  </w:footnote>
  <w:footnote w:type="continuationSeparator" w:id="0">
    <w:p w14:paraId="3EE28C1D" w14:textId="77777777" w:rsidR="00000000" w:rsidRDefault="00255D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9C1"/>
    <w:rsid w:val="0020689E"/>
    <w:rsid w:val="00255D3B"/>
    <w:rsid w:val="003D0DBE"/>
    <w:rsid w:val="008949C1"/>
    <w:rsid w:val="008F3C4E"/>
    <w:rsid w:val="00A205F6"/>
    <w:rsid w:val="00B03BAA"/>
    <w:rsid w:val="00CF2A80"/>
    <w:rsid w:val="00D6031A"/>
    <w:rsid w:val="00EE426E"/>
    <w:rsid w:val="00F611C6"/>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6F793"/>
  <w15:chartTrackingRefBased/>
  <w15:docId w15:val="{1EB9FC51-6DA5-445A-B644-765043BC7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8949C1"/>
    <w:pPr>
      <w:keepNext/>
      <w:keepLines/>
      <w:spacing w:before="40" w:after="0"/>
      <w:outlineLvl w:val="3"/>
    </w:pPr>
    <w:rPr>
      <w:rFonts w:ascii="Calibri Light" w:eastAsia="SimSun" w:hAnsi="Calibri Light" w:cs="Vrinda"/>
      <w:i/>
      <w:iCs/>
      <w:color w:val="2F5496"/>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8949C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949C1"/>
  </w:style>
  <w:style w:type="paragraph" w:customStyle="1" w:styleId="Heading41">
    <w:name w:val="Heading 41"/>
    <w:basedOn w:val="Normal"/>
    <w:next w:val="Normal"/>
    <w:uiPriority w:val="9"/>
    <w:unhideWhenUsed/>
    <w:qFormat/>
    <w:rsid w:val="008949C1"/>
    <w:pPr>
      <w:keepNext/>
      <w:keepLines/>
      <w:spacing w:before="40" w:after="0" w:line="240" w:lineRule="auto"/>
      <w:jc w:val="both"/>
      <w:outlineLvl w:val="3"/>
    </w:pPr>
    <w:rPr>
      <w:rFonts w:ascii="Calibri Light" w:eastAsia="SimSun" w:hAnsi="Calibri Light" w:cs="Vrinda"/>
      <w:i/>
      <w:iCs/>
      <w:color w:val="2F5496"/>
      <w:kern w:val="2"/>
      <w:sz w:val="24"/>
      <w:lang w:val="en-US" w:eastAsia="en-US"/>
      <w14:ligatures w14:val="standard"/>
    </w:rPr>
  </w:style>
  <w:style w:type="table" w:styleId="TableGrid">
    <w:name w:val="Table Grid"/>
    <w:basedOn w:val="TableNormal"/>
    <w:uiPriority w:val="39"/>
    <w:rsid w:val="008949C1"/>
    <w:pPr>
      <w:spacing w:after="0" w:line="240" w:lineRule="auto"/>
    </w:pPr>
    <w:rPr>
      <w:rFonts w:eastAsia="Calibri"/>
      <w:kern w:val="2"/>
      <w:lang w:val="en-US" w:eastAsia="en-US"/>
      <w14:ligatures w14:val="standar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8949C1"/>
    <w:rPr>
      <w:rFonts w:ascii="Calibri Light" w:eastAsia="SimSun" w:hAnsi="Calibri Light" w:cs="Vrinda"/>
      <w:i/>
      <w:iCs/>
      <w:color w:val="2F5496"/>
      <w:sz w:val="24"/>
    </w:rPr>
  </w:style>
  <w:style w:type="character" w:customStyle="1" w:styleId="Heading4Char1">
    <w:name w:val="Heading 4 Char1"/>
    <w:basedOn w:val="DefaultParagraphFont"/>
    <w:uiPriority w:val="9"/>
    <w:semiHidden/>
    <w:rsid w:val="008949C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2673</Words>
  <Characters>15242</Characters>
  <Application>Microsoft Office Word</Application>
  <DocSecurity>0</DocSecurity>
  <Lines>127</Lines>
  <Paragraphs>35</Paragraphs>
  <ScaleCrop>false</ScaleCrop>
  <Company/>
  <LinksUpToDate>false</LinksUpToDate>
  <CharactersWithSpaces>17880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Mofassel Hoq Bhuiyan Bhuiyan (2012091)</dc:creator>
  <cp:keywords/>
  <dc:description/>
  <cp:lastModifiedBy>Mahima Begum (Student)</cp:lastModifiedBy>
  <cp:revision>2</cp:revision>
  <dcterms:created xsi:type="dcterms:W3CDTF">2022-02-16T15:57:00Z</dcterms:created>
  <dcterms:modified xsi:type="dcterms:W3CDTF">2022-02-16T15:57:00Z</dcterms:modified>
</cp:coreProperties>
</file>