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6922E7" w14:textId="77777777" w:rsidR="004278F0" w:rsidRDefault="004278F0" w:rsidP="004278F0">
      <w:pPr>
        <w:jc w:val="center"/>
        <w:rPr>
          <w:rFonts w:ascii="Times New Roman" w:hAnsi="Times New Roman" w:cs="Times New Roman"/>
          <w:b/>
          <w:sz w:val="28"/>
          <w:szCs w:val="24"/>
        </w:rPr>
      </w:pPr>
    </w:p>
    <w:p w14:paraId="613759F8" w14:textId="336E4121" w:rsidR="004278F0" w:rsidRDefault="000F274F" w:rsidP="004278F0">
      <w:pPr>
        <w:widowControl/>
        <w:jc w:val="center"/>
        <w:rPr>
          <w:rFonts w:ascii="Times New Roman" w:hAnsi="Times New Roman" w:cs="Times New Roman"/>
          <w:b/>
          <w:sz w:val="28"/>
          <w:szCs w:val="24"/>
        </w:rPr>
      </w:pPr>
      <w:r>
        <w:rPr>
          <w:rFonts w:ascii="Times New Roman" w:hAnsi="Times New Roman" w:cs="Times New Roman"/>
          <w:b/>
          <w:sz w:val="28"/>
          <w:szCs w:val="24"/>
        </w:rPr>
        <w:t>E</w:t>
      </w:r>
      <w:r w:rsidR="00923347" w:rsidRPr="00923347">
        <w:rPr>
          <w:rFonts w:ascii="Times New Roman" w:hAnsi="Times New Roman" w:cs="Times New Roman"/>
          <w:b/>
          <w:sz w:val="28"/>
          <w:szCs w:val="24"/>
        </w:rPr>
        <w:t>arnings management</w:t>
      </w:r>
    </w:p>
    <w:p w14:paraId="23836AEB" w14:textId="77777777" w:rsidR="004278F0" w:rsidRDefault="004278F0" w:rsidP="004278F0">
      <w:pPr>
        <w:widowControl/>
        <w:jc w:val="center"/>
        <w:rPr>
          <w:rFonts w:ascii="Times New Roman" w:hAnsi="Times New Roman" w:cs="Times New Roman"/>
          <w:b/>
          <w:sz w:val="28"/>
          <w:szCs w:val="24"/>
        </w:rPr>
      </w:pPr>
    </w:p>
    <w:p w14:paraId="03A97B76" w14:textId="77777777" w:rsidR="004278F0" w:rsidRDefault="004278F0" w:rsidP="004278F0">
      <w:pPr>
        <w:widowControl/>
        <w:jc w:val="center"/>
        <w:rPr>
          <w:rFonts w:ascii="Times New Roman" w:hAnsi="Times New Roman" w:cs="Times New Roman"/>
          <w:b/>
          <w:sz w:val="28"/>
          <w:szCs w:val="24"/>
        </w:rPr>
      </w:pPr>
    </w:p>
    <w:p w14:paraId="17F2194A" w14:textId="1D79DE50" w:rsidR="004278F0" w:rsidRDefault="00923347" w:rsidP="004278F0">
      <w:pPr>
        <w:widowControl/>
        <w:jc w:val="center"/>
        <w:rPr>
          <w:rFonts w:ascii="Times New Roman" w:hAnsi="Times New Roman" w:cs="Times New Roman"/>
          <w:b/>
          <w:sz w:val="28"/>
          <w:szCs w:val="24"/>
        </w:rPr>
      </w:pPr>
      <w:r>
        <w:rPr>
          <w:rFonts w:ascii="Times New Roman" w:hAnsi="Times New Roman" w:cs="Times New Roman"/>
          <w:b/>
          <w:noProof/>
          <w:sz w:val="28"/>
          <w:szCs w:val="24"/>
        </w:rPr>
        <w:drawing>
          <wp:anchor distT="0" distB="0" distL="114300" distR="114300" simplePos="0" relativeHeight="251658240" behindDoc="0" locked="0" layoutInCell="1" allowOverlap="1" wp14:anchorId="11F0AA38" wp14:editId="5A6DF112">
            <wp:simplePos x="0" y="0"/>
            <wp:positionH relativeFrom="margin">
              <wp:align>center</wp:align>
            </wp:positionH>
            <wp:positionV relativeFrom="paragraph">
              <wp:posOffset>208058</wp:posOffset>
            </wp:positionV>
            <wp:extent cx="1938911" cy="776653"/>
            <wp:effectExtent l="0" t="0" r="4445"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38911" cy="776653"/>
                    </a:xfrm>
                    <a:prstGeom prst="rect">
                      <a:avLst/>
                    </a:prstGeom>
                    <a:noFill/>
                  </pic:spPr>
                </pic:pic>
              </a:graphicData>
            </a:graphic>
            <wp14:sizeRelH relativeFrom="margin">
              <wp14:pctWidth>0</wp14:pctWidth>
            </wp14:sizeRelH>
            <wp14:sizeRelV relativeFrom="margin">
              <wp14:pctHeight>0</wp14:pctHeight>
            </wp14:sizeRelV>
          </wp:anchor>
        </w:drawing>
      </w:r>
    </w:p>
    <w:p w14:paraId="3DC0E0EF" w14:textId="716904A3" w:rsidR="004278F0" w:rsidRDefault="004278F0" w:rsidP="004278F0">
      <w:pPr>
        <w:widowControl/>
        <w:jc w:val="center"/>
        <w:rPr>
          <w:rFonts w:ascii="Times New Roman" w:hAnsi="Times New Roman" w:cs="Times New Roman"/>
          <w:b/>
          <w:sz w:val="28"/>
          <w:szCs w:val="24"/>
        </w:rPr>
      </w:pPr>
    </w:p>
    <w:p w14:paraId="349587D0" w14:textId="77777777" w:rsidR="004278F0" w:rsidRDefault="004278F0" w:rsidP="00923347">
      <w:pPr>
        <w:widowControl/>
        <w:jc w:val="center"/>
        <w:rPr>
          <w:rFonts w:ascii="Times New Roman" w:hAnsi="Times New Roman" w:cs="Times New Roman"/>
          <w:b/>
          <w:sz w:val="28"/>
          <w:szCs w:val="24"/>
        </w:rPr>
      </w:pPr>
    </w:p>
    <w:p w14:paraId="67880CA7" w14:textId="77777777" w:rsidR="004278F0" w:rsidRDefault="004278F0" w:rsidP="004278F0">
      <w:pPr>
        <w:widowControl/>
        <w:jc w:val="center"/>
        <w:rPr>
          <w:rFonts w:ascii="Times New Roman" w:hAnsi="Times New Roman" w:cs="Times New Roman"/>
          <w:b/>
          <w:sz w:val="28"/>
          <w:szCs w:val="24"/>
        </w:rPr>
      </w:pPr>
    </w:p>
    <w:p w14:paraId="695A578E" w14:textId="77777777" w:rsidR="004278F0" w:rsidRDefault="004278F0" w:rsidP="004278F0">
      <w:pPr>
        <w:widowControl/>
        <w:jc w:val="center"/>
        <w:rPr>
          <w:rFonts w:ascii="Times New Roman" w:hAnsi="Times New Roman" w:cs="Times New Roman"/>
          <w:b/>
          <w:sz w:val="28"/>
          <w:szCs w:val="24"/>
        </w:rPr>
      </w:pPr>
    </w:p>
    <w:p w14:paraId="49DDCA36" w14:textId="77777777" w:rsidR="004278F0" w:rsidRDefault="004278F0" w:rsidP="004278F0">
      <w:pPr>
        <w:widowControl/>
        <w:jc w:val="center"/>
        <w:rPr>
          <w:rFonts w:ascii="Times New Roman" w:hAnsi="Times New Roman" w:cs="Times New Roman"/>
          <w:b/>
          <w:sz w:val="28"/>
          <w:szCs w:val="24"/>
        </w:rPr>
      </w:pPr>
    </w:p>
    <w:p w14:paraId="5CA35B79" w14:textId="5D0BB799" w:rsidR="004278F0" w:rsidRDefault="00B15CD3" w:rsidP="004278F0">
      <w:pPr>
        <w:widowControl/>
        <w:jc w:val="center"/>
        <w:rPr>
          <w:rFonts w:ascii="Times New Roman" w:hAnsi="Times New Roman" w:cs="Times New Roman"/>
          <w:b/>
          <w:sz w:val="28"/>
          <w:szCs w:val="24"/>
        </w:rPr>
      </w:pPr>
      <w:r>
        <w:rPr>
          <w:rFonts w:ascii="Times New Roman" w:hAnsi="Times New Roman" w:cs="Times New Roman"/>
          <w:b/>
          <w:sz w:val="28"/>
          <w:szCs w:val="24"/>
        </w:rPr>
        <w:t>M</w:t>
      </w:r>
      <w:r w:rsidR="00923347">
        <w:rPr>
          <w:rFonts w:ascii="Times New Roman" w:hAnsi="Times New Roman" w:cs="Times New Roman" w:hint="eastAsia"/>
          <w:b/>
          <w:sz w:val="28"/>
          <w:szCs w:val="24"/>
        </w:rPr>
        <w:t>arch</w:t>
      </w:r>
      <w:r w:rsidR="004278F0">
        <w:rPr>
          <w:rFonts w:ascii="Times New Roman" w:hAnsi="Times New Roman" w:cs="Times New Roman"/>
          <w:b/>
          <w:sz w:val="28"/>
          <w:szCs w:val="24"/>
        </w:rPr>
        <w:t xml:space="preserve"> 202</w:t>
      </w:r>
      <w:r w:rsidR="00923347">
        <w:rPr>
          <w:rFonts w:ascii="Times New Roman" w:hAnsi="Times New Roman" w:cs="Times New Roman"/>
          <w:b/>
          <w:sz w:val="28"/>
          <w:szCs w:val="24"/>
        </w:rPr>
        <w:t>3</w:t>
      </w:r>
    </w:p>
    <w:p w14:paraId="01F91358" w14:textId="77777777" w:rsidR="004278F0" w:rsidRDefault="004278F0" w:rsidP="004278F0">
      <w:pPr>
        <w:widowControl/>
        <w:jc w:val="center"/>
        <w:rPr>
          <w:rFonts w:ascii="Times New Roman" w:hAnsi="Times New Roman" w:cs="Times New Roman"/>
          <w:b/>
          <w:sz w:val="28"/>
          <w:szCs w:val="24"/>
        </w:rPr>
      </w:pPr>
    </w:p>
    <w:p w14:paraId="4B67B70A" w14:textId="77777777" w:rsidR="004278F0" w:rsidRDefault="004278F0" w:rsidP="004278F0">
      <w:pPr>
        <w:widowControl/>
        <w:jc w:val="center"/>
        <w:rPr>
          <w:rFonts w:ascii="Times New Roman" w:hAnsi="Times New Roman" w:cs="Times New Roman"/>
          <w:b/>
          <w:sz w:val="28"/>
          <w:szCs w:val="24"/>
        </w:rPr>
      </w:pPr>
    </w:p>
    <w:p w14:paraId="64E5CA95" w14:textId="77777777" w:rsidR="004278F0" w:rsidRDefault="004278F0" w:rsidP="004278F0">
      <w:pPr>
        <w:widowControl/>
        <w:jc w:val="center"/>
        <w:rPr>
          <w:rFonts w:ascii="Times New Roman" w:hAnsi="Times New Roman" w:cs="Times New Roman"/>
          <w:b/>
          <w:sz w:val="28"/>
          <w:szCs w:val="24"/>
        </w:rPr>
      </w:pPr>
    </w:p>
    <w:p w14:paraId="5E999FB4" w14:textId="126BB8BA" w:rsidR="004278F0" w:rsidRDefault="004278F0" w:rsidP="004278F0">
      <w:pPr>
        <w:widowControl/>
        <w:jc w:val="center"/>
        <w:rPr>
          <w:rFonts w:ascii="Times New Roman" w:hAnsi="Times New Roman" w:cs="Times New Roman"/>
          <w:b/>
          <w:sz w:val="28"/>
          <w:szCs w:val="24"/>
        </w:rPr>
      </w:pPr>
    </w:p>
    <w:p w14:paraId="499A84BF" w14:textId="47E370AC" w:rsidR="00923347" w:rsidRDefault="00923347" w:rsidP="004278F0">
      <w:pPr>
        <w:widowControl/>
        <w:jc w:val="center"/>
        <w:rPr>
          <w:rFonts w:ascii="Times New Roman" w:hAnsi="Times New Roman" w:cs="Times New Roman"/>
          <w:b/>
          <w:sz w:val="28"/>
          <w:szCs w:val="24"/>
        </w:rPr>
      </w:pPr>
    </w:p>
    <w:p w14:paraId="41781723" w14:textId="77777777" w:rsidR="00923347" w:rsidRDefault="00923347" w:rsidP="004278F0">
      <w:pPr>
        <w:widowControl/>
        <w:jc w:val="center"/>
        <w:rPr>
          <w:rFonts w:ascii="Times New Roman" w:hAnsi="Times New Roman" w:cs="Times New Roman"/>
          <w:b/>
          <w:sz w:val="28"/>
          <w:szCs w:val="24"/>
        </w:rPr>
      </w:pPr>
    </w:p>
    <w:p w14:paraId="4690939B" w14:textId="62798A1B" w:rsidR="004278F0" w:rsidRDefault="004278F0" w:rsidP="00704C5D">
      <w:pPr>
        <w:widowControl/>
        <w:jc w:val="center"/>
        <w:rPr>
          <w:rFonts w:ascii="Times New Roman" w:hAnsi="Times New Roman" w:cs="Times New Roman"/>
          <w:b/>
          <w:sz w:val="28"/>
          <w:szCs w:val="24"/>
        </w:rPr>
      </w:pPr>
      <w:r w:rsidRPr="00696C9B">
        <w:rPr>
          <w:rFonts w:ascii="Times New Roman" w:hAnsi="Times New Roman" w:cs="Times New Roman"/>
          <w:b/>
          <w:sz w:val="28"/>
          <w:szCs w:val="24"/>
        </w:rPr>
        <w:t>Module name</w:t>
      </w:r>
      <w:r>
        <w:rPr>
          <w:rFonts w:ascii="Times New Roman" w:hAnsi="Times New Roman" w:cs="Times New Roman" w:hint="eastAsia"/>
          <w:b/>
          <w:sz w:val="28"/>
          <w:szCs w:val="24"/>
        </w:rPr>
        <w:t>:</w:t>
      </w:r>
      <w:r>
        <w:rPr>
          <w:rFonts w:ascii="Times New Roman" w:hAnsi="Times New Roman" w:cs="Times New Roman"/>
          <w:b/>
          <w:sz w:val="28"/>
          <w:szCs w:val="24"/>
        </w:rPr>
        <w:t xml:space="preserve"> </w:t>
      </w:r>
      <w:r w:rsidRPr="004278F0">
        <w:rPr>
          <w:rFonts w:ascii="Times New Roman" w:hAnsi="Times New Roman" w:cs="Times New Roman"/>
          <w:b/>
          <w:sz w:val="28"/>
          <w:szCs w:val="24"/>
        </w:rPr>
        <w:t xml:space="preserve">Strategic </w:t>
      </w:r>
      <w:r w:rsidR="00704C5D" w:rsidRPr="00704C5D">
        <w:rPr>
          <w:rFonts w:ascii="Times New Roman" w:hAnsi="Times New Roman" w:cs="Times New Roman"/>
          <w:b/>
          <w:sz w:val="28"/>
          <w:szCs w:val="24"/>
        </w:rPr>
        <w:t>Corporate Governance</w:t>
      </w:r>
      <w:r w:rsidRPr="004278F0">
        <w:rPr>
          <w:rFonts w:ascii="Times New Roman" w:hAnsi="Times New Roman" w:cs="Times New Roman"/>
          <w:b/>
          <w:sz w:val="28"/>
          <w:szCs w:val="24"/>
        </w:rPr>
        <w:t xml:space="preserve"> (</w:t>
      </w:r>
      <w:r w:rsidR="00704C5D" w:rsidRPr="00704C5D">
        <w:rPr>
          <w:rFonts w:ascii="Times New Roman" w:hAnsi="Times New Roman" w:cs="Times New Roman"/>
          <w:b/>
          <w:sz w:val="28"/>
          <w:szCs w:val="24"/>
        </w:rPr>
        <w:t>BMMB7018</w:t>
      </w:r>
      <w:r w:rsidRPr="004278F0">
        <w:rPr>
          <w:rFonts w:ascii="Times New Roman" w:hAnsi="Times New Roman" w:cs="Times New Roman"/>
          <w:b/>
          <w:sz w:val="28"/>
          <w:szCs w:val="24"/>
        </w:rPr>
        <w:t>)</w:t>
      </w:r>
    </w:p>
    <w:p w14:paraId="337B8BA2" w14:textId="77777777" w:rsidR="004278F0" w:rsidRDefault="004278F0" w:rsidP="00704C5D">
      <w:pPr>
        <w:widowControl/>
        <w:jc w:val="center"/>
        <w:rPr>
          <w:rFonts w:ascii="Times New Roman" w:hAnsi="Times New Roman" w:cs="Times New Roman"/>
          <w:b/>
          <w:sz w:val="28"/>
          <w:szCs w:val="24"/>
        </w:rPr>
      </w:pPr>
      <w:r>
        <w:rPr>
          <w:rFonts w:ascii="Times New Roman" w:hAnsi="Times New Roman" w:cs="Times New Roman"/>
          <w:b/>
          <w:sz w:val="28"/>
          <w:szCs w:val="24"/>
        </w:rPr>
        <w:t>Student N</w:t>
      </w:r>
      <w:r w:rsidRPr="00696C9B">
        <w:rPr>
          <w:rFonts w:ascii="Times New Roman" w:hAnsi="Times New Roman" w:cs="Times New Roman"/>
          <w:b/>
          <w:sz w:val="28"/>
          <w:szCs w:val="24"/>
        </w:rPr>
        <w:t>ame</w:t>
      </w:r>
      <w:r>
        <w:rPr>
          <w:rFonts w:ascii="Times New Roman" w:hAnsi="Times New Roman" w:cs="Times New Roman"/>
          <w:b/>
          <w:sz w:val="28"/>
          <w:szCs w:val="24"/>
        </w:rPr>
        <w:t xml:space="preserve">: </w:t>
      </w:r>
      <w:proofErr w:type="spellStart"/>
      <w:r>
        <w:rPr>
          <w:rFonts w:ascii="Times New Roman" w:hAnsi="Times New Roman" w:cs="Times New Roman"/>
          <w:b/>
          <w:sz w:val="28"/>
          <w:szCs w:val="24"/>
        </w:rPr>
        <w:t>Shiqi</w:t>
      </w:r>
      <w:proofErr w:type="spellEnd"/>
      <w:r>
        <w:rPr>
          <w:rFonts w:ascii="Times New Roman" w:hAnsi="Times New Roman" w:cs="Times New Roman"/>
          <w:b/>
          <w:sz w:val="28"/>
          <w:szCs w:val="24"/>
        </w:rPr>
        <w:t xml:space="preserve"> Ming</w:t>
      </w:r>
    </w:p>
    <w:p w14:paraId="67F901AA" w14:textId="4EF18305" w:rsidR="004278F0" w:rsidRPr="007945B2" w:rsidRDefault="004278F0" w:rsidP="00704C5D">
      <w:pPr>
        <w:widowControl/>
        <w:jc w:val="center"/>
        <w:rPr>
          <w:rFonts w:ascii="Times New Roman" w:hAnsi="Times New Roman" w:cs="Times New Roman"/>
          <w:b/>
          <w:sz w:val="28"/>
          <w:szCs w:val="24"/>
        </w:rPr>
      </w:pPr>
      <w:r>
        <w:rPr>
          <w:rFonts w:ascii="Times New Roman" w:hAnsi="Times New Roman" w:cs="Times New Roman"/>
          <w:b/>
          <w:sz w:val="28"/>
          <w:szCs w:val="24"/>
        </w:rPr>
        <w:t>S</w:t>
      </w:r>
      <w:r w:rsidRPr="00696C9B">
        <w:rPr>
          <w:rFonts w:ascii="Times New Roman" w:hAnsi="Times New Roman" w:cs="Times New Roman"/>
          <w:b/>
          <w:sz w:val="28"/>
          <w:szCs w:val="24"/>
        </w:rPr>
        <w:t xml:space="preserve">tudent </w:t>
      </w:r>
      <w:r>
        <w:rPr>
          <w:rFonts w:ascii="Times New Roman" w:hAnsi="Times New Roman" w:cs="Times New Roman"/>
          <w:b/>
          <w:sz w:val="28"/>
          <w:szCs w:val="24"/>
        </w:rPr>
        <w:t>N</w:t>
      </w:r>
      <w:r w:rsidRPr="00696C9B">
        <w:rPr>
          <w:rFonts w:ascii="Times New Roman" w:hAnsi="Times New Roman" w:cs="Times New Roman"/>
          <w:b/>
          <w:sz w:val="28"/>
          <w:szCs w:val="24"/>
        </w:rPr>
        <w:t>umber</w:t>
      </w:r>
      <w:r>
        <w:rPr>
          <w:rFonts w:ascii="Times New Roman" w:hAnsi="Times New Roman" w:cs="Times New Roman"/>
          <w:b/>
          <w:sz w:val="28"/>
          <w:szCs w:val="24"/>
        </w:rPr>
        <w:t>:</w:t>
      </w:r>
      <w:r w:rsidRPr="00696C9B">
        <w:t xml:space="preserve"> </w:t>
      </w:r>
      <w:r w:rsidRPr="00696C9B">
        <w:rPr>
          <w:rFonts w:ascii="Times New Roman" w:hAnsi="Times New Roman" w:cs="Times New Roman"/>
          <w:b/>
          <w:sz w:val="28"/>
          <w:szCs w:val="24"/>
        </w:rPr>
        <w:t>2121662</w:t>
      </w:r>
    </w:p>
    <w:p w14:paraId="61CE562A" w14:textId="77777777" w:rsidR="004278F0" w:rsidRDefault="004278F0">
      <w:pPr>
        <w:widowControl/>
        <w:jc w:val="left"/>
        <w:rPr>
          <w:rFonts w:ascii="Times New Roman" w:hAnsi="Times New Roman" w:cs="Times New Roman"/>
          <w:b/>
          <w:bCs/>
          <w:kern w:val="44"/>
          <w:sz w:val="24"/>
          <w:szCs w:val="24"/>
        </w:rPr>
      </w:pPr>
      <w:r>
        <w:rPr>
          <w:rFonts w:ascii="Times New Roman" w:hAnsi="Times New Roman" w:cs="Times New Roman"/>
          <w:sz w:val="24"/>
          <w:szCs w:val="24"/>
        </w:rPr>
        <w:br w:type="page"/>
      </w:r>
    </w:p>
    <w:p w14:paraId="339C9EFC" w14:textId="77777777" w:rsidR="007945B2" w:rsidRDefault="007945B2" w:rsidP="007945B2">
      <w:pPr>
        <w:jc w:val="center"/>
        <w:outlineLvl w:val="0"/>
        <w:rPr>
          <w:rFonts w:ascii="Times New Roman" w:hAnsi="Times New Roman" w:cs="Times New Roman"/>
          <w:b/>
          <w:sz w:val="28"/>
          <w:szCs w:val="24"/>
        </w:rPr>
      </w:pPr>
      <w:bookmarkStart w:id="0" w:name="_Toc122102421"/>
      <w:bookmarkStart w:id="1" w:name="_Toc122111148"/>
      <w:bookmarkStart w:id="2" w:name="_Toc130830354"/>
      <w:bookmarkStart w:id="3" w:name="_Toc130830418"/>
      <w:r w:rsidRPr="009C60E9">
        <w:rPr>
          <w:rFonts w:ascii="Times New Roman" w:hAnsi="Times New Roman" w:cs="Times New Roman"/>
          <w:b/>
          <w:sz w:val="28"/>
          <w:szCs w:val="24"/>
        </w:rPr>
        <w:lastRenderedPageBreak/>
        <w:t>Table of Content</w:t>
      </w:r>
      <w:bookmarkEnd w:id="0"/>
      <w:bookmarkEnd w:id="1"/>
      <w:bookmarkEnd w:id="2"/>
      <w:bookmarkEnd w:id="3"/>
    </w:p>
    <w:sdt>
      <w:sdtPr>
        <w:rPr>
          <w:rFonts w:asciiTheme="minorHAnsi" w:eastAsiaTheme="majorEastAsia" w:hAnsiTheme="minorHAnsi" w:cstheme="minorBidi"/>
          <w:noProof w:val="0"/>
          <w:color w:val="2F5496" w:themeColor="accent1" w:themeShade="BF"/>
          <w:kern w:val="0"/>
          <w:sz w:val="21"/>
          <w:szCs w:val="32"/>
          <w:lang w:val="zh-CN"/>
        </w:rPr>
        <w:id w:val="837267356"/>
        <w:docPartObj>
          <w:docPartGallery w:val="Table of Contents"/>
          <w:docPartUnique/>
        </w:docPartObj>
      </w:sdtPr>
      <w:sdtEndPr>
        <w:rPr>
          <w:rFonts w:asciiTheme="majorHAnsi" w:hAnsiTheme="majorHAnsi" w:cstheme="majorBidi"/>
          <w:b/>
          <w:bCs/>
          <w:sz w:val="32"/>
        </w:rPr>
      </w:sdtEndPr>
      <w:sdtContent>
        <w:p w14:paraId="19F3FE41" w14:textId="77777777" w:rsidR="00B15CD3" w:rsidRDefault="00B15CD3">
          <w:pPr>
            <w:pStyle w:val="TOC1"/>
            <w:rPr>
              <w:rFonts w:asciiTheme="minorHAnsi" w:hAnsiTheme="minorHAnsi" w:cstheme="minorBidi"/>
              <w:sz w:val="21"/>
              <w:lang w:val="zh-CN"/>
            </w:rPr>
          </w:pPr>
        </w:p>
        <w:p w14:paraId="32222F49" w14:textId="113A6F4B" w:rsidR="00B15CD3" w:rsidRPr="00D22D71" w:rsidRDefault="00B15CD3" w:rsidP="00D22D71">
          <w:pPr>
            <w:pStyle w:val="TOC1"/>
            <w:spacing w:line="400" w:lineRule="exact"/>
            <w:rPr>
              <w:sz w:val="22"/>
            </w:rPr>
          </w:pPr>
          <w:r w:rsidRPr="00D22D71">
            <w:rPr>
              <w:bCs/>
              <w:sz w:val="22"/>
              <w:lang w:val="zh-CN"/>
            </w:rPr>
            <w:fldChar w:fldCharType="begin"/>
          </w:r>
          <w:r w:rsidRPr="00D22D71">
            <w:rPr>
              <w:bCs/>
              <w:sz w:val="22"/>
              <w:lang w:val="zh-CN"/>
            </w:rPr>
            <w:instrText xml:space="preserve"> TOC \o "1-4" \h \z \u </w:instrText>
          </w:r>
          <w:r w:rsidRPr="00D22D71">
            <w:rPr>
              <w:bCs/>
              <w:sz w:val="22"/>
              <w:lang w:val="zh-CN"/>
            </w:rPr>
            <w:fldChar w:fldCharType="separate"/>
          </w:r>
          <w:hyperlink w:anchor="_Toc130830419" w:history="1">
            <w:r w:rsidRPr="00D22D71">
              <w:rPr>
                <w:rStyle w:val="af"/>
                <w:sz w:val="22"/>
              </w:rPr>
              <w:t>1. Executive summary</w:t>
            </w:r>
            <w:r w:rsidRPr="00D22D71">
              <w:rPr>
                <w:webHidden/>
                <w:sz w:val="22"/>
              </w:rPr>
              <w:tab/>
            </w:r>
            <w:r w:rsidRPr="00D22D71">
              <w:rPr>
                <w:webHidden/>
                <w:sz w:val="22"/>
              </w:rPr>
              <w:fldChar w:fldCharType="begin"/>
            </w:r>
            <w:r w:rsidRPr="00D22D71">
              <w:rPr>
                <w:webHidden/>
                <w:sz w:val="22"/>
              </w:rPr>
              <w:instrText xml:space="preserve"> PAGEREF _Toc130830419 \h </w:instrText>
            </w:r>
            <w:r w:rsidRPr="00D22D71">
              <w:rPr>
                <w:webHidden/>
                <w:sz w:val="22"/>
              </w:rPr>
            </w:r>
            <w:r w:rsidRPr="00D22D71">
              <w:rPr>
                <w:webHidden/>
                <w:sz w:val="22"/>
              </w:rPr>
              <w:fldChar w:fldCharType="separate"/>
            </w:r>
            <w:r w:rsidR="00D55507">
              <w:rPr>
                <w:webHidden/>
                <w:sz w:val="22"/>
              </w:rPr>
              <w:t>1</w:t>
            </w:r>
            <w:r w:rsidRPr="00D22D71">
              <w:rPr>
                <w:webHidden/>
                <w:sz w:val="22"/>
              </w:rPr>
              <w:fldChar w:fldCharType="end"/>
            </w:r>
          </w:hyperlink>
        </w:p>
        <w:p w14:paraId="647CD4D1" w14:textId="278375B8" w:rsidR="00B15CD3" w:rsidRPr="00D22D71" w:rsidRDefault="00D02509" w:rsidP="00D22D71">
          <w:pPr>
            <w:pStyle w:val="TOC1"/>
            <w:spacing w:line="400" w:lineRule="exact"/>
            <w:rPr>
              <w:sz w:val="22"/>
            </w:rPr>
          </w:pPr>
          <w:hyperlink w:anchor="_Toc130830420" w:history="1">
            <w:r w:rsidR="00B15CD3" w:rsidRPr="00D22D71">
              <w:rPr>
                <w:rStyle w:val="af"/>
                <w:sz w:val="22"/>
              </w:rPr>
              <w:t>2. Introduction</w:t>
            </w:r>
            <w:r w:rsidR="00B15CD3" w:rsidRPr="00D22D71">
              <w:rPr>
                <w:webHidden/>
                <w:sz w:val="22"/>
              </w:rPr>
              <w:tab/>
            </w:r>
            <w:r w:rsidR="00B15CD3" w:rsidRPr="00D22D71">
              <w:rPr>
                <w:webHidden/>
                <w:sz w:val="22"/>
              </w:rPr>
              <w:fldChar w:fldCharType="begin"/>
            </w:r>
            <w:r w:rsidR="00B15CD3" w:rsidRPr="00D22D71">
              <w:rPr>
                <w:webHidden/>
                <w:sz w:val="22"/>
              </w:rPr>
              <w:instrText xml:space="preserve"> PAGEREF _Toc130830420 \h </w:instrText>
            </w:r>
            <w:r w:rsidR="00B15CD3" w:rsidRPr="00D22D71">
              <w:rPr>
                <w:webHidden/>
                <w:sz w:val="22"/>
              </w:rPr>
            </w:r>
            <w:r w:rsidR="00B15CD3" w:rsidRPr="00D22D71">
              <w:rPr>
                <w:webHidden/>
                <w:sz w:val="22"/>
              </w:rPr>
              <w:fldChar w:fldCharType="separate"/>
            </w:r>
            <w:r w:rsidR="00D55507">
              <w:rPr>
                <w:webHidden/>
                <w:sz w:val="22"/>
              </w:rPr>
              <w:t>1</w:t>
            </w:r>
            <w:r w:rsidR="00B15CD3" w:rsidRPr="00D22D71">
              <w:rPr>
                <w:webHidden/>
                <w:sz w:val="22"/>
              </w:rPr>
              <w:fldChar w:fldCharType="end"/>
            </w:r>
          </w:hyperlink>
        </w:p>
        <w:p w14:paraId="23FD32D7" w14:textId="356AD63D" w:rsidR="00B15CD3" w:rsidRPr="00D22D71" w:rsidRDefault="00D02509" w:rsidP="00D22D71">
          <w:pPr>
            <w:pStyle w:val="TOC2"/>
            <w:tabs>
              <w:tab w:val="right" w:leader="dot" w:pos="8296"/>
            </w:tabs>
            <w:spacing w:line="400" w:lineRule="exact"/>
            <w:rPr>
              <w:rFonts w:ascii="Times New Roman" w:hAnsi="Times New Roman" w:cs="Times New Roman"/>
              <w:noProof/>
              <w:sz w:val="22"/>
            </w:rPr>
          </w:pPr>
          <w:hyperlink w:anchor="_Toc130830421" w:history="1">
            <w:r w:rsidR="00B15CD3" w:rsidRPr="00D22D71">
              <w:rPr>
                <w:rStyle w:val="af"/>
                <w:rFonts w:ascii="Times New Roman" w:hAnsi="Times New Roman" w:cs="Times New Roman"/>
                <w:noProof/>
                <w:sz w:val="22"/>
              </w:rPr>
              <w:t>2.1 Motivation for earnings management</w:t>
            </w:r>
            <w:r w:rsidR="00B15CD3" w:rsidRPr="00D22D71">
              <w:rPr>
                <w:rFonts w:ascii="Times New Roman" w:hAnsi="Times New Roman" w:cs="Times New Roman"/>
                <w:noProof/>
                <w:webHidden/>
                <w:sz w:val="22"/>
              </w:rPr>
              <w:tab/>
            </w:r>
            <w:r w:rsidR="00B15CD3" w:rsidRPr="00D22D71">
              <w:rPr>
                <w:rFonts w:ascii="Times New Roman" w:hAnsi="Times New Roman" w:cs="Times New Roman"/>
                <w:noProof/>
                <w:webHidden/>
                <w:sz w:val="22"/>
              </w:rPr>
              <w:fldChar w:fldCharType="begin"/>
            </w:r>
            <w:r w:rsidR="00B15CD3" w:rsidRPr="00D22D71">
              <w:rPr>
                <w:rFonts w:ascii="Times New Roman" w:hAnsi="Times New Roman" w:cs="Times New Roman"/>
                <w:noProof/>
                <w:webHidden/>
                <w:sz w:val="22"/>
              </w:rPr>
              <w:instrText xml:space="preserve"> PAGEREF _Toc130830421 \h </w:instrText>
            </w:r>
            <w:r w:rsidR="00B15CD3" w:rsidRPr="00D22D71">
              <w:rPr>
                <w:rFonts w:ascii="Times New Roman" w:hAnsi="Times New Roman" w:cs="Times New Roman"/>
                <w:noProof/>
                <w:webHidden/>
                <w:sz w:val="22"/>
              </w:rPr>
            </w:r>
            <w:r w:rsidR="00B15CD3" w:rsidRPr="00D22D71">
              <w:rPr>
                <w:rFonts w:ascii="Times New Roman" w:hAnsi="Times New Roman" w:cs="Times New Roman"/>
                <w:noProof/>
                <w:webHidden/>
                <w:sz w:val="22"/>
              </w:rPr>
              <w:fldChar w:fldCharType="separate"/>
            </w:r>
            <w:r w:rsidR="00D55507">
              <w:rPr>
                <w:rFonts w:ascii="Times New Roman" w:hAnsi="Times New Roman" w:cs="Times New Roman"/>
                <w:noProof/>
                <w:webHidden/>
                <w:sz w:val="22"/>
              </w:rPr>
              <w:t>1</w:t>
            </w:r>
            <w:r w:rsidR="00B15CD3" w:rsidRPr="00D22D71">
              <w:rPr>
                <w:rFonts w:ascii="Times New Roman" w:hAnsi="Times New Roman" w:cs="Times New Roman"/>
                <w:noProof/>
                <w:webHidden/>
                <w:sz w:val="22"/>
              </w:rPr>
              <w:fldChar w:fldCharType="end"/>
            </w:r>
          </w:hyperlink>
        </w:p>
        <w:p w14:paraId="43941E93" w14:textId="0C02A31B" w:rsidR="00B15CD3" w:rsidRPr="00D22D71" w:rsidRDefault="00D02509" w:rsidP="00D22D71">
          <w:pPr>
            <w:pStyle w:val="TOC2"/>
            <w:tabs>
              <w:tab w:val="right" w:leader="dot" w:pos="8296"/>
            </w:tabs>
            <w:spacing w:line="400" w:lineRule="exact"/>
            <w:rPr>
              <w:rFonts w:ascii="Times New Roman" w:hAnsi="Times New Roman" w:cs="Times New Roman"/>
              <w:noProof/>
              <w:sz w:val="22"/>
            </w:rPr>
          </w:pPr>
          <w:hyperlink w:anchor="_Toc130830422" w:history="1">
            <w:r w:rsidR="00B15CD3" w:rsidRPr="00D22D71">
              <w:rPr>
                <w:rStyle w:val="af"/>
                <w:rFonts w:ascii="Times New Roman" w:hAnsi="Times New Roman" w:cs="Times New Roman"/>
                <w:noProof/>
                <w:sz w:val="22"/>
              </w:rPr>
              <w:t>2.2 Factors influencing earnings management</w:t>
            </w:r>
            <w:r w:rsidR="00B15CD3" w:rsidRPr="00D22D71">
              <w:rPr>
                <w:rFonts w:ascii="Times New Roman" w:hAnsi="Times New Roman" w:cs="Times New Roman"/>
                <w:noProof/>
                <w:webHidden/>
                <w:sz w:val="22"/>
              </w:rPr>
              <w:tab/>
            </w:r>
            <w:r w:rsidR="00B15CD3" w:rsidRPr="00D22D71">
              <w:rPr>
                <w:rFonts w:ascii="Times New Roman" w:hAnsi="Times New Roman" w:cs="Times New Roman"/>
                <w:noProof/>
                <w:webHidden/>
                <w:sz w:val="22"/>
              </w:rPr>
              <w:fldChar w:fldCharType="begin"/>
            </w:r>
            <w:r w:rsidR="00B15CD3" w:rsidRPr="00D22D71">
              <w:rPr>
                <w:rFonts w:ascii="Times New Roman" w:hAnsi="Times New Roman" w:cs="Times New Roman"/>
                <w:noProof/>
                <w:webHidden/>
                <w:sz w:val="22"/>
              </w:rPr>
              <w:instrText xml:space="preserve"> PAGEREF _Toc130830422 \h </w:instrText>
            </w:r>
            <w:r w:rsidR="00B15CD3" w:rsidRPr="00D22D71">
              <w:rPr>
                <w:rFonts w:ascii="Times New Roman" w:hAnsi="Times New Roman" w:cs="Times New Roman"/>
                <w:noProof/>
                <w:webHidden/>
                <w:sz w:val="22"/>
              </w:rPr>
            </w:r>
            <w:r w:rsidR="00B15CD3" w:rsidRPr="00D22D71">
              <w:rPr>
                <w:rFonts w:ascii="Times New Roman" w:hAnsi="Times New Roman" w:cs="Times New Roman"/>
                <w:noProof/>
                <w:webHidden/>
                <w:sz w:val="22"/>
              </w:rPr>
              <w:fldChar w:fldCharType="separate"/>
            </w:r>
            <w:r w:rsidR="00D55507">
              <w:rPr>
                <w:rFonts w:ascii="Times New Roman" w:hAnsi="Times New Roman" w:cs="Times New Roman"/>
                <w:noProof/>
                <w:webHidden/>
                <w:sz w:val="22"/>
              </w:rPr>
              <w:t>2</w:t>
            </w:r>
            <w:r w:rsidR="00B15CD3" w:rsidRPr="00D22D71">
              <w:rPr>
                <w:rFonts w:ascii="Times New Roman" w:hAnsi="Times New Roman" w:cs="Times New Roman"/>
                <w:noProof/>
                <w:webHidden/>
                <w:sz w:val="22"/>
              </w:rPr>
              <w:fldChar w:fldCharType="end"/>
            </w:r>
          </w:hyperlink>
        </w:p>
        <w:p w14:paraId="2465B749" w14:textId="1CA8A751" w:rsidR="00B15CD3" w:rsidRPr="00D22D71" w:rsidRDefault="00D02509" w:rsidP="00D22D71">
          <w:pPr>
            <w:pStyle w:val="TOC2"/>
            <w:tabs>
              <w:tab w:val="right" w:leader="dot" w:pos="8296"/>
            </w:tabs>
            <w:spacing w:line="400" w:lineRule="exact"/>
            <w:rPr>
              <w:rFonts w:ascii="Times New Roman" w:hAnsi="Times New Roman" w:cs="Times New Roman"/>
              <w:noProof/>
              <w:sz w:val="22"/>
            </w:rPr>
          </w:pPr>
          <w:hyperlink w:anchor="_Toc130830423" w:history="1">
            <w:r w:rsidR="00B15CD3" w:rsidRPr="00D22D71">
              <w:rPr>
                <w:rStyle w:val="af"/>
                <w:rFonts w:ascii="Times New Roman" w:hAnsi="Times New Roman" w:cs="Times New Roman"/>
                <w:noProof/>
                <w:sz w:val="22"/>
              </w:rPr>
              <w:t>2.2 Meaning of earnings management</w:t>
            </w:r>
            <w:r w:rsidR="00B15CD3" w:rsidRPr="00D22D71">
              <w:rPr>
                <w:rFonts w:ascii="Times New Roman" w:hAnsi="Times New Roman" w:cs="Times New Roman"/>
                <w:noProof/>
                <w:webHidden/>
                <w:sz w:val="22"/>
              </w:rPr>
              <w:tab/>
            </w:r>
            <w:r w:rsidR="00B15CD3" w:rsidRPr="00D22D71">
              <w:rPr>
                <w:rFonts w:ascii="Times New Roman" w:hAnsi="Times New Roman" w:cs="Times New Roman"/>
                <w:noProof/>
                <w:webHidden/>
                <w:sz w:val="22"/>
              </w:rPr>
              <w:fldChar w:fldCharType="begin"/>
            </w:r>
            <w:r w:rsidR="00B15CD3" w:rsidRPr="00D22D71">
              <w:rPr>
                <w:rFonts w:ascii="Times New Roman" w:hAnsi="Times New Roman" w:cs="Times New Roman"/>
                <w:noProof/>
                <w:webHidden/>
                <w:sz w:val="22"/>
              </w:rPr>
              <w:instrText xml:space="preserve"> PAGEREF _Toc130830423 \h </w:instrText>
            </w:r>
            <w:r w:rsidR="00B15CD3" w:rsidRPr="00D22D71">
              <w:rPr>
                <w:rFonts w:ascii="Times New Roman" w:hAnsi="Times New Roman" w:cs="Times New Roman"/>
                <w:noProof/>
                <w:webHidden/>
                <w:sz w:val="22"/>
              </w:rPr>
            </w:r>
            <w:r w:rsidR="00B15CD3" w:rsidRPr="00D22D71">
              <w:rPr>
                <w:rFonts w:ascii="Times New Roman" w:hAnsi="Times New Roman" w:cs="Times New Roman"/>
                <w:noProof/>
                <w:webHidden/>
                <w:sz w:val="22"/>
              </w:rPr>
              <w:fldChar w:fldCharType="separate"/>
            </w:r>
            <w:r w:rsidR="00D55507">
              <w:rPr>
                <w:rFonts w:ascii="Times New Roman" w:hAnsi="Times New Roman" w:cs="Times New Roman"/>
                <w:noProof/>
                <w:webHidden/>
                <w:sz w:val="22"/>
              </w:rPr>
              <w:t>3</w:t>
            </w:r>
            <w:r w:rsidR="00B15CD3" w:rsidRPr="00D22D71">
              <w:rPr>
                <w:rFonts w:ascii="Times New Roman" w:hAnsi="Times New Roman" w:cs="Times New Roman"/>
                <w:noProof/>
                <w:webHidden/>
                <w:sz w:val="22"/>
              </w:rPr>
              <w:fldChar w:fldCharType="end"/>
            </w:r>
          </w:hyperlink>
        </w:p>
        <w:p w14:paraId="6D3522BD" w14:textId="6E47EFD3" w:rsidR="00B15CD3" w:rsidRPr="00D22D71" w:rsidRDefault="00D02509" w:rsidP="00D22D71">
          <w:pPr>
            <w:pStyle w:val="TOC1"/>
            <w:spacing w:line="400" w:lineRule="exact"/>
            <w:rPr>
              <w:sz w:val="22"/>
            </w:rPr>
          </w:pPr>
          <w:hyperlink w:anchor="_Toc130830424" w:history="1">
            <w:r w:rsidR="00B15CD3" w:rsidRPr="00D22D71">
              <w:rPr>
                <w:rStyle w:val="af"/>
                <w:sz w:val="22"/>
              </w:rPr>
              <w:t>3. Case evaluation</w:t>
            </w:r>
            <w:r w:rsidR="00B15CD3" w:rsidRPr="00D22D71">
              <w:rPr>
                <w:webHidden/>
                <w:sz w:val="22"/>
              </w:rPr>
              <w:tab/>
            </w:r>
            <w:r w:rsidR="00B15CD3" w:rsidRPr="00D22D71">
              <w:rPr>
                <w:webHidden/>
                <w:sz w:val="22"/>
              </w:rPr>
              <w:fldChar w:fldCharType="begin"/>
            </w:r>
            <w:r w:rsidR="00B15CD3" w:rsidRPr="00D22D71">
              <w:rPr>
                <w:webHidden/>
                <w:sz w:val="22"/>
              </w:rPr>
              <w:instrText xml:space="preserve"> PAGEREF _Toc130830424 \h </w:instrText>
            </w:r>
            <w:r w:rsidR="00B15CD3" w:rsidRPr="00D22D71">
              <w:rPr>
                <w:webHidden/>
                <w:sz w:val="22"/>
              </w:rPr>
            </w:r>
            <w:r w:rsidR="00B15CD3" w:rsidRPr="00D22D71">
              <w:rPr>
                <w:webHidden/>
                <w:sz w:val="22"/>
              </w:rPr>
              <w:fldChar w:fldCharType="separate"/>
            </w:r>
            <w:r w:rsidR="00D55507">
              <w:rPr>
                <w:webHidden/>
                <w:sz w:val="22"/>
              </w:rPr>
              <w:t>4</w:t>
            </w:r>
            <w:r w:rsidR="00B15CD3" w:rsidRPr="00D22D71">
              <w:rPr>
                <w:webHidden/>
                <w:sz w:val="22"/>
              </w:rPr>
              <w:fldChar w:fldCharType="end"/>
            </w:r>
          </w:hyperlink>
        </w:p>
        <w:p w14:paraId="2A82A7D8" w14:textId="471BDB87" w:rsidR="00B15CD3" w:rsidRPr="00D22D71" w:rsidRDefault="00D02509" w:rsidP="00D22D71">
          <w:pPr>
            <w:pStyle w:val="TOC2"/>
            <w:tabs>
              <w:tab w:val="right" w:leader="dot" w:pos="8296"/>
            </w:tabs>
            <w:spacing w:line="400" w:lineRule="exact"/>
            <w:rPr>
              <w:rFonts w:ascii="Times New Roman" w:hAnsi="Times New Roman" w:cs="Times New Roman"/>
              <w:noProof/>
              <w:sz w:val="22"/>
            </w:rPr>
          </w:pPr>
          <w:hyperlink w:anchor="_Toc130830425" w:history="1">
            <w:r w:rsidR="00B15CD3" w:rsidRPr="00D22D71">
              <w:rPr>
                <w:rStyle w:val="af"/>
                <w:rFonts w:ascii="Times New Roman" w:hAnsi="Times New Roman" w:cs="Times New Roman"/>
                <w:noProof/>
                <w:sz w:val="22"/>
              </w:rPr>
              <w:t>3.1 Case background</w:t>
            </w:r>
            <w:r w:rsidR="00B15CD3" w:rsidRPr="00D22D71">
              <w:rPr>
                <w:rFonts w:ascii="Times New Roman" w:hAnsi="Times New Roman" w:cs="Times New Roman"/>
                <w:noProof/>
                <w:webHidden/>
                <w:sz w:val="22"/>
              </w:rPr>
              <w:tab/>
            </w:r>
            <w:r w:rsidR="00B15CD3" w:rsidRPr="00D22D71">
              <w:rPr>
                <w:rFonts w:ascii="Times New Roman" w:hAnsi="Times New Roman" w:cs="Times New Roman"/>
                <w:noProof/>
                <w:webHidden/>
                <w:sz w:val="22"/>
              </w:rPr>
              <w:fldChar w:fldCharType="begin"/>
            </w:r>
            <w:r w:rsidR="00B15CD3" w:rsidRPr="00D22D71">
              <w:rPr>
                <w:rFonts w:ascii="Times New Roman" w:hAnsi="Times New Roman" w:cs="Times New Roman"/>
                <w:noProof/>
                <w:webHidden/>
                <w:sz w:val="22"/>
              </w:rPr>
              <w:instrText xml:space="preserve"> PAGEREF _Toc130830425 \h </w:instrText>
            </w:r>
            <w:r w:rsidR="00B15CD3" w:rsidRPr="00D22D71">
              <w:rPr>
                <w:rFonts w:ascii="Times New Roman" w:hAnsi="Times New Roman" w:cs="Times New Roman"/>
                <w:noProof/>
                <w:webHidden/>
                <w:sz w:val="22"/>
              </w:rPr>
            </w:r>
            <w:r w:rsidR="00B15CD3" w:rsidRPr="00D22D71">
              <w:rPr>
                <w:rFonts w:ascii="Times New Roman" w:hAnsi="Times New Roman" w:cs="Times New Roman"/>
                <w:noProof/>
                <w:webHidden/>
                <w:sz w:val="22"/>
              </w:rPr>
              <w:fldChar w:fldCharType="separate"/>
            </w:r>
            <w:r w:rsidR="00D55507">
              <w:rPr>
                <w:rFonts w:ascii="Times New Roman" w:hAnsi="Times New Roman" w:cs="Times New Roman"/>
                <w:noProof/>
                <w:webHidden/>
                <w:sz w:val="22"/>
              </w:rPr>
              <w:t>4</w:t>
            </w:r>
            <w:r w:rsidR="00B15CD3" w:rsidRPr="00D22D71">
              <w:rPr>
                <w:rFonts w:ascii="Times New Roman" w:hAnsi="Times New Roman" w:cs="Times New Roman"/>
                <w:noProof/>
                <w:webHidden/>
                <w:sz w:val="22"/>
              </w:rPr>
              <w:fldChar w:fldCharType="end"/>
            </w:r>
          </w:hyperlink>
        </w:p>
        <w:p w14:paraId="716DD49E" w14:textId="065F5482" w:rsidR="00B15CD3" w:rsidRPr="00D22D71" w:rsidRDefault="00D02509" w:rsidP="00D22D71">
          <w:pPr>
            <w:pStyle w:val="TOC2"/>
            <w:tabs>
              <w:tab w:val="right" w:leader="dot" w:pos="8296"/>
            </w:tabs>
            <w:spacing w:line="400" w:lineRule="exact"/>
            <w:rPr>
              <w:rFonts w:ascii="Times New Roman" w:hAnsi="Times New Roman" w:cs="Times New Roman"/>
              <w:noProof/>
              <w:sz w:val="22"/>
            </w:rPr>
          </w:pPr>
          <w:hyperlink w:anchor="_Toc130830426" w:history="1">
            <w:r w:rsidR="00B15CD3" w:rsidRPr="00D22D71">
              <w:rPr>
                <w:rStyle w:val="af"/>
                <w:rFonts w:ascii="Times New Roman" w:hAnsi="Times New Roman" w:cs="Times New Roman"/>
                <w:noProof/>
                <w:sz w:val="22"/>
              </w:rPr>
              <w:t>3.2 Identification of Datang Telecom's earnings management behavior</w:t>
            </w:r>
            <w:r w:rsidR="00B15CD3" w:rsidRPr="00D22D71">
              <w:rPr>
                <w:rFonts w:ascii="Times New Roman" w:hAnsi="Times New Roman" w:cs="Times New Roman"/>
                <w:noProof/>
                <w:webHidden/>
                <w:sz w:val="22"/>
              </w:rPr>
              <w:tab/>
            </w:r>
            <w:r w:rsidR="00B15CD3" w:rsidRPr="00D22D71">
              <w:rPr>
                <w:rFonts w:ascii="Times New Roman" w:hAnsi="Times New Roman" w:cs="Times New Roman"/>
                <w:noProof/>
                <w:webHidden/>
                <w:sz w:val="22"/>
              </w:rPr>
              <w:fldChar w:fldCharType="begin"/>
            </w:r>
            <w:r w:rsidR="00B15CD3" w:rsidRPr="00D22D71">
              <w:rPr>
                <w:rFonts w:ascii="Times New Roman" w:hAnsi="Times New Roman" w:cs="Times New Roman"/>
                <w:noProof/>
                <w:webHidden/>
                <w:sz w:val="22"/>
              </w:rPr>
              <w:instrText xml:space="preserve"> PAGEREF _Toc130830426 \h </w:instrText>
            </w:r>
            <w:r w:rsidR="00B15CD3" w:rsidRPr="00D22D71">
              <w:rPr>
                <w:rFonts w:ascii="Times New Roman" w:hAnsi="Times New Roman" w:cs="Times New Roman"/>
                <w:noProof/>
                <w:webHidden/>
                <w:sz w:val="22"/>
              </w:rPr>
            </w:r>
            <w:r w:rsidR="00B15CD3" w:rsidRPr="00D22D71">
              <w:rPr>
                <w:rFonts w:ascii="Times New Roman" w:hAnsi="Times New Roman" w:cs="Times New Roman"/>
                <w:noProof/>
                <w:webHidden/>
                <w:sz w:val="22"/>
              </w:rPr>
              <w:fldChar w:fldCharType="separate"/>
            </w:r>
            <w:r w:rsidR="00D55507">
              <w:rPr>
                <w:rFonts w:ascii="Times New Roman" w:hAnsi="Times New Roman" w:cs="Times New Roman"/>
                <w:noProof/>
                <w:webHidden/>
                <w:sz w:val="22"/>
              </w:rPr>
              <w:t>5</w:t>
            </w:r>
            <w:r w:rsidR="00B15CD3" w:rsidRPr="00D22D71">
              <w:rPr>
                <w:rFonts w:ascii="Times New Roman" w:hAnsi="Times New Roman" w:cs="Times New Roman"/>
                <w:noProof/>
                <w:webHidden/>
                <w:sz w:val="22"/>
              </w:rPr>
              <w:fldChar w:fldCharType="end"/>
            </w:r>
          </w:hyperlink>
        </w:p>
        <w:p w14:paraId="1D82B8B9" w14:textId="7308B116" w:rsidR="00B15CD3" w:rsidRPr="00D22D71" w:rsidRDefault="00D02509" w:rsidP="00D22D71">
          <w:pPr>
            <w:pStyle w:val="TOC3"/>
            <w:tabs>
              <w:tab w:val="right" w:leader="dot" w:pos="8296"/>
            </w:tabs>
            <w:spacing w:line="400" w:lineRule="exact"/>
            <w:rPr>
              <w:rFonts w:ascii="Times New Roman" w:hAnsi="Times New Roman" w:cs="Times New Roman"/>
              <w:noProof/>
              <w:sz w:val="22"/>
            </w:rPr>
          </w:pPr>
          <w:hyperlink w:anchor="_Toc130830427" w:history="1">
            <w:r w:rsidR="00B15CD3" w:rsidRPr="00D22D71">
              <w:rPr>
                <w:rStyle w:val="af"/>
                <w:rFonts w:ascii="Times New Roman" w:hAnsi="Times New Roman" w:cs="Times New Roman"/>
                <w:noProof/>
                <w:sz w:val="22"/>
              </w:rPr>
              <w:t>3.2.1 Abnormal profit exclusion method</w:t>
            </w:r>
            <w:r w:rsidR="00B15CD3" w:rsidRPr="00D22D71">
              <w:rPr>
                <w:rFonts w:ascii="Times New Roman" w:hAnsi="Times New Roman" w:cs="Times New Roman"/>
                <w:noProof/>
                <w:webHidden/>
                <w:sz w:val="22"/>
              </w:rPr>
              <w:tab/>
            </w:r>
            <w:r w:rsidR="00B15CD3" w:rsidRPr="00D22D71">
              <w:rPr>
                <w:rFonts w:ascii="Times New Roman" w:hAnsi="Times New Roman" w:cs="Times New Roman"/>
                <w:noProof/>
                <w:webHidden/>
                <w:sz w:val="22"/>
              </w:rPr>
              <w:fldChar w:fldCharType="begin"/>
            </w:r>
            <w:r w:rsidR="00B15CD3" w:rsidRPr="00D22D71">
              <w:rPr>
                <w:rFonts w:ascii="Times New Roman" w:hAnsi="Times New Roman" w:cs="Times New Roman"/>
                <w:noProof/>
                <w:webHidden/>
                <w:sz w:val="22"/>
              </w:rPr>
              <w:instrText xml:space="preserve"> PAGEREF _Toc130830427 \h </w:instrText>
            </w:r>
            <w:r w:rsidR="00B15CD3" w:rsidRPr="00D22D71">
              <w:rPr>
                <w:rFonts w:ascii="Times New Roman" w:hAnsi="Times New Roman" w:cs="Times New Roman"/>
                <w:noProof/>
                <w:webHidden/>
                <w:sz w:val="22"/>
              </w:rPr>
            </w:r>
            <w:r w:rsidR="00B15CD3" w:rsidRPr="00D22D71">
              <w:rPr>
                <w:rFonts w:ascii="Times New Roman" w:hAnsi="Times New Roman" w:cs="Times New Roman"/>
                <w:noProof/>
                <w:webHidden/>
                <w:sz w:val="22"/>
              </w:rPr>
              <w:fldChar w:fldCharType="separate"/>
            </w:r>
            <w:r w:rsidR="00D55507">
              <w:rPr>
                <w:rFonts w:ascii="Times New Roman" w:hAnsi="Times New Roman" w:cs="Times New Roman"/>
                <w:noProof/>
                <w:webHidden/>
                <w:sz w:val="22"/>
              </w:rPr>
              <w:t>5</w:t>
            </w:r>
            <w:r w:rsidR="00B15CD3" w:rsidRPr="00D22D71">
              <w:rPr>
                <w:rFonts w:ascii="Times New Roman" w:hAnsi="Times New Roman" w:cs="Times New Roman"/>
                <w:noProof/>
                <w:webHidden/>
                <w:sz w:val="22"/>
              </w:rPr>
              <w:fldChar w:fldCharType="end"/>
            </w:r>
          </w:hyperlink>
        </w:p>
        <w:p w14:paraId="3AF5467B" w14:textId="7532FE68" w:rsidR="00B15CD3" w:rsidRPr="00D22D71" w:rsidRDefault="00D02509" w:rsidP="00D22D71">
          <w:pPr>
            <w:pStyle w:val="TOC3"/>
            <w:tabs>
              <w:tab w:val="right" w:leader="dot" w:pos="8296"/>
            </w:tabs>
            <w:spacing w:line="400" w:lineRule="exact"/>
            <w:rPr>
              <w:rFonts w:ascii="Times New Roman" w:hAnsi="Times New Roman" w:cs="Times New Roman"/>
              <w:noProof/>
              <w:sz w:val="22"/>
            </w:rPr>
          </w:pPr>
          <w:hyperlink w:anchor="_Toc130830428" w:history="1">
            <w:r w:rsidR="00B15CD3" w:rsidRPr="00D22D71">
              <w:rPr>
                <w:rStyle w:val="af"/>
                <w:rFonts w:ascii="Times New Roman" w:hAnsi="Times New Roman" w:cs="Times New Roman"/>
                <w:noProof/>
                <w:sz w:val="22"/>
              </w:rPr>
              <w:t>3.2.2 Identify non-recurring P&amp;L items</w:t>
            </w:r>
            <w:r w:rsidR="00B15CD3" w:rsidRPr="00D22D71">
              <w:rPr>
                <w:rFonts w:ascii="Times New Roman" w:hAnsi="Times New Roman" w:cs="Times New Roman"/>
                <w:noProof/>
                <w:webHidden/>
                <w:sz w:val="22"/>
              </w:rPr>
              <w:tab/>
            </w:r>
            <w:r w:rsidR="00B15CD3" w:rsidRPr="00D22D71">
              <w:rPr>
                <w:rFonts w:ascii="Times New Roman" w:hAnsi="Times New Roman" w:cs="Times New Roman"/>
                <w:noProof/>
                <w:webHidden/>
                <w:sz w:val="22"/>
              </w:rPr>
              <w:fldChar w:fldCharType="begin"/>
            </w:r>
            <w:r w:rsidR="00B15CD3" w:rsidRPr="00D22D71">
              <w:rPr>
                <w:rFonts w:ascii="Times New Roman" w:hAnsi="Times New Roman" w:cs="Times New Roman"/>
                <w:noProof/>
                <w:webHidden/>
                <w:sz w:val="22"/>
              </w:rPr>
              <w:instrText xml:space="preserve"> PAGEREF _Toc130830428 \h </w:instrText>
            </w:r>
            <w:r w:rsidR="00B15CD3" w:rsidRPr="00D22D71">
              <w:rPr>
                <w:rFonts w:ascii="Times New Roman" w:hAnsi="Times New Roman" w:cs="Times New Roman"/>
                <w:noProof/>
                <w:webHidden/>
                <w:sz w:val="22"/>
              </w:rPr>
            </w:r>
            <w:r w:rsidR="00B15CD3" w:rsidRPr="00D22D71">
              <w:rPr>
                <w:rFonts w:ascii="Times New Roman" w:hAnsi="Times New Roman" w:cs="Times New Roman"/>
                <w:noProof/>
                <w:webHidden/>
                <w:sz w:val="22"/>
              </w:rPr>
              <w:fldChar w:fldCharType="separate"/>
            </w:r>
            <w:r w:rsidR="00D55507">
              <w:rPr>
                <w:rFonts w:ascii="Times New Roman" w:hAnsi="Times New Roman" w:cs="Times New Roman"/>
                <w:noProof/>
                <w:webHidden/>
                <w:sz w:val="22"/>
              </w:rPr>
              <w:t>7</w:t>
            </w:r>
            <w:r w:rsidR="00B15CD3" w:rsidRPr="00D22D71">
              <w:rPr>
                <w:rFonts w:ascii="Times New Roman" w:hAnsi="Times New Roman" w:cs="Times New Roman"/>
                <w:noProof/>
                <w:webHidden/>
                <w:sz w:val="22"/>
              </w:rPr>
              <w:fldChar w:fldCharType="end"/>
            </w:r>
          </w:hyperlink>
        </w:p>
        <w:p w14:paraId="6E9DBC24" w14:textId="0777319C" w:rsidR="00B15CD3" w:rsidRPr="00D22D71" w:rsidRDefault="00D02509" w:rsidP="00D22D71">
          <w:pPr>
            <w:pStyle w:val="TOC3"/>
            <w:tabs>
              <w:tab w:val="right" w:leader="dot" w:pos="8296"/>
            </w:tabs>
            <w:spacing w:line="400" w:lineRule="exact"/>
            <w:rPr>
              <w:rFonts w:ascii="Times New Roman" w:hAnsi="Times New Roman" w:cs="Times New Roman"/>
              <w:noProof/>
              <w:sz w:val="22"/>
            </w:rPr>
          </w:pPr>
          <w:hyperlink w:anchor="_Toc130830429" w:history="1">
            <w:r w:rsidR="00B15CD3" w:rsidRPr="00D22D71">
              <w:rPr>
                <w:rStyle w:val="af"/>
                <w:rFonts w:ascii="Times New Roman" w:hAnsi="Times New Roman" w:cs="Times New Roman"/>
                <w:noProof/>
                <w:sz w:val="22"/>
              </w:rPr>
              <w:t>3.2.3 Utilize accounting estimate identification</w:t>
            </w:r>
            <w:r w:rsidR="00B15CD3" w:rsidRPr="00D22D71">
              <w:rPr>
                <w:rFonts w:ascii="Times New Roman" w:hAnsi="Times New Roman" w:cs="Times New Roman"/>
                <w:noProof/>
                <w:webHidden/>
                <w:sz w:val="22"/>
              </w:rPr>
              <w:tab/>
            </w:r>
            <w:r w:rsidR="00B15CD3" w:rsidRPr="00D22D71">
              <w:rPr>
                <w:rFonts w:ascii="Times New Roman" w:hAnsi="Times New Roman" w:cs="Times New Roman"/>
                <w:noProof/>
                <w:webHidden/>
                <w:sz w:val="22"/>
              </w:rPr>
              <w:fldChar w:fldCharType="begin"/>
            </w:r>
            <w:r w:rsidR="00B15CD3" w:rsidRPr="00D22D71">
              <w:rPr>
                <w:rFonts w:ascii="Times New Roman" w:hAnsi="Times New Roman" w:cs="Times New Roman"/>
                <w:noProof/>
                <w:webHidden/>
                <w:sz w:val="22"/>
              </w:rPr>
              <w:instrText xml:space="preserve"> PAGEREF _Toc130830429 \h </w:instrText>
            </w:r>
            <w:r w:rsidR="00B15CD3" w:rsidRPr="00D22D71">
              <w:rPr>
                <w:rFonts w:ascii="Times New Roman" w:hAnsi="Times New Roman" w:cs="Times New Roman"/>
                <w:noProof/>
                <w:webHidden/>
                <w:sz w:val="22"/>
              </w:rPr>
            </w:r>
            <w:r w:rsidR="00B15CD3" w:rsidRPr="00D22D71">
              <w:rPr>
                <w:rFonts w:ascii="Times New Roman" w:hAnsi="Times New Roman" w:cs="Times New Roman"/>
                <w:noProof/>
                <w:webHidden/>
                <w:sz w:val="22"/>
              </w:rPr>
              <w:fldChar w:fldCharType="separate"/>
            </w:r>
            <w:r w:rsidR="00D55507">
              <w:rPr>
                <w:rFonts w:ascii="Times New Roman" w:hAnsi="Times New Roman" w:cs="Times New Roman"/>
                <w:noProof/>
                <w:webHidden/>
                <w:sz w:val="22"/>
              </w:rPr>
              <w:t>9</w:t>
            </w:r>
            <w:r w:rsidR="00B15CD3" w:rsidRPr="00D22D71">
              <w:rPr>
                <w:rFonts w:ascii="Times New Roman" w:hAnsi="Times New Roman" w:cs="Times New Roman"/>
                <w:noProof/>
                <w:webHidden/>
                <w:sz w:val="22"/>
              </w:rPr>
              <w:fldChar w:fldCharType="end"/>
            </w:r>
          </w:hyperlink>
        </w:p>
        <w:p w14:paraId="34479AA7" w14:textId="3F3B84AC" w:rsidR="00B15CD3" w:rsidRPr="00D22D71" w:rsidRDefault="00D02509" w:rsidP="00D22D71">
          <w:pPr>
            <w:pStyle w:val="TOC1"/>
            <w:spacing w:line="400" w:lineRule="exact"/>
            <w:rPr>
              <w:sz w:val="22"/>
            </w:rPr>
          </w:pPr>
          <w:hyperlink w:anchor="_Toc130830430" w:history="1">
            <w:r w:rsidR="00B15CD3" w:rsidRPr="00D22D71">
              <w:rPr>
                <w:rStyle w:val="af"/>
                <w:sz w:val="22"/>
              </w:rPr>
              <w:t>4. Conclusion</w:t>
            </w:r>
            <w:r w:rsidR="00B15CD3" w:rsidRPr="00D22D71">
              <w:rPr>
                <w:webHidden/>
                <w:sz w:val="22"/>
              </w:rPr>
              <w:tab/>
            </w:r>
            <w:r w:rsidR="00B15CD3" w:rsidRPr="00D22D71">
              <w:rPr>
                <w:webHidden/>
                <w:sz w:val="22"/>
              </w:rPr>
              <w:fldChar w:fldCharType="begin"/>
            </w:r>
            <w:r w:rsidR="00B15CD3" w:rsidRPr="00D22D71">
              <w:rPr>
                <w:webHidden/>
                <w:sz w:val="22"/>
              </w:rPr>
              <w:instrText xml:space="preserve"> PAGEREF _Toc130830430 \h </w:instrText>
            </w:r>
            <w:r w:rsidR="00B15CD3" w:rsidRPr="00D22D71">
              <w:rPr>
                <w:webHidden/>
                <w:sz w:val="22"/>
              </w:rPr>
            </w:r>
            <w:r w:rsidR="00B15CD3" w:rsidRPr="00D22D71">
              <w:rPr>
                <w:webHidden/>
                <w:sz w:val="22"/>
              </w:rPr>
              <w:fldChar w:fldCharType="separate"/>
            </w:r>
            <w:r w:rsidR="00D55507">
              <w:rPr>
                <w:webHidden/>
                <w:sz w:val="22"/>
              </w:rPr>
              <w:t>10</w:t>
            </w:r>
            <w:r w:rsidR="00B15CD3" w:rsidRPr="00D22D71">
              <w:rPr>
                <w:webHidden/>
                <w:sz w:val="22"/>
              </w:rPr>
              <w:fldChar w:fldCharType="end"/>
            </w:r>
          </w:hyperlink>
        </w:p>
        <w:p w14:paraId="3A04CFF6" w14:textId="36646744" w:rsidR="00B15CD3" w:rsidRPr="00D22D71" w:rsidRDefault="00D02509" w:rsidP="00D22D71">
          <w:pPr>
            <w:pStyle w:val="TOC1"/>
            <w:spacing w:line="400" w:lineRule="exact"/>
            <w:rPr>
              <w:sz w:val="22"/>
            </w:rPr>
          </w:pPr>
          <w:hyperlink w:anchor="_Toc130830431" w:history="1">
            <w:r w:rsidR="00B15CD3" w:rsidRPr="00D22D71">
              <w:rPr>
                <w:rStyle w:val="af"/>
                <w:sz w:val="22"/>
              </w:rPr>
              <w:t>5. Recommendations</w:t>
            </w:r>
            <w:r w:rsidR="00B15CD3" w:rsidRPr="00D22D71">
              <w:rPr>
                <w:webHidden/>
                <w:sz w:val="22"/>
              </w:rPr>
              <w:tab/>
            </w:r>
            <w:r w:rsidR="00B15CD3" w:rsidRPr="00D22D71">
              <w:rPr>
                <w:webHidden/>
                <w:sz w:val="22"/>
              </w:rPr>
              <w:fldChar w:fldCharType="begin"/>
            </w:r>
            <w:r w:rsidR="00B15CD3" w:rsidRPr="00D22D71">
              <w:rPr>
                <w:webHidden/>
                <w:sz w:val="22"/>
              </w:rPr>
              <w:instrText xml:space="preserve"> PAGEREF _Toc130830431 \h </w:instrText>
            </w:r>
            <w:r w:rsidR="00B15CD3" w:rsidRPr="00D22D71">
              <w:rPr>
                <w:webHidden/>
                <w:sz w:val="22"/>
              </w:rPr>
            </w:r>
            <w:r w:rsidR="00B15CD3" w:rsidRPr="00D22D71">
              <w:rPr>
                <w:webHidden/>
                <w:sz w:val="22"/>
              </w:rPr>
              <w:fldChar w:fldCharType="separate"/>
            </w:r>
            <w:r w:rsidR="00D55507">
              <w:rPr>
                <w:webHidden/>
                <w:sz w:val="22"/>
              </w:rPr>
              <w:t>10</w:t>
            </w:r>
            <w:r w:rsidR="00B15CD3" w:rsidRPr="00D22D71">
              <w:rPr>
                <w:webHidden/>
                <w:sz w:val="22"/>
              </w:rPr>
              <w:fldChar w:fldCharType="end"/>
            </w:r>
          </w:hyperlink>
        </w:p>
        <w:p w14:paraId="65AADB4B" w14:textId="27AA280F" w:rsidR="00B15CD3" w:rsidRPr="00D22D71" w:rsidRDefault="00D02509" w:rsidP="00D22D71">
          <w:pPr>
            <w:pStyle w:val="TOC2"/>
            <w:tabs>
              <w:tab w:val="right" w:leader="dot" w:pos="8296"/>
            </w:tabs>
            <w:spacing w:line="400" w:lineRule="exact"/>
            <w:rPr>
              <w:rFonts w:ascii="Times New Roman" w:hAnsi="Times New Roman" w:cs="Times New Roman"/>
              <w:noProof/>
              <w:sz w:val="22"/>
            </w:rPr>
          </w:pPr>
          <w:hyperlink w:anchor="_Toc130830432" w:history="1">
            <w:r w:rsidR="00B15CD3" w:rsidRPr="00D22D71">
              <w:rPr>
                <w:rStyle w:val="af"/>
                <w:rFonts w:ascii="Times New Roman" w:hAnsi="Times New Roman" w:cs="Times New Roman"/>
                <w:noProof/>
                <w:sz w:val="22"/>
              </w:rPr>
              <w:t>5.1 Optimize the shareholding structure and lay the foundation for the internal governance structure</w:t>
            </w:r>
            <w:r w:rsidR="00B15CD3" w:rsidRPr="00D22D71">
              <w:rPr>
                <w:rFonts w:ascii="Times New Roman" w:hAnsi="Times New Roman" w:cs="Times New Roman"/>
                <w:noProof/>
                <w:webHidden/>
                <w:sz w:val="22"/>
              </w:rPr>
              <w:tab/>
            </w:r>
            <w:r w:rsidR="00B15CD3" w:rsidRPr="00D22D71">
              <w:rPr>
                <w:rFonts w:ascii="Times New Roman" w:hAnsi="Times New Roman" w:cs="Times New Roman"/>
                <w:noProof/>
                <w:webHidden/>
                <w:sz w:val="22"/>
              </w:rPr>
              <w:fldChar w:fldCharType="begin"/>
            </w:r>
            <w:r w:rsidR="00B15CD3" w:rsidRPr="00D22D71">
              <w:rPr>
                <w:rFonts w:ascii="Times New Roman" w:hAnsi="Times New Roman" w:cs="Times New Roman"/>
                <w:noProof/>
                <w:webHidden/>
                <w:sz w:val="22"/>
              </w:rPr>
              <w:instrText xml:space="preserve"> PAGEREF _Toc130830432 \h </w:instrText>
            </w:r>
            <w:r w:rsidR="00B15CD3" w:rsidRPr="00D22D71">
              <w:rPr>
                <w:rFonts w:ascii="Times New Roman" w:hAnsi="Times New Roman" w:cs="Times New Roman"/>
                <w:noProof/>
                <w:webHidden/>
                <w:sz w:val="22"/>
              </w:rPr>
            </w:r>
            <w:r w:rsidR="00B15CD3" w:rsidRPr="00D22D71">
              <w:rPr>
                <w:rFonts w:ascii="Times New Roman" w:hAnsi="Times New Roman" w:cs="Times New Roman"/>
                <w:noProof/>
                <w:webHidden/>
                <w:sz w:val="22"/>
              </w:rPr>
              <w:fldChar w:fldCharType="separate"/>
            </w:r>
            <w:r w:rsidR="00D55507">
              <w:rPr>
                <w:rFonts w:ascii="Times New Roman" w:hAnsi="Times New Roman" w:cs="Times New Roman"/>
                <w:noProof/>
                <w:webHidden/>
                <w:sz w:val="22"/>
              </w:rPr>
              <w:t>10</w:t>
            </w:r>
            <w:r w:rsidR="00B15CD3" w:rsidRPr="00D22D71">
              <w:rPr>
                <w:rFonts w:ascii="Times New Roman" w:hAnsi="Times New Roman" w:cs="Times New Roman"/>
                <w:noProof/>
                <w:webHidden/>
                <w:sz w:val="22"/>
              </w:rPr>
              <w:fldChar w:fldCharType="end"/>
            </w:r>
          </w:hyperlink>
        </w:p>
        <w:p w14:paraId="66ABBEA9" w14:textId="429F2F26" w:rsidR="00B15CD3" w:rsidRPr="00D22D71" w:rsidRDefault="00D02509" w:rsidP="00D22D71">
          <w:pPr>
            <w:pStyle w:val="TOC2"/>
            <w:tabs>
              <w:tab w:val="right" w:leader="dot" w:pos="8296"/>
            </w:tabs>
            <w:spacing w:line="400" w:lineRule="exact"/>
            <w:rPr>
              <w:rFonts w:ascii="Times New Roman" w:hAnsi="Times New Roman" w:cs="Times New Roman"/>
              <w:noProof/>
              <w:sz w:val="22"/>
            </w:rPr>
          </w:pPr>
          <w:hyperlink w:anchor="_Toc130830433" w:history="1">
            <w:r w:rsidR="00B15CD3" w:rsidRPr="00D22D71">
              <w:rPr>
                <w:rStyle w:val="af"/>
                <w:rFonts w:ascii="Times New Roman" w:hAnsi="Times New Roman" w:cs="Times New Roman"/>
                <w:noProof/>
                <w:sz w:val="22"/>
              </w:rPr>
              <w:t>5.2 Improve the structure of the board of directors and strengthen the functions of the board of directors</w:t>
            </w:r>
            <w:r w:rsidR="00B15CD3" w:rsidRPr="00D22D71">
              <w:rPr>
                <w:rFonts w:ascii="Times New Roman" w:hAnsi="Times New Roman" w:cs="Times New Roman"/>
                <w:noProof/>
                <w:webHidden/>
                <w:sz w:val="22"/>
              </w:rPr>
              <w:tab/>
            </w:r>
            <w:r w:rsidR="00B15CD3" w:rsidRPr="00D22D71">
              <w:rPr>
                <w:rFonts w:ascii="Times New Roman" w:hAnsi="Times New Roman" w:cs="Times New Roman"/>
                <w:noProof/>
                <w:webHidden/>
                <w:sz w:val="22"/>
              </w:rPr>
              <w:fldChar w:fldCharType="begin"/>
            </w:r>
            <w:r w:rsidR="00B15CD3" w:rsidRPr="00D22D71">
              <w:rPr>
                <w:rFonts w:ascii="Times New Roman" w:hAnsi="Times New Roman" w:cs="Times New Roman"/>
                <w:noProof/>
                <w:webHidden/>
                <w:sz w:val="22"/>
              </w:rPr>
              <w:instrText xml:space="preserve"> PAGEREF _Toc130830433 \h </w:instrText>
            </w:r>
            <w:r w:rsidR="00B15CD3" w:rsidRPr="00D22D71">
              <w:rPr>
                <w:rFonts w:ascii="Times New Roman" w:hAnsi="Times New Roman" w:cs="Times New Roman"/>
                <w:noProof/>
                <w:webHidden/>
                <w:sz w:val="22"/>
              </w:rPr>
            </w:r>
            <w:r w:rsidR="00B15CD3" w:rsidRPr="00D22D71">
              <w:rPr>
                <w:rFonts w:ascii="Times New Roman" w:hAnsi="Times New Roman" w:cs="Times New Roman"/>
                <w:noProof/>
                <w:webHidden/>
                <w:sz w:val="22"/>
              </w:rPr>
              <w:fldChar w:fldCharType="separate"/>
            </w:r>
            <w:r w:rsidR="00D55507">
              <w:rPr>
                <w:rFonts w:ascii="Times New Roman" w:hAnsi="Times New Roman" w:cs="Times New Roman"/>
                <w:noProof/>
                <w:webHidden/>
                <w:sz w:val="22"/>
              </w:rPr>
              <w:t>10</w:t>
            </w:r>
            <w:r w:rsidR="00B15CD3" w:rsidRPr="00D22D71">
              <w:rPr>
                <w:rFonts w:ascii="Times New Roman" w:hAnsi="Times New Roman" w:cs="Times New Roman"/>
                <w:noProof/>
                <w:webHidden/>
                <w:sz w:val="22"/>
              </w:rPr>
              <w:fldChar w:fldCharType="end"/>
            </w:r>
          </w:hyperlink>
        </w:p>
        <w:p w14:paraId="65BE413E" w14:textId="3B81C266" w:rsidR="00B15CD3" w:rsidRPr="00D22D71" w:rsidRDefault="00D02509" w:rsidP="00D22D71">
          <w:pPr>
            <w:pStyle w:val="TOC2"/>
            <w:tabs>
              <w:tab w:val="right" w:leader="dot" w:pos="8296"/>
            </w:tabs>
            <w:spacing w:line="400" w:lineRule="exact"/>
            <w:rPr>
              <w:rFonts w:ascii="Times New Roman" w:hAnsi="Times New Roman" w:cs="Times New Roman"/>
              <w:noProof/>
              <w:sz w:val="22"/>
            </w:rPr>
          </w:pPr>
          <w:hyperlink w:anchor="_Toc130830434" w:history="1">
            <w:r w:rsidR="00B15CD3" w:rsidRPr="00D22D71">
              <w:rPr>
                <w:rStyle w:val="af"/>
                <w:rFonts w:ascii="Times New Roman" w:hAnsi="Times New Roman" w:cs="Times New Roman"/>
                <w:noProof/>
                <w:sz w:val="22"/>
              </w:rPr>
              <w:t>5.3 Improve the operation mechanism of the board of supervisors and raise the governance level of the board of supervisors</w:t>
            </w:r>
            <w:r w:rsidR="00B15CD3" w:rsidRPr="00D22D71">
              <w:rPr>
                <w:rFonts w:ascii="Times New Roman" w:hAnsi="Times New Roman" w:cs="Times New Roman"/>
                <w:noProof/>
                <w:webHidden/>
                <w:sz w:val="22"/>
              </w:rPr>
              <w:tab/>
            </w:r>
            <w:r w:rsidR="00B15CD3" w:rsidRPr="00D22D71">
              <w:rPr>
                <w:rFonts w:ascii="Times New Roman" w:hAnsi="Times New Roman" w:cs="Times New Roman"/>
                <w:noProof/>
                <w:webHidden/>
                <w:sz w:val="22"/>
              </w:rPr>
              <w:fldChar w:fldCharType="begin"/>
            </w:r>
            <w:r w:rsidR="00B15CD3" w:rsidRPr="00D22D71">
              <w:rPr>
                <w:rFonts w:ascii="Times New Roman" w:hAnsi="Times New Roman" w:cs="Times New Roman"/>
                <w:noProof/>
                <w:webHidden/>
                <w:sz w:val="22"/>
              </w:rPr>
              <w:instrText xml:space="preserve"> PAGEREF _Toc130830434 \h </w:instrText>
            </w:r>
            <w:r w:rsidR="00B15CD3" w:rsidRPr="00D22D71">
              <w:rPr>
                <w:rFonts w:ascii="Times New Roman" w:hAnsi="Times New Roman" w:cs="Times New Roman"/>
                <w:noProof/>
                <w:webHidden/>
                <w:sz w:val="22"/>
              </w:rPr>
            </w:r>
            <w:r w:rsidR="00B15CD3" w:rsidRPr="00D22D71">
              <w:rPr>
                <w:rFonts w:ascii="Times New Roman" w:hAnsi="Times New Roman" w:cs="Times New Roman"/>
                <w:noProof/>
                <w:webHidden/>
                <w:sz w:val="22"/>
              </w:rPr>
              <w:fldChar w:fldCharType="separate"/>
            </w:r>
            <w:r w:rsidR="00D55507">
              <w:rPr>
                <w:rFonts w:ascii="Times New Roman" w:hAnsi="Times New Roman" w:cs="Times New Roman"/>
                <w:noProof/>
                <w:webHidden/>
                <w:sz w:val="22"/>
              </w:rPr>
              <w:t>11</w:t>
            </w:r>
            <w:r w:rsidR="00B15CD3" w:rsidRPr="00D22D71">
              <w:rPr>
                <w:rFonts w:ascii="Times New Roman" w:hAnsi="Times New Roman" w:cs="Times New Roman"/>
                <w:noProof/>
                <w:webHidden/>
                <w:sz w:val="22"/>
              </w:rPr>
              <w:fldChar w:fldCharType="end"/>
            </w:r>
          </w:hyperlink>
        </w:p>
        <w:p w14:paraId="4ED9DE49" w14:textId="365AC0FB" w:rsidR="00B15CD3" w:rsidRPr="00D22D71" w:rsidRDefault="00D02509" w:rsidP="00D22D71">
          <w:pPr>
            <w:pStyle w:val="TOC2"/>
            <w:tabs>
              <w:tab w:val="right" w:leader="dot" w:pos="8296"/>
            </w:tabs>
            <w:spacing w:line="400" w:lineRule="exact"/>
            <w:rPr>
              <w:rFonts w:ascii="Times New Roman" w:hAnsi="Times New Roman" w:cs="Times New Roman"/>
              <w:noProof/>
              <w:sz w:val="22"/>
            </w:rPr>
          </w:pPr>
          <w:hyperlink w:anchor="_Toc130830435" w:history="1">
            <w:r w:rsidR="00B15CD3" w:rsidRPr="00D22D71">
              <w:rPr>
                <w:rStyle w:val="af"/>
                <w:rFonts w:ascii="Times New Roman" w:hAnsi="Times New Roman" w:cs="Times New Roman"/>
                <w:noProof/>
                <w:sz w:val="22"/>
              </w:rPr>
              <w:t>5.4 Promote the further construction of professional committees and fully realize the functions of professional committees</w:t>
            </w:r>
            <w:r w:rsidR="00B15CD3" w:rsidRPr="00D22D71">
              <w:rPr>
                <w:rFonts w:ascii="Times New Roman" w:hAnsi="Times New Roman" w:cs="Times New Roman"/>
                <w:noProof/>
                <w:webHidden/>
                <w:sz w:val="22"/>
              </w:rPr>
              <w:tab/>
            </w:r>
            <w:r w:rsidR="00B15CD3" w:rsidRPr="00D22D71">
              <w:rPr>
                <w:rFonts w:ascii="Times New Roman" w:hAnsi="Times New Roman" w:cs="Times New Roman"/>
                <w:noProof/>
                <w:webHidden/>
                <w:sz w:val="22"/>
              </w:rPr>
              <w:fldChar w:fldCharType="begin"/>
            </w:r>
            <w:r w:rsidR="00B15CD3" w:rsidRPr="00D22D71">
              <w:rPr>
                <w:rFonts w:ascii="Times New Roman" w:hAnsi="Times New Roman" w:cs="Times New Roman"/>
                <w:noProof/>
                <w:webHidden/>
                <w:sz w:val="22"/>
              </w:rPr>
              <w:instrText xml:space="preserve"> PAGEREF _Toc130830435 \h </w:instrText>
            </w:r>
            <w:r w:rsidR="00B15CD3" w:rsidRPr="00D22D71">
              <w:rPr>
                <w:rFonts w:ascii="Times New Roman" w:hAnsi="Times New Roman" w:cs="Times New Roman"/>
                <w:noProof/>
                <w:webHidden/>
                <w:sz w:val="22"/>
              </w:rPr>
            </w:r>
            <w:r w:rsidR="00B15CD3" w:rsidRPr="00D22D71">
              <w:rPr>
                <w:rFonts w:ascii="Times New Roman" w:hAnsi="Times New Roman" w:cs="Times New Roman"/>
                <w:noProof/>
                <w:webHidden/>
                <w:sz w:val="22"/>
              </w:rPr>
              <w:fldChar w:fldCharType="separate"/>
            </w:r>
            <w:r w:rsidR="00D55507">
              <w:rPr>
                <w:rFonts w:ascii="Times New Roman" w:hAnsi="Times New Roman" w:cs="Times New Roman"/>
                <w:noProof/>
                <w:webHidden/>
                <w:sz w:val="22"/>
              </w:rPr>
              <w:t>11</w:t>
            </w:r>
            <w:r w:rsidR="00B15CD3" w:rsidRPr="00D22D71">
              <w:rPr>
                <w:rFonts w:ascii="Times New Roman" w:hAnsi="Times New Roman" w:cs="Times New Roman"/>
                <w:noProof/>
                <w:webHidden/>
                <w:sz w:val="22"/>
              </w:rPr>
              <w:fldChar w:fldCharType="end"/>
            </w:r>
          </w:hyperlink>
        </w:p>
        <w:p w14:paraId="17316C8A" w14:textId="4EF11188" w:rsidR="00B15CD3" w:rsidRPr="00D22D71" w:rsidRDefault="00D02509" w:rsidP="00D22D71">
          <w:pPr>
            <w:pStyle w:val="TOC1"/>
            <w:spacing w:line="400" w:lineRule="exact"/>
            <w:rPr>
              <w:rFonts w:asciiTheme="minorHAnsi" w:hAnsiTheme="minorHAnsi" w:cstheme="minorBidi"/>
              <w:sz w:val="22"/>
            </w:rPr>
          </w:pPr>
          <w:hyperlink w:anchor="_Toc130830436" w:history="1">
            <w:r w:rsidR="00B15CD3" w:rsidRPr="00D22D71">
              <w:rPr>
                <w:rStyle w:val="af"/>
                <w:sz w:val="22"/>
              </w:rPr>
              <w:t>References</w:t>
            </w:r>
            <w:r w:rsidR="00B15CD3" w:rsidRPr="00D22D71">
              <w:rPr>
                <w:webHidden/>
                <w:sz w:val="22"/>
              </w:rPr>
              <w:tab/>
            </w:r>
            <w:r w:rsidR="00B15CD3" w:rsidRPr="00D22D71">
              <w:rPr>
                <w:webHidden/>
                <w:sz w:val="22"/>
              </w:rPr>
              <w:fldChar w:fldCharType="begin"/>
            </w:r>
            <w:r w:rsidR="00B15CD3" w:rsidRPr="00D22D71">
              <w:rPr>
                <w:webHidden/>
                <w:sz w:val="22"/>
              </w:rPr>
              <w:instrText xml:space="preserve"> PAGEREF _Toc130830436 \h </w:instrText>
            </w:r>
            <w:r w:rsidR="00B15CD3" w:rsidRPr="00D22D71">
              <w:rPr>
                <w:webHidden/>
                <w:sz w:val="22"/>
              </w:rPr>
            </w:r>
            <w:r w:rsidR="00B15CD3" w:rsidRPr="00D22D71">
              <w:rPr>
                <w:webHidden/>
                <w:sz w:val="22"/>
              </w:rPr>
              <w:fldChar w:fldCharType="separate"/>
            </w:r>
            <w:r w:rsidR="00D55507">
              <w:rPr>
                <w:webHidden/>
                <w:sz w:val="22"/>
              </w:rPr>
              <w:t>11</w:t>
            </w:r>
            <w:r w:rsidR="00B15CD3" w:rsidRPr="00D22D71">
              <w:rPr>
                <w:webHidden/>
                <w:sz w:val="22"/>
              </w:rPr>
              <w:fldChar w:fldCharType="end"/>
            </w:r>
          </w:hyperlink>
        </w:p>
        <w:p w14:paraId="201C0ABF" w14:textId="580E43F4" w:rsidR="007945B2" w:rsidRPr="00923347" w:rsidRDefault="00B15CD3" w:rsidP="00D22D71">
          <w:pPr>
            <w:pStyle w:val="TOC"/>
            <w:spacing w:line="400" w:lineRule="exact"/>
            <w:rPr>
              <w:rFonts w:asciiTheme="minorHAnsi" w:hAnsiTheme="minorHAnsi" w:cstheme="minorBidi"/>
              <w:sz w:val="21"/>
              <w:szCs w:val="22"/>
            </w:rPr>
          </w:pPr>
          <w:r w:rsidRPr="00D22D71">
            <w:rPr>
              <w:bCs/>
              <w:noProof/>
              <w:sz w:val="22"/>
              <w:szCs w:val="22"/>
              <w:lang w:val="zh-CN"/>
            </w:rPr>
            <w:fldChar w:fldCharType="end"/>
          </w:r>
        </w:p>
      </w:sdtContent>
    </w:sdt>
    <w:p w14:paraId="7FAABB70" w14:textId="77777777" w:rsidR="007945B2" w:rsidRDefault="007945B2">
      <w:pPr>
        <w:widowControl/>
        <w:jc w:val="left"/>
        <w:rPr>
          <w:rFonts w:ascii="Times New Roman" w:hAnsi="Times New Roman" w:cs="Times New Roman"/>
          <w:b/>
          <w:bCs/>
          <w:kern w:val="44"/>
          <w:sz w:val="28"/>
          <w:szCs w:val="24"/>
        </w:rPr>
      </w:pPr>
      <w:r>
        <w:rPr>
          <w:rFonts w:ascii="Times New Roman" w:hAnsi="Times New Roman" w:cs="Times New Roman"/>
          <w:sz w:val="28"/>
          <w:szCs w:val="24"/>
        </w:rPr>
        <w:br w:type="page"/>
      </w:r>
    </w:p>
    <w:p w14:paraId="25D1B30A" w14:textId="77777777" w:rsidR="007945B2" w:rsidRDefault="007945B2" w:rsidP="00764679">
      <w:pPr>
        <w:pStyle w:val="1"/>
        <w:spacing w:before="0" w:after="0" w:line="240" w:lineRule="auto"/>
        <w:rPr>
          <w:rFonts w:ascii="Times New Roman" w:hAnsi="Times New Roman" w:cs="Times New Roman"/>
          <w:sz w:val="28"/>
          <w:szCs w:val="24"/>
        </w:rPr>
        <w:sectPr w:rsidR="007945B2">
          <w:footerReference w:type="default" r:id="rId8"/>
          <w:pgSz w:w="11906" w:h="16838"/>
          <w:pgMar w:top="1440" w:right="1800" w:bottom="1440" w:left="1800" w:header="851" w:footer="992" w:gutter="0"/>
          <w:cols w:space="425"/>
          <w:docGrid w:type="lines" w:linePitch="312"/>
        </w:sectPr>
      </w:pPr>
    </w:p>
    <w:p w14:paraId="122E71CC" w14:textId="0F01D77A" w:rsidR="00764679" w:rsidRPr="00D22D71" w:rsidRDefault="00764679" w:rsidP="00764679">
      <w:pPr>
        <w:pStyle w:val="1"/>
        <w:spacing w:before="0" w:after="0" w:line="240" w:lineRule="auto"/>
        <w:rPr>
          <w:rFonts w:ascii="Times New Roman" w:hAnsi="Times New Roman" w:cs="Times New Roman"/>
          <w:sz w:val="28"/>
          <w:szCs w:val="24"/>
        </w:rPr>
      </w:pPr>
      <w:bookmarkStart w:id="4" w:name="_Toc130830419"/>
      <w:r w:rsidRPr="00D22D71">
        <w:rPr>
          <w:rFonts w:ascii="Times New Roman" w:hAnsi="Times New Roman" w:cs="Times New Roman"/>
          <w:sz w:val="28"/>
          <w:szCs w:val="24"/>
        </w:rPr>
        <w:lastRenderedPageBreak/>
        <w:t>1. Executive summary</w:t>
      </w:r>
      <w:bookmarkEnd w:id="4"/>
    </w:p>
    <w:p w14:paraId="583C18AB" w14:textId="77777777" w:rsidR="002378AF" w:rsidRPr="00D55507" w:rsidRDefault="002378AF" w:rsidP="00D55507">
      <w:pPr>
        <w:widowControl/>
        <w:spacing w:afterLines="50" w:after="156" w:line="259" w:lineRule="auto"/>
        <w:rPr>
          <w:rFonts w:ascii="Times New Roman" w:hAnsi="Times New Roman" w:cs="Times New Roman"/>
          <w:kern w:val="0"/>
          <w:sz w:val="24"/>
          <w:szCs w:val="24"/>
          <w:lang w:val="en-GB" w:eastAsia="en-US"/>
        </w:rPr>
      </w:pPr>
      <w:r w:rsidRPr="00D55507">
        <w:rPr>
          <w:rFonts w:ascii="Times New Roman" w:hAnsi="Times New Roman" w:cs="Times New Roman"/>
          <w:kern w:val="0"/>
          <w:sz w:val="24"/>
          <w:szCs w:val="24"/>
          <w:lang w:val="en-GB" w:eastAsia="en-US"/>
        </w:rPr>
        <w:t xml:space="preserve">This </w:t>
      </w:r>
      <w:r w:rsidRPr="00D55507">
        <w:rPr>
          <w:rFonts w:ascii="Times New Roman" w:hAnsi="Times New Roman" w:cs="Times New Roman" w:hint="eastAsia"/>
          <w:kern w:val="0"/>
          <w:sz w:val="24"/>
          <w:szCs w:val="24"/>
          <w:lang w:val="en-GB" w:eastAsia="en-US"/>
        </w:rPr>
        <w:t>research</w:t>
      </w:r>
      <w:r w:rsidRPr="00D55507">
        <w:rPr>
          <w:rFonts w:ascii="Times New Roman" w:hAnsi="Times New Roman" w:cs="Times New Roman"/>
          <w:kern w:val="0"/>
          <w:sz w:val="24"/>
          <w:szCs w:val="24"/>
          <w:lang w:val="en-GB" w:eastAsia="en-US"/>
        </w:rPr>
        <w:t xml:space="preserve"> first discusses the motivation of earnings management and the concept of earnings management of listed companies, and secondly, evaluates the earnings management of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 a listed company in China, through a case evaluation. Although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 has successfully turned losses into profits through various ways of earnings management, its operating capacity and solvency have not been greatly improved, and even lost investors' confidence in the company's investment. Overall, the impact of implementing earnings management does more harm than good. The main reasons are that there are major deficiencies in the company's internal governance, as well as imperfect laws and regulations, and the lack of external supervision are also important factors for the company to dare to carry out earnings management. Finally, by analyzing the role of UK corporate governance institutions in restraining earnings management, relevant suggestions for improving the corporate governance structure are put forward to help avoid the occurrence of related accounting scandals.</w:t>
      </w:r>
    </w:p>
    <w:p w14:paraId="44987AB1" w14:textId="065A7B62" w:rsidR="00764679" w:rsidRPr="004278F0" w:rsidRDefault="00764679" w:rsidP="00764679">
      <w:pPr>
        <w:pStyle w:val="1"/>
        <w:spacing w:before="0" w:after="0" w:line="240" w:lineRule="auto"/>
        <w:rPr>
          <w:rFonts w:ascii="Times New Roman" w:hAnsi="Times New Roman" w:cs="Times New Roman"/>
          <w:sz w:val="28"/>
          <w:szCs w:val="24"/>
        </w:rPr>
      </w:pPr>
      <w:bookmarkStart w:id="5" w:name="_Toc130830420"/>
      <w:r w:rsidRPr="004278F0">
        <w:rPr>
          <w:rFonts w:ascii="Times New Roman" w:hAnsi="Times New Roman" w:cs="Times New Roman"/>
          <w:sz w:val="28"/>
          <w:szCs w:val="24"/>
        </w:rPr>
        <w:t>2. Introduction</w:t>
      </w:r>
      <w:bookmarkEnd w:id="5"/>
    </w:p>
    <w:p w14:paraId="52B53F00" w14:textId="1EF072B4" w:rsidR="00764679" w:rsidRDefault="00764679" w:rsidP="00764679">
      <w:pPr>
        <w:pStyle w:val="2"/>
        <w:spacing w:before="0" w:after="0" w:line="240" w:lineRule="auto"/>
        <w:rPr>
          <w:rFonts w:ascii="Times New Roman" w:hAnsi="Times New Roman" w:cs="Times New Roman"/>
          <w:sz w:val="28"/>
          <w:szCs w:val="24"/>
          <w:lang w:eastAsia="zh-CN"/>
        </w:rPr>
      </w:pPr>
      <w:bookmarkStart w:id="6" w:name="_Toc130830421"/>
      <w:r w:rsidRPr="004278F0">
        <w:rPr>
          <w:rFonts w:ascii="Times New Roman" w:hAnsi="Times New Roman" w:cs="Times New Roman"/>
          <w:sz w:val="28"/>
          <w:szCs w:val="24"/>
          <w:lang w:eastAsia="zh-CN"/>
        </w:rPr>
        <w:t xml:space="preserve">2.1 </w:t>
      </w:r>
      <w:r w:rsidR="002378AF" w:rsidRPr="002378AF">
        <w:rPr>
          <w:rFonts w:ascii="Times New Roman" w:hAnsi="Times New Roman" w:cs="Times New Roman"/>
          <w:sz w:val="28"/>
          <w:szCs w:val="24"/>
          <w:lang w:eastAsia="zh-CN"/>
        </w:rPr>
        <w:t>Motivation for earnings management</w:t>
      </w:r>
      <w:bookmarkEnd w:id="6"/>
    </w:p>
    <w:p w14:paraId="096D1EAA" w14:textId="0B95A39E" w:rsidR="00923347" w:rsidRPr="00D55507" w:rsidRDefault="00923347" w:rsidP="00D55507">
      <w:pPr>
        <w:widowControl/>
        <w:spacing w:afterLines="50" w:after="156" w:line="259" w:lineRule="auto"/>
        <w:rPr>
          <w:rFonts w:ascii="Times New Roman" w:hAnsi="Times New Roman" w:cs="Times New Roman"/>
          <w:kern w:val="0"/>
          <w:sz w:val="24"/>
          <w:szCs w:val="24"/>
          <w:lang w:val="en-GB" w:eastAsia="en-US"/>
        </w:rPr>
      </w:pPr>
      <w:r w:rsidRPr="00D55507">
        <w:rPr>
          <w:rFonts w:ascii="Times New Roman" w:hAnsi="Times New Roman" w:cs="Times New Roman"/>
          <w:kern w:val="0"/>
          <w:sz w:val="24"/>
          <w:szCs w:val="24"/>
          <w:lang w:val="en-GB" w:eastAsia="en-US"/>
        </w:rPr>
        <w:t>From the collation and analysis of current research on earnings management by domestic and foreign scholars, it can be found that most of the research is discussing the motivation and influencing factors of earnings management. In terms of the motivation of earnings management, it can be mainly divided into capital market motivation, contract motivation and regulatory motivation, which is also the classification method that has been adopted by mainstream academic research until now (Healy et al, 1999, p. 377).</w:t>
      </w:r>
    </w:p>
    <w:p w14:paraId="42F7116F" w14:textId="7FDEBC73" w:rsidR="00764679" w:rsidRPr="00C20223" w:rsidRDefault="00764679" w:rsidP="00C20223">
      <w:pPr>
        <w:rPr>
          <w:rFonts w:ascii="Times New Roman" w:hAnsi="Times New Roman" w:cs="Times New Roman"/>
          <w:b/>
          <w:sz w:val="28"/>
        </w:rPr>
      </w:pPr>
      <w:r w:rsidRPr="00C20223">
        <w:rPr>
          <w:rFonts w:ascii="Times New Roman" w:hAnsi="Times New Roman" w:cs="Times New Roman"/>
          <w:b/>
          <w:sz w:val="28"/>
        </w:rPr>
        <w:t xml:space="preserve">2.1.1 </w:t>
      </w:r>
      <w:r w:rsidR="00923347" w:rsidRPr="00923347">
        <w:rPr>
          <w:rFonts w:ascii="Times New Roman" w:hAnsi="Times New Roman" w:cs="Times New Roman"/>
          <w:b/>
          <w:sz w:val="28"/>
        </w:rPr>
        <w:t>Capital market motivation</w:t>
      </w:r>
    </w:p>
    <w:p w14:paraId="7B335BF0" w14:textId="2745595A" w:rsidR="00BE1736" w:rsidRPr="00D55507" w:rsidRDefault="00F50545" w:rsidP="00D55507">
      <w:pPr>
        <w:widowControl/>
        <w:spacing w:afterLines="50" w:after="156" w:line="259" w:lineRule="auto"/>
        <w:rPr>
          <w:rFonts w:ascii="Times New Roman" w:hAnsi="Times New Roman" w:cs="Times New Roman"/>
          <w:kern w:val="0"/>
          <w:sz w:val="24"/>
          <w:szCs w:val="24"/>
          <w:lang w:val="en-GB" w:eastAsia="en-US"/>
        </w:rPr>
      </w:pPr>
      <w:proofErr w:type="spellStart"/>
      <w:r w:rsidRPr="00D55507">
        <w:rPr>
          <w:rFonts w:ascii="Times New Roman" w:hAnsi="Times New Roman" w:cs="Times New Roman"/>
          <w:kern w:val="0"/>
          <w:sz w:val="24"/>
          <w:szCs w:val="24"/>
          <w:lang w:val="en-GB" w:eastAsia="en-US"/>
        </w:rPr>
        <w:t>Aharnoy</w:t>
      </w:r>
      <w:proofErr w:type="spellEnd"/>
      <w:r w:rsidRPr="00D55507">
        <w:rPr>
          <w:rFonts w:ascii="Times New Roman" w:hAnsi="Times New Roman" w:cs="Times New Roman"/>
          <w:kern w:val="0"/>
          <w:sz w:val="24"/>
          <w:szCs w:val="24"/>
          <w:lang w:val="en-GB" w:eastAsia="en-US"/>
        </w:rPr>
        <w:t xml:space="preserve"> compared and analyzed the earnings behavior of companies before and after the issuance of shares, and found that companies engaged in more earnings manipulation before the IPO, and this manipulation gradually decreased over a longer period of time after the public offering (</w:t>
      </w:r>
      <w:proofErr w:type="spellStart"/>
      <w:r w:rsidRPr="00D55507">
        <w:rPr>
          <w:rFonts w:ascii="Times New Roman" w:hAnsi="Times New Roman" w:cs="Times New Roman"/>
          <w:kern w:val="0"/>
          <w:sz w:val="24"/>
          <w:szCs w:val="24"/>
          <w:lang w:val="en-GB" w:eastAsia="en-US"/>
        </w:rPr>
        <w:t>Aharony</w:t>
      </w:r>
      <w:proofErr w:type="spellEnd"/>
      <w:r w:rsidRPr="00D55507">
        <w:rPr>
          <w:rFonts w:ascii="Times New Roman" w:hAnsi="Times New Roman" w:cs="Times New Roman"/>
          <w:kern w:val="0"/>
          <w:sz w:val="24"/>
          <w:szCs w:val="24"/>
          <w:lang w:val="en-GB" w:eastAsia="en-US"/>
        </w:rPr>
        <w:t xml:space="preserve"> et al, 2000, p. 107). Badertscher argues that companies often use more concealed real earnings management to increase reported profits in order to avoid delisting (Badertscher, 2011, p. 166). Eli pointed out that in order to increase stock prices, corporate management uses earnings management to make the company's earnings meet analysts' expectations (Eli et al, 2002, p. 177). Jeffery et al. also demonstrated that corporate management adjusts profits to meet analyst forecasts (Jeffery et al, 2003, p. 126).</w:t>
      </w:r>
    </w:p>
    <w:p w14:paraId="28602F43" w14:textId="2D06BB45" w:rsidR="00923347" w:rsidRPr="00C20223" w:rsidRDefault="00923347" w:rsidP="00923347">
      <w:pPr>
        <w:rPr>
          <w:rFonts w:ascii="Times New Roman" w:hAnsi="Times New Roman" w:cs="Times New Roman"/>
          <w:b/>
          <w:sz w:val="28"/>
        </w:rPr>
      </w:pPr>
      <w:r w:rsidRPr="00C20223">
        <w:rPr>
          <w:rFonts w:ascii="Times New Roman" w:hAnsi="Times New Roman" w:cs="Times New Roman"/>
          <w:b/>
          <w:sz w:val="28"/>
        </w:rPr>
        <w:t>2.1.</w:t>
      </w:r>
      <w:r>
        <w:rPr>
          <w:rFonts w:ascii="Times New Roman" w:hAnsi="Times New Roman" w:cs="Times New Roman"/>
          <w:b/>
          <w:sz w:val="28"/>
        </w:rPr>
        <w:t>2</w:t>
      </w:r>
      <w:r w:rsidRPr="00C20223">
        <w:rPr>
          <w:rFonts w:ascii="Times New Roman" w:hAnsi="Times New Roman" w:cs="Times New Roman"/>
          <w:b/>
          <w:sz w:val="28"/>
        </w:rPr>
        <w:t xml:space="preserve"> </w:t>
      </w:r>
      <w:r w:rsidRPr="00923347">
        <w:rPr>
          <w:rFonts w:ascii="Times New Roman" w:hAnsi="Times New Roman" w:cs="Times New Roman"/>
          <w:b/>
          <w:sz w:val="28"/>
        </w:rPr>
        <w:t>Contractual motivation</w:t>
      </w:r>
    </w:p>
    <w:p w14:paraId="62004B83" w14:textId="2A81A47E" w:rsidR="00B37F1F" w:rsidRPr="00D55507" w:rsidRDefault="00B37F1F" w:rsidP="00D55507">
      <w:pPr>
        <w:widowControl/>
        <w:spacing w:beforeLines="50" w:before="156" w:afterLines="50" w:after="156" w:line="259" w:lineRule="auto"/>
        <w:rPr>
          <w:rFonts w:ascii="Times New Roman" w:hAnsi="Times New Roman" w:cs="Times New Roman"/>
          <w:kern w:val="0"/>
          <w:sz w:val="24"/>
          <w:szCs w:val="24"/>
          <w:lang w:val="en-GB" w:eastAsia="en-US"/>
        </w:rPr>
      </w:pPr>
      <w:r w:rsidRPr="00D55507">
        <w:rPr>
          <w:rFonts w:ascii="Times New Roman" w:hAnsi="Times New Roman" w:cs="Times New Roman"/>
          <w:kern w:val="0"/>
          <w:sz w:val="24"/>
          <w:szCs w:val="24"/>
          <w:lang w:val="en-GB" w:eastAsia="en-US"/>
        </w:rPr>
        <w:lastRenderedPageBreak/>
        <w:t>Amy based on their research and analysis of the motivation of debt contracts, found that debtors often sign debt contract contracts with the other party when raising funds from creditors to protect the interests of creditors and debtors from being infringed by either party. When the business of a company is in trouble, the funds lent by creditors to the debtor may not be guaranteed. Therefore, when creditors lend funds to the debtor, they usually have certain requirements for their business performance and profitability in the debt contract. Therefore, when the debtor's profitability deteriorates and it is difficult to timely and fully pay the creditor's funds, the debtor's management will have a strong incentive to use earnings management to avoid the cost of arrears (Amy et al, 1994, p. 298). Angelo believe that when a company faces or is about to incur debt defaults, the company's management will take some positive earnings management measures to avoid possible losses caused by debt defaults (Angelo et al., 1994, p. 127). Cormier found that firms cater to the interests of all parties by increasing earnings manipulation to meet external expectations (Cormier et al, 2006, p. 302)</w:t>
      </w:r>
    </w:p>
    <w:p w14:paraId="51A77F89" w14:textId="78845E22" w:rsidR="00B37F1F" w:rsidRPr="00923347" w:rsidRDefault="00923347" w:rsidP="00B37F1F">
      <w:pPr>
        <w:rPr>
          <w:rFonts w:ascii="Times New Roman" w:hAnsi="Times New Roman" w:cs="Times New Roman"/>
          <w:b/>
          <w:sz w:val="28"/>
        </w:rPr>
      </w:pPr>
      <w:r w:rsidRPr="00C20223">
        <w:rPr>
          <w:rFonts w:ascii="Times New Roman" w:hAnsi="Times New Roman" w:cs="Times New Roman"/>
          <w:b/>
          <w:sz w:val="28"/>
        </w:rPr>
        <w:t>2.1.</w:t>
      </w:r>
      <w:r>
        <w:rPr>
          <w:rFonts w:ascii="Times New Roman" w:hAnsi="Times New Roman" w:cs="Times New Roman"/>
          <w:b/>
          <w:sz w:val="28"/>
        </w:rPr>
        <w:t>3</w:t>
      </w:r>
      <w:r w:rsidRPr="00C20223">
        <w:rPr>
          <w:rFonts w:ascii="Times New Roman" w:hAnsi="Times New Roman" w:cs="Times New Roman"/>
          <w:b/>
          <w:sz w:val="28"/>
        </w:rPr>
        <w:t xml:space="preserve"> </w:t>
      </w:r>
      <w:r w:rsidRPr="00923347">
        <w:rPr>
          <w:rFonts w:ascii="Times New Roman" w:hAnsi="Times New Roman" w:cs="Times New Roman"/>
          <w:b/>
          <w:sz w:val="28"/>
        </w:rPr>
        <w:t>Political motivation</w:t>
      </w:r>
    </w:p>
    <w:p w14:paraId="13CCCAF0" w14:textId="5ECB8A7C" w:rsidR="00B37F1F" w:rsidRPr="00D55507" w:rsidRDefault="00B37F1F" w:rsidP="00D55507">
      <w:pPr>
        <w:widowControl/>
        <w:spacing w:afterLines="50" w:after="156" w:line="259" w:lineRule="auto"/>
        <w:rPr>
          <w:rFonts w:ascii="Times New Roman" w:hAnsi="Times New Roman" w:cs="Times New Roman"/>
          <w:kern w:val="0"/>
          <w:sz w:val="24"/>
          <w:szCs w:val="24"/>
          <w:lang w:val="en-GB" w:eastAsia="en-US"/>
        </w:rPr>
      </w:pPr>
      <w:r w:rsidRPr="00D55507">
        <w:rPr>
          <w:rFonts w:ascii="Times New Roman" w:hAnsi="Times New Roman" w:cs="Times New Roman"/>
          <w:kern w:val="0"/>
          <w:sz w:val="24"/>
          <w:szCs w:val="24"/>
          <w:lang w:val="en-GB" w:eastAsia="en-US"/>
        </w:rPr>
        <w:t>Government departments usually set some terms for tax refunds, and Jones found through research on the tax situation of enterprises that enterprises will use surplus management to reduce their income level in the current year in order to meet the tax refund conditions stipulated by the government (Jones, 1991, p. 199). Grace studied companies with large changes in performance and found that when the company's business improved significantly in a fiscal year, management deliberately hid part of the profit to smoothly manage the surplus and maintain the soundness of the financial statements (Grace et al, 2010, p.33). Michal believes that in order to cope with tax department inspections and avoid tax risks, enterprises will consciously reduce their earnings management activities and reduce their earnings management level (Michal et al, 2020, p. 77).</w:t>
      </w:r>
    </w:p>
    <w:p w14:paraId="56C8C4CC" w14:textId="03D51391" w:rsidR="00923347" w:rsidRDefault="00923347" w:rsidP="00923347">
      <w:pPr>
        <w:pStyle w:val="2"/>
        <w:spacing w:before="0" w:after="0" w:line="240" w:lineRule="auto"/>
        <w:rPr>
          <w:rFonts w:ascii="Times New Roman" w:hAnsi="Times New Roman" w:cs="Times New Roman"/>
          <w:sz w:val="28"/>
          <w:szCs w:val="24"/>
          <w:lang w:eastAsia="zh-CN"/>
        </w:rPr>
      </w:pPr>
      <w:bookmarkStart w:id="7" w:name="_Toc130830422"/>
      <w:r w:rsidRPr="004278F0">
        <w:rPr>
          <w:rFonts w:ascii="Times New Roman" w:hAnsi="Times New Roman" w:cs="Times New Roman"/>
          <w:sz w:val="28"/>
          <w:szCs w:val="24"/>
          <w:lang w:eastAsia="zh-CN"/>
        </w:rPr>
        <w:t>2.</w:t>
      </w:r>
      <w:r>
        <w:rPr>
          <w:rFonts w:ascii="Times New Roman" w:hAnsi="Times New Roman" w:cs="Times New Roman"/>
          <w:sz w:val="28"/>
          <w:szCs w:val="24"/>
          <w:lang w:eastAsia="zh-CN"/>
        </w:rPr>
        <w:t>2</w:t>
      </w:r>
      <w:r w:rsidRPr="004278F0">
        <w:rPr>
          <w:rFonts w:ascii="Times New Roman" w:hAnsi="Times New Roman" w:cs="Times New Roman"/>
          <w:sz w:val="28"/>
          <w:szCs w:val="24"/>
          <w:lang w:eastAsia="zh-CN"/>
        </w:rPr>
        <w:t xml:space="preserve"> </w:t>
      </w:r>
      <w:r w:rsidRPr="00923347">
        <w:rPr>
          <w:rFonts w:ascii="Times New Roman" w:hAnsi="Times New Roman" w:cs="Times New Roman"/>
          <w:sz w:val="28"/>
          <w:szCs w:val="24"/>
          <w:lang w:eastAsia="zh-CN"/>
        </w:rPr>
        <w:t>Factors influencing earnings management</w:t>
      </w:r>
      <w:bookmarkEnd w:id="7"/>
    </w:p>
    <w:p w14:paraId="39C60A9E" w14:textId="2D05DAF7" w:rsidR="00B37F1F" w:rsidRPr="00D55507" w:rsidRDefault="00B37F1F" w:rsidP="00D55507">
      <w:pPr>
        <w:widowControl/>
        <w:spacing w:afterLines="50" w:after="156" w:line="259" w:lineRule="auto"/>
        <w:rPr>
          <w:rFonts w:ascii="Times New Roman" w:hAnsi="Times New Roman" w:cs="Times New Roman"/>
          <w:kern w:val="0"/>
          <w:sz w:val="24"/>
          <w:szCs w:val="24"/>
          <w:lang w:val="en-GB" w:eastAsia="en-US"/>
        </w:rPr>
      </w:pPr>
      <w:r w:rsidRPr="00D55507">
        <w:rPr>
          <w:rFonts w:ascii="Times New Roman" w:hAnsi="Times New Roman" w:cs="Times New Roman"/>
          <w:kern w:val="0"/>
          <w:sz w:val="24"/>
          <w:szCs w:val="24"/>
          <w:lang w:val="en-GB" w:eastAsia="en-US"/>
        </w:rPr>
        <w:t xml:space="preserve">In terms of the influencing factors of earnings management, philosophers have analyzed and discussed the internal and external factors of enterprises, and corporate governance, external supervision and cultural environment will all have an impact on earnings management. </w:t>
      </w:r>
      <w:proofErr w:type="spellStart"/>
      <w:r w:rsidRPr="00D55507">
        <w:rPr>
          <w:rFonts w:ascii="Times New Roman" w:hAnsi="Times New Roman" w:cs="Times New Roman"/>
          <w:kern w:val="0"/>
          <w:sz w:val="24"/>
          <w:szCs w:val="24"/>
          <w:lang w:val="en-GB" w:eastAsia="en-US"/>
        </w:rPr>
        <w:t>Dichev's</w:t>
      </w:r>
      <w:proofErr w:type="spellEnd"/>
      <w:r w:rsidRPr="00D55507">
        <w:rPr>
          <w:rFonts w:ascii="Times New Roman" w:hAnsi="Times New Roman" w:cs="Times New Roman"/>
          <w:kern w:val="0"/>
          <w:sz w:val="24"/>
          <w:szCs w:val="24"/>
          <w:lang w:val="en-GB" w:eastAsia="en-US"/>
        </w:rPr>
        <w:t xml:space="preserve"> research found that when a company's debt stress is greater, the company's earnings management motivation is stronger, and companies that have not defaulted on their debt have a stronger incentive to manage their earnings than companies that have defaulted (</w:t>
      </w:r>
      <w:proofErr w:type="spellStart"/>
      <w:r w:rsidRPr="00D55507">
        <w:rPr>
          <w:rFonts w:ascii="Times New Roman" w:hAnsi="Times New Roman" w:cs="Times New Roman"/>
          <w:kern w:val="0"/>
          <w:sz w:val="24"/>
          <w:szCs w:val="24"/>
          <w:lang w:val="en-GB" w:eastAsia="en-US"/>
        </w:rPr>
        <w:t>Dichev</w:t>
      </w:r>
      <w:proofErr w:type="spellEnd"/>
      <w:r w:rsidRPr="00D55507">
        <w:rPr>
          <w:rFonts w:ascii="Times New Roman" w:hAnsi="Times New Roman" w:cs="Times New Roman"/>
          <w:kern w:val="0"/>
          <w:sz w:val="24"/>
          <w:szCs w:val="24"/>
          <w:lang w:val="en-GB" w:eastAsia="en-US"/>
        </w:rPr>
        <w:t xml:space="preserve">, 2002, p. 1107). From the perspective of equity incentives, </w:t>
      </w:r>
      <w:proofErr w:type="spellStart"/>
      <w:r w:rsidRPr="00D55507">
        <w:rPr>
          <w:rFonts w:ascii="Times New Roman" w:hAnsi="Times New Roman" w:cs="Times New Roman"/>
          <w:kern w:val="0"/>
          <w:sz w:val="24"/>
          <w:szCs w:val="24"/>
          <w:lang w:val="en-GB" w:eastAsia="en-US"/>
        </w:rPr>
        <w:t>Bergstresser</w:t>
      </w:r>
      <w:proofErr w:type="spellEnd"/>
      <w:r w:rsidRPr="00D55507">
        <w:rPr>
          <w:rFonts w:ascii="Times New Roman" w:hAnsi="Times New Roman" w:cs="Times New Roman"/>
          <w:kern w:val="0"/>
          <w:sz w:val="24"/>
          <w:szCs w:val="24"/>
          <w:lang w:val="en-GB" w:eastAsia="en-US"/>
        </w:rPr>
        <w:t xml:space="preserve"> studied the earnings management behavior of management, and concluded that the higher the shareholding ratio of a company's management, the more managers will manage earnings in order to achieve equity returns (</w:t>
      </w:r>
      <w:proofErr w:type="spellStart"/>
      <w:r w:rsidRPr="00D55507">
        <w:rPr>
          <w:rFonts w:ascii="Times New Roman" w:hAnsi="Times New Roman" w:cs="Times New Roman"/>
          <w:kern w:val="0"/>
          <w:sz w:val="24"/>
          <w:szCs w:val="24"/>
          <w:lang w:val="en-GB" w:eastAsia="en-US"/>
        </w:rPr>
        <w:t>Bergstresser</w:t>
      </w:r>
      <w:proofErr w:type="spellEnd"/>
      <w:r w:rsidRPr="00D55507">
        <w:rPr>
          <w:rFonts w:ascii="Times New Roman" w:hAnsi="Times New Roman" w:cs="Times New Roman"/>
          <w:kern w:val="0"/>
          <w:sz w:val="24"/>
          <w:szCs w:val="24"/>
          <w:lang w:val="en-GB" w:eastAsia="en-US"/>
        </w:rPr>
        <w:t xml:space="preserve"> at </w:t>
      </w:r>
      <w:proofErr w:type="spellStart"/>
      <w:r w:rsidRPr="00D55507">
        <w:rPr>
          <w:rFonts w:ascii="Times New Roman" w:hAnsi="Times New Roman" w:cs="Times New Roman"/>
          <w:kern w:val="0"/>
          <w:sz w:val="24"/>
          <w:szCs w:val="24"/>
          <w:lang w:val="en-GB" w:eastAsia="en-US"/>
        </w:rPr>
        <w:t>al</w:t>
      </w:r>
      <w:proofErr w:type="spellEnd"/>
      <w:r w:rsidRPr="00D55507">
        <w:rPr>
          <w:rFonts w:ascii="Times New Roman" w:hAnsi="Times New Roman" w:cs="Times New Roman"/>
          <w:kern w:val="0"/>
          <w:sz w:val="24"/>
          <w:szCs w:val="24"/>
          <w:lang w:val="en-GB" w:eastAsia="en-US"/>
        </w:rPr>
        <w:t xml:space="preserve">, 2006, p. 521). </w:t>
      </w:r>
      <w:proofErr w:type="spellStart"/>
      <w:r w:rsidRPr="00D55507">
        <w:rPr>
          <w:rFonts w:ascii="Times New Roman" w:hAnsi="Times New Roman" w:cs="Times New Roman"/>
          <w:kern w:val="0"/>
          <w:sz w:val="24"/>
          <w:szCs w:val="24"/>
          <w:lang w:val="en-GB" w:eastAsia="en-US"/>
        </w:rPr>
        <w:t>Barua</w:t>
      </w:r>
      <w:proofErr w:type="spellEnd"/>
      <w:r w:rsidRPr="00D55507">
        <w:rPr>
          <w:rFonts w:ascii="Times New Roman" w:hAnsi="Times New Roman" w:cs="Times New Roman"/>
          <w:kern w:val="0"/>
          <w:sz w:val="24"/>
          <w:szCs w:val="24"/>
          <w:lang w:val="en-GB" w:eastAsia="en-US"/>
        </w:rPr>
        <w:t xml:space="preserve"> research has found that companies tend to engage in downward </w:t>
      </w:r>
      <w:r w:rsidRPr="00D55507">
        <w:rPr>
          <w:rFonts w:ascii="Times New Roman" w:hAnsi="Times New Roman" w:cs="Times New Roman"/>
          <w:kern w:val="0"/>
          <w:sz w:val="24"/>
          <w:szCs w:val="24"/>
          <w:lang w:val="en-GB" w:eastAsia="en-US"/>
        </w:rPr>
        <w:lastRenderedPageBreak/>
        <w:t>earnings management when their CFO is a woman (</w:t>
      </w:r>
      <w:proofErr w:type="spellStart"/>
      <w:r w:rsidRPr="00D55507">
        <w:rPr>
          <w:rFonts w:ascii="Times New Roman" w:hAnsi="Times New Roman" w:cs="Times New Roman"/>
          <w:kern w:val="0"/>
          <w:sz w:val="24"/>
          <w:szCs w:val="24"/>
          <w:lang w:val="en-GB" w:eastAsia="en-US"/>
        </w:rPr>
        <w:t>Barua</w:t>
      </w:r>
      <w:proofErr w:type="spellEnd"/>
      <w:r w:rsidRPr="00D55507">
        <w:rPr>
          <w:rFonts w:ascii="Times New Roman" w:hAnsi="Times New Roman" w:cs="Times New Roman"/>
          <w:kern w:val="0"/>
          <w:sz w:val="24"/>
          <w:szCs w:val="24"/>
          <w:lang w:val="en-GB" w:eastAsia="en-US"/>
        </w:rPr>
        <w:t xml:space="preserve"> at </w:t>
      </w:r>
      <w:proofErr w:type="spellStart"/>
      <w:r w:rsidRPr="00D55507">
        <w:rPr>
          <w:rFonts w:ascii="Times New Roman" w:hAnsi="Times New Roman" w:cs="Times New Roman"/>
          <w:kern w:val="0"/>
          <w:sz w:val="24"/>
          <w:szCs w:val="24"/>
          <w:lang w:val="en-GB" w:eastAsia="en-US"/>
        </w:rPr>
        <w:t>al</w:t>
      </w:r>
      <w:proofErr w:type="spellEnd"/>
      <w:r w:rsidRPr="00D55507">
        <w:rPr>
          <w:rFonts w:ascii="Times New Roman" w:hAnsi="Times New Roman" w:cs="Times New Roman"/>
          <w:kern w:val="0"/>
          <w:sz w:val="24"/>
          <w:szCs w:val="24"/>
          <w:lang w:val="en-GB" w:eastAsia="en-US"/>
        </w:rPr>
        <w:t>, 2010, 33). Samuel's study of 871 listed companies between 2000 and 2016 found that the adoption of IFRS improved transparency of accounting information and inhibited corporate earnings management activities (Samuel et al, 2019, p. 383). Andrzej points out that prior to the merger, the acquirer's management holdings and the presence of institutional investors significantly reduce the acquired party's earnings management (Andrzej, 2020, p. 1302).</w:t>
      </w:r>
    </w:p>
    <w:p w14:paraId="5F0925B5" w14:textId="5D8B2B5F" w:rsidR="00546E3B" w:rsidRPr="00923347" w:rsidRDefault="00923347" w:rsidP="00923347">
      <w:pPr>
        <w:pStyle w:val="2"/>
        <w:spacing w:before="0" w:after="0" w:line="240" w:lineRule="auto"/>
        <w:rPr>
          <w:rFonts w:ascii="Times New Roman" w:hAnsi="Times New Roman" w:cs="Times New Roman"/>
          <w:sz w:val="28"/>
          <w:szCs w:val="24"/>
          <w:lang w:eastAsia="zh-CN"/>
        </w:rPr>
      </w:pPr>
      <w:bookmarkStart w:id="8" w:name="_Toc130830423"/>
      <w:r w:rsidRPr="004278F0">
        <w:rPr>
          <w:rFonts w:ascii="Times New Roman" w:hAnsi="Times New Roman" w:cs="Times New Roman"/>
          <w:sz w:val="28"/>
          <w:szCs w:val="24"/>
          <w:lang w:eastAsia="zh-CN"/>
        </w:rPr>
        <w:t>2.</w:t>
      </w:r>
      <w:r>
        <w:rPr>
          <w:rFonts w:ascii="Times New Roman" w:hAnsi="Times New Roman" w:cs="Times New Roman"/>
          <w:sz w:val="28"/>
          <w:szCs w:val="24"/>
          <w:lang w:eastAsia="zh-CN"/>
        </w:rPr>
        <w:t>2</w:t>
      </w:r>
      <w:r w:rsidRPr="004278F0">
        <w:rPr>
          <w:rFonts w:ascii="Times New Roman" w:hAnsi="Times New Roman" w:cs="Times New Roman"/>
          <w:sz w:val="28"/>
          <w:szCs w:val="24"/>
          <w:lang w:eastAsia="zh-CN"/>
        </w:rPr>
        <w:t xml:space="preserve"> </w:t>
      </w:r>
      <w:r w:rsidRPr="00923347">
        <w:rPr>
          <w:rFonts w:ascii="Times New Roman" w:hAnsi="Times New Roman" w:cs="Times New Roman"/>
          <w:sz w:val="28"/>
          <w:szCs w:val="24"/>
          <w:lang w:eastAsia="zh-CN"/>
        </w:rPr>
        <w:t>Meaning of earnings management</w:t>
      </w:r>
      <w:bookmarkEnd w:id="8"/>
    </w:p>
    <w:p w14:paraId="1FC3124A" w14:textId="2CFD1A4C" w:rsidR="00D22D71" w:rsidRPr="00D55507" w:rsidRDefault="00B37F1F" w:rsidP="00D55507">
      <w:pPr>
        <w:widowControl/>
        <w:spacing w:afterLines="50" w:after="156" w:line="259" w:lineRule="auto"/>
        <w:rPr>
          <w:rFonts w:ascii="Times New Roman" w:hAnsi="Times New Roman" w:cs="Times New Roman"/>
          <w:kern w:val="0"/>
          <w:sz w:val="24"/>
          <w:szCs w:val="24"/>
          <w:lang w:val="en-GB" w:eastAsia="en-US"/>
        </w:rPr>
      </w:pPr>
      <w:r w:rsidRPr="00D55507">
        <w:rPr>
          <w:rFonts w:ascii="Times New Roman" w:hAnsi="Times New Roman" w:cs="Times New Roman"/>
          <w:kern w:val="0"/>
          <w:sz w:val="24"/>
          <w:szCs w:val="24"/>
          <w:lang w:val="en-GB" w:eastAsia="en-US"/>
        </w:rPr>
        <w:t>Earnings management has always been one of the focuses of corporate governance and accounting research, and the definition of its concept by domestic and foreign scholars is constantly improving, and many scholars have defined it from the perspective of economic return and information. The concept of "earnings management" was first developed by Schipper, who defined earnings management as the intervention of a company's management in the process of generating financial information for personal gain or for specific purposes (Schipper, 1989, p. 97). Healy argues that earnings management is the act of managers who can mislead users of corporate financial information by directly adjusting corporate financial reports, or even by arranging transactions (Healy et al, 1999, p. 367). Scott's definition of earnings management is the behavior of managers who choose different accounting policies to maximize the value of the company's stock or maximize their own interests (Scott, 2003, p. 77). The definition of surplus management by Chinese scholars also mostly supports the definition of foreign scholars. Wei's definition of earnings management is a series of behaviors by managers to change financial results by means such as accounting choices or structuring real related party transactions, so as to mislead the accounting information users of the enterprise to make accurate judgments about their true business conditions (Wei, 2000, p. 39). Liu believes that surplus management is the act of exploiting loopholes in the existing legal system to the greatest extent, provided of course that manipulation is carried out in legal compliance (Liu, 2001, p. 13). Liu believes that earnings management is the act of redistributing earnings by changing accounting methods, and will cause the earnings information transmitted to the public in financial reports to be different from the true earnings distribution of enterprises (Liu et al, 2014, 100).</w:t>
      </w:r>
    </w:p>
    <w:p w14:paraId="4A96554C" w14:textId="3F0BC769" w:rsidR="00B37F1F" w:rsidRPr="00D55507" w:rsidRDefault="00B37F1F" w:rsidP="00D55507">
      <w:pPr>
        <w:widowControl/>
        <w:spacing w:beforeLines="50" w:before="156" w:afterLines="50" w:after="156" w:line="259" w:lineRule="auto"/>
        <w:rPr>
          <w:rFonts w:ascii="Times New Roman" w:hAnsi="Times New Roman" w:cs="Times New Roman"/>
          <w:kern w:val="0"/>
          <w:sz w:val="24"/>
          <w:szCs w:val="24"/>
          <w:lang w:val="en-GB" w:eastAsia="en-US"/>
        </w:rPr>
      </w:pPr>
      <w:r w:rsidRPr="00D55507">
        <w:rPr>
          <w:rFonts w:ascii="Times New Roman" w:hAnsi="Times New Roman" w:cs="Times New Roman"/>
          <w:kern w:val="0"/>
          <w:sz w:val="24"/>
          <w:szCs w:val="24"/>
          <w:lang w:val="en-GB" w:eastAsia="en-US"/>
        </w:rPr>
        <w:t xml:space="preserve">From the above definition, we can see that there are usually two techniques of earnings management, one is to adjust the financial statements by accounting means, and the other is to change the financial report directly by arranging transactions. Based on this, the academic community has also divided earnings management into two methods, accrued earnings management and real earnings management, which has been widely recognized, and many scholars have distinguished between accrued surplus management and real earnings management in the research process. Accrued earnings management is to change the surplus manipulation behavior of the earnings distribution </w:t>
      </w:r>
      <w:r w:rsidRPr="00D55507">
        <w:rPr>
          <w:rFonts w:ascii="Times New Roman" w:hAnsi="Times New Roman" w:cs="Times New Roman"/>
          <w:kern w:val="0"/>
          <w:sz w:val="24"/>
          <w:szCs w:val="24"/>
          <w:lang w:val="en-GB" w:eastAsia="en-US"/>
        </w:rPr>
        <w:lastRenderedPageBreak/>
        <w:t>of the enterprise in each period by choosing different accounting estimates, accounting policies and other accounting methods, without affecting the actual economic activities of the enterprise; Real earnings management refers to the behavior of enterprises to manipulate earnings through real trading activities, such as selling assets, adjusting the time of trading activities, etc., which will affect the actual economic activities and cash flow of enterprises.</w:t>
      </w:r>
    </w:p>
    <w:p w14:paraId="5BD155AA" w14:textId="70CEEDBA" w:rsidR="00764679" w:rsidRDefault="00764679" w:rsidP="00764679">
      <w:pPr>
        <w:pStyle w:val="1"/>
        <w:spacing w:before="0" w:after="0" w:line="240" w:lineRule="auto"/>
        <w:rPr>
          <w:rFonts w:ascii="Times New Roman" w:hAnsi="Times New Roman" w:cs="Times New Roman"/>
          <w:sz w:val="28"/>
          <w:szCs w:val="24"/>
        </w:rPr>
      </w:pPr>
      <w:bookmarkStart w:id="9" w:name="_Toc130830424"/>
      <w:r w:rsidRPr="004278F0">
        <w:rPr>
          <w:rFonts w:ascii="Times New Roman" w:hAnsi="Times New Roman" w:cs="Times New Roman"/>
          <w:sz w:val="28"/>
          <w:szCs w:val="24"/>
        </w:rPr>
        <w:t xml:space="preserve">3. </w:t>
      </w:r>
      <w:r w:rsidR="00B37F1F" w:rsidRPr="00B37F1F">
        <w:rPr>
          <w:rFonts w:ascii="Times New Roman" w:hAnsi="Times New Roman" w:cs="Times New Roman"/>
          <w:sz w:val="28"/>
          <w:szCs w:val="24"/>
        </w:rPr>
        <w:t>Case evaluation</w:t>
      </w:r>
      <w:bookmarkEnd w:id="9"/>
    </w:p>
    <w:p w14:paraId="488792B4" w14:textId="1F45FE51" w:rsidR="00764679" w:rsidRDefault="00764679" w:rsidP="00C20223">
      <w:pPr>
        <w:outlineLvl w:val="1"/>
        <w:rPr>
          <w:rFonts w:ascii="Times New Roman" w:hAnsi="Times New Roman" w:cs="Times New Roman"/>
          <w:b/>
          <w:sz w:val="28"/>
          <w:szCs w:val="24"/>
        </w:rPr>
      </w:pPr>
      <w:bookmarkStart w:id="10" w:name="_Toc130830425"/>
      <w:r w:rsidRPr="004278F0">
        <w:rPr>
          <w:rFonts w:ascii="Times New Roman" w:hAnsi="Times New Roman" w:cs="Times New Roman"/>
          <w:b/>
          <w:sz w:val="28"/>
          <w:szCs w:val="24"/>
        </w:rPr>
        <w:t>3.</w:t>
      </w:r>
      <w:r w:rsidR="00B37F1F">
        <w:rPr>
          <w:rFonts w:ascii="Times New Roman" w:hAnsi="Times New Roman" w:cs="Times New Roman"/>
          <w:b/>
          <w:sz w:val="28"/>
          <w:szCs w:val="24"/>
        </w:rPr>
        <w:t>1</w:t>
      </w:r>
      <w:r w:rsidRPr="004278F0">
        <w:rPr>
          <w:rFonts w:ascii="Times New Roman" w:hAnsi="Times New Roman" w:cs="Times New Roman"/>
          <w:b/>
          <w:sz w:val="28"/>
          <w:szCs w:val="24"/>
        </w:rPr>
        <w:t xml:space="preserve"> </w:t>
      </w:r>
      <w:r w:rsidR="00B37F1F" w:rsidRPr="00B37F1F">
        <w:rPr>
          <w:rFonts w:ascii="Times New Roman" w:hAnsi="Times New Roman" w:cs="Times New Roman"/>
          <w:b/>
          <w:sz w:val="28"/>
          <w:szCs w:val="24"/>
        </w:rPr>
        <w:t>Case background</w:t>
      </w:r>
      <w:bookmarkEnd w:id="10"/>
    </w:p>
    <w:p w14:paraId="4BE29049" w14:textId="345A2597" w:rsidR="00D22D71" w:rsidRPr="00D55507" w:rsidRDefault="00B37F1F" w:rsidP="00D55507">
      <w:pPr>
        <w:widowControl/>
        <w:spacing w:afterLines="50" w:after="156" w:line="259" w:lineRule="auto"/>
        <w:rPr>
          <w:rFonts w:ascii="Times New Roman" w:hAnsi="Times New Roman" w:cs="Times New Roman" w:hint="eastAsia"/>
          <w:kern w:val="0"/>
          <w:sz w:val="24"/>
          <w:szCs w:val="24"/>
          <w:lang w:val="en-GB" w:eastAsia="en-US"/>
        </w:rPr>
      </w:pP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 Technology Co., Ltd. was incorporated in Beijing in September 1998. In October of the same year, it was listed on the Shanghai Stock Exchange with a registered capital of RMB 1.314 billion, and the stock is referred to as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 and the stock code is “600198”.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 is a backbone enterprise in the information industry with independent intellectual property rights, and has been rated as “China's Top 100 Enterprises” for many consecutive years and selected as a national technology innovation demonstration center. In the more than 20 years of listing,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 has had brilliant times, and has repeatedly “put on stars and hats”, in order to maintain its listing qualifications, it has carried out a series of asset transfers, but it has not fundamentally solved its ability to continue operating.</w:t>
      </w:r>
    </w:p>
    <w:p w14:paraId="0223D215" w14:textId="53A2728D" w:rsidR="00B37F1F" w:rsidRPr="00D55507" w:rsidRDefault="00B37F1F" w:rsidP="00D55507">
      <w:pPr>
        <w:widowControl/>
        <w:spacing w:beforeLines="50" w:before="156" w:afterLines="50" w:after="156" w:line="259" w:lineRule="auto"/>
        <w:rPr>
          <w:rFonts w:ascii="Times New Roman" w:hAnsi="Times New Roman" w:cs="Times New Roman"/>
          <w:kern w:val="0"/>
          <w:sz w:val="24"/>
          <w:szCs w:val="24"/>
          <w:lang w:val="en-GB" w:eastAsia="en-US"/>
        </w:rPr>
      </w:pPr>
      <w:r w:rsidRPr="00D55507">
        <w:rPr>
          <w:rFonts w:ascii="Times New Roman" w:hAnsi="Times New Roman" w:cs="Times New Roman"/>
          <w:kern w:val="0"/>
          <w:sz w:val="24"/>
          <w:szCs w:val="24"/>
          <w:lang w:val="en-GB" w:eastAsia="en-US"/>
        </w:rPr>
        <w:t xml:space="preserve">From 1998 to 2021,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 has been given three delisting risk warnings for more than 20 years. Looking back at 2007,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 faced the risk of losing its listing qualification for the first time because of its continuous losses from 2005 to 2006. In the years since the crisis,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 has operated relatively smoothly, with a turning point in 2016 and 2017, when the company's net profit showed a loss. As recently as April 2018, the company once again had to face the penalty of delisting risk warning. Looking at its annual financial statements, it is not difficult to find that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Telecom’s non-net profit has even been negative for 12 consecutive years, and its main business income is not optimistic, and it has been in a continuous decline since 2016. In order to get rid of the business predicament and reverse the financial situation,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 also actively sought changes, and even considered the upgrading and transformation of the enterprise, but in the case of paying a lot of money costs, its operating conditions still did not improve greatly, and the transformation was not successful, which also buried hidden dangers for the deterioration of the company's operation. With the loss of two consecutive years in 2016 and 2017, and the failure of various transformation attempts, and the decline of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Telecom's advantageous project traditional communication business in 2018, this is undoubtedly worse. At the beginning of 2018, in response to the continuous loss of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 the Shanghai Stock Exchange once again implemented special trading treatment for its shares to warn its shareholders and investors. If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 does not take measures to make up </w:t>
      </w:r>
      <w:r w:rsidRPr="00D55507">
        <w:rPr>
          <w:rFonts w:ascii="Times New Roman" w:hAnsi="Times New Roman" w:cs="Times New Roman"/>
          <w:kern w:val="0"/>
          <w:sz w:val="24"/>
          <w:szCs w:val="24"/>
          <w:lang w:val="en-GB" w:eastAsia="en-US"/>
        </w:rPr>
        <w:lastRenderedPageBreak/>
        <w:t xml:space="preserve">for it, it is likely to lose its listing qualification, which also opens the prelude to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Telecom's difficult shell protection. According to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Telecom’s 2018 annual report,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 achieved a positive net profit this year. Careful analysis of its statement items and relevant news announcements shows that the reason why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 was able to turn around losses in 2018 was mainly to achieve huge profits by selling assets and equity, which was able to make up for its losses and achieve profits, and finally succeeded in shell protection. However, not long after the crisis,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 was punished with the same punishment for the third time. Recent annual reports show that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Telecom's net profit in 2019 and 2020 is negative, while the non-net profit in 2018, 2019 and 2020 has also shown negative growth for three consecutive years. Therefore, according to relevant regulations, the word "*ST" should be added to the abbreviation of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Telecom's stock to remind investors that the company is likely to be delisted if its operating conditions are not good, so as to minimize the risk of investors. In addition,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 also has other very serious problems, such as information disclosure violations, various litigation, etc.,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 has been listed for more than 20 years, experienced ups and downs, occupied an important position in the industry, and even once brilliant, but now it is on the verge of delisting twice in a short period of time.</w:t>
      </w:r>
    </w:p>
    <w:p w14:paraId="2A29511B" w14:textId="3281874D" w:rsidR="00B37F1F" w:rsidRDefault="00B37F1F" w:rsidP="00406442">
      <w:pPr>
        <w:outlineLvl w:val="1"/>
        <w:rPr>
          <w:rFonts w:ascii="Times New Roman" w:hAnsi="Times New Roman" w:cs="Times New Roman"/>
          <w:b/>
          <w:sz w:val="28"/>
          <w:szCs w:val="24"/>
        </w:rPr>
      </w:pPr>
      <w:bookmarkStart w:id="11" w:name="_Toc130830426"/>
      <w:r w:rsidRPr="00B37F1F">
        <w:rPr>
          <w:rFonts w:ascii="Times New Roman" w:hAnsi="Times New Roman" w:cs="Times New Roman"/>
          <w:b/>
          <w:sz w:val="28"/>
          <w:szCs w:val="24"/>
        </w:rPr>
        <w:t>3.</w:t>
      </w:r>
      <w:r>
        <w:rPr>
          <w:rFonts w:ascii="Times New Roman" w:hAnsi="Times New Roman" w:cs="Times New Roman"/>
          <w:b/>
          <w:sz w:val="28"/>
          <w:szCs w:val="24"/>
        </w:rPr>
        <w:t>2</w:t>
      </w:r>
      <w:r w:rsidRPr="00B37F1F">
        <w:rPr>
          <w:rFonts w:ascii="Times New Roman" w:hAnsi="Times New Roman" w:cs="Times New Roman"/>
          <w:b/>
          <w:sz w:val="28"/>
          <w:szCs w:val="24"/>
        </w:rPr>
        <w:t xml:space="preserve"> </w:t>
      </w:r>
      <w:r w:rsidR="00923347" w:rsidRPr="00B37F1F">
        <w:rPr>
          <w:rFonts w:ascii="Times New Roman" w:hAnsi="Times New Roman" w:cs="Times New Roman"/>
          <w:b/>
          <w:sz w:val="28"/>
          <w:szCs w:val="24"/>
        </w:rPr>
        <w:t xml:space="preserve">Identification of </w:t>
      </w:r>
      <w:proofErr w:type="spellStart"/>
      <w:r w:rsidR="00923347" w:rsidRPr="00B37F1F">
        <w:rPr>
          <w:rFonts w:ascii="Times New Roman" w:hAnsi="Times New Roman" w:cs="Times New Roman"/>
          <w:b/>
          <w:sz w:val="28"/>
          <w:szCs w:val="24"/>
        </w:rPr>
        <w:t>Datang</w:t>
      </w:r>
      <w:proofErr w:type="spellEnd"/>
      <w:r w:rsidR="00923347" w:rsidRPr="00B37F1F">
        <w:rPr>
          <w:rFonts w:ascii="Times New Roman" w:hAnsi="Times New Roman" w:cs="Times New Roman"/>
          <w:b/>
          <w:sz w:val="28"/>
          <w:szCs w:val="24"/>
        </w:rPr>
        <w:t xml:space="preserve"> Telecom's earnings management behavior</w:t>
      </w:r>
      <w:bookmarkEnd w:id="11"/>
      <w:r w:rsidR="00923347" w:rsidRPr="00B37F1F">
        <w:rPr>
          <w:rFonts w:ascii="Times New Roman" w:hAnsi="Times New Roman" w:cs="Times New Roman"/>
          <w:b/>
          <w:sz w:val="28"/>
          <w:szCs w:val="24"/>
        </w:rPr>
        <w:t xml:space="preserve"> </w:t>
      </w:r>
    </w:p>
    <w:p w14:paraId="625B6A71" w14:textId="1A4331BB" w:rsidR="00B37F1F" w:rsidRPr="004278F0" w:rsidRDefault="00B37F1F" w:rsidP="00406442">
      <w:pPr>
        <w:outlineLvl w:val="2"/>
        <w:rPr>
          <w:rFonts w:ascii="Times New Roman" w:hAnsi="Times New Roman" w:cs="Times New Roman"/>
          <w:b/>
          <w:sz w:val="24"/>
          <w:szCs w:val="24"/>
        </w:rPr>
      </w:pPr>
      <w:bookmarkStart w:id="12" w:name="_Toc130830427"/>
      <w:r w:rsidRPr="004278F0">
        <w:rPr>
          <w:rFonts w:ascii="Times New Roman" w:hAnsi="Times New Roman" w:cs="Times New Roman"/>
          <w:b/>
          <w:sz w:val="28"/>
          <w:szCs w:val="24"/>
        </w:rPr>
        <w:t>3.</w:t>
      </w:r>
      <w:r>
        <w:rPr>
          <w:rFonts w:ascii="Times New Roman" w:hAnsi="Times New Roman" w:cs="Times New Roman"/>
          <w:b/>
          <w:sz w:val="28"/>
          <w:szCs w:val="24"/>
        </w:rPr>
        <w:t>2</w:t>
      </w:r>
      <w:r w:rsidRPr="004278F0">
        <w:rPr>
          <w:rFonts w:ascii="Times New Roman" w:hAnsi="Times New Roman" w:cs="Times New Roman"/>
          <w:b/>
          <w:sz w:val="28"/>
          <w:szCs w:val="24"/>
        </w:rPr>
        <w:t xml:space="preserve">.1 </w:t>
      </w:r>
      <w:r w:rsidR="00923347" w:rsidRPr="00406442">
        <w:rPr>
          <w:rFonts w:ascii="Times New Roman" w:hAnsi="Times New Roman" w:cs="Times New Roman"/>
          <w:b/>
          <w:sz w:val="28"/>
          <w:szCs w:val="24"/>
        </w:rPr>
        <w:t>Abnormal profit exclusion method</w:t>
      </w:r>
      <w:bookmarkEnd w:id="12"/>
    </w:p>
    <w:p w14:paraId="1D46E3F6" w14:textId="0D7A05A5" w:rsidR="00406442" w:rsidRPr="00D55507" w:rsidRDefault="00406442" w:rsidP="00D55507">
      <w:pPr>
        <w:widowControl/>
        <w:spacing w:afterLines="50" w:after="156" w:line="259" w:lineRule="auto"/>
        <w:rPr>
          <w:rFonts w:ascii="Times New Roman" w:hAnsi="Times New Roman" w:cs="Times New Roman"/>
          <w:kern w:val="0"/>
          <w:sz w:val="24"/>
          <w:szCs w:val="24"/>
          <w:lang w:val="en-GB" w:eastAsia="en-US"/>
        </w:rPr>
      </w:pPr>
      <w:r w:rsidRPr="00D55507">
        <w:rPr>
          <w:rFonts w:ascii="Times New Roman" w:hAnsi="Times New Roman" w:cs="Times New Roman"/>
          <w:kern w:val="0"/>
          <w:sz w:val="24"/>
          <w:szCs w:val="24"/>
          <w:lang w:val="en-GB" w:eastAsia="en-US"/>
        </w:rPr>
        <w:t>China's delisting system is relatively special, the relevant laws stipulate that when the net profit of listed companies is negative for two consecutive years, listed companies will continue to list there will be a relatively large risk, which is the relevant departments to the loss of listed companies corresponding penalties, that is, delisting risk early warning, at the same time the loss of listed companies of the stock of special transaction processing, if still in the third year of loss will be suspended by the relevant departments or even forced delisting. Therefore, if a loss-making listed company wants to continue to list, it is very likely to carry out profit manipulation in the third year, so as to achieve a turnaround. According to Table 3.</w:t>
      </w:r>
      <w:r w:rsidR="00923347" w:rsidRPr="00D55507">
        <w:rPr>
          <w:rFonts w:ascii="Times New Roman" w:hAnsi="Times New Roman" w:cs="Times New Roman"/>
          <w:kern w:val="0"/>
          <w:sz w:val="24"/>
          <w:szCs w:val="24"/>
          <w:lang w:val="en-GB" w:eastAsia="en-US"/>
        </w:rPr>
        <w:t>1</w:t>
      </w:r>
      <w:r w:rsidRPr="00D55507">
        <w:rPr>
          <w:rFonts w:ascii="Times New Roman" w:hAnsi="Times New Roman" w:cs="Times New Roman"/>
          <w:kern w:val="0"/>
          <w:sz w:val="24"/>
          <w:szCs w:val="24"/>
          <w:lang w:val="en-GB" w:eastAsia="en-US"/>
        </w:rPr>
        <w:t xml:space="preserve">,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 suffered huge losses for two consecutive years in 2016 and 2017, and in order to preserve its shell resources, it must </w:t>
      </w:r>
      <w:proofErr w:type="gramStart"/>
      <w:r w:rsidRPr="00D55507">
        <w:rPr>
          <w:rFonts w:ascii="Times New Roman" w:hAnsi="Times New Roman" w:cs="Times New Roman"/>
          <w:kern w:val="0"/>
          <w:sz w:val="24"/>
          <w:szCs w:val="24"/>
          <w:lang w:val="en-GB" w:eastAsia="en-US"/>
        </w:rPr>
        <w:t>take action</w:t>
      </w:r>
      <w:proofErr w:type="gramEnd"/>
      <w:r w:rsidRPr="00D55507">
        <w:rPr>
          <w:rFonts w:ascii="Times New Roman" w:hAnsi="Times New Roman" w:cs="Times New Roman"/>
          <w:kern w:val="0"/>
          <w:sz w:val="24"/>
          <w:szCs w:val="24"/>
          <w:lang w:val="en-GB" w:eastAsia="en-US"/>
        </w:rPr>
        <w:t xml:space="preserve"> on its net profit and attributable net profit.</w:t>
      </w:r>
    </w:p>
    <w:p w14:paraId="05A73469" w14:textId="6B3D0239" w:rsidR="00B37F1F" w:rsidRPr="00DA6F13" w:rsidRDefault="00B37F1F" w:rsidP="00B15CD3">
      <w:pPr>
        <w:spacing w:beforeLines="50" w:before="156"/>
        <w:jc w:val="center"/>
        <w:rPr>
          <w:rFonts w:ascii="Times New Roman" w:hAnsi="Times New Roman" w:cs="Times New Roman"/>
          <w:szCs w:val="21"/>
        </w:rPr>
      </w:pPr>
      <w:r w:rsidRPr="00DA6F13">
        <w:rPr>
          <w:rFonts w:ascii="Times New Roman" w:hAnsi="Times New Roman" w:cs="Times New Roman"/>
          <w:szCs w:val="21"/>
        </w:rPr>
        <w:t>Table 3.</w:t>
      </w:r>
      <w:r w:rsidR="00923347" w:rsidRPr="00DA6F13">
        <w:rPr>
          <w:rFonts w:ascii="Times New Roman" w:hAnsi="Times New Roman" w:cs="Times New Roman"/>
          <w:szCs w:val="21"/>
        </w:rPr>
        <w:t>1</w:t>
      </w:r>
      <w:r w:rsidRPr="00DA6F13">
        <w:rPr>
          <w:rFonts w:ascii="Times New Roman" w:hAnsi="Times New Roman" w:cs="Times New Roman"/>
          <w:szCs w:val="21"/>
        </w:rPr>
        <w:t xml:space="preserve"> Key Financial Data from 2016 to 2020</w:t>
      </w:r>
      <w:r w:rsidRPr="00DA6F13">
        <w:rPr>
          <w:rFonts w:ascii="Times New Roman" w:hAnsi="Times New Roman" w:cs="Times New Roman"/>
          <w:szCs w:val="21"/>
        </w:rPr>
        <w:t>（</w:t>
      </w:r>
      <w:r w:rsidRPr="00DA6F13">
        <w:rPr>
          <w:rFonts w:ascii="Times New Roman" w:hAnsi="Times New Roman" w:cs="Times New Roman"/>
          <w:szCs w:val="21"/>
        </w:rPr>
        <w:t>Unit: 100 million</w:t>
      </w:r>
      <w:r w:rsidRPr="00DA6F13">
        <w:rPr>
          <w:rFonts w:ascii="Times New Roman" w:hAnsi="Times New Roman" w:cs="Times New Roman"/>
          <w:szCs w:val="21"/>
        </w:rPr>
        <w:t>）</w:t>
      </w:r>
    </w:p>
    <w:tbl>
      <w:tblPr>
        <w:tblW w:w="0" w:type="auto"/>
        <w:tblBorders>
          <w:top w:val="single" w:sz="12" w:space="0" w:color="auto"/>
          <w:bottom w:val="single" w:sz="12" w:space="0" w:color="auto"/>
        </w:tblBorders>
        <w:tblLayout w:type="fixed"/>
        <w:tblLook w:val="04A0" w:firstRow="1" w:lastRow="0" w:firstColumn="1" w:lastColumn="0" w:noHBand="0" w:noVBand="1"/>
      </w:tblPr>
      <w:tblGrid>
        <w:gridCol w:w="2795"/>
        <w:gridCol w:w="1102"/>
        <w:gridCol w:w="1102"/>
        <w:gridCol w:w="1102"/>
        <w:gridCol w:w="1102"/>
        <w:gridCol w:w="1103"/>
      </w:tblGrid>
      <w:tr w:rsidR="00B37F1F" w:rsidRPr="00B37F1F" w14:paraId="1AC2DACD" w14:textId="77777777" w:rsidTr="004B1096">
        <w:trPr>
          <w:trHeight w:val="340"/>
        </w:trPr>
        <w:tc>
          <w:tcPr>
            <w:tcW w:w="2795" w:type="dxa"/>
            <w:tcBorders>
              <w:top w:val="single" w:sz="12" w:space="0" w:color="auto"/>
              <w:bottom w:val="single" w:sz="4" w:space="0" w:color="auto"/>
            </w:tcBorders>
            <w:shd w:val="clear" w:color="auto" w:fill="auto"/>
            <w:noWrap/>
            <w:vAlign w:val="center"/>
            <w:hideMark/>
          </w:tcPr>
          <w:p w14:paraId="526CB9BD" w14:textId="5AF76E01"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year</w:t>
            </w:r>
          </w:p>
        </w:tc>
        <w:tc>
          <w:tcPr>
            <w:tcW w:w="1102" w:type="dxa"/>
            <w:tcBorders>
              <w:top w:val="single" w:sz="12" w:space="0" w:color="auto"/>
              <w:bottom w:val="single" w:sz="4" w:space="0" w:color="auto"/>
            </w:tcBorders>
            <w:shd w:val="clear" w:color="auto" w:fill="auto"/>
            <w:noWrap/>
            <w:vAlign w:val="center"/>
            <w:hideMark/>
          </w:tcPr>
          <w:p w14:paraId="301E72E2"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2020</w:t>
            </w:r>
          </w:p>
        </w:tc>
        <w:tc>
          <w:tcPr>
            <w:tcW w:w="1102" w:type="dxa"/>
            <w:tcBorders>
              <w:top w:val="single" w:sz="12" w:space="0" w:color="auto"/>
              <w:bottom w:val="single" w:sz="4" w:space="0" w:color="auto"/>
            </w:tcBorders>
            <w:shd w:val="clear" w:color="auto" w:fill="auto"/>
            <w:noWrap/>
            <w:vAlign w:val="center"/>
            <w:hideMark/>
          </w:tcPr>
          <w:p w14:paraId="1B2A1F2C"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2019</w:t>
            </w:r>
          </w:p>
        </w:tc>
        <w:tc>
          <w:tcPr>
            <w:tcW w:w="1102" w:type="dxa"/>
            <w:tcBorders>
              <w:top w:val="single" w:sz="12" w:space="0" w:color="auto"/>
              <w:bottom w:val="single" w:sz="4" w:space="0" w:color="auto"/>
            </w:tcBorders>
            <w:shd w:val="clear" w:color="auto" w:fill="auto"/>
            <w:noWrap/>
            <w:vAlign w:val="center"/>
            <w:hideMark/>
          </w:tcPr>
          <w:p w14:paraId="39FA9102"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2018</w:t>
            </w:r>
          </w:p>
        </w:tc>
        <w:tc>
          <w:tcPr>
            <w:tcW w:w="1102" w:type="dxa"/>
            <w:tcBorders>
              <w:top w:val="single" w:sz="12" w:space="0" w:color="auto"/>
              <w:bottom w:val="single" w:sz="4" w:space="0" w:color="auto"/>
            </w:tcBorders>
            <w:shd w:val="clear" w:color="auto" w:fill="auto"/>
            <w:noWrap/>
            <w:vAlign w:val="center"/>
            <w:hideMark/>
          </w:tcPr>
          <w:p w14:paraId="5C99D224"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2017</w:t>
            </w:r>
          </w:p>
        </w:tc>
        <w:tc>
          <w:tcPr>
            <w:tcW w:w="1103" w:type="dxa"/>
            <w:tcBorders>
              <w:top w:val="single" w:sz="12" w:space="0" w:color="auto"/>
              <w:bottom w:val="single" w:sz="4" w:space="0" w:color="auto"/>
            </w:tcBorders>
            <w:shd w:val="clear" w:color="auto" w:fill="auto"/>
            <w:noWrap/>
            <w:vAlign w:val="center"/>
            <w:hideMark/>
          </w:tcPr>
          <w:p w14:paraId="141F95CF"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2016</w:t>
            </w:r>
          </w:p>
        </w:tc>
      </w:tr>
      <w:tr w:rsidR="00B37F1F" w:rsidRPr="00B37F1F" w14:paraId="21CFDDA6" w14:textId="77777777" w:rsidTr="004B1096">
        <w:trPr>
          <w:trHeight w:val="340"/>
        </w:trPr>
        <w:tc>
          <w:tcPr>
            <w:tcW w:w="2795" w:type="dxa"/>
            <w:tcBorders>
              <w:top w:val="single" w:sz="4" w:space="0" w:color="auto"/>
            </w:tcBorders>
            <w:shd w:val="clear" w:color="auto" w:fill="auto"/>
            <w:noWrap/>
            <w:vAlign w:val="center"/>
            <w:hideMark/>
          </w:tcPr>
          <w:p w14:paraId="4050B194" w14:textId="614404D0"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Main business income</w:t>
            </w:r>
          </w:p>
        </w:tc>
        <w:tc>
          <w:tcPr>
            <w:tcW w:w="1102" w:type="dxa"/>
            <w:tcBorders>
              <w:top w:val="single" w:sz="4" w:space="0" w:color="auto"/>
            </w:tcBorders>
            <w:shd w:val="clear" w:color="auto" w:fill="auto"/>
            <w:noWrap/>
            <w:vAlign w:val="center"/>
            <w:hideMark/>
          </w:tcPr>
          <w:p w14:paraId="72B96310"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12.07</w:t>
            </w:r>
          </w:p>
        </w:tc>
        <w:tc>
          <w:tcPr>
            <w:tcW w:w="1102" w:type="dxa"/>
            <w:tcBorders>
              <w:top w:val="single" w:sz="4" w:space="0" w:color="auto"/>
            </w:tcBorders>
            <w:shd w:val="clear" w:color="auto" w:fill="auto"/>
            <w:noWrap/>
            <w:vAlign w:val="center"/>
            <w:hideMark/>
          </w:tcPr>
          <w:p w14:paraId="4D1A5705"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14.31</w:t>
            </w:r>
          </w:p>
        </w:tc>
        <w:tc>
          <w:tcPr>
            <w:tcW w:w="1102" w:type="dxa"/>
            <w:tcBorders>
              <w:top w:val="single" w:sz="4" w:space="0" w:color="auto"/>
            </w:tcBorders>
            <w:shd w:val="clear" w:color="auto" w:fill="auto"/>
            <w:noWrap/>
            <w:vAlign w:val="center"/>
            <w:hideMark/>
          </w:tcPr>
          <w:p w14:paraId="06893E8D"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23.44</w:t>
            </w:r>
          </w:p>
        </w:tc>
        <w:tc>
          <w:tcPr>
            <w:tcW w:w="1102" w:type="dxa"/>
            <w:tcBorders>
              <w:top w:val="single" w:sz="4" w:space="0" w:color="auto"/>
            </w:tcBorders>
            <w:shd w:val="clear" w:color="auto" w:fill="auto"/>
            <w:noWrap/>
            <w:vAlign w:val="center"/>
            <w:hideMark/>
          </w:tcPr>
          <w:p w14:paraId="5A3151A1"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43.48</w:t>
            </w:r>
          </w:p>
        </w:tc>
        <w:tc>
          <w:tcPr>
            <w:tcW w:w="1103" w:type="dxa"/>
            <w:tcBorders>
              <w:top w:val="single" w:sz="4" w:space="0" w:color="auto"/>
            </w:tcBorders>
            <w:shd w:val="clear" w:color="auto" w:fill="auto"/>
            <w:noWrap/>
            <w:vAlign w:val="center"/>
            <w:hideMark/>
          </w:tcPr>
          <w:p w14:paraId="31158659"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72.3</w:t>
            </w:r>
          </w:p>
        </w:tc>
      </w:tr>
      <w:tr w:rsidR="00B37F1F" w:rsidRPr="00B37F1F" w14:paraId="4BB1FAA6" w14:textId="77777777" w:rsidTr="004B1096">
        <w:trPr>
          <w:trHeight w:val="340"/>
        </w:trPr>
        <w:tc>
          <w:tcPr>
            <w:tcW w:w="2795" w:type="dxa"/>
            <w:shd w:val="clear" w:color="auto" w:fill="auto"/>
            <w:noWrap/>
            <w:vAlign w:val="center"/>
            <w:hideMark/>
          </w:tcPr>
          <w:p w14:paraId="3E76F090"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Non-operating income</w:t>
            </w:r>
          </w:p>
        </w:tc>
        <w:tc>
          <w:tcPr>
            <w:tcW w:w="1102" w:type="dxa"/>
            <w:shd w:val="clear" w:color="auto" w:fill="auto"/>
            <w:noWrap/>
            <w:vAlign w:val="center"/>
            <w:hideMark/>
          </w:tcPr>
          <w:p w14:paraId="73F7942F"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0.06</w:t>
            </w:r>
          </w:p>
        </w:tc>
        <w:tc>
          <w:tcPr>
            <w:tcW w:w="1102" w:type="dxa"/>
            <w:shd w:val="clear" w:color="auto" w:fill="auto"/>
            <w:noWrap/>
            <w:vAlign w:val="center"/>
            <w:hideMark/>
          </w:tcPr>
          <w:p w14:paraId="7BFCC109"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0.19</w:t>
            </w:r>
          </w:p>
        </w:tc>
        <w:tc>
          <w:tcPr>
            <w:tcW w:w="1102" w:type="dxa"/>
            <w:shd w:val="clear" w:color="auto" w:fill="auto"/>
            <w:noWrap/>
            <w:vAlign w:val="center"/>
            <w:hideMark/>
          </w:tcPr>
          <w:p w14:paraId="2A86811D"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0.04</w:t>
            </w:r>
          </w:p>
        </w:tc>
        <w:tc>
          <w:tcPr>
            <w:tcW w:w="1102" w:type="dxa"/>
            <w:shd w:val="clear" w:color="auto" w:fill="auto"/>
            <w:noWrap/>
            <w:vAlign w:val="center"/>
            <w:hideMark/>
          </w:tcPr>
          <w:p w14:paraId="0513FF58"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0.05</w:t>
            </w:r>
          </w:p>
        </w:tc>
        <w:tc>
          <w:tcPr>
            <w:tcW w:w="1103" w:type="dxa"/>
            <w:shd w:val="clear" w:color="auto" w:fill="auto"/>
            <w:noWrap/>
            <w:vAlign w:val="center"/>
            <w:hideMark/>
          </w:tcPr>
          <w:p w14:paraId="6B378338"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1.21</w:t>
            </w:r>
          </w:p>
        </w:tc>
      </w:tr>
      <w:tr w:rsidR="00B37F1F" w:rsidRPr="00B37F1F" w14:paraId="2482A8F8" w14:textId="77777777" w:rsidTr="004B1096">
        <w:trPr>
          <w:trHeight w:val="340"/>
        </w:trPr>
        <w:tc>
          <w:tcPr>
            <w:tcW w:w="2795" w:type="dxa"/>
            <w:shd w:val="clear" w:color="auto" w:fill="auto"/>
            <w:noWrap/>
            <w:vAlign w:val="center"/>
            <w:hideMark/>
          </w:tcPr>
          <w:p w14:paraId="05E97D29" w14:textId="09798159"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Net profit attributable to the owners of the parent company</w:t>
            </w:r>
          </w:p>
        </w:tc>
        <w:tc>
          <w:tcPr>
            <w:tcW w:w="1102" w:type="dxa"/>
            <w:shd w:val="clear" w:color="auto" w:fill="auto"/>
            <w:noWrap/>
            <w:vAlign w:val="center"/>
            <w:hideMark/>
          </w:tcPr>
          <w:p w14:paraId="697352FA"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-13.64</w:t>
            </w:r>
          </w:p>
        </w:tc>
        <w:tc>
          <w:tcPr>
            <w:tcW w:w="1102" w:type="dxa"/>
            <w:shd w:val="clear" w:color="auto" w:fill="auto"/>
            <w:noWrap/>
            <w:vAlign w:val="center"/>
            <w:hideMark/>
          </w:tcPr>
          <w:p w14:paraId="08432CCC"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-8.99</w:t>
            </w:r>
          </w:p>
        </w:tc>
        <w:tc>
          <w:tcPr>
            <w:tcW w:w="1102" w:type="dxa"/>
            <w:shd w:val="clear" w:color="auto" w:fill="auto"/>
            <w:noWrap/>
            <w:vAlign w:val="center"/>
            <w:hideMark/>
          </w:tcPr>
          <w:p w14:paraId="141A37C6"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5.64</w:t>
            </w:r>
          </w:p>
        </w:tc>
        <w:tc>
          <w:tcPr>
            <w:tcW w:w="1102" w:type="dxa"/>
            <w:shd w:val="clear" w:color="auto" w:fill="auto"/>
            <w:noWrap/>
            <w:vAlign w:val="center"/>
            <w:hideMark/>
          </w:tcPr>
          <w:p w14:paraId="4CDA5A1B"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-26.49</w:t>
            </w:r>
          </w:p>
        </w:tc>
        <w:tc>
          <w:tcPr>
            <w:tcW w:w="1103" w:type="dxa"/>
            <w:shd w:val="clear" w:color="auto" w:fill="auto"/>
            <w:noWrap/>
            <w:vAlign w:val="center"/>
            <w:hideMark/>
          </w:tcPr>
          <w:p w14:paraId="6FBF99F8"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-17.76</w:t>
            </w:r>
          </w:p>
        </w:tc>
      </w:tr>
      <w:tr w:rsidR="00B37F1F" w:rsidRPr="00B37F1F" w14:paraId="1E87C7B6" w14:textId="77777777" w:rsidTr="004B1096">
        <w:trPr>
          <w:trHeight w:val="340"/>
        </w:trPr>
        <w:tc>
          <w:tcPr>
            <w:tcW w:w="2795" w:type="dxa"/>
            <w:shd w:val="clear" w:color="auto" w:fill="auto"/>
            <w:noWrap/>
            <w:vAlign w:val="center"/>
            <w:hideMark/>
          </w:tcPr>
          <w:p w14:paraId="4398FEE5"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Net profit after deduction</w:t>
            </w:r>
          </w:p>
        </w:tc>
        <w:tc>
          <w:tcPr>
            <w:tcW w:w="1102" w:type="dxa"/>
            <w:shd w:val="clear" w:color="auto" w:fill="auto"/>
            <w:noWrap/>
            <w:vAlign w:val="center"/>
            <w:hideMark/>
          </w:tcPr>
          <w:p w14:paraId="5F7777FF"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-14.05</w:t>
            </w:r>
          </w:p>
        </w:tc>
        <w:tc>
          <w:tcPr>
            <w:tcW w:w="1102" w:type="dxa"/>
            <w:shd w:val="clear" w:color="auto" w:fill="auto"/>
            <w:noWrap/>
            <w:vAlign w:val="center"/>
            <w:hideMark/>
          </w:tcPr>
          <w:p w14:paraId="0543658E"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-9.7</w:t>
            </w:r>
          </w:p>
        </w:tc>
        <w:tc>
          <w:tcPr>
            <w:tcW w:w="1102" w:type="dxa"/>
            <w:shd w:val="clear" w:color="auto" w:fill="auto"/>
            <w:noWrap/>
            <w:vAlign w:val="center"/>
            <w:hideMark/>
          </w:tcPr>
          <w:p w14:paraId="059BABFE"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-11.13</w:t>
            </w:r>
          </w:p>
        </w:tc>
        <w:tc>
          <w:tcPr>
            <w:tcW w:w="1102" w:type="dxa"/>
            <w:shd w:val="clear" w:color="auto" w:fill="auto"/>
            <w:noWrap/>
            <w:vAlign w:val="center"/>
            <w:hideMark/>
          </w:tcPr>
          <w:p w14:paraId="4021D39D"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-30.33</w:t>
            </w:r>
          </w:p>
        </w:tc>
        <w:tc>
          <w:tcPr>
            <w:tcW w:w="1103" w:type="dxa"/>
            <w:shd w:val="clear" w:color="auto" w:fill="auto"/>
            <w:noWrap/>
            <w:vAlign w:val="center"/>
            <w:hideMark/>
          </w:tcPr>
          <w:p w14:paraId="6CC00B8B"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-18.73</w:t>
            </w:r>
          </w:p>
        </w:tc>
      </w:tr>
      <w:tr w:rsidR="00B37F1F" w:rsidRPr="00B37F1F" w14:paraId="5B3174B2" w14:textId="77777777" w:rsidTr="004B1096">
        <w:trPr>
          <w:trHeight w:val="340"/>
        </w:trPr>
        <w:tc>
          <w:tcPr>
            <w:tcW w:w="2795" w:type="dxa"/>
            <w:shd w:val="clear" w:color="auto" w:fill="auto"/>
            <w:noWrap/>
            <w:vAlign w:val="center"/>
            <w:hideMark/>
          </w:tcPr>
          <w:p w14:paraId="5A056077"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lastRenderedPageBreak/>
              <w:t>Non-recurring profit and loss</w:t>
            </w:r>
          </w:p>
        </w:tc>
        <w:tc>
          <w:tcPr>
            <w:tcW w:w="1102" w:type="dxa"/>
            <w:shd w:val="clear" w:color="auto" w:fill="auto"/>
            <w:noWrap/>
            <w:vAlign w:val="center"/>
            <w:hideMark/>
          </w:tcPr>
          <w:p w14:paraId="1B529CC9"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0.41</w:t>
            </w:r>
          </w:p>
        </w:tc>
        <w:tc>
          <w:tcPr>
            <w:tcW w:w="1102" w:type="dxa"/>
            <w:shd w:val="clear" w:color="auto" w:fill="auto"/>
            <w:noWrap/>
            <w:vAlign w:val="center"/>
            <w:hideMark/>
          </w:tcPr>
          <w:p w14:paraId="4B557F8B"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0.71</w:t>
            </w:r>
          </w:p>
        </w:tc>
        <w:tc>
          <w:tcPr>
            <w:tcW w:w="1102" w:type="dxa"/>
            <w:shd w:val="clear" w:color="auto" w:fill="auto"/>
            <w:noWrap/>
            <w:vAlign w:val="center"/>
            <w:hideMark/>
          </w:tcPr>
          <w:p w14:paraId="2A0ADE00"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16.77</w:t>
            </w:r>
          </w:p>
        </w:tc>
        <w:tc>
          <w:tcPr>
            <w:tcW w:w="1102" w:type="dxa"/>
            <w:shd w:val="clear" w:color="auto" w:fill="auto"/>
            <w:noWrap/>
            <w:vAlign w:val="center"/>
            <w:hideMark/>
          </w:tcPr>
          <w:p w14:paraId="7DF36C0E"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3.84</w:t>
            </w:r>
          </w:p>
        </w:tc>
        <w:tc>
          <w:tcPr>
            <w:tcW w:w="1103" w:type="dxa"/>
            <w:shd w:val="clear" w:color="auto" w:fill="auto"/>
            <w:noWrap/>
            <w:vAlign w:val="center"/>
            <w:hideMark/>
          </w:tcPr>
          <w:p w14:paraId="7E854EEA"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0.97</w:t>
            </w:r>
          </w:p>
        </w:tc>
      </w:tr>
      <w:tr w:rsidR="00B37F1F" w:rsidRPr="00B37F1F" w14:paraId="362A2354" w14:textId="77777777" w:rsidTr="004B1096">
        <w:trPr>
          <w:trHeight w:val="340"/>
        </w:trPr>
        <w:tc>
          <w:tcPr>
            <w:tcW w:w="2795" w:type="dxa"/>
            <w:shd w:val="clear" w:color="auto" w:fill="auto"/>
            <w:noWrap/>
            <w:vAlign w:val="center"/>
            <w:hideMark/>
          </w:tcPr>
          <w:p w14:paraId="1356BD17"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Year-over-year increase in total operating income (%)</w:t>
            </w:r>
          </w:p>
        </w:tc>
        <w:tc>
          <w:tcPr>
            <w:tcW w:w="1102" w:type="dxa"/>
            <w:shd w:val="clear" w:color="auto" w:fill="auto"/>
            <w:noWrap/>
            <w:vAlign w:val="center"/>
            <w:hideMark/>
          </w:tcPr>
          <w:p w14:paraId="01A0C877"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-15.62</w:t>
            </w:r>
          </w:p>
        </w:tc>
        <w:tc>
          <w:tcPr>
            <w:tcW w:w="1102" w:type="dxa"/>
            <w:shd w:val="clear" w:color="auto" w:fill="auto"/>
            <w:noWrap/>
            <w:vAlign w:val="center"/>
            <w:hideMark/>
          </w:tcPr>
          <w:p w14:paraId="10373E0C"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-38.96</w:t>
            </w:r>
          </w:p>
        </w:tc>
        <w:tc>
          <w:tcPr>
            <w:tcW w:w="1102" w:type="dxa"/>
            <w:shd w:val="clear" w:color="auto" w:fill="auto"/>
            <w:noWrap/>
            <w:vAlign w:val="center"/>
            <w:hideMark/>
          </w:tcPr>
          <w:p w14:paraId="32540A68"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-46.09</w:t>
            </w:r>
          </w:p>
        </w:tc>
        <w:tc>
          <w:tcPr>
            <w:tcW w:w="1102" w:type="dxa"/>
            <w:shd w:val="clear" w:color="auto" w:fill="auto"/>
            <w:noWrap/>
            <w:vAlign w:val="center"/>
            <w:hideMark/>
          </w:tcPr>
          <w:p w14:paraId="5D201806"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-39.86</w:t>
            </w:r>
          </w:p>
        </w:tc>
        <w:tc>
          <w:tcPr>
            <w:tcW w:w="1103" w:type="dxa"/>
            <w:shd w:val="clear" w:color="auto" w:fill="auto"/>
            <w:noWrap/>
            <w:vAlign w:val="center"/>
            <w:hideMark/>
          </w:tcPr>
          <w:p w14:paraId="33469761"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-15.96</w:t>
            </w:r>
          </w:p>
        </w:tc>
      </w:tr>
      <w:tr w:rsidR="00B37F1F" w:rsidRPr="00B37F1F" w14:paraId="68FF9BB3" w14:textId="77777777" w:rsidTr="004B1096">
        <w:trPr>
          <w:trHeight w:val="340"/>
        </w:trPr>
        <w:tc>
          <w:tcPr>
            <w:tcW w:w="2795" w:type="dxa"/>
            <w:shd w:val="clear" w:color="auto" w:fill="auto"/>
            <w:noWrap/>
            <w:vAlign w:val="center"/>
            <w:hideMark/>
          </w:tcPr>
          <w:p w14:paraId="099A251C"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Year-over-year increase in net profit attributable (%)</w:t>
            </w:r>
          </w:p>
        </w:tc>
        <w:tc>
          <w:tcPr>
            <w:tcW w:w="1102" w:type="dxa"/>
            <w:shd w:val="clear" w:color="auto" w:fill="auto"/>
            <w:noWrap/>
            <w:vAlign w:val="center"/>
            <w:hideMark/>
          </w:tcPr>
          <w:p w14:paraId="798E639B"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-51.65</w:t>
            </w:r>
          </w:p>
        </w:tc>
        <w:tc>
          <w:tcPr>
            <w:tcW w:w="1102" w:type="dxa"/>
            <w:shd w:val="clear" w:color="auto" w:fill="auto"/>
            <w:noWrap/>
            <w:vAlign w:val="center"/>
            <w:hideMark/>
          </w:tcPr>
          <w:p w14:paraId="6690399A"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-259.54</w:t>
            </w:r>
          </w:p>
        </w:tc>
        <w:tc>
          <w:tcPr>
            <w:tcW w:w="1102" w:type="dxa"/>
            <w:shd w:val="clear" w:color="auto" w:fill="auto"/>
            <w:noWrap/>
            <w:vAlign w:val="center"/>
            <w:hideMark/>
          </w:tcPr>
          <w:p w14:paraId="45FEB25F"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121.28</w:t>
            </w:r>
          </w:p>
        </w:tc>
        <w:tc>
          <w:tcPr>
            <w:tcW w:w="1102" w:type="dxa"/>
            <w:shd w:val="clear" w:color="auto" w:fill="auto"/>
            <w:noWrap/>
            <w:vAlign w:val="center"/>
            <w:hideMark/>
          </w:tcPr>
          <w:p w14:paraId="570DAFCA"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-49.17</w:t>
            </w:r>
          </w:p>
        </w:tc>
        <w:tc>
          <w:tcPr>
            <w:tcW w:w="1103" w:type="dxa"/>
            <w:shd w:val="clear" w:color="auto" w:fill="auto"/>
            <w:noWrap/>
            <w:vAlign w:val="center"/>
            <w:hideMark/>
          </w:tcPr>
          <w:p w14:paraId="431DCAF3" w14:textId="21E80AA5"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-6</w:t>
            </w:r>
            <w:r w:rsidR="00ED10E8">
              <w:rPr>
                <w:rFonts w:ascii="Times New Roman" w:eastAsia="等线" w:hAnsi="Times New Roman" w:cs="Times New Roman"/>
                <w:color w:val="000000"/>
                <w:kern w:val="0"/>
                <w:szCs w:val="21"/>
              </w:rPr>
              <w:t>,</w:t>
            </w:r>
            <w:r w:rsidRPr="00B37F1F">
              <w:rPr>
                <w:rFonts w:ascii="Times New Roman" w:eastAsia="等线" w:hAnsi="Times New Roman" w:cs="Times New Roman"/>
                <w:color w:val="000000"/>
                <w:kern w:val="0"/>
                <w:szCs w:val="21"/>
              </w:rPr>
              <w:t>342.55</w:t>
            </w:r>
          </w:p>
        </w:tc>
      </w:tr>
      <w:tr w:rsidR="00B37F1F" w:rsidRPr="00B37F1F" w14:paraId="76A92B8D" w14:textId="77777777" w:rsidTr="004B1096">
        <w:trPr>
          <w:trHeight w:val="340"/>
        </w:trPr>
        <w:tc>
          <w:tcPr>
            <w:tcW w:w="2795" w:type="dxa"/>
            <w:shd w:val="clear" w:color="auto" w:fill="auto"/>
            <w:noWrap/>
            <w:vAlign w:val="center"/>
            <w:hideMark/>
          </w:tcPr>
          <w:p w14:paraId="3105108C"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Non-net profit increased year-on-year (%)</w:t>
            </w:r>
          </w:p>
        </w:tc>
        <w:tc>
          <w:tcPr>
            <w:tcW w:w="1102" w:type="dxa"/>
            <w:shd w:val="clear" w:color="auto" w:fill="auto"/>
            <w:noWrap/>
            <w:vAlign w:val="center"/>
            <w:hideMark/>
          </w:tcPr>
          <w:p w14:paraId="2A58A1A1"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-44.8</w:t>
            </w:r>
          </w:p>
        </w:tc>
        <w:tc>
          <w:tcPr>
            <w:tcW w:w="1102" w:type="dxa"/>
            <w:shd w:val="clear" w:color="auto" w:fill="auto"/>
            <w:noWrap/>
            <w:vAlign w:val="center"/>
            <w:hideMark/>
          </w:tcPr>
          <w:p w14:paraId="253D5E01"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14.06</w:t>
            </w:r>
          </w:p>
        </w:tc>
        <w:tc>
          <w:tcPr>
            <w:tcW w:w="1102" w:type="dxa"/>
            <w:shd w:val="clear" w:color="auto" w:fill="auto"/>
            <w:noWrap/>
            <w:vAlign w:val="center"/>
            <w:hideMark/>
          </w:tcPr>
          <w:p w14:paraId="3E4C0EE6"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62.79</w:t>
            </w:r>
          </w:p>
        </w:tc>
        <w:tc>
          <w:tcPr>
            <w:tcW w:w="1102" w:type="dxa"/>
            <w:shd w:val="clear" w:color="auto" w:fill="auto"/>
            <w:noWrap/>
            <w:vAlign w:val="center"/>
            <w:hideMark/>
          </w:tcPr>
          <w:p w14:paraId="06E472C9"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-61.91</w:t>
            </w:r>
          </w:p>
        </w:tc>
        <w:tc>
          <w:tcPr>
            <w:tcW w:w="1103" w:type="dxa"/>
            <w:shd w:val="clear" w:color="auto" w:fill="auto"/>
            <w:noWrap/>
            <w:vAlign w:val="center"/>
            <w:hideMark/>
          </w:tcPr>
          <w:p w14:paraId="05144BB6" w14:textId="77777777" w:rsidR="00B37F1F" w:rsidRPr="00B37F1F" w:rsidRDefault="00B37F1F" w:rsidP="004B1096">
            <w:pPr>
              <w:widowControl/>
              <w:jc w:val="center"/>
              <w:rPr>
                <w:rFonts w:ascii="Times New Roman" w:eastAsia="等线" w:hAnsi="Times New Roman" w:cs="Times New Roman"/>
                <w:color w:val="000000"/>
                <w:kern w:val="0"/>
                <w:szCs w:val="21"/>
              </w:rPr>
            </w:pPr>
            <w:r w:rsidRPr="00B37F1F">
              <w:rPr>
                <w:rFonts w:ascii="Times New Roman" w:eastAsia="等线" w:hAnsi="Times New Roman" w:cs="Times New Roman"/>
                <w:color w:val="000000"/>
                <w:kern w:val="0"/>
                <w:szCs w:val="21"/>
              </w:rPr>
              <w:t>-165.3</w:t>
            </w:r>
          </w:p>
        </w:tc>
      </w:tr>
    </w:tbl>
    <w:p w14:paraId="60FE881D" w14:textId="6A3AEA3E" w:rsidR="00B37F1F" w:rsidRPr="00DA6F13" w:rsidRDefault="00B37F1F" w:rsidP="00B15CD3">
      <w:pPr>
        <w:spacing w:afterLines="50" w:after="156"/>
        <w:rPr>
          <w:rFonts w:ascii="Times New Roman" w:hAnsi="Times New Roman" w:cs="Times New Roman"/>
          <w:szCs w:val="24"/>
        </w:rPr>
      </w:pPr>
      <w:r w:rsidRPr="00DA6F13">
        <w:rPr>
          <w:rFonts w:ascii="Times New Roman" w:hAnsi="Times New Roman" w:cs="Times New Roman"/>
          <w:szCs w:val="24"/>
        </w:rPr>
        <w:t xml:space="preserve">Source: Based on </w:t>
      </w:r>
      <w:proofErr w:type="spellStart"/>
      <w:r w:rsidRPr="00DA6F13">
        <w:rPr>
          <w:rFonts w:ascii="Times New Roman" w:hAnsi="Times New Roman" w:cs="Times New Roman"/>
          <w:szCs w:val="24"/>
        </w:rPr>
        <w:t>Datang</w:t>
      </w:r>
      <w:proofErr w:type="spellEnd"/>
      <w:r w:rsidRPr="00DA6F13">
        <w:rPr>
          <w:rFonts w:ascii="Times New Roman" w:hAnsi="Times New Roman" w:cs="Times New Roman"/>
          <w:szCs w:val="24"/>
        </w:rPr>
        <w:t xml:space="preserve"> Telecom's 2016-2020 financial reports</w:t>
      </w:r>
    </w:p>
    <w:p w14:paraId="40D23408" w14:textId="3ED6F4BE" w:rsidR="00406442" w:rsidRPr="00D55507" w:rsidRDefault="00406442" w:rsidP="00D55507">
      <w:pPr>
        <w:widowControl/>
        <w:spacing w:beforeLines="50" w:before="156" w:afterLines="50" w:after="156" w:line="259" w:lineRule="auto"/>
        <w:rPr>
          <w:rFonts w:ascii="Times New Roman" w:hAnsi="Times New Roman" w:cs="Times New Roman"/>
          <w:kern w:val="0"/>
          <w:sz w:val="24"/>
          <w:szCs w:val="24"/>
          <w:lang w:val="en-GB" w:eastAsia="en-US"/>
        </w:rPr>
      </w:pPr>
      <w:r w:rsidRPr="00D55507">
        <w:rPr>
          <w:rFonts w:ascii="Times New Roman" w:hAnsi="Times New Roman" w:cs="Times New Roman"/>
          <w:kern w:val="0"/>
          <w:sz w:val="24"/>
          <w:szCs w:val="24"/>
          <w:lang w:val="en-GB" w:eastAsia="en-US"/>
        </w:rPr>
        <w:t xml:space="preserve">According to its annual report data, it can be seen that from 2016 to 2017,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Telecom's operating income had major problems, and its amount decreased for five consecutive years, which shows that whether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Telecom's daily operation can be carried out healthily has become a problem, and it is extremely difficult to achieve profitability by improving operating conditions. At the same time, its operating profit, net profit and other indicators have been in a state of loss, and only in 2018, the key year of "shelling", it achieved profitability. The combination of the two shows that the actual operating conditions and profitability of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 are not optimistic. However, as can be seen from Table </w:t>
      </w:r>
      <w:r w:rsidR="00923347" w:rsidRPr="00D55507">
        <w:rPr>
          <w:rFonts w:ascii="Times New Roman" w:hAnsi="Times New Roman" w:cs="Times New Roman"/>
          <w:kern w:val="0"/>
          <w:sz w:val="24"/>
          <w:szCs w:val="24"/>
          <w:lang w:val="en-GB" w:eastAsia="en-US"/>
        </w:rPr>
        <w:t>3</w:t>
      </w:r>
      <w:r w:rsidRPr="00D55507">
        <w:rPr>
          <w:rFonts w:ascii="Times New Roman" w:hAnsi="Times New Roman" w:cs="Times New Roman"/>
          <w:kern w:val="0"/>
          <w:sz w:val="24"/>
          <w:szCs w:val="24"/>
          <w:lang w:val="en-GB" w:eastAsia="en-US"/>
        </w:rPr>
        <w:t>.</w:t>
      </w:r>
      <w:r w:rsidR="00923347" w:rsidRPr="00D55507">
        <w:rPr>
          <w:rFonts w:ascii="Times New Roman" w:hAnsi="Times New Roman" w:cs="Times New Roman"/>
          <w:kern w:val="0"/>
          <w:sz w:val="24"/>
          <w:szCs w:val="24"/>
          <w:lang w:val="en-GB" w:eastAsia="en-US"/>
        </w:rPr>
        <w:t>2</w:t>
      </w:r>
      <w:r w:rsidRPr="00D55507">
        <w:rPr>
          <w:rFonts w:ascii="Times New Roman" w:hAnsi="Times New Roman" w:cs="Times New Roman"/>
          <w:kern w:val="0"/>
          <w:sz w:val="24"/>
          <w:szCs w:val="24"/>
          <w:lang w:val="en-GB" w:eastAsia="en-US"/>
        </w:rPr>
        <w:t xml:space="preserve"> and Figure </w:t>
      </w:r>
      <w:r w:rsidR="00923347" w:rsidRPr="00D55507">
        <w:rPr>
          <w:rFonts w:ascii="Times New Roman" w:hAnsi="Times New Roman" w:cs="Times New Roman"/>
          <w:kern w:val="0"/>
          <w:sz w:val="24"/>
          <w:szCs w:val="24"/>
          <w:lang w:val="en-GB" w:eastAsia="en-US"/>
        </w:rPr>
        <w:t>3</w:t>
      </w:r>
      <w:r w:rsidRPr="00D55507">
        <w:rPr>
          <w:rFonts w:ascii="Times New Roman" w:hAnsi="Times New Roman" w:cs="Times New Roman"/>
          <w:kern w:val="0"/>
          <w:sz w:val="24"/>
          <w:szCs w:val="24"/>
          <w:lang w:val="en-GB" w:eastAsia="en-US"/>
        </w:rPr>
        <w:t xml:space="preserve">.1,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Telecom's net profit, attributable net profit, deduction of non-net profit, etc. in 2018 showed an abnormal state, and after achieving profitability in 2018 and successfully getting rid of the risk of being suspended from listing,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 in 2018 fell into losses for two consecutive years in 2019 and 2020, which is abnormal. Of course, this is in line with *ST's "shell" strategy, which is to achieve a turnaround in the critical year of the suspension of listing. Based on the above analysis, we have good reason</w:t>
      </w:r>
      <w:r w:rsidRPr="00D55507">
        <w:rPr>
          <w:rFonts w:ascii="Times New Roman" w:hAnsi="Times New Roman" w:cs="Times New Roman" w:hint="eastAsia"/>
          <w:kern w:val="0"/>
          <w:sz w:val="24"/>
          <w:szCs w:val="24"/>
          <w:lang w:val="en-GB" w:eastAsia="en-US"/>
        </w:rPr>
        <w:t>.</w:t>
      </w:r>
      <w:r w:rsidRPr="00D55507">
        <w:rPr>
          <w:rFonts w:ascii="Times New Roman" w:hAnsi="Times New Roman" w:cs="Times New Roman"/>
          <w:kern w:val="0"/>
          <w:sz w:val="24"/>
          <w:szCs w:val="24"/>
          <w:lang w:val="en-GB" w:eastAsia="en-US"/>
        </w:rPr>
        <w:t xml:space="preserve"> In 2018,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 used earnings management to manipulate profits to achieve profitability and successfully remove its cap.</w:t>
      </w:r>
    </w:p>
    <w:p w14:paraId="3BB4455D" w14:textId="06CAB517" w:rsidR="00440FCF" w:rsidRPr="00DA6F13" w:rsidRDefault="00440FCF" w:rsidP="00DA6F13">
      <w:pPr>
        <w:spacing w:beforeLines="50" w:before="156"/>
        <w:rPr>
          <w:rFonts w:ascii="Times New Roman" w:hAnsi="Times New Roman" w:cs="Times New Roman"/>
          <w:szCs w:val="21"/>
        </w:rPr>
      </w:pPr>
      <w:r w:rsidRPr="00DA6F13">
        <w:rPr>
          <w:rFonts w:ascii="Times New Roman" w:hAnsi="Times New Roman" w:cs="Times New Roman"/>
          <w:szCs w:val="21"/>
        </w:rPr>
        <w:t xml:space="preserve">Table </w:t>
      </w:r>
      <w:r w:rsidR="00923347" w:rsidRPr="00DA6F13">
        <w:rPr>
          <w:rFonts w:ascii="Times New Roman" w:hAnsi="Times New Roman" w:cs="Times New Roman"/>
          <w:szCs w:val="21"/>
        </w:rPr>
        <w:t>3</w:t>
      </w:r>
      <w:r w:rsidRPr="00DA6F13">
        <w:rPr>
          <w:rFonts w:ascii="Times New Roman" w:hAnsi="Times New Roman" w:cs="Times New Roman"/>
          <w:szCs w:val="21"/>
        </w:rPr>
        <w:t>.</w:t>
      </w:r>
      <w:r w:rsidR="00923347" w:rsidRPr="00DA6F13">
        <w:rPr>
          <w:rFonts w:ascii="Times New Roman" w:hAnsi="Times New Roman" w:cs="Times New Roman"/>
          <w:szCs w:val="21"/>
        </w:rPr>
        <w:t>2</w:t>
      </w:r>
      <w:r w:rsidRPr="00DA6F13">
        <w:rPr>
          <w:rFonts w:ascii="Times New Roman" w:hAnsi="Times New Roman" w:cs="Times New Roman"/>
          <w:szCs w:val="21"/>
        </w:rPr>
        <w:t xml:space="preserve"> Some items of the income statement of DT Telecom from 2016 to 2020 (Unit: 100 million)</w:t>
      </w:r>
    </w:p>
    <w:tbl>
      <w:tblPr>
        <w:tblW w:w="8640" w:type="dxa"/>
        <w:tblBorders>
          <w:top w:val="single" w:sz="12" w:space="0" w:color="auto"/>
          <w:bottom w:val="single" w:sz="12" w:space="0" w:color="auto"/>
        </w:tblBorders>
        <w:tblLayout w:type="fixed"/>
        <w:tblLook w:val="04A0" w:firstRow="1" w:lastRow="0" w:firstColumn="1" w:lastColumn="0" w:noHBand="0" w:noVBand="1"/>
      </w:tblPr>
      <w:tblGrid>
        <w:gridCol w:w="3402"/>
        <w:gridCol w:w="1047"/>
        <w:gridCol w:w="1048"/>
        <w:gridCol w:w="1047"/>
        <w:gridCol w:w="1048"/>
        <w:gridCol w:w="1048"/>
      </w:tblGrid>
      <w:tr w:rsidR="00440FCF" w:rsidRPr="00ED10E8" w14:paraId="5E8038F6" w14:textId="77777777" w:rsidTr="004B1096">
        <w:trPr>
          <w:trHeight w:val="340"/>
        </w:trPr>
        <w:tc>
          <w:tcPr>
            <w:tcW w:w="3402" w:type="dxa"/>
            <w:tcBorders>
              <w:top w:val="single" w:sz="12" w:space="0" w:color="auto"/>
              <w:bottom w:val="single" w:sz="4" w:space="0" w:color="auto"/>
            </w:tcBorders>
            <w:shd w:val="clear" w:color="auto" w:fill="auto"/>
            <w:noWrap/>
            <w:vAlign w:val="center"/>
            <w:hideMark/>
          </w:tcPr>
          <w:p w14:paraId="1A5EBF9A"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Income statement</w:t>
            </w:r>
          </w:p>
        </w:tc>
        <w:tc>
          <w:tcPr>
            <w:tcW w:w="1047" w:type="dxa"/>
            <w:tcBorders>
              <w:top w:val="single" w:sz="12" w:space="0" w:color="auto"/>
              <w:bottom w:val="single" w:sz="4" w:space="0" w:color="auto"/>
            </w:tcBorders>
            <w:shd w:val="clear" w:color="auto" w:fill="auto"/>
            <w:noWrap/>
            <w:vAlign w:val="center"/>
            <w:hideMark/>
          </w:tcPr>
          <w:p w14:paraId="3FE92E65"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2016</w:t>
            </w:r>
          </w:p>
        </w:tc>
        <w:tc>
          <w:tcPr>
            <w:tcW w:w="1048" w:type="dxa"/>
            <w:tcBorders>
              <w:top w:val="single" w:sz="12" w:space="0" w:color="auto"/>
              <w:bottom w:val="single" w:sz="4" w:space="0" w:color="auto"/>
            </w:tcBorders>
            <w:shd w:val="clear" w:color="auto" w:fill="auto"/>
            <w:noWrap/>
            <w:vAlign w:val="center"/>
            <w:hideMark/>
          </w:tcPr>
          <w:p w14:paraId="6FA59C0D"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2017</w:t>
            </w:r>
          </w:p>
        </w:tc>
        <w:tc>
          <w:tcPr>
            <w:tcW w:w="1047" w:type="dxa"/>
            <w:tcBorders>
              <w:top w:val="single" w:sz="12" w:space="0" w:color="auto"/>
              <w:bottom w:val="single" w:sz="4" w:space="0" w:color="auto"/>
            </w:tcBorders>
            <w:shd w:val="clear" w:color="auto" w:fill="auto"/>
            <w:noWrap/>
            <w:vAlign w:val="center"/>
            <w:hideMark/>
          </w:tcPr>
          <w:p w14:paraId="3F6083E0"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2018</w:t>
            </w:r>
          </w:p>
        </w:tc>
        <w:tc>
          <w:tcPr>
            <w:tcW w:w="1048" w:type="dxa"/>
            <w:tcBorders>
              <w:top w:val="single" w:sz="12" w:space="0" w:color="auto"/>
              <w:bottom w:val="single" w:sz="4" w:space="0" w:color="auto"/>
            </w:tcBorders>
            <w:shd w:val="clear" w:color="auto" w:fill="auto"/>
            <w:noWrap/>
            <w:vAlign w:val="center"/>
            <w:hideMark/>
          </w:tcPr>
          <w:p w14:paraId="74B00A9A"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2019</w:t>
            </w:r>
          </w:p>
        </w:tc>
        <w:tc>
          <w:tcPr>
            <w:tcW w:w="1048" w:type="dxa"/>
            <w:tcBorders>
              <w:top w:val="single" w:sz="12" w:space="0" w:color="auto"/>
              <w:bottom w:val="single" w:sz="4" w:space="0" w:color="auto"/>
            </w:tcBorders>
            <w:shd w:val="clear" w:color="auto" w:fill="auto"/>
            <w:noWrap/>
            <w:vAlign w:val="center"/>
            <w:hideMark/>
          </w:tcPr>
          <w:p w14:paraId="2093BB2C"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2020</w:t>
            </w:r>
          </w:p>
        </w:tc>
      </w:tr>
      <w:tr w:rsidR="00440FCF" w:rsidRPr="00ED10E8" w14:paraId="355D743E" w14:textId="77777777" w:rsidTr="004B1096">
        <w:trPr>
          <w:trHeight w:val="340"/>
        </w:trPr>
        <w:tc>
          <w:tcPr>
            <w:tcW w:w="3402" w:type="dxa"/>
            <w:tcBorders>
              <w:top w:val="single" w:sz="4" w:space="0" w:color="auto"/>
            </w:tcBorders>
            <w:shd w:val="clear" w:color="auto" w:fill="auto"/>
            <w:noWrap/>
            <w:vAlign w:val="center"/>
            <w:hideMark/>
          </w:tcPr>
          <w:p w14:paraId="7816151F"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Operating income</w:t>
            </w:r>
          </w:p>
        </w:tc>
        <w:tc>
          <w:tcPr>
            <w:tcW w:w="1047" w:type="dxa"/>
            <w:tcBorders>
              <w:top w:val="single" w:sz="4" w:space="0" w:color="auto"/>
            </w:tcBorders>
            <w:shd w:val="clear" w:color="auto" w:fill="auto"/>
            <w:noWrap/>
            <w:vAlign w:val="center"/>
            <w:hideMark/>
          </w:tcPr>
          <w:p w14:paraId="02354BB7"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72.3</w:t>
            </w:r>
          </w:p>
        </w:tc>
        <w:tc>
          <w:tcPr>
            <w:tcW w:w="1048" w:type="dxa"/>
            <w:tcBorders>
              <w:top w:val="single" w:sz="4" w:space="0" w:color="auto"/>
            </w:tcBorders>
            <w:shd w:val="clear" w:color="auto" w:fill="auto"/>
            <w:noWrap/>
            <w:vAlign w:val="center"/>
            <w:hideMark/>
          </w:tcPr>
          <w:p w14:paraId="51A64BEC"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43.48</w:t>
            </w:r>
          </w:p>
        </w:tc>
        <w:tc>
          <w:tcPr>
            <w:tcW w:w="1047" w:type="dxa"/>
            <w:tcBorders>
              <w:top w:val="single" w:sz="4" w:space="0" w:color="auto"/>
            </w:tcBorders>
            <w:shd w:val="clear" w:color="auto" w:fill="auto"/>
            <w:noWrap/>
            <w:vAlign w:val="center"/>
            <w:hideMark/>
          </w:tcPr>
          <w:p w14:paraId="73BB8F86"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23.44</w:t>
            </w:r>
          </w:p>
        </w:tc>
        <w:tc>
          <w:tcPr>
            <w:tcW w:w="1048" w:type="dxa"/>
            <w:tcBorders>
              <w:top w:val="single" w:sz="4" w:space="0" w:color="auto"/>
            </w:tcBorders>
            <w:shd w:val="clear" w:color="auto" w:fill="auto"/>
            <w:noWrap/>
            <w:vAlign w:val="center"/>
            <w:hideMark/>
          </w:tcPr>
          <w:p w14:paraId="7D7E0302"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14.31</w:t>
            </w:r>
          </w:p>
        </w:tc>
        <w:tc>
          <w:tcPr>
            <w:tcW w:w="1048" w:type="dxa"/>
            <w:tcBorders>
              <w:top w:val="single" w:sz="4" w:space="0" w:color="auto"/>
            </w:tcBorders>
            <w:shd w:val="clear" w:color="auto" w:fill="auto"/>
            <w:noWrap/>
            <w:vAlign w:val="center"/>
            <w:hideMark/>
          </w:tcPr>
          <w:p w14:paraId="66466354"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12.07</w:t>
            </w:r>
          </w:p>
        </w:tc>
      </w:tr>
      <w:tr w:rsidR="00440FCF" w:rsidRPr="00ED10E8" w14:paraId="3C86EBA5" w14:textId="77777777" w:rsidTr="004B1096">
        <w:trPr>
          <w:trHeight w:val="340"/>
        </w:trPr>
        <w:tc>
          <w:tcPr>
            <w:tcW w:w="3402" w:type="dxa"/>
            <w:shd w:val="clear" w:color="auto" w:fill="auto"/>
            <w:noWrap/>
            <w:vAlign w:val="center"/>
            <w:hideMark/>
          </w:tcPr>
          <w:p w14:paraId="5D41497C"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Selling expenses</w:t>
            </w:r>
          </w:p>
        </w:tc>
        <w:tc>
          <w:tcPr>
            <w:tcW w:w="1047" w:type="dxa"/>
            <w:shd w:val="clear" w:color="auto" w:fill="auto"/>
            <w:noWrap/>
            <w:vAlign w:val="center"/>
            <w:hideMark/>
          </w:tcPr>
          <w:p w14:paraId="2CAD0785"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2.94</w:t>
            </w:r>
          </w:p>
        </w:tc>
        <w:tc>
          <w:tcPr>
            <w:tcW w:w="1048" w:type="dxa"/>
            <w:shd w:val="clear" w:color="auto" w:fill="auto"/>
            <w:noWrap/>
            <w:vAlign w:val="center"/>
            <w:hideMark/>
          </w:tcPr>
          <w:p w14:paraId="05063B42"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2.39</w:t>
            </w:r>
          </w:p>
        </w:tc>
        <w:tc>
          <w:tcPr>
            <w:tcW w:w="1047" w:type="dxa"/>
            <w:shd w:val="clear" w:color="auto" w:fill="auto"/>
            <w:noWrap/>
            <w:vAlign w:val="center"/>
            <w:hideMark/>
          </w:tcPr>
          <w:p w14:paraId="5B1C0075"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2.03</w:t>
            </w:r>
          </w:p>
        </w:tc>
        <w:tc>
          <w:tcPr>
            <w:tcW w:w="1048" w:type="dxa"/>
            <w:shd w:val="clear" w:color="auto" w:fill="auto"/>
            <w:noWrap/>
            <w:vAlign w:val="center"/>
            <w:hideMark/>
          </w:tcPr>
          <w:p w14:paraId="5C4A6C28"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1.36</w:t>
            </w:r>
          </w:p>
        </w:tc>
        <w:tc>
          <w:tcPr>
            <w:tcW w:w="1048" w:type="dxa"/>
            <w:shd w:val="clear" w:color="auto" w:fill="auto"/>
            <w:noWrap/>
            <w:vAlign w:val="center"/>
            <w:hideMark/>
          </w:tcPr>
          <w:p w14:paraId="2E242AB3"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1.05</w:t>
            </w:r>
          </w:p>
        </w:tc>
      </w:tr>
      <w:tr w:rsidR="00440FCF" w:rsidRPr="00ED10E8" w14:paraId="1487385C" w14:textId="77777777" w:rsidTr="004B1096">
        <w:trPr>
          <w:trHeight w:val="340"/>
        </w:trPr>
        <w:tc>
          <w:tcPr>
            <w:tcW w:w="3402" w:type="dxa"/>
            <w:shd w:val="clear" w:color="auto" w:fill="auto"/>
            <w:noWrap/>
            <w:vAlign w:val="center"/>
            <w:hideMark/>
          </w:tcPr>
          <w:p w14:paraId="1F0AF1E2"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Management fees</w:t>
            </w:r>
          </w:p>
        </w:tc>
        <w:tc>
          <w:tcPr>
            <w:tcW w:w="1047" w:type="dxa"/>
            <w:shd w:val="clear" w:color="auto" w:fill="auto"/>
            <w:noWrap/>
            <w:vAlign w:val="center"/>
            <w:hideMark/>
          </w:tcPr>
          <w:p w14:paraId="01EE35E2"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11.9</w:t>
            </w:r>
          </w:p>
        </w:tc>
        <w:tc>
          <w:tcPr>
            <w:tcW w:w="1048" w:type="dxa"/>
            <w:shd w:val="clear" w:color="auto" w:fill="auto"/>
            <w:noWrap/>
            <w:vAlign w:val="center"/>
            <w:hideMark/>
          </w:tcPr>
          <w:p w14:paraId="2A95DD38"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6.78</w:t>
            </w:r>
          </w:p>
        </w:tc>
        <w:tc>
          <w:tcPr>
            <w:tcW w:w="1047" w:type="dxa"/>
            <w:shd w:val="clear" w:color="auto" w:fill="auto"/>
            <w:noWrap/>
            <w:vAlign w:val="center"/>
            <w:hideMark/>
          </w:tcPr>
          <w:p w14:paraId="52547713"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5.21</w:t>
            </w:r>
          </w:p>
        </w:tc>
        <w:tc>
          <w:tcPr>
            <w:tcW w:w="1048" w:type="dxa"/>
            <w:shd w:val="clear" w:color="auto" w:fill="auto"/>
            <w:noWrap/>
            <w:vAlign w:val="center"/>
            <w:hideMark/>
          </w:tcPr>
          <w:p w14:paraId="0D68FA8F"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3.37</w:t>
            </w:r>
          </w:p>
        </w:tc>
        <w:tc>
          <w:tcPr>
            <w:tcW w:w="1048" w:type="dxa"/>
            <w:shd w:val="clear" w:color="auto" w:fill="auto"/>
            <w:noWrap/>
            <w:vAlign w:val="center"/>
            <w:hideMark/>
          </w:tcPr>
          <w:p w14:paraId="0F60ED95"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2.99</w:t>
            </w:r>
          </w:p>
        </w:tc>
      </w:tr>
      <w:tr w:rsidR="00440FCF" w:rsidRPr="00ED10E8" w14:paraId="4EFECFBE" w14:textId="77777777" w:rsidTr="004B1096">
        <w:trPr>
          <w:trHeight w:val="340"/>
        </w:trPr>
        <w:tc>
          <w:tcPr>
            <w:tcW w:w="3402" w:type="dxa"/>
            <w:shd w:val="clear" w:color="auto" w:fill="auto"/>
            <w:noWrap/>
            <w:vAlign w:val="center"/>
            <w:hideMark/>
          </w:tcPr>
          <w:p w14:paraId="2289E2FC"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R&amp;D expenses</w:t>
            </w:r>
          </w:p>
        </w:tc>
        <w:tc>
          <w:tcPr>
            <w:tcW w:w="1047" w:type="dxa"/>
            <w:shd w:val="clear" w:color="auto" w:fill="auto"/>
            <w:noWrap/>
            <w:vAlign w:val="center"/>
            <w:hideMark/>
          </w:tcPr>
          <w:p w14:paraId="1ED5B4EA"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w:t>
            </w:r>
          </w:p>
        </w:tc>
        <w:tc>
          <w:tcPr>
            <w:tcW w:w="1048" w:type="dxa"/>
            <w:shd w:val="clear" w:color="auto" w:fill="auto"/>
            <w:noWrap/>
            <w:vAlign w:val="center"/>
            <w:hideMark/>
          </w:tcPr>
          <w:p w14:paraId="078A46E9"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5.16</w:t>
            </w:r>
          </w:p>
        </w:tc>
        <w:tc>
          <w:tcPr>
            <w:tcW w:w="1047" w:type="dxa"/>
            <w:shd w:val="clear" w:color="auto" w:fill="auto"/>
            <w:noWrap/>
            <w:vAlign w:val="center"/>
            <w:hideMark/>
          </w:tcPr>
          <w:p w14:paraId="5ECEFA36"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3.13</w:t>
            </w:r>
          </w:p>
        </w:tc>
        <w:tc>
          <w:tcPr>
            <w:tcW w:w="1048" w:type="dxa"/>
            <w:shd w:val="clear" w:color="auto" w:fill="auto"/>
            <w:noWrap/>
            <w:vAlign w:val="center"/>
            <w:hideMark/>
          </w:tcPr>
          <w:p w14:paraId="4561D1D8"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2.75</w:t>
            </w:r>
          </w:p>
        </w:tc>
        <w:tc>
          <w:tcPr>
            <w:tcW w:w="1048" w:type="dxa"/>
            <w:shd w:val="clear" w:color="auto" w:fill="auto"/>
            <w:noWrap/>
            <w:vAlign w:val="center"/>
            <w:hideMark/>
          </w:tcPr>
          <w:p w14:paraId="54BC1858"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2.94</w:t>
            </w:r>
          </w:p>
        </w:tc>
      </w:tr>
      <w:tr w:rsidR="00440FCF" w:rsidRPr="00ED10E8" w14:paraId="0A889829" w14:textId="77777777" w:rsidTr="004B1096">
        <w:trPr>
          <w:trHeight w:val="340"/>
        </w:trPr>
        <w:tc>
          <w:tcPr>
            <w:tcW w:w="3402" w:type="dxa"/>
            <w:shd w:val="clear" w:color="auto" w:fill="auto"/>
            <w:noWrap/>
            <w:vAlign w:val="center"/>
            <w:hideMark/>
          </w:tcPr>
          <w:p w14:paraId="20749BD2"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Operating profit</w:t>
            </w:r>
          </w:p>
        </w:tc>
        <w:tc>
          <w:tcPr>
            <w:tcW w:w="1047" w:type="dxa"/>
            <w:shd w:val="clear" w:color="auto" w:fill="auto"/>
            <w:noWrap/>
            <w:vAlign w:val="center"/>
            <w:hideMark/>
          </w:tcPr>
          <w:p w14:paraId="348A7B11"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-19.22</w:t>
            </w:r>
          </w:p>
        </w:tc>
        <w:tc>
          <w:tcPr>
            <w:tcW w:w="1048" w:type="dxa"/>
            <w:shd w:val="clear" w:color="auto" w:fill="auto"/>
            <w:noWrap/>
            <w:vAlign w:val="center"/>
            <w:hideMark/>
          </w:tcPr>
          <w:p w14:paraId="3FA0025C"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-28.1</w:t>
            </w:r>
          </w:p>
        </w:tc>
        <w:tc>
          <w:tcPr>
            <w:tcW w:w="1047" w:type="dxa"/>
            <w:shd w:val="clear" w:color="auto" w:fill="auto"/>
            <w:noWrap/>
            <w:vAlign w:val="center"/>
            <w:hideMark/>
          </w:tcPr>
          <w:p w14:paraId="78874C53"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5.72</w:t>
            </w:r>
          </w:p>
        </w:tc>
        <w:tc>
          <w:tcPr>
            <w:tcW w:w="1048" w:type="dxa"/>
            <w:shd w:val="clear" w:color="auto" w:fill="auto"/>
            <w:noWrap/>
            <w:vAlign w:val="center"/>
            <w:hideMark/>
          </w:tcPr>
          <w:p w14:paraId="7988023C"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-9.39</w:t>
            </w:r>
          </w:p>
        </w:tc>
        <w:tc>
          <w:tcPr>
            <w:tcW w:w="1048" w:type="dxa"/>
            <w:shd w:val="clear" w:color="auto" w:fill="auto"/>
            <w:noWrap/>
            <w:vAlign w:val="center"/>
            <w:hideMark/>
          </w:tcPr>
          <w:p w14:paraId="71CAC230"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-16.03</w:t>
            </w:r>
          </w:p>
        </w:tc>
      </w:tr>
      <w:tr w:rsidR="00440FCF" w:rsidRPr="00ED10E8" w14:paraId="3946FE02" w14:textId="77777777" w:rsidTr="004B1096">
        <w:trPr>
          <w:trHeight w:val="340"/>
        </w:trPr>
        <w:tc>
          <w:tcPr>
            <w:tcW w:w="3402" w:type="dxa"/>
            <w:shd w:val="clear" w:color="auto" w:fill="auto"/>
            <w:noWrap/>
            <w:vAlign w:val="center"/>
            <w:hideMark/>
          </w:tcPr>
          <w:p w14:paraId="354225F3"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Net profit</w:t>
            </w:r>
          </w:p>
        </w:tc>
        <w:tc>
          <w:tcPr>
            <w:tcW w:w="1047" w:type="dxa"/>
            <w:shd w:val="clear" w:color="auto" w:fill="auto"/>
            <w:noWrap/>
            <w:vAlign w:val="center"/>
            <w:hideMark/>
          </w:tcPr>
          <w:p w14:paraId="45B6B8F0"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-18.08</w:t>
            </w:r>
          </w:p>
        </w:tc>
        <w:tc>
          <w:tcPr>
            <w:tcW w:w="1048" w:type="dxa"/>
            <w:shd w:val="clear" w:color="auto" w:fill="auto"/>
            <w:noWrap/>
            <w:vAlign w:val="center"/>
            <w:hideMark/>
          </w:tcPr>
          <w:p w14:paraId="0DE1AAFA"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-28.07</w:t>
            </w:r>
          </w:p>
        </w:tc>
        <w:tc>
          <w:tcPr>
            <w:tcW w:w="1047" w:type="dxa"/>
            <w:shd w:val="clear" w:color="auto" w:fill="auto"/>
            <w:noWrap/>
            <w:vAlign w:val="center"/>
            <w:hideMark/>
          </w:tcPr>
          <w:p w14:paraId="2568FFDB"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5.55</w:t>
            </w:r>
          </w:p>
        </w:tc>
        <w:tc>
          <w:tcPr>
            <w:tcW w:w="1048" w:type="dxa"/>
            <w:shd w:val="clear" w:color="auto" w:fill="auto"/>
            <w:noWrap/>
            <w:vAlign w:val="center"/>
            <w:hideMark/>
          </w:tcPr>
          <w:p w14:paraId="482C2F87"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-9.95</w:t>
            </w:r>
          </w:p>
        </w:tc>
        <w:tc>
          <w:tcPr>
            <w:tcW w:w="1048" w:type="dxa"/>
            <w:shd w:val="clear" w:color="auto" w:fill="auto"/>
            <w:noWrap/>
            <w:vAlign w:val="center"/>
            <w:hideMark/>
          </w:tcPr>
          <w:p w14:paraId="62282602"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-17.38</w:t>
            </w:r>
          </w:p>
        </w:tc>
      </w:tr>
      <w:tr w:rsidR="00440FCF" w:rsidRPr="00ED10E8" w14:paraId="6C12EFFA" w14:textId="77777777" w:rsidTr="004B1096">
        <w:trPr>
          <w:trHeight w:val="340"/>
        </w:trPr>
        <w:tc>
          <w:tcPr>
            <w:tcW w:w="3402" w:type="dxa"/>
            <w:shd w:val="clear" w:color="auto" w:fill="auto"/>
            <w:noWrap/>
            <w:vAlign w:val="center"/>
            <w:hideMark/>
          </w:tcPr>
          <w:p w14:paraId="738B600D"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Net profit attributable to shareholders of the parent company</w:t>
            </w:r>
          </w:p>
        </w:tc>
        <w:tc>
          <w:tcPr>
            <w:tcW w:w="1047" w:type="dxa"/>
            <w:shd w:val="clear" w:color="auto" w:fill="auto"/>
            <w:noWrap/>
            <w:vAlign w:val="center"/>
            <w:hideMark/>
          </w:tcPr>
          <w:p w14:paraId="44F0BDF2"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-17.76</w:t>
            </w:r>
          </w:p>
        </w:tc>
        <w:tc>
          <w:tcPr>
            <w:tcW w:w="1048" w:type="dxa"/>
            <w:shd w:val="clear" w:color="auto" w:fill="auto"/>
            <w:noWrap/>
            <w:vAlign w:val="center"/>
            <w:hideMark/>
          </w:tcPr>
          <w:p w14:paraId="62B3C40E"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-26.49</w:t>
            </w:r>
          </w:p>
        </w:tc>
        <w:tc>
          <w:tcPr>
            <w:tcW w:w="1047" w:type="dxa"/>
            <w:shd w:val="clear" w:color="auto" w:fill="auto"/>
            <w:noWrap/>
            <w:vAlign w:val="center"/>
            <w:hideMark/>
          </w:tcPr>
          <w:p w14:paraId="25753071"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5.64</w:t>
            </w:r>
          </w:p>
        </w:tc>
        <w:tc>
          <w:tcPr>
            <w:tcW w:w="1048" w:type="dxa"/>
            <w:shd w:val="clear" w:color="auto" w:fill="auto"/>
            <w:noWrap/>
            <w:vAlign w:val="center"/>
            <w:hideMark/>
          </w:tcPr>
          <w:p w14:paraId="1BD03359"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-8.99</w:t>
            </w:r>
          </w:p>
        </w:tc>
        <w:tc>
          <w:tcPr>
            <w:tcW w:w="1048" w:type="dxa"/>
            <w:shd w:val="clear" w:color="auto" w:fill="auto"/>
            <w:noWrap/>
            <w:vAlign w:val="center"/>
            <w:hideMark/>
          </w:tcPr>
          <w:p w14:paraId="1D4E9E13"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-13.64</w:t>
            </w:r>
          </w:p>
        </w:tc>
      </w:tr>
      <w:tr w:rsidR="00440FCF" w:rsidRPr="00ED10E8" w14:paraId="78A0E6A2" w14:textId="77777777" w:rsidTr="004B1096">
        <w:trPr>
          <w:trHeight w:val="340"/>
        </w:trPr>
        <w:tc>
          <w:tcPr>
            <w:tcW w:w="3402" w:type="dxa"/>
            <w:shd w:val="clear" w:color="auto" w:fill="auto"/>
            <w:noWrap/>
            <w:vAlign w:val="center"/>
            <w:hideMark/>
          </w:tcPr>
          <w:p w14:paraId="2D8D490D"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Net profit after deduction of non-recurring gains and losses</w:t>
            </w:r>
          </w:p>
        </w:tc>
        <w:tc>
          <w:tcPr>
            <w:tcW w:w="1047" w:type="dxa"/>
            <w:shd w:val="clear" w:color="auto" w:fill="auto"/>
            <w:noWrap/>
            <w:vAlign w:val="center"/>
            <w:hideMark/>
          </w:tcPr>
          <w:p w14:paraId="20383BAF"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-18.73</w:t>
            </w:r>
          </w:p>
        </w:tc>
        <w:tc>
          <w:tcPr>
            <w:tcW w:w="1048" w:type="dxa"/>
            <w:shd w:val="clear" w:color="auto" w:fill="auto"/>
            <w:noWrap/>
            <w:vAlign w:val="center"/>
            <w:hideMark/>
          </w:tcPr>
          <w:p w14:paraId="285678C0"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-30.33</w:t>
            </w:r>
          </w:p>
        </w:tc>
        <w:tc>
          <w:tcPr>
            <w:tcW w:w="1047" w:type="dxa"/>
            <w:shd w:val="clear" w:color="auto" w:fill="auto"/>
            <w:noWrap/>
            <w:vAlign w:val="center"/>
            <w:hideMark/>
          </w:tcPr>
          <w:p w14:paraId="18631EDE"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-11.29</w:t>
            </w:r>
          </w:p>
        </w:tc>
        <w:tc>
          <w:tcPr>
            <w:tcW w:w="1048" w:type="dxa"/>
            <w:shd w:val="clear" w:color="auto" w:fill="auto"/>
            <w:noWrap/>
            <w:vAlign w:val="center"/>
            <w:hideMark/>
          </w:tcPr>
          <w:p w14:paraId="2DA3D835"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-9.7</w:t>
            </w:r>
          </w:p>
        </w:tc>
        <w:tc>
          <w:tcPr>
            <w:tcW w:w="1048" w:type="dxa"/>
            <w:shd w:val="clear" w:color="auto" w:fill="auto"/>
            <w:noWrap/>
            <w:vAlign w:val="center"/>
            <w:hideMark/>
          </w:tcPr>
          <w:p w14:paraId="01AA2D85" w14:textId="77777777" w:rsidR="00ED10E8" w:rsidRPr="00ED10E8" w:rsidRDefault="00ED10E8" w:rsidP="004B1096">
            <w:pPr>
              <w:widowControl/>
              <w:jc w:val="center"/>
              <w:rPr>
                <w:rFonts w:ascii="Times New Roman" w:eastAsia="等线" w:hAnsi="Times New Roman" w:cs="Times New Roman"/>
                <w:color w:val="000000"/>
                <w:kern w:val="0"/>
                <w:sz w:val="22"/>
              </w:rPr>
            </w:pPr>
            <w:r w:rsidRPr="00ED10E8">
              <w:rPr>
                <w:rFonts w:ascii="Times New Roman" w:eastAsia="等线" w:hAnsi="Times New Roman" w:cs="Times New Roman"/>
                <w:color w:val="000000"/>
                <w:kern w:val="0"/>
                <w:sz w:val="22"/>
              </w:rPr>
              <w:t>-14.05</w:t>
            </w:r>
          </w:p>
        </w:tc>
      </w:tr>
    </w:tbl>
    <w:p w14:paraId="6FAB1188" w14:textId="677AA40C" w:rsidR="00ED10E8" w:rsidRPr="00B15CD3" w:rsidRDefault="00440FCF" w:rsidP="00B15CD3">
      <w:pPr>
        <w:spacing w:afterLines="50" w:after="156"/>
        <w:rPr>
          <w:rFonts w:ascii="Times New Roman" w:hAnsi="Times New Roman" w:cs="Times New Roman"/>
          <w:szCs w:val="24"/>
        </w:rPr>
      </w:pPr>
      <w:r w:rsidRPr="00B15CD3">
        <w:rPr>
          <w:rFonts w:ascii="Times New Roman" w:hAnsi="Times New Roman" w:cs="Times New Roman"/>
          <w:szCs w:val="24"/>
        </w:rPr>
        <w:t xml:space="preserve">Source: Based on </w:t>
      </w:r>
      <w:proofErr w:type="spellStart"/>
      <w:r w:rsidRPr="00B15CD3">
        <w:rPr>
          <w:rFonts w:ascii="Times New Roman" w:hAnsi="Times New Roman" w:cs="Times New Roman"/>
          <w:szCs w:val="24"/>
        </w:rPr>
        <w:t>Datang</w:t>
      </w:r>
      <w:proofErr w:type="spellEnd"/>
      <w:r w:rsidRPr="00B15CD3">
        <w:rPr>
          <w:rFonts w:ascii="Times New Roman" w:hAnsi="Times New Roman" w:cs="Times New Roman"/>
          <w:szCs w:val="24"/>
        </w:rPr>
        <w:t xml:space="preserve"> Telecom's 2016-2020 financial reports</w:t>
      </w:r>
    </w:p>
    <w:p w14:paraId="39E918DE" w14:textId="3CFC53F1" w:rsidR="00440FCF" w:rsidRDefault="00661864" w:rsidP="00B37F1F">
      <w:pPr>
        <w:rPr>
          <w:rFonts w:ascii="Times New Roman" w:hAnsi="Times New Roman" w:cs="Times New Roman"/>
          <w:b/>
          <w:sz w:val="28"/>
          <w:szCs w:val="24"/>
        </w:rPr>
      </w:pPr>
      <w:r>
        <w:rPr>
          <w:rFonts w:ascii="Times New Roman" w:hAnsi="Times New Roman" w:cs="Times New Roman"/>
          <w:b/>
          <w:noProof/>
          <w:sz w:val="28"/>
          <w:szCs w:val="24"/>
        </w:rPr>
        <w:lastRenderedPageBreak/>
        <w:drawing>
          <wp:inline distT="0" distB="0" distL="0" distR="0" wp14:anchorId="7E13FA3C" wp14:editId="4E572E02">
            <wp:extent cx="5288280" cy="3397837"/>
            <wp:effectExtent l="0" t="0" r="762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07176" cy="3409978"/>
                    </a:xfrm>
                    <a:prstGeom prst="rect">
                      <a:avLst/>
                    </a:prstGeom>
                    <a:noFill/>
                  </pic:spPr>
                </pic:pic>
              </a:graphicData>
            </a:graphic>
          </wp:inline>
        </w:drawing>
      </w:r>
    </w:p>
    <w:p w14:paraId="5E34AAAB" w14:textId="5EC41A5E" w:rsidR="00406442" w:rsidRPr="00B15CD3" w:rsidRDefault="00406442" w:rsidP="00406442">
      <w:pPr>
        <w:rPr>
          <w:rFonts w:ascii="Times New Roman" w:hAnsi="Times New Roman" w:cs="Times New Roman"/>
          <w:szCs w:val="24"/>
        </w:rPr>
      </w:pPr>
      <w:r w:rsidRPr="00B15CD3">
        <w:rPr>
          <w:rFonts w:ascii="Times New Roman" w:hAnsi="Times New Roman" w:cs="Times New Roman"/>
          <w:szCs w:val="24"/>
        </w:rPr>
        <w:t xml:space="preserve">Figure </w:t>
      </w:r>
      <w:r w:rsidR="00923347" w:rsidRPr="00B15CD3">
        <w:rPr>
          <w:rFonts w:ascii="Times New Roman" w:hAnsi="Times New Roman" w:cs="Times New Roman"/>
          <w:szCs w:val="24"/>
        </w:rPr>
        <w:t>3</w:t>
      </w:r>
      <w:r w:rsidRPr="00B15CD3">
        <w:rPr>
          <w:rFonts w:ascii="Times New Roman" w:hAnsi="Times New Roman" w:cs="Times New Roman"/>
          <w:szCs w:val="24"/>
        </w:rPr>
        <w:t>.1 Trend chart of some items in the income statement of DT Telecom from 2016 to 2020</w:t>
      </w:r>
    </w:p>
    <w:p w14:paraId="5A3B6541" w14:textId="33A864ED" w:rsidR="00406442" w:rsidRPr="00B15CD3" w:rsidRDefault="00406442" w:rsidP="00DA6F13">
      <w:pPr>
        <w:rPr>
          <w:rFonts w:ascii="Times New Roman" w:hAnsi="Times New Roman" w:cs="Times New Roman"/>
          <w:szCs w:val="24"/>
        </w:rPr>
      </w:pPr>
      <w:r w:rsidRPr="00B15CD3">
        <w:rPr>
          <w:rFonts w:ascii="Times New Roman" w:hAnsi="Times New Roman" w:cs="Times New Roman"/>
          <w:szCs w:val="24"/>
        </w:rPr>
        <w:t xml:space="preserve">Source: Based on </w:t>
      </w:r>
      <w:proofErr w:type="spellStart"/>
      <w:r w:rsidRPr="00B15CD3">
        <w:rPr>
          <w:rFonts w:ascii="Times New Roman" w:hAnsi="Times New Roman" w:cs="Times New Roman"/>
          <w:szCs w:val="24"/>
        </w:rPr>
        <w:t>Datang</w:t>
      </w:r>
      <w:proofErr w:type="spellEnd"/>
      <w:r w:rsidRPr="00B15CD3">
        <w:rPr>
          <w:rFonts w:ascii="Times New Roman" w:hAnsi="Times New Roman" w:cs="Times New Roman"/>
          <w:szCs w:val="24"/>
        </w:rPr>
        <w:t xml:space="preserve"> Telecom's 2016-2020 financial reports</w:t>
      </w:r>
    </w:p>
    <w:p w14:paraId="5DDA1314" w14:textId="4C0FFBDB" w:rsidR="00406442" w:rsidRPr="00923347" w:rsidRDefault="00923347" w:rsidP="00923347">
      <w:pPr>
        <w:outlineLvl w:val="2"/>
        <w:rPr>
          <w:rFonts w:ascii="Times New Roman" w:hAnsi="Times New Roman" w:cs="Times New Roman"/>
          <w:b/>
          <w:sz w:val="24"/>
          <w:szCs w:val="24"/>
        </w:rPr>
      </w:pPr>
      <w:bookmarkStart w:id="13" w:name="_Toc130830428"/>
      <w:r w:rsidRPr="004278F0">
        <w:rPr>
          <w:rFonts w:ascii="Times New Roman" w:hAnsi="Times New Roman" w:cs="Times New Roman"/>
          <w:b/>
          <w:sz w:val="28"/>
          <w:szCs w:val="24"/>
        </w:rPr>
        <w:t>3.</w:t>
      </w:r>
      <w:r>
        <w:rPr>
          <w:rFonts w:ascii="Times New Roman" w:hAnsi="Times New Roman" w:cs="Times New Roman"/>
          <w:b/>
          <w:sz w:val="28"/>
          <w:szCs w:val="24"/>
        </w:rPr>
        <w:t>2</w:t>
      </w:r>
      <w:r w:rsidRPr="004278F0">
        <w:rPr>
          <w:rFonts w:ascii="Times New Roman" w:hAnsi="Times New Roman" w:cs="Times New Roman"/>
          <w:b/>
          <w:sz w:val="28"/>
          <w:szCs w:val="24"/>
        </w:rPr>
        <w:t>.</w:t>
      </w:r>
      <w:r>
        <w:rPr>
          <w:rFonts w:ascii="Times New Roman" w:hAnsi="Times New Roman" w:cs="Times New Roman"/>
          <w:b/>
          <w:sz w:val="28"/>
          <w:szCs w:val="24"/>
        </w:rPr>
        <w:t>2</w:t>
      </w:r>
      <w:r w:rsidRPr="004278F0">
        <w:rPr>
          <w:rFonts w:ascii="Times New Roman" w:hAnsi="Times New Roman" w:cs="Times New Roman"/>
          <w:b/>
          <w:sz w:val="28"/>
          <w:szCs w:val="24"/>
        </w:rPr>
        <w:t xml:space="preserve"> </w:t>
      </w:r>
      <w:r w:rsidRPr="00406442">
        <w:rPr>
          <w:rFonts w:ascii="Times New Roman" w:hAnsi="Times New Roman" w:cs="Times New Roman"/>
          <w:b/>
          <w:sz w:val="28"/>
          <w:szCs w:val="24"/>
        </w:rPr>
        <w:t>Identify non-recurring P&amp;L items</w:t>
      </w:r>
      <w:bookmarkEnd w:id="13"/>
    </w:p>
    <w:p w14:paraId="39EC6282" w14:textId="7440CB20" w:rsidR="00406442" w:rsidRPr="00D55507" w:rsidRDefault="00406442" w:rsidP="00D55507">
      <w:pPr>
        <w:widowControl/>
        <w:spacing w:afterLines="50" w:after="156" w:line="259" w:lineRule="auto"/>
        <w:rPr>
          <w:rFonts w:ascii="Times New Roman" w:hAnsi="Times New Roman" w:cs="Times New Roman"/>
          <w:kern w:val="0"/>
          <w:sz w:val="24"/>
          <w:szCs w:val="24"/>
          <w:lang w:val="en-GB" w:eastAsia="en-US"/>
        </w:rPr>
      </w:pPr>
      <w:r w:rsidRPr="00D55507">
        <w:rPr>
          <w:rFonts w:ascii="Times New Roman" w:hAnsi="Times New Roman" w:cs="Times New Roman"/>
          <w:kern w:val="0"/>
          <w:sz w:val="24"/>
          <w:szCs w:val="24"/>
          <w:lang w:val="en-GB" w:eastAsia="en-US"/>
        </w:rPr>
        <w:t xml:space="preserve">Using non-recurring profit and loss items to identify A Through the previous analysis, it can be seen that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Telecom's continuous operation ability and product profitability are limited, and it is more difficult to turn around losses by operating activities alone. There are many tools that enterprises can use to carry out earnings management activities, and one of the more common means is non-recurring profit and loss, so it is necessary to analyze its non-recurring profit and loss items. According to Table </w:t>
      </w:r>
      <w:r w:rsidR="00923347" w:rsidRPr="00D55507">
        <w:rPr>
          <w:rFonts w:ascii="Times New Roman" w:hAnsi="Times New Roman" w:cs="Times New Roman"/>
          <w:kern w:val="0"/>
          <w:sz w:val="24"/>
          <w:szCs w:val="24"/>
          <w:lang w:val="en-GB" w:eastAsia="en-US"/>
        </w:rPr>
        <w:t>3</w:t>
      </w:r>
      <w:r w:rsidRPr="00D55507">
        <w:rPr>
          <w:rFonts w:ascii="Times New Roman" w:hAnsi="Times New Roman" w:cs="Times New Roman"/>
          <w:kern w:val="0"/>
          <w:sz w:val="24"/>
          <w:szCs w:val="24"/>
          <w:lang w:val="en-GB" w:eastAsia="en-US"/>
        </w:rPr>
        <w:t>.</w:t>
      </w:r>
      <w:r w:rsidR="00923347" w:rsidRPr="00D55507">
        <w:rPr>
          <w:rFonts w:ascii="Times New Roman" w:hAnsi="Times New Roman" w:cs="Times New Roman"/>
          <w:kern w:val="0"/>
          <w:sz w:val="24"/>
          <w:szCs w:val="24"/>
          <w:lang w:val="en-GB" w:eastAsia="en-US"/>
        </w:rPr>
        <w:t>3</w:t>
      </w:r>
      <w:r w:rsidRPr="00D55507">
        <w:rPr>
          <w:rFonts w:ascii="Times New Roman" w:hAnsi="Times New Roman" w:cs="Times New Roman"/>
          <w:kern w:val="0"/>
          <w:sz w:val="24"/>
          <w:szCs w:val="24"/>
          <w:lang w:val="en-GB" w:eastAsia="en-US"/>
        </w:rPr>
        <w:t xml:space="preserve">,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Telecom's non-recurring profit and loss items in 2018 have a large difference compared with other years, and their total amount has reached a peak in the past five years. Through the analysis of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Telecom's financial statement data, it can be found that its non-current asset disposal profit and loss, non-monetary asset exchange profit and loss, capital occupation fee included in the current profit and loss and other amounts are relatively large, and relatively speaking, the fluctuation level of government subsidies and other non-operating income and expenditure is relatively stable. Therefore, it is very likely that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 has implemented real earnings management by utilizing the following three items.</w:t>
      </w:r>
    </w:p>
    <w:p w14:paraId="008535AD" w14:textId="1168EF43" w:rsidR="00B15CD3" w:rsidRDefault="00406442" w:rsidP="00B15CD3">
      <w:pPr>
        <w:spacing w:beforeLines="50" w:before="156"/>
        <w:jc w:val="center"/>
        <w:rPr>
          <w:rFonts w:ascii="Times New Roman" w:hAnsi="Times New Roman" w:cs="Times New Roman"/>
          <w:szCs w:val="21"/>
        </w:rPr>
      </w:pPr>
      <w:r w:rsidRPr="00B15CD3">
        <w:rPr>
          <w:rFonts w:ascii="Times New Roman" w:hAnsi="Times New Roman" w:cs="Times New Roman"/>
          <w:szCs w:val="21"/>
        </w:rPr>
        <w:t xml:space="preserve">Table </w:t>
      </w:r>
      <w:r w:rsidR="00923347" w:rsidRPr="00B15CD3">
        <w:rPr>
          <w:rFonts w:ascii="Times New Roman" w:hAnsi="Times New Roman" w:cs="Times New Roman"/>
          <w:szCs w:val="21"/>
        </w:rPr>
        <w:t>3</w:t>
      </w:r>
      <w:r w:rsidRPr="00B15CD3">
        <w:rPr>
          <w:rFonts w:ascii="Times New Roman" w:hAnsi="Times New Roman" w:cs="Times New Roman"/>
          <w:szCs w:val="21"/>
        </w:rPr>
        <w:t>.</w:t>
      </w:r>
      <w:r w:rsidR="00923347" w:rsidRPr="00B15CD3">
        <w:rPr>
          <w:rFonts w:ascii="Times New Roman" w:hAnsi="Times New Roman" w:cs="Times New Roman"/>
          <w:szCs w:val="21"/>
        </w:rPr>
        <w:t>3</w:t>
      </w:r>
      <w:r w:rsidRPr="00B15CD3">
        <w:rPr>
          <w:rFonts w:ascii="Times New Roman" w:hAnsi="Times New Roman" w:cs="Times New Roman"/>
          <w:szCs w:val="21"/>
        </w:rPr>
        <w:t xml:space="preserve"> Some items of non-recurring profit and loss of DT Telecom</w:t>
      </w:r>
    </w:p>
    <w:p w14:paraId="764DCDE1" w14:textId="4E00673C" w:rsidR="00406442" w:rsidRPr="00B15CD3" w:rsidRDefault="00406442" w:rsidP="00B15CD3">
      <w:pPr>
        <w:jc w:val="center"/>
        <w:rPr>
          <w:rFonts w:ascii="Times New Roman" w:hAnsi="Times New Roman" w:cs="Times New Roman"/>
          <w:szCs w:val="21"/>
        </w:rPr>
      </w:pPr>
      <w:r w:rsidRPr="00B15CD3">
        <w:rPr>
          <w:rFonts w:ascii="Times New Roman" w:hAnsi="Times New Roman" w:cs="Times New Roman"/>
          <w:szCs w:val="21"/>
        </w:rPr>
        <w:t xml:space="preserve">from 2016 to 2020 (Unit: ten </w:t>
      </w:r>
      <w:proofErr w:type="gramStart"/>
      <w:r w:rsidRPr="00B15CD3">
        <w:rPr>
          <w:rFonts w:ascii="Times New Roman" w:hAnsi="Times New Roman" w:cs="Times New Roman"/>
          <w:szCs w:val="21"/>
        </w:rPr>
        <w:t>thousand )</w:t>
      </w:r>
      <w:proofErr w:type="gramEnd"/>
    </w:p>
    <w:tbl>
      <w:tblPr>
        <w:tblW w:w="0" w:type="auto"/>
        <w:tblBorders>
          <w:top w:val="single" w:sz="12" w:space="0" w:color="auto"/>
          <w:bottom w:val="single" w:sz="12" w:space="0" w:color="auto"/>
        </w:tblBorders>
        <w:tblLayout w:type="fixed"/>
        <w:tblLook w:val="04A0" w:firstRow="1" w:lastRow="0" w:firstColumn="1" w:lastColumn="0" w:noHBand="0" w:noVBand="1"/>
      </w:tblPr>
      <w:tblGrid>
        <w:gridCol w:w="2268"/>
        <w:gridCol w:w="1207"/>
        <w:gridCol w:w="1208"/>
        <w:gridCol w:w="1207"/>
        <w:gridCol w:w="1208"/>
        <w:gridCol w:w="1208"/>
      </w:tblGrid>
      <w:tr w:rsidR="009825BC" w:rsidRPr="00F360DD" w14:paraId="2026C7AF" w14:textId="77777777" w:rsidTr="004B1096">
        <w:trPr>
          <w:trHeight w:val="340"/>
        </w:trPr>
        <w:tc>
          <w:tcPr>
            <w:tcW w:w="2268" w:type="dxa"/>
            <w:tcBorders>
              <w:top w:val="single" w:sz="12" w:space="0" w:color="auto"/>
              <w:bottom w:val="single" w:sz="4" w:space="0" w:color="auto"/>
            </w:tcBorders>
            <w:shd w:val="clear" w:color="auto" w:fill="auto"/>
            <w:noWrap/>
            <w:vAlign w:val="center"/>
            <w:hideMark/>
          </w:tcPr>
          <w:p w14:paraId="4EE23D61" w14:textId="1800A157"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Non-recurring profit and loss items</w:t>
            </w:r>
          </w:p>
        </w:tc>
        <w:tc>
          <w:tcPr>
            <w:tcW w:w="1207" w:type="dxa"/>
            <w:tcBorders>
              <w:top w:val="single" w:sz="12" w:space="0" w:color="auto"/>
              <w:bottom w:val="single" w:sz="4" w:space="0" w:color="auto"/>
            </w:tcBorders>
            <w:shd w:val="clear" w:color="auto" w:fill="auto"/>
            <w:noWrap/>
            <w:vAlign w:val="center"/>
            <w:hideMark/>
          </w:tcPr>
          <w:p w14:paraId="5859815D" w14:textId="77777777"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2016</w:t>
            </w:r>
          </w:p>
        </w:tc>
        <w:tc>
          <w:tcPr>
            <w:tcW w:w="1208" w:type="dxa"/>
            <w:tcBorders>
              <w:top w:val="single" w:sz="12" w:space="0" w:color="auto"/>
              <w:bottom w:val="single" w:sz="4" w:space="0" w:color="auto"/>
            </w:tcBorders>
            <w:shd w:val="clear" w:color="auto" w:fill="auto"/>
            <w:noWrap/>
            <w:vAlign w:val="center"/>
            <w:hideMark/>
          </w:tcPr>
          <w:p w14:paraId="7CC49F6D" w14:textId="77777777"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2017</w:t>
            </w:r>
          </w:p>
        </w:tc>
        <w:tc>
          <w:tcPr>
            <w:tcW w:w="1207" w:type="dxa"/>
            <w:tcBorders>
              <w:top w:val="single" w:sz="12" w:space="0" w:color="auto"/>
              <w:bottom w:val="single" w:sz="4" w:space="0" w:color="auto"/>
            </w:tcBorders>
            <w:shd w:val="clear" w:color="auto" w:fill="auto"/>
            <w:noWrap/>
            <w:vAlign w:val="center"/>
            <w:hideMark/>
          </w:tcPr>
          <w:p w14:paraId="1E252637" w14:textId="77777777"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2018</w:t>
            </w:r>
          </w:p>
        </w:tc>
        <w:tc>
          <w:tcPr>
            <w:tcW w:w="1208" w:type="dxa"/>
            <w:tcBorders>
              <w:top w:val="single" w:sz="12" w:space="0" w:color="auto"/>
              <w:bottom w:val="single" w:sz="4" w:space="0" w:color="auto"/>
            </w:tcBorders>
            <w:shd w:val="clear" w:color="auto" w:fill="auto"/>
            <w:noWrap/>
            <w:vAlign w:val="center"/>
            <w:hideMark/>
          </w:tcPr>
          <w:p w14:paraId="1237CB26" w14:textId="77777777"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2019</w:t>
            </w:r>
          </w:p>
        </w:tc>
        <w:tc>
          <w:tcPr>
            <w:tcW w:w="1208" w:type="dxa"/>
            <w:tcBorders>
              <w:top w:val="single" w:sz="12" w:space="0" w:color="auto"/>
              <w:bottom w:val="single" w:sz="4" w:space="0" w:color="auto"/>
            </w:tcBorders>
            <w:shd w:val="clear" w:color="auto" w:fill="auto"/>
            <w:noWrap/>
            <w:vAlign w:val="center"/>
            <w:hideMark/>
          </w:tcPr>
          <w:p w14:paraId="01792901" w14:textId="1C65D5A5" w:rsidR="00F360DD" w:rsidRPr="00F360DD" w:rsidRDefault="009825BC" w:rsidP="004B1096">
            <w:pPr>
              <w:widowControl/>
              <w:jc w:val="center"/>
              <w:rPr>
                <w:rFonts w:ascii="Times New Roman" w:eastAsia="等线" w:hAnsi="Times New Roman" w:cs="Times New Roman"/>
                <w:color w:val="000000"/>
                <w:kern w:val="0"/>
                <w:szCs w:val="21"/>
              </w:rPr>
            </w:pPr>
            <w:r w:rsidRPr="009825BC">
              <w:rPr>
                <w:rFonts w:ascii="Times New Roman" w:eastAsia="等线" w:hAnsi="Times New Roman" w:cs="Times New Roman"/>
                <w:color w:val="000000"/>
                <w:kern w:val="0"/>
                <w:szCs w:val="21"/>
              </w:rPr>
              <w:t>2020</w:t>
            </w:r>
          </w:p>
        </w:tc>
      </w:tr>
      <w:tr w:rsidR="009825BC" w:rsidRPr="00F360DD" w14:paraId="4F0D0138" w14:textId="77777777" w:rsidTr="004B1096">
        <w:trPr>
          <w:trHeight w:val="340"/>
        </w:trPr>
        <w:tc>
          <w:tcPr>
            <w:tcW w:w="2268" w:type="dxa"/>
            <w:tcBorders>
              <w:top w:val="single" w:sz="4" w:space="0" w:color="auto"/>
            </w:tcBorders>
            <w:shd w:val="clear" w:color="auto" w:fill="auto"/>
            <w:noWrap/>
            <w:vAlign w:val="center"/>
            <w:hideMark/>
          </w:tcPr>
          <w:p w14:paraId="0AC74086" w14:textId="6B3A3CC7"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lastRenderedPageBreak/>
              <w:t>Gain or loss on disposal of non-current assets</w:t>
            </w:r>
          </w:p>
        </w:tc>
        <w:tc>
          <w:tcPr>
            <w:tcW w:w="1207" w:type="dxa"/>
            <w:tcBorders>
              <w:top w:val="single" w:sz="4" w:space="0" w:color="auto"/>
            </w:tcBorders>
            <w:shd w:val="clear" w:color="auto" w:fill="auto"/>
            <w:noWrap/>
            <w:vAlign w:val="center"/>
            <w:hideMark/>
          </w:tcPr>
          <w:p w14:paraId="1902F949" w14:textId="43FF8C93"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238.36</w:t>
            </w:r>
          </w:p>
        </w:tc>
        <w:tc>
          <w:tcPr>
            <w:tcW w:w="1208" w:type="dxa"/>
            <w:tcBorders>
              <w:top w:val="single" w:sz="4" w:space="0" w:color="auto"/>
            </w:tcBorders>
            <w:shd w:val="clear" w:color="auto" w:fill="auto"/>
            <w:noWrap/>
            <w:vAlign w:val="center"/>
            <w:hideMark/>
          </w:tcPr>
          <w:p w14:paraId="222221E0" w14:textId="288749E9"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28,923.59</w:t>
            </w:r>
          </w:p>
        </w:tc>
        <w:tc>
          <w:tcPr>
            <w:tcW w:w="1207" w:type="dxa"/>
            <w:tcBorders>
              <w:top w:val="single" w:sz="4" w:space="0" w:color="auto"/>
            </w:tcBorders>
            <w:shd w:val="clear" w:color="auto" w:fill="auto"/>
            <w:noWrap/>
            <w:vAlign w:val="center"/>
            <w:hideMark/>
          </w:tcPr>
          <w:p w14:paraId="127A60FD" w14:textId="38C97898"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67,883.59</w:t>
            </w:r>
          </w:p>
        </w:tc>
        <w:tc>
          <w:tcPr>
            <w:tcW w:w="1208" w:type="dxa"/>
            <w:tcBorders>
              <w:top w:val="single" w:sz="4" w:space="0" w:color="auto"/>
            </w:tcBorders>
            <w:shd w:val="clear" w:color="auto" w:fill="auto"/>
            <w:noWrap/>
            <w:vAlign w:val="center"/>
            <w:hideMark/>
          </w:tcPr>
          <w:p w14:paraId="7BE77421" w14:textId="1E31D4AA"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-28.92</w:t>
            </w:r>
          </w:p>
        </w:tc>
        <w:tc>
          <w:tcPr>
            <w:tcW w:w="1208" w:type="dxa"/>
            <w:tcBorders>
              <w:top w:val="single" w:sz="4" w:space="0" w:color="auto"/>
            </w:tcBorders>
            <w:shd w:val="clear" w:color="auto" w:fill="auto"/>
            <w:noWrap/>
            <w:vAlign w:val="center"/>
            <w:hideMark/>
          </w:tcPr>
          <w:p w14:paraId="795F109B" w14:textId="50115C44"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17,959.48</w:t>
            </w:r>
          </w:p>
        </w:tc>
      </w:tr>
      <w:tr w:rsidR="009825BC" w:rsidRPr="00F360DD" w14:paraId="383D74FE" w14:textId="77777777" w:rsidTr="004B1096">
        <w:trPr>
          <w:trHeight w:val="340"/>
        </w:trPr>
        <w:tc>
          <w:tcPr>
            <w:tcW w:w="2268" w:type="dxa"/>
            <w:shd w:val="clear" w:color="auto" w:fill="auto"/>
            <w:noWrap/>
            <w:vAlign w:val="center"/>
            <w:hideMark/>
          </w:tcPr>
          <w:p w14:paraId="40F4A560" w14:textId="450D7FD5"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Government grants included in profit or loss for the period</w:t>
            </w:r>
          </w:p>
        </w:tc>
        <w:tc>
          <w:tcPr>
            <w:tcW w:w="1207" w:type="dxa"/>
            <w:shd w:val="clear" w:color="auto" w:fill="auto"/>
            <w:noWrap/>
            <w:vAlign w:val="center"/>
            <w:hideMark/>
          </w:tcPr>
          <w:p w14:paraId="04791A29" w14:textId="10BB8975"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11,020.64</w:t>
            </w:r>
          </w:p>
        </w:tc>
        <w:tc>
          <w:tcPr>
            <w:tcW w:w="1208" w:type="dxa"/>
            <w:shd w:val="clear" w:color="auto" w:fill="auto"/>
            <w:noWrap/>
            <w:vAlign w:val="center"/>
            <w:hideMark/>
          </w:tcPr>
          <w:p w14:paraId="34ED58E8" w14:textId="3FCC54EF"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9,537.71</w:t>
            </w:r>
          </w:p>
        </w:tc>
        <w:tc>
          <w:tcPr>
            <w:tcW w:w="1207" w:type="dxa"/>
            <w:shd w:val="clear" w:color="auto" w:fill="auto"/>
            <w:noWrap/>
            <w:vAlign w:val="center"/>
            <w:hideMark/>
          </w:tcPr>
          <w:p w14:paraId="10789719" w14:textId="52B89EF9"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5,563.34</w:t>
            </w:r>
          </w:p>
        </w:tc>
        <w:tc>
          <w:tcPr>
            <w:tcW w:w="1208" w:type="dxa"/>
            <w:shd w:val="clear" w:color="auto" w:fill="auto"/>
            <w:noWrap/>
            <w:vAlign w:val="center"/>
            <w:hideMark/>
          </w:tcPr>
          <w:p w14:paraId="7D495340" w14:textId="0FD9E8C7"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9,680.96</w:t>
            </w:r>
          </w:p>
        </w:tc>
        <w:tc>
          <w:tcPr>
            <w:tcW w:w="1208" w:type="dxa"/>
            <w:shd w:val="clear" w:color="auto" w:fill="auto"/>
            <w:noWrap/>
            <w:vAlign w:val="center"/>
            <w:hideMark/>
          </w:tcPr>
          <w:p w14:paraId="010BAECC" w14:textId="3315F79C"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1,534.07</w:t>
            </w:r>
          </w:p>
        </w:tc>
      </w:tr>
      <w:tr w:rsidR="009825BC" w:rsidRPr="00F360DD" w14:paraId="38D9262A" w14:textId="77777777" w:rsidTr="004B1096">
        <w:trPr>
          <w:trHeight w:val="340"/>
        </w:trPr>
        <w:tc>
          <w:tcPr>
            <w:tcW w:w="2268" w:type="dxa"/>
            <w:shd w:val="clear" w:color="auto" w:fill="auto"/>
            <w:noWrap/>
            <w:vAlign w:val="center"/>
            <w:hideMark/>
          </w:tcPr>
          <w:p w14:paraId="28BE068C" w14:textId="6CC8F9C8"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Non-monetary asset exchange gains and losses</w:t>
            </w:r>
          </w:p>
        </w:tc>
        <w:tc>
          <w:tcPr>
            <w:tcW w:w="1207" w:type="dxa"/>
            <w:shd w:val="clear" w:color="auto" w:fill="auto"/>
            <w:noWrap/>
            <w:vAlign w:val="center"/>
            <w:hideMark/>
          </w:tcPr>
          <w:p w14:paraId="1D0DF8BC" w14:textId="66499B92"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w:t>
            </w:r>
          </w:p>
        </w:tc>
        <w:tc>
          <w:tcPr>
            <w:tcW w:w="1208" w:type="dxa"/>
            <w:shd w:val="clear" w:color="auto" w:fill="auto"/>
            <w:noWrap/>
            <w:vAlign w:val="center"/>
            <w:hideMark/>
          </w:tcPr>
          <w:p w14:paraId="3C0C0FE6" w14:textId="6D25B170"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w:t>
            </w:r>
          </w:p>
        </w:tc>
        <w:tc>
          <w:tcPr>
            <w:tcW w:w="1207" w:type="dxa"/>
            <w:shd w:val="clear" w:color="auto" w:fill="auto"/>
            <w:noWrap/>
            <w:vAlign w:val="center"/>
            <w:hideMark/>
          </w:tcPr>
          <w:p w14:paraId="35CACEF6" w14:textId="7588627D"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95,469.68</w:t>
            </w:r>
          </w:p>
        </w:tc>
        <w:tc>
          <w:tcPr>
            <w:tcW w:w="1208" w:type="dxa"/>
            <w:shd w:val="clear" w:color="auto" w:fill="auto"/>
            <w:noWrap/>
            <w:vAlign w:val="center"/>
            <w:hideMark/>
          </w:tcPr>
          <w:p w14:paraId="40727621" w14:textId="3D8F4B3D"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w:t>
            </w:r>
          </w:p>
        </w:tc>
        <w:tc>
          <w:tcPr>
            <w:tcW w:w="1208" w:type="dxa"/>
            <w:shd w:val="clear" w:color="auto" w:fill="auto"/>
            <w:noWrap/>
            <w:vAlign w:val="center"/>
            <w:hideMark/>
          </w:tcPr>
          <w:p w14:paraId="022AA3C3" w14:textId="4B5F9202"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w:t>
            </w:r>
          </w:p>
        </w:tc>
      </w:tr>
      <w:tr w:rsidR="009825BC" w:rsidRPr="00F360DD" w14:paraId="07EA7BEE" w14:textId="77777777" w:rsidTr="004B1096">
        <w:trPr>
          <w:trHeight w:val="340"/>
        </w:trPr>
        <w:tc>
          <w:tcPr>
            <w:tcW w:w="2268" w:type="dxa"/>
            <w:shd w:val="clear" w:color="auto" w:fill="auto"/>
            <w:noWrap/>
            <w:vAlign w:val="center"/>
            <w:hideMark/>
          </w:tcPr>
          <w:p w14:paraId="7D99E72F" w14:textId="2C71288D"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Capital occupancy fees charged to non-financial enterprises included in profit or loss for the period</w:t>
            </w:r>
          </w:p>
        </w:tc>
        <w:tc>
          <w:tcPr>
            <w:tcW w:w="1207" w:type="dxa"/>
            <w:shd w:val="clear" w:color="auto" w:fill="auto"/>
            <w:noWrap/>
            <w:vAlign w:val="center"/>
            <w:hideMark/>
          </w:tcPr>
          <w:p w14:paraId="1446E353" w14:textId="454F796C"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w:t>
            </w:r>
          </w:p>
        </w:tc>
        <w:tc>
          <w:tcPr>
            <w:tcW w:w="1208" w:type="dxa"/>
            <w:shd w:val="clear" w:color="auto" w:fill="auto"/>
            <w:noWrap/>
            <w:vAlign w:val="center"/>
            <w:hideMark/>
          </w:tcPr>
          <w:p w14:paraId="7E8B9455" w14:textId="20AD4799"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15,170.66</w:t>
            </w:r>
          </w:p>
        </w:tc>
        <w:tc>
          <w:tcPr>
            <w:tcW w:w="1207" w:type="dxa"/>
            <w:shd w:val="clear" w:color="auto" w:fill="auto"/>
            <w:noWrap/>
            <w:vAlign w:val="center"/>
            <w:hideMark/>
          </w:tcPr>
          <w:p w14:paraId="4BC66F06" w14:textId="4FFF45E1"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18,317.86</w:t>
            </w:r>
          </w:p>
        </w:tc>
        <w:tc>
          <w:tcPr>
            <w:tcW w:w="1208" w:type="dxa"/>
            <w:shd w:val="clear" w:color="auto" w:fill="auto"/>
            <w:noWrap/>
            <w:vAlign w:val="center"/>
            <w:hideMark/>
          </w:tcPr>
          <w:p w14:paraId="169E139F" w14:textId="24C99B40"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w:t>
            </w:r>
          </w:p>
        </w:tc>
        <w:tc>
          <w:tcPr>
            <w:tcW w:w="1208" w:type="dxa"/>
            <w:shd w:val="clear" w:color="auto" w:fill="auto"/>
            <w:noWrap/>
            <w:vAlign w:val="center"/>
            <w:hideMark/>
          </w:tcPr>
          <w:p w14:paraId="49637774" w14:textId="22CBA5A7"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w:t>
            </w:r>
          </w:p>
        </w:tc>
      </w:tr>
      <w:tr w:rsidR="009825BC" w:rsidRPr="00F360DD" w14:paraId="656DF9EB" w14:textId="77777777" w:rsidTr="004B1096">
        <w:trPr>
          <w:trHeight w:val="340"/>
        </w:trPr>
        <w:tc>
          <w:tcPr>
            <w:tcW w:w="2268" w:type="dxa"/>
            <w:shd w:val="clear" w:color="auto" w:fill="auto"/>
            <w:noWrap/>
            <w:vAlign w:val="center"/>
            <w:hideMark/>
          </w:tcPr>
          <w:p w14:paraId="49A10452" w14:textId="77777777"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Non-operating income and expenses other than the above</w:t>
            </w:r>
          </w:p>
        </w:tc>
        <w:tc>
          <w:tcPr>
            <w:tcW w:w="1207" w:type="dxa"/>
            <w:shd w:val="clear" w:color="auto" w:fill="auto"/>
            <w:noWrap/>
            <w:vAlign w:val="center"/>
            <w:hideMark/>
          </w:tcPr>
          <w:p w14:paraId="412F93BB" w14:textId="5C5F7F54"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312.43</w:t>
            </w:r>
          </w:p>
        </w:tc>
        <w:tc>
          <w:tcPr>
            <w:tcW w:w="1208" w:type="dxa"/>
            <w:shd w:val="clear" w:color="auto" w:fill="auto"/>
            <w:noWrap/>
            <w:vAlign w:val="center"/>
            <w:hideMark/>
          </w:tcPr>
          <w:p w14:paraId="594353E2" w14:textId="0595BAA0"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283.04</w:t>
            </w:r>
          </w:p>
        </w:tc>
        <w:tc>
          <w:tcPr>
            <w:tcW w:w="1207" w:type="dxa"/>
            <w:shd w:val="clear" w:color="auto" w:fill="auto"/>
            <w:noWrap/>
            <w:vAlign w:val="center"/>
            <w:hideMark/>
          </w:tcPr>
          <w:p w14:paraId="06F5F4F9" w14:textId="1ED4684A"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245.53</w:t>
            </w:r>
          </w:p>
        </w:tc>
        <w:tc>
          <w:tcPr>
            <w:tcW w:w="1208" w:type="dxa"/>
            <w:shd w:val="clear" w:color="auto" w:fill="auto"/>
            <w:noWrap/>
            <w:vAlign w:val="center"/>
            <w:hideMark/>
          </w:tcPr>
          <w:p w14:paraId="24C3AF34" w14:textId="190C1C4D"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-1,037.18</w:t>
            </w:r>
          </w:p>
        </w:tc>
        <w:tc>
          <w:tcPr>
            <w:tcW w:w="1208" w:type="dxa"/>
            <w:shd w:val="clear" w:color="auto" w:fill="auto"/>
            <w:noWrap/>
            <w:vAlign w:val="center"/>
            <w:hideMark/>
          </w:tcPr>
          <w:p w14:paraId="022520F5" w14:textId="0F164530"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503.26</w:t>
            </w:r>
          </w:p>
        </w:tc>
      </w:tr>
      <w:tr w:rsidR="009825BC" w:rsidRPr="00F360DD" w14:paraId="17CCF2C5" w14:textId="77777777" w:rsidTr="004B1096">
        <w:trPr>
          <w:trHeight w:val="340"/>
        </w:trPr>
        <w:tc>
          <w:tcPr>
            <w:tcW w:w="2268" w:type="dxa"/>
            <w:shd w:val="clear" w:color="auto" w:fill="auto"/>
            <w:noWrap/>
            <w:vAlign w:val="center"/>
            <w:hideMark/>
          </w:tcPr>
          <w:p w14:paraId="47199EF0" w14:textId="646904E6"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Minority Interest Impact</w:t>
            </w:r>
          </w:p>
        </w:tc>
        <w:tc>
          <w:tcPr>
            <w:tcW w:w="1207" w:type="dxa"/>
            <w:shd w:val="clear" w:color="auto" w:fill="auto"/>
            <w:noWrap/>
            <w:vAlign w:val="center"/>
            <w:hideMark/>
          </w:tcPr>
          <w:p w14:paraId="3CF3439D" w14:textId="5E1D59D8"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-1,035.34</w:t>
            </w:r>
          </w:p>
        </w:tc>
        <w:tc>
          <w:tcPr>
            <w:tcW w:w="1208" w:type="dxa"/>
            <w:shd w:val="clear" w:color="auto" w:fill="auto"/>
            <w:noWrap/>
            <w:vAlign w:val="center"/>
            <w:hideMark/>
          </w:tcPr>
          <w:p w14:paraId="5B75C37D" w14:textId="27FD5CB8"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-1,403.13</w:t>
            </w:r>
          </w:p>
        </w:tc>
        <w:tc>
          <w:tcPr>
            <w:tcW w:w="1207" w:type="dxa"/>
            <w:shd w:val="clear" w:color="auto" w:fill="auto"/>
            <w:noWrap/>
            <w:vAlign w:val="center"/>
            <w:hideMark/>
          </w:tcPr>
          <w:p w14:paraId="4FD96A00" w14:textId="0AA9FD72"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-1,291.64</w:t>
            </w:r>
          </w:p>
        </w:tc>
        <w:tc>
          <w:tcPr>
            <w:tcW w:w="1208" w:type="dxa"/>
            <w:shd w:val="clear" w:color="auto" w:fill="auto"/>
            <w:noWrap/>
            <w:vAlign w:val="center"/>
            <w:hideMark/>
          </w:tcPr>
          <w:p w14:paraId="62C468CD" w14:textId="04D433C7"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515.78</w:t>
            </w:r>
          </w:p>
        </w:tc>
        <w:tc>
          <w:tcPr>
            <w:tcW w:w="1208" w:type="dxa"/>
            <w:shd w:val="clear" w:color="auto" w:fill="auto"/>
            <w:noWrap/>
            <w:vAlign w:val="center"/>
            <w:hideMark/>
          </w:tcPr>
          <w:p w14:paraId="23F56268" w14:textId="4A47771E"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-5,293.03</w:t>
            </w:r>
          </w:p>
        </w:tc>
      </w:tr>
      <w:tr w:rsidR="009825BC" w:rsidRPr="00F360DD" w14:paraId="4919D6AF" w14:textId="77777777" w:rsidTr="004B1096">
        <w:trPr>
          <w:trHeight w:val="340"/>
        </w:trPr>
        <w:tc>
          <w:tcPr>
            <w:tcW w:w="2268" w:type="dxa"/>
            <w:shd w:val="clear" w:color="auto" w:fill="auto"/>
            <w:noWrap/>
            <w:vAlign w:val="center"/>
            <w:hideMark/>
          </w:tcPr>
          <w:p w14:paraId="2C8A31E1" w14:textId="32B19BD5"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Income tax implications</w:t>
            </w:r>
          </w:p>
        </w:tc>
        <w:tc>
          <w:tcPr>
            <w:tcW w:w="1207" w:type="dxa"/>
            <w:shd w:val="clear" w:color="auto" w:fill="auto"/>
            <w:noWrap/>
            <w:vAlign w:val="center"/>
            <w:hideMark/>
          </w:tcPr>
          <w:p w14:paraId="4CA85510" w14:textId="2E0BC176"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-741.80</w:t>
            </w:r>
          </w:p>
        </w:tc>
        <w:tc>
          <w:tcPr>
            <w:tcW w:w="1208" w:type="dxa"/>
            <w:shd w:val="clear" w:color="auto" w:fill="auto"/>
            <w:noWrap/>
            <w:vAlign w:val="center"/>
            <w:hideMark/>
          </w:tcPr>
          <w:p w14:paraId="70D415DC" w14:textId="4FB9D2D9"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-523.09</w:t>
            </w:r>
          </w:p>
        </w:tc>
        <w:tc>
          <w:tcPr>
            <w:tcW w:w="1207" w:type="dxa"/>
            <w:shd w:val="clear" w:color="auto" w:fill="auto"/>
            <w:noWrap/>
            <w:vAlign w:val="center"/>
            <w:hideMark/>
          </w:tcPr>
          <w:p w14:paraId="13578AF7" w14:textId="31261663"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-465.47</w:t>
            </w:r>
          </w:p>
        </w:tc>
        <w:tc>
          <w:tcPr>
            <w:tcW w:w="1208" w:type="dxa"/>
            <w:shd w:val="clear" w:color="auto" w:fill="auto"/>
            <w:noWrap/>
            <w:vAlign w:val="center"/>
            <w:hideMark/>
          </w:tcPr>
          <w:p w14:paraId="207AEAE4" w14:textId="2B461874"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8.51</w:t>
            </w:r>
          </w:p>
        </w:tc>
        <w:tc>
          <w:tcPr>
            <w:tcW w:w="1208" w:type="dxa"/>
            <w:shd w:val="clear" w:color="auto" w:fill="auto"/>
            <w:noWrap/>
            <w:vAlign w:val="center"/>
            <w:hideMark/>
          </w:tcPr>
          <w:p w14:paraId="2691F968" w14:textId="1396D706"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164.38</w:t>
            </w:r>
          </w:p>
        </w:tc>
      </w:tr>
      <w:tr w:rsidR="009825BC" w:rsidRPr="00F360DD" w14:paraId="76E706E6" w14:textId="77777777" w:rsidTr="004B1096">
        <w:trPr>
          <w:trHeight w:val="340"/>
        </w:trPr>
        <w:tc>
          <w:tcPr>
            <w:tcW w:w="2268" w:type="dxa"/>
            <w:shd w:val="clear" w:color="auto" w:fill="auto"/>
            <w:noWrap/>
            <w:vAlign w:val="center"/>
            <w:hideMark/>
          </w:tcPr>
          <w:p w14:paraId="7F4DD17C" w14:textId="1CC3B2EF"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total</w:t>
            </w:r>
          </w:p>
        </w:tc>
        <w:tc>
          <w:tcPr>
            <w:tcW w:w="1207" w:type="dxa"/>
            <w:shd w:val="clear" w:color="auto" w:fill="auto"/>
            <w:noWrap/>
            <w:vAlign w:val="center"/>
            <w:hideMark/>
          </w:tcPr>
          <w:p w14:paraId="676A810C" w14:textId="10E1E94C"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9,794.29</w:t>
            </w:r>
          </w:p>
        </w:tc>
        <w:tc>
          <w:tcPr>
            <w:tcW w:w="1208" w:type="dxa"/>
            <w:shd w:val="clear" w:color="auto" w:fill="auto"/>
            <w:noWrap/>
            <w:vAlign w:val="center"/>
            <w:hideMark/>
          </w:tcPr>
          <w:p w14:paraId="7BE5A510" w14:textId="6A570A5D"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51,988.78</w:t>
            </w:r>
          </w:p>
        </w:tc>
        <w:tc>
          <w:tcPr>
            <w:tcW w:w="1207" w:type="dxa"/>
            <w:shd w:val="clear" w:color="auto" w:fill="auto"/>
            <w:noWrap/>
            <w:vAlign w:val="center"/>
            <w:hideMark/>
          </w:tcPr>
          <w:p w14:paraId="33FA52BF" w14:textId="2A22E91A"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185,722.90</w:t>
            </w:r>
          </w:p>
        </w:tc>
        <w:tc>
          <w:tcPr>
            <w:tcW w:w="1208" w:type="dxa"/>
            <w:shd w:val="clear" w:color="auto" w:fill="auto"/>
            <w:noWrap/>
            <w:vAlign w:val="center"/>
            <w:hideMark/>
          </w:tcPr>
          <w:p w14:paraId="25452DA6" w14:textId="1B9C7CBC"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9,139.15</w:t>
            </w:r>
          </w:p>
        </w:tc>
        <w:tc>
          <w:tcPr>
            <w:tcW w:w="1208" w:type="dxa"/>
            <w:shd w:val="clear" w:color="auto" w:fill="auto"/>
            <w:noWrap/>
            <w:vAlign w:val="center"/>
            <w:hideMark/>
          </w:tcPr>
          <w:p w14:paraId="69F4FEFC" w14:textId="4386DC9A" w:rsidR="00F360DD" w:rsidRPr="00F360DD" w:rsidRDefault="00F360DD" w:rsidP="004B1096">
            <w:pPr>
              <w:widowControl/>
              <w:jc w:val="center"/>
              <w:rPr>
                <w:rFonts w:ascii="Times New Roman" w:eastAsia="等线" w:hAnsi="Times New Roman" w:cs="Times New Roman"/>
                <w:color w:val="000000"/>
                <w:kern w:val="0"/>
                <w:szCs w:val="21"/>
              </w:rPr>
            </w:pPr>
            <w:r w:rsidRPr="00F360DD">
              <w:rPr>
                <w:rFonts w:ascii="Times New Roman" w:eastAsia="等线" w:hAnsi="Times New Roman" w:cs="Times New Roman"/>
                <w:color w:val="000000"/>
                <w:kern w:val="0"/>
                <w:szCs w:val="21"/>
              </w:rPr>
              <w:t>14,868.16</w:t>
            </w:r>
          </w:p>
        </w:tc>
      </w:tr>
    </w:tbl>
    <w:p w14:paraId="3DB83686" w14:textId="34965291" w:rsidR="009129CC" w:rsidRPr="00B15CD3" w:rsidRDefault="009825BC" w:rsidP="00B15CD3">
      <w:pPr>
        <w:spacing w:afterLines="50" w:after="156"/>
        <w:rPr>
          <w:rFonts w:ascii="Times New Roman" w:hAnsi="Times New Roman" w:cs="Times New Roman"/>
          <w:szCs w:val="24"/>
        </w:rPr>
      </w:pPr>
      <w:r w:rsidRPr="00B15CD3">
        <w:rPr>
          <w:rFonts w:ascii="Times New Roman" w:hAnsi="Times New Roman" w:cs="Times New Roman"/>
          <w:szCs w:val="24"/>
        </w:rPr>
        <w:t xml:space="preserve">Source: Based on </w:t>
      </w:r>
      <w:proofErr w:type="spellStart"/>
      <w:r w:rsidRPr="00B15CD3">
        <w:rPr>
          <w:rFonts w:ascii="Times New Roman" w:hAnsi="Times New Roman" w:cs="Times New Roman"/>
          <w:szCs w:val="24"/>
        </w:rPr>
        <w:t>Datang</w:t>
      </w:r>
      <w:proofErr w:type="spellEnd"/>
      <w:r w:rsidRPr="00B15CD3">
        <w:rPr>
          <w:rFonts w:ascii="Times New Roman" w:hAnsi="Times New Roman" w:cs="Times New Roman"/>
          <w:szCs w:val="24"/>
        </w:rPr>
        <w:t xml:space="preserve"> Telecom's 2016-2020 financial reports</w:t>
      </w:r>
    </w:p>
    <w:p w14:paraId="780DAF96" w14:textId="53B210EA" w:rsidR="00DA6F13" w:rsidRPr="00D55507" w:rsidRDefault="00406442" w:rsidP="00D55507">
      <w:pPr>
        <w:widowControl/>
        <w:spacing w:beforeLines="50" w:before="156" w:afterLines="50" w:after="156" w:line="259" w:lineRule="auto"/>
        <w:rPr>
          <w:rFonts w:ascii="Times New Roman" w:hAnsi="Times New Roman" w:cs="Times New Roman" w:hint="eastAsia"/>
          <w:kern w:val="0"/>
          <w:sz w:val="24"/>
          <w:szCs w:val="24"/>
          <w:lang w:val="en-GB" w:eastAsia="en-US"/>
        </w:rPr>
      </w:pPr>
      <w:r w:rsidRPr="00D55507">
        <w:rPr>
          <w:rFonts w:ascii="Times New Roman" w:hAnsi="Times New Roman" w:cs="Times New Roman"/>
          <w:kern w:val="0"/>
          <w:sz w:val="24"/>
          <w:szCs w:val="24"/>
          <w:lang w:val="en-GB" w:eastAsia="en-US"/>
        </w:rPr>
        <w:t xml:space="preserve">(1) Disposal of non-current assets. As can be seen from the data in Table </w:t>
      </w:r>
      <w:r w:rsidR="00923347" w:rsidRPr="00D55507">
        <w:rPr>
          <w:rFonts w:ascii="Times New Roman" w:hAnsi="Times New Roman" w:cs="Times New Roman"/>
          <w:kern w:val="0"/>
          <w:sz w:val="24"/>
          <w:szCs w:val="24"/>
          <w:lang w:val="en-GB" w:eastAsia="en-US"/>
        </w:rPr>
        <w:t>3</w:t>
      </w:r>
      <w:r w:rsidRPr="00D55507">
        <w:rPr>
          <w:rFonts w:ascii="Times New Roman" w:hAnsi="Times New Roman" w:cs="Times New Roman"/>
          <w:kern w:val="0"/>
          <w:sz w:val="24"/>
          <w:szCs w:val="24"/>
          <w:lang w:val="en-GB" w:eastAsia="en-US"/>
        </w:rPr>
        <w:t>.</w:t>
      </w:r>
      <w:r w:rsidR="00923347" w:rsidRPr="00D55507">
        <w:rPr>
          <w:rFonts w:ascii="Times New Roman" w:hAnsi="Times New Roman" w:cs="Times New Roman"/>
          <w:kern w:val="0"/>
          <w:sz w:val="24"/>
          <w:szCs w:val="24"/>
          <w:lang w:val="en-GB" w:eastAsia="en-US"/>
        </w:rPr>
        <w:t>3</w:t>
      </w:r>
      <w:r w:rsidRPr="00D55507">
        <w:rPr>
          <w:rFonts w:ascii="Times New Roman" w:hAnsi="Times New Roman" w:cs="Times New Roman"/>
          <w:kern w:val="0"/>
          <w:sz w:val="24"/>
          <w:szCs w:val="24"/>
          <w:lang w:val="en-GB" w:eastAsia="en-US"/>
        </w:rPr>
        <w:t xml:space="preserve">, the profit and loss on the disposal of non-current assets in 2018 reached the peak of nearly five years, with a value of 678.8359 million yuan. The profit and loss on the disposal of non-current assets in 2016 was 2.3836 million yuan, which is relatively normal for a large state-owned listed company, and its growth rate has reached 121 times since 2017, and the growth rate in 2018, the key year of delisting, has reached 285 times. After emerging from the delisting crisis, the profit and loss on the disposal of its illiquid assets fell sharply. The above indicates that it is very likely that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 made an abnormal disposal of its non-current assets in 2018 to obtain profits.</w:t>
      </w:r>
    </w:p>
    <w:p w14:paraId="3BB64A50" w14:textId="0E6FF530" w:rsidR="004B1096" w:rsidRPr="00D55507" w:rsidRDefault="00406442" w:rsidP="00D55507">
      <w:pPr>
        <w:widowControl/>
        <w:spacing w:beforeLines="50" w:before="156" w:afterLines="50" w:after="156" w:line="259" w:lineRule="auto"/>
        <w:rPr>
          <w:rFonts w:ascii="Times New Roman" w:hAnsi="Times New Roman" w:cs="Times New Roman" w:hint="eastAsia"/>
          <w:kern w:val="0"/>
          <w:sz w:val="24"/>
          <w:szCs w:val="24"/>
          <w:lang w:val="en-GB" w:eastAsia="en-US"/>
        </w:rPr>
      </w:pPr>
      <w:r w:rsidRPr="00D55507">
        <w:rPr>
          <w:rFonts w:ascii="Times New Roman" w:hAnsi="Times New Roman" w:cs="Times New Roman"/>
          <w:kern w:val="0"/>
          <w:sz w:val="24"/>
          <w:szCs w:val="24"/>
          <w:lang w:val="en-GB" w:eastAsia="en-US"/>
        </w:rPr>
        <w:t xml:space="preserve">(2) Exchange of non-monetary assets.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 has no non-monetary asset exchange profit or loss in other years in the past five years, but in 2018, it increased a large amount of non-monetary asset exchange profit and loss, reaching 954.6968 million yuan, which also reflects the reason why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Telecom's non-net profit is so low.</w:t>
      </w:r>
    </w:p>
    <w:p w14:paraId="0C0597E5" w14:textId="360270C2" w:rsidR="004B1096" w:rsidRPr="00D55507" w:rsidRDefault="00406442" w:rsidP="00D55507">
      <w:pPr>
        <w:widowControl/>
        <w:spacing w:beforeLines="50" w:before="156" w:afterLines="50" w:after="156" w:line="259" w:lineRule="auto"/>
        <w:rPr>
          <w:rFonts w:ascii="Times New Roman" w:hAnsi="Times New Roman" w:cs="Times New Roman" w:hint="eastAsia"/>
          <w:kern w:val="0"/>
          <w:sz w:val="24"/>
          <w:szCs w:val="24"/>
          <w:lang w:val="en-GB" w:eastAsia="en-US"/>
        </w:rPr>
      </w:pPr>
      <w:r w:rsidRPr="00D55507">
        <w:rPr>
          <w:rFonts w:ascii="Times New Roman" w:hAnsi="Times New Roman" w:cs="Times New Roman"/>
          <w:kern w:val="0"/>
          <w:sz w:val="24"/>
          <w:szCs w:val="24"/>
          <w:lang w:val="en-GB" w:eastAsia="en-US"/>
        </w:rPr>
        <w:t xml:space="preserve">(3) Use of capital occupancy fees included in profit or loss for the current period. Similarly,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 has increased a large amount of capital occupancy fees since 2017, the second year of consecutive losses, and increased the amount of capital occupancy fees in 2018. This suggests that the company likely started earnings management activities earlier in 2017 based on its operating conditions and continued to use this approach in 2018.</w:t>
      </w:r>
    </w:p>
    <w:p w14:paraId="45D5EDE4" w14:textId="442E833F" w:rsidR="00406442" w:rsidRPr="00D55507" w:rsidRDefault="00406442" w:rsidP="00D55507">
      <w:pPr>
        <w:widowControl/>
        <w:spacing w:beforeLines="50" w:before="156" w:afterLines="50" w:after="156" w:line="259" w:lineRule="auto"/>
        <w:rPr>
          <w:rFonts w:ascii="Times New Roman" w:hAnsi="Times New Roman" w:cs="Times New Roman"/>
          <w:kern w:val="0"/>
          <w:sz w:val="24"/>
          <w:szCs w:val="24"/>
          <w:lang w:val="en-GB" w:eastAsia="en-US"/>
        </w:rPr>
      </w:pPr>
      <w:r w:rsidRPr="00D55507">
        <w:rPr>
          <w:rFonts w:ascii="Times New Roman" w:hAnsi="Times New Roman" w:cs="Times New Roman"/>
          <w:kern w:val="0"/>
          <w:sz w:val="24"/>
          <w:szCs w:val="24"/>
          <w:lang w:val="en-GB" w:eastAsia="en-US"/>
        </w:rPr>
        <w:lastRenderedPageBreak/>
        <w:t xml:space="preserve">In summary, through the analysis of the data of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Telecom's non-recurring profit and loss items, the analysis results show that in order to overcome the crisis of suspension of listing,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 has a very high possibility of using non-recurring profit and loss items to manipulate the surplus, and although it successfully got rid of the delisting dilemma in 2018, it still faced the dilemma of poor operating conditions in the future.</w:t>
      </w:r>
    </w:p>
    <w:p w14:paraId="73D41E64" w14:textId="4F446267" w:rsidR="00923347" w:rsidRPr="00923347" w:rsidRDefault="00923347" w:rsidP="00923347">
      <w:pPr>
        <w:outlineLvl w:val="2"/>
        <w:rPr>
          <w:rFonts w:ascii="Times New Roman" w:hAnsi="Times New Roman" w:cs="Times New Roman"/>
          <w:b/>
          <w:sz w:val="24"/>
          <w:szCs w:val="24"/>
        </w:rPr>
      </w:pPr>
      <w:bookmarkStart w:id="14" w:name="_Toc130830429"/>
      <w:r w:rsidRPr="004278F0">
        <w:rPr>
          <w:rFonts w:ascii="Times New Roman" w:hAnsi="Times New Roman" w:cs="Times New Roman"/>
          <w:b/>
          <w:sz w:val="28"/>
          <w:szCs w:val="24"/>
        </w:rPr>
        <w:t>3.</w:t>
      </w:r>
      <w:r>
        <w:rPr>
          <w:rFonts w:ascii="Times New Roman" w:hAnsi="Times New Roman" w:cs="Times New Roman"/>
          <w:b/>
          <w:sz w:val="28"/>
          <w:szCs w:val="24"/>
        </w:rPr>
        <w:t>2</w:t>
      </w:r>
      <w:r w:rsidRPr="004278F0">
        <w:rPr>
          <w:rFonts w:ascii="Times New Roman" w:hAnsi="Times New Roman" w:cs="Times New Roman"/>
          <w:b/>
          <w:sz w:val="28"/>
          <w:szCs w:val="24"/>
        </w:rPr>
        <w:t>.</w:t>
      </w:r>
      <w:r>
        <w:rPr>
          <w:rFonts w:ascii="Times New Roman" w:hAnsi="Times New Roman" w:cs="Times New Roman"/>
          <w:b/>
          <w:sz w:val="28"/>
          <w:szCs w:val="24"/>
        </w:rPr>
        <w:t>3</w:t>
      </w:r>
      <w:r w:rsidRPr="004278F0">
        <w:rPr>
          <w:rFonts w:ascii="Times New Roman" w:hAnsi="Times New Roman" w:cs="Times New Roman"/>
          <w:b/>
          <w:sz w:val="28"/>
          <w:szCs w:val="24"/>
        </w:rPr>
        <w:t xml:space="preserve"> </w:t>
      </w:r>
      <w:r w:rsidRPr="00923347">
        <w:rPr>
          <w:rFonts w:ascii="Times New Roman" w:hAnsi="Times New Roman" w:cs="Times New Roman"/>
          <w:b/>
          <w:sz w:val="28"/>
          <w:szCs w:val="24"/>
        </w:rPr>
        <w:t>Utilize accounting estimate identification</w:t>
      </w:r>
      <w:bookmarkEnd w:id="14"/>
    </w:p>
    <w:p w14:paraId="140DABFA" w14:textId="36914B02" w:rsidR="00C75BA5" w:rsidRPr="00D55507" w:rsidRDefault="009825BC" w:rsidP="00D55507">
      <w:pPr>
        <w:widowControl/>
        <w:spacing w:afterLines="50" w:after="156" w:line="259" w:lineRule="auto"/>
        <w:rPr>
          <w:rFonts w:ascii="Times New Roman" w:hAnsi="Times New Roman" w:cs="Times New Roman"/>
          <w:kern w:val="0"/>
          <w:sz w:val="24"/>
          <w:szCs w:val="24"/>
          <w:lang w:val="en-GB" w:eastAsia="en-US"/>
        </w:rPr>
      </w:pPr>
      <w:r w:rsidRPr="00D55507">
        <w:rPr>
          <w:rFonts w:ascii="Times New Roman" w:hAnsi="Times New Roman" w:cs="Times New Roman"/>
          <w:kern w:val="0"/>
          <w:sz w:val="24"/>
          <w:szCs w:val="24"/>
          <w:lang w:val="en-GB" w:eastAsia="en-US"/>
        </w:rPr>
        <w:t xml:space="preserve">In addition to non-recurring profits and losses, large asset impairment provisions are another common means used by loss-making listed companies to conceal the true profit situation, mainly by over-accruing asset impairment provisions or turning them back after no provision. Due to the strong subjectivity of the determination of asset impairment, there are certain obstacles in the actual determination of asset impairment by relevant departments, and there are asset impairment provisions that can be reversed, so the subjectivity of asset impairment provisions provides convenient conditions for the manipulation of earnings by loss-making listed companies. Some listed companies will choose to over-provision for asset impairment when the business conditions are better, so as to make less provision when necessary, so as to whitewash the performance of the enterprise, and thus provide greater convenience and flexibility for asset impairment. </w:t>
      </w:r>
    </w:p>
    <w:p w14:paraId="7EF75EE5" w14:textId="1216C215" w:rsidR="00C75BA5" w:rsidRPr="00B15CD3" w:rsidRDefault="00C75BA5" w:rsidP="00B15CD3">
      <w:pPr>
        <w:spacing w:beforeLines="50" w:before="156"/>
        <w:rPr>
          <w:rFonts w:ascii="Times New Roman" w:hAnsi="Times New Roman" w:cs="Times New Roman"/>
          <w:szCs w:val="24"/>
        </w:rPr>
      </w:pPr>
      <w:r w:rsidRPr="00B15CD3">
        <w:rPr>
          <w:rFonts w:ascii="Times New Roman" w:hAnsi="Times New Roman" w:cs="Times New Roman"/>
          <w:szCs w:val="24"/>
        </w:rPr>
        <w:t xml:space="preserve">Table </w:t>
      </w:r>
      <w:r w:rsidR="00923347" w:rsidRPr="00B15CD3">
        <w:rPr>
          <w:rFonts w:ascii="Times New Roman" w:hAnsi="Times New Roman" w:cs="Times New Roman"/>
          <w:szCs w:val="24"/>
        </w:rPr>
        <w:t>3</w:t>
      </w:r>
      <w:r w:rsidRPr="00B15CD3">
        <w:rPr>
          <w:rFonts w:ascii="Times New Roman" w:hAnsi="Times New Roman" w:cs="Times New Roman"/>
          <w:szCs w:val="24"/>
        </w:rPr>
        <w:t>.</w:t>
      </w:r>
      <w:r w:rsidR="00923347" w:rsidRPr="00B15CD3">
        <w:rPr>
          <w:rFonts w:ascii="Times New Roman" w:hAnsi="Times New Roman" w:cs="Times New Roman"/>
          <w:szCs w:val="24"/>
        </w:rPr>
        <w:t>4</w:t>
      </w:r>
      <w:r w:rsidRPr="00B15CD3">
        <w:rPr>
          <w:rFonts w:ascii="Times New Roman" w:hAnsi="Times New Roman" w:cs="Times New Roman"/>
          <w:szCs w:val="24"/>
        </w:rPr>
        <w:t xml:space="preserve"> Asset impairment losses of DT Telecom from 2016 to 2018(Unit: 100 million)</w:t>
      </w:r>
    </w:p>
    <w:tbl>
      <w:tblPr>
        <w:tblW w:w="8080" w:type="dxa"/>
        <w:tblBorders>
          <w:top w:val="single" w:sz="12" w:space="0" w:color="auto"/>
          <w:bottom w:val="single" w:sz="12" w:space="0" w:color="auto"/>
        </w:tblBorders>
        <w:tblLook w:val="04A0" w:firstRow="1" w:lastRow="0" w:firstColumn="1" w:lastColumn="0" w:noHBand="0" w:noVBand="1"/>
      </w:tblPr>
      <w:tblGrid>
        <w:gridCol w:w="3280"/>
        <w:gridCol w:w="960"/>
        <w:gridCol w:w="960"/>
        <w:gridCol w:w="960"/>
        <w:gridCol w:w="960"/>
        <w:gridCol w:w="960"/>
      </w:tblGrid>
      <w:tr w:rsidR="00C75BA5" w:rsidRPr="00C75BA5" w14:paraId="137C5EF3" w14:textId="77777777" w:rsidTr="004B1096">
        <w:trPr>
          <w:trHeight w:val="397"/>
        </w:trPr>
        <w:tc>
          <w:tcPr>
            <w:tcW w:w="3280" w:type="dxa"/>
            <w:tcBorders>
              <w:top w:val="single" w:sz="12" w:space="0" w:color="auto"/>
              <w:bottom w:val="single" w:sz="4" w:space="0" w:color="auto"/>
            </w:tcBorders>
            <w:shd w:val="clear" w:color="auto" w:fill="auto"/>
            <w:noWrap/>
            <w:vAlign w:val="center"/>
            <w:hideMark/>
          </w:tcPr>
          <w:p w14:paraId="0C9E8EB8" w14:textId="77777777" w:rsidR="00C75BA5" w:rsidRPr="00C75BA5" w:rsidRDefault="00C75BA5" w:rsidP="004B1096">
            <w:pPr>
              <w:widowControl/>
              <w:jc w:val="center"/>
              <w:rPr>
                <w:rFonts w:ascii="Times New Roman" w:eastAsia="等线" w:hAnsi="Times New Roman" w:cs="Times New Roman"/>
                <w:color w:val="000000"/>
                <w:kern w:val="0"/>
                <w:szCs w:val="21"/>
              </w:rPr>
            </w:pPr>
            <w:r w:rsidRPr="00C75BA5">
              <w:rPr>
                <w:rFonts w:ascii="Times New Roman" w:eastAsia="等线" w:hAnsi="Times New Roman" w:cs="Times New Roman"/>
                <w:color w:val="000000"/>
                <w:kern w:val="0"/>
                <w:szCs w:val="21"/>
              </w:rPr>
              <w:t>project</w:t>
            </w:r>
          </w:p>
        </w:tc>
        <w:tc>
          <w:tcPr>
            <w:tcW w:w="960" w:type="dxa"/>
            <w:tcBorders>
              <w:top w:val="single" w:sz="12" w:space="0" w:color="auto"/>
              <w:bottom w:val="single" w:sz="4" w:space="0" w:color="auto"/>
            </w:tcBorders>
            <w:shd w:val="clear" w:color="auto" w:fill="auto"/>
            <w:noWrap/>
            <w:vAlign w:val="center"/>
            <w:hideMark/>
          </w:tcPr>
          <w:p w14:paraId="39D5DCFF" w14:textId="77777777" w:rsidR="00C75BA5" w:rsidRPr="00C75BA5" w:rsidRDefault="00C75BA5" w:rsidP="004B1096">
            <w:pPr>
              <w:widowControl/>
              <w:jc w:val="center"/>
              <w:rPr>
                <w:rFonts w:ascii="Times New Roman" w:eastAsia="等线" w:hAnsi="Times New Roman" w:cs="Times New Roman"/>
                <w:color w:val="000000"/>
                <w:kern w:val="0"/>
                <w:szCs w:val="21"/>
              </w:rPr>
            </w:pPr>
            <w:r w:rsidRPr="00C75BA5">
              <w:rPr>
                <w:rFonts w:ascii="Times New Roman" w:eastAsia="等线" w:hAnsi="Times New Roman" w:cs="Times New Roman"/>
                <w:color w:val="000000"/>
                <w:kern w:val="0"/>
                <w:szCs w:val="21"/>
              </w:rPr>
              <w:t>2016</w:t>
            </w:r>
          </w:p>
        </w:tc>
        <w:tc>
          <w:tcPr>
            <w:tcW w:w="960" w:type="dxa"/>
            <w:tcBorders>
              <w:top w:val="single" w:sz="12" w:space="0" w:color="auto"/>
              <w:bottom w:val="single" w:sz="4" w:space="0" w:color="auto"/>
            </w:tcBorders>
            <w:shd w:val="clear" w:color="auto" w:fill="auto"/>
            <w:noWrap/>
            <w:vAlign w:val="center"/>
            <w:hideMark/>
          </w:tcPr>
          <w:p w14:paraId="5C8BE64C" w14:textId="77777777" w:rsidR="00C75BA5" w:rsidRPr="00C75BA5" w:rsidRDefault="00C75BA5" w:rsidP="004B1096">
            <w:pPr>
              <w:widowControl/>
              <w:jc w:val="center"/>
              <w:rPr>
                <w:rFonts w:ascii="Times New Roman" w:eastAsia="等线" w:hAnsi="Times New Roman" w:cs="Times New Roman"/>
                <w:color w:val="000000"/>
                <w:kern w:val="0"/>
                <w:szCs w:val="21"/>
              </w:rPr>
            </w:pPr>
            <w:r w:rsidRPr="00C75BA5">
              <w:rPr>
                <w:rFonts w:ascii="Times New Roman" w:eastAsia="等线" w:hAnsi="Times New Roman" w:cs="Times New Roman"/>
                <w:color w:val="000000"/>
                <w:kern w:val="0"/>
                <w:szCs w:val="21"/>
              </w:rPr>
              <w:t>2017</w:t>
            </w:r>
          </w:p>
        </w:tc>
        <w:tc>
          <w:tcPr>
            <w:tcW w:w="960" w:type="dxa"/>
            <w:tcBorders>
              <w:top w:val="single" w:sz="12" w:space="0" w:color="auto"/>
              <w:bottom w:val="single" w:sz="4" w:space="0" w:color="auto"/>
            </w:tcBorders>
            <w:shd w:val="clear" w:color="auto" w:fill="auto"/>
            <w:noWrap/>
            <w:vAlign w:val="center"/>
            <w:hideMark/>
          </w:tcPr>
          <w:p w14:paraId="7E0ECC45" w14:textId="77777777" w:rsidR="00C75BA5" w:rsidRPr="00C75BA5" w:rsidRDefault="00C75BA5" w:rsidP="004B1096">
            <w:pPr>
              <w:widowControl/>
              <w:jc w:val="center"/>
              <w:rPr>
                <w:rFonts w:ascii="Times New Roman" w:eastAsia="等线" w:hAnsi="Times New Roman" w:cs="Times New Roman"/>
                <w:color w:val="000000"/>
                <w:kern w:val="0"/>
                <w:szCs w:val="21"/>
              </w:rPr>
            </w:pPr>
            <w:r w:rsidRPr="00C75BA5">
              <w:rPr>
                <w:rFonts w:ascii="Times New Roman" w:eastAsia="等线" w:hAnsi="Times New Roman" w:cs="Times New Roman"/>
                <w:color w:val="000000"/>
                <w:kern w:val="0"/>
                <w:szCs w:val="21"/>
              </w:rPr>
              <w:t>2018</w:t>
            </w:r>
          </w:p>
        </w:tc>
        <w:tc>
          <w:tcPr>
            <w:tcW w:w="960" w:type="dxa"/>
            <w:tcBorders>
              <w:top w:val="single" w:sz="12" w:space="0" w:color="auto"/>
              <w:bottom w:val="single" w:sz="4" w:space="0" w:color="auto"/>
            </w:tcBorders>
            <w:shd w:val="clear" w:color="auto" w:fill="auto"/>
            <w:noWrap/>
            <w:vAlign w:val="center"/>
            <w:hideMark/>
          </w:tcPr>
          <w:p w14:paraId="18BF6B08" w14:textId="77777777" w:rsidR="00C75BA5" w:rsidRPr="00C75BA5" w:rsidRDefault="00C75BA5" w:rsidP="004B1096">
            <w:pPr>
              <w:widowControl/>
              <w:jc w:val="center"/>
              <w:rPr>
                <w:rFonts w:ascii="Times New Roman" w:eastAsia="等线" w:hAnsi="Times New Roman" w:cs="Times New Roman"/>
                <w:color w:val="000000"/>
                <w:kern w:val="0"/>
                <w:szCs w:val="21"/>
              </w:rPr>
            </w:pPr>
            <w:r w:rsidRPr="00C75BA5">
              <w:rPr>
                <w:rFonts w:ascii="Times New Roman" w:eastAsia="等线" w:hAnsi="Times New Roman" w:cs="Times New Roman"/>
                <w:color w:val="000000"/>
                <w:kern w:val="0"/>
                <w:szCs w:val="21"/>
              </w:rPr>
              <w:t>2019</w:t>
            </w:r>
          </w:p>
        </w:tc>
        <w:tc>
          <w:tcPr>
            <w:tcW w:w="960" w:type="dxa"/>
            <w:tcBorders>
              <w:top w:val="single" w:sz="12" w:space="0" w:color="auto"/>
              <w:bottom w:val="single" w:sz="4" w:space="0" w:color="auto"/>
            </w:tcBorders>
            <w:shd w:val="clear" w:color="auto" w:fill="auto"/>
            <w:noWrap/>
            <w:vAlign w:val="center"/>
            <w:hideMark/>
          </w:tcPr>
          <w:p w14:paraId="0279BE0B" w14:textId="77777777" w:rsidR="00C75BA5" w:rsidRPr="00C75BA5" w:rsidRDefault="00C75BA5" w:rsidP="004B1096">
            <w:pPr>
              <w:widowControl/>
              <w:jc w:val="center"/>
              <w:rPr>
                <w:rFonts w:ascii="Times New Roman" w:eastAsia="等线" w:hAnsi="Times New Roman" w:cs="Times New Roman"/>
                <w:color w:val="000000"/>
                <w:kern w:val="0"/>
                <w:szCs w:val="21"/>
              </w:rPr>
            </w:pPr>
            <w:r w:rsidRPr="00C75BA5">
              <w:rPr>
                <w:rFonts w:ascii="Times New Roman" w:eastAsia="等线" w:hAnsi="Times New Roman" w:cs="Times New Roman"/>
                <w:color w:val="000000"/>
                <w:kern w:val="0"/>
                <w:szCs w:val="21"/>
              </w:rPr>
              <w:t>2020</w:t>
            </w:r>
          </w:p>
        </w:tc>
      </w:tr>
      <w:tr w:rsidR="00C75BA5" w:rsidRPr="00C75BA5" w14:paraId="374EDB26" w14:textId="77777777" w:rsidTr="004B1096">
        <w:trPr>
          <w:trHeight w:val="397"/>
        </w:trPr>
        <w:tc>
          <w:tcPr>
            <w:tcW w:w="3280" w:type="dxa"/>
            <w:tcBorders>
              <w:top w:val="single" w:sz="4" w:space="0" w:color="auto"/>
            </w:tcBorders>
            <w:shd w:val="clear" w:color="auto" w:fill="auto"/>
            <w:noWrap/>
            <w:vAlign w:val="center"/>
            <w:hideMark/>
          </w:tcPr>
          <w:p w14:paraId="2553578A" w14:textId="45D0D2B1" w:rsidR="00C75BA5" w:rsidRPr="00C75BA5" w:rsidRDefault="00C75BA5" w:rsidP="004B1096">
            <w:pPr>
              <w:widowControl/>
              <w:jc w:val="center"/>
              <w:rPr>
                <w:rFonts w:ascii="Times New Roman" w:eastAsia="等线" w:hAnsi="Times New Roman" w:cs="Times New Roman"/>
                <w:color w:val="000000"/>
                <w:kern w:val="0"/>
                <w:szCs w:val="21"/>
              </w:rPr>
            </w:pPr>
            <w:r w:rsidRPr="00C75BA5">
              <w:rPr>
                <w:rFonts w:ascii="Times New Roman" w:eastAsia="等线" w:hAnsi="Times New Roman" w:cs="Times New Roman"/>
                <w:color w:val="000000"/>
                <w:kern w:val="0"/>
                <w:szCs w:val="21"/>
              </w:rPr>
              <w:t>Asset impairment losses</w:t>
            </w:r>
          </w:p>
        </w:tc>
        <w:tc>
          <w:tcPr>
            <w:tcW w:w="960" w:type="dxa"/>
            <w:tcBorders>
              <w:top w:val="single" w:sz="4" w:space="0" w:color="auto"/>
            </w:tcBorders>
            <w:shd w:val="clear" w:color="auto" w:fill="auto"/>
            <w:noWrap/>
            <w:vAlign w:val="center"/>
            <w:hideMark/>
          </w:tcPr>
          <w:p w14:paraId="095209A6" w14:textId="77777777" w:rsidR="00C75BA5" w:rsidRPr="00C75BA5" w:rsidRDefault="00C75BA5" w:rsidP="004B1096">
            <w:pPr>
              <w:widowControl/>
              <w:jc w:val="center"/>
              <w:rPr>
                <w:rFonts w:ascii="Times New Roman" w:eastAsia="等线" w:hAnsi="Times New Roman" w:cs="Times New Roman"/>
                <w:color w:val="000000"/>
                <w:kern w:val="0"/>
                <w:szCs w:val="21"/>
              </w:rPr>
            </w:pPr>
            <w:r w:rsidRPr="00C75BA5">
              <w:rPr>
                <w:rFonts w:ascii="Times New Roman" w:eastAsia="等线" w:hAnsi="Times New Roman" w:cs="Times New Roman"/>
                <w:color w:val="000000"/>
                <w:kern w:val="0"/>
                <w:szCs w:val="21"/>
              </w:rPr>
              <w:t>9.64</w:t>
            </w:r>
          </w:p>
        </w:tc>
        <w:tc>
          <w:tcPr>
            <w:tcW w:w="960" w:type="dxa"/>
            <w:tcBorders>
              <w:top w:val="single" w:sz="4" w:space="0" w:color="auto"/>
            </w:tcBorders>
            <w:shd w:val="clear" w:color="auto" w:fill="auto"/>
            <w:noWrap/>
            <w:vAlign w:val="center"/>
            <w:hideMark/>
          </w:tcPr>
          <w:p w14:paraId="2B48E7D8" w14:textId="77777777" w:rsidR="00C75BA5" w:rsidRPr="00C75BA5" w:rsidRDefault="00C75BA5" w:rsidP="004B1096">
            <w:pPr>
              <w:widowControl/>
              <w:jc w:val="center"/>
              <w:rPr>
                <w:rFonts w:ascii="Times New Roman" w:eastAsia="等线" w:hAnsi="Times New Roman" w:cs="Times New Roman"/>
                <w:color w:val="000000"/>
                <w:kern w:val="0"/>
                <w:szCs w:val="21"/>
              </w:rPr>
            </w:pPr>
            <w:r w:rsidRPr="00C75BA5">
              <w:rPr>
                <w:rFonts w:ascii="Times New Roman" w:eastAsia="等线" w:hAnsi="Times New Roman" w:cs="Times New Roman"/>
                <w:color w:val="000000"/>
                <w:kern w:val="0"/>
                <w:szCs w:val="21"/>
              </w:rPr>
              <w:t>23.64</w:t>
            </w:r>
          </w:p>
        </w:tc>
        <w:tc>
          <w:tcPr>
            <w:tcW w:w="960" w:type="dxa"/>
            <w:tcBorders>
              <w:top w:val="single" w:sz="4" w:space="0" w:color="auto"/>
            </w:tcBorders>
            <w:shd w:val="clear" w:color="auto" w:fill="auto"/>
            <w:noWrap/>
            <w:vAlign w:val="center"/>
            <w:hideMark/>
          </w:tcPr>
          <w:p w14:paraId="26F30856" w14:textId="77777777" w:rsidR="00C75BA5" w:rsidRPr="00C75BA5" w:rsidRDefault="00C75BA5" w:rsidP="004B1096">
            <w:pPr>
              <w:widowControl/>
              <w:jc w:val="center"/>
              <w:rPr>
                <w:rFonts w:ascii="Times New Roman" w:eastAsia="等线" w:hAnsi="Times New Roman" w:cs="Times New Roman"/>
                <w:color w:val="000000"/>
                <w:kern w:val="0"/>
                <w:szCs w:val="21"/>
              </w:rPr>
            </w:pPr>
            <w:r w:rsidRPr="00C75BA5">
              <w:rPr>
                <w:rFonts w:ascii="Times New Roman" w:eastAsia="等线" w:hAnsi="Times New Roman" w:cs="Times New Roman"/>
                <w:color w:val="000000"/>
                <w:kern w:val="0"/>
                <w:szCs w:val="21"/>
              </w:rPr>
              <w:t>2.9</w:t>
            </w:r>
          </w:p>
        </w:tc>
        <w:tc>
          <w:tcPr>
            <w:tcW w:w="960" w:type="dxa"/>
            <w:tcBorders>
              <w:top w:val="single" w:sz="4" w:space="0" w:color="auto"/>
            </w:tcBorders>
            <w:shd w:val="clear" w:color="auto" w:fill="auto"/>
            <w:noWrap/>
            <w:vAlign w:val="center"/>
            <w:hideMark/>
          </w:tcPr>
          <w:p w14:paraId="54938DED" w14:textId="77777777" w:rsidR="00C75BA5" w:rsidRPr="00C75BA5" w:rsidRDefault="00C75BA5" w:rsidP="004B1096">
            <w:pPr>
              <w:widowControl/>
              <w:jc w:val="center"/>
              <w:rPr>
                <w:rFonts w:ascii="Times New Roman" w:eastAsia="等线" w:hAnsi="Times New Roman" w:cs="Times New Roman"/>
                <w:color w:val="000000"/>
                <w:kern w:val="0"/>
                <w:szCs w:val="21"/>
              </w:rPr>
            </w:pPr>
            <w:r w:rsidRPr="00C75BA5">
              <w:rPr>
                <w:rFonts w:ascii="Times New Roman" w:eastAsia="等线" w:hAnsi="Times New Roman" w:cs="Times New Roman"/>
                <w:color w:val="000000"/>
                <w:kern w:val="0"/>
                <w:szCs w:val="21"/>
              </w:rPr>
              <w:t>-1.99</w:t>
            </w:r>
          </w:p>
        </w:tc>
        <w:tc>
          <w:tcPr>
            <w:tcW w:w="960" w:type="dxa"/>
            <w:tcBorders>
              <w:top w:val="single" w:sz="4" w:space="0" w:color="auto"/>
            </w:tcBorders>
            <w:shd w:val="clear" w:color="auto" w:fill="auto"/>
            <w:noWrap/>
            <w:vAlign w:val="center"/>
            <w:hideMark/>
          </w:tcPr>
          <w:p w14:paraId="3BB8B043" w14:textId="77777777" w:rsidR="00C75BA5" w:rsidRPr="00C75BA5" w:rsidRDefault="00C75BA5" w:rsidP="004B1096">
            <w:pPr>
              <w:widowControl/>
              <w:jc w:val="center"/>
              <w:rPr>
                <w:rFonts w:ascii="Times New Roman" w:eastAsia="等线" w:hAnsi="Times New Roman" w:cs="Times New Roman"/>
                <w:color w:val="000000"/>
                <w:kern w:val="0"/>
                <w:szCs w:val="21"/>
              </w:rPr>
            </w:pPr>
            <w:r w:rsidRPr="00C75BA5">
              <w:rPr>
                <w:rFonts w:ascii="Times New Roman" w:eastAsia="等线" w:hAnsi="Times New Roman" w:cs="Times New Roman"/>
                <w:color w:val="000000"/>
                <w:kern w:val="0"/>
                <w:szCs w:val="21"/>
              </w:rPr>
              <w:t>-8.4</w:t>
            </w:r>
          </w:p>
        </w:tc>
      </w:tr>
    </w:tbl>
    <w:p w14:paraId="3ADA2682" w14:textId="77777777" w:rsidR="00C75BA5" w:rsidRPr="00B15CD3" w:rsidRDefault="00C75BA5" w:rsidP="00B15CD3">
      <w:pPr>
        <w:spacing w:afterLines="50" w:after="156"/>
        <w:rPr>
          <w:rFonts w:ascii="Times New Roman" w:hAnsi="Times New Roman" w:cs="Times New Roman"/>
          <w:szCs w:val="24"/>
        </w:rPr>
      </w:pPr>
      <w:r w:rsidRPr="00B15CD3">
        <w:rPr>
          <w:rFonts w:ascii="Times New Roman" w:hAnsi="Times New Roman" w:cs="Times New Roman"/>
          <w:szCs w:val="24"/>
        </w:rPr>
        <w:t xml:space="preserve">Source: Based on </w:t>
      </w:r>
      <w:proofErr w:type="spellStart"/>
      <w:r w:rsidRPr="00B15CD3">
        <w:rPr>
          <w:rFonts w:ascii="Times New Roman" w:hAnsi="Times New Roman" w:cs="Times New Roman"/>
          <w:szCs w:val="24"/>
        </w:rPr>
        <w:t>Datang</w:t>
      </w:r>
      <w:proofErr w:type="spellEnd"/>
      <w:r w:rsidRPr="00B15CD3">
        <w:rPr>
          <w:rFonts w:ascii="Times New Roman" w:hAnsi="Times New Roman" w:cs="Times New Roman"/>
          <w:szCs w:val="24"/>
        </w:rPr>
        <w:t xml:space="preserve"> Telecom's 2016-2020 financial reports</w:t>
      </w:r>
    </w:p>
    <w:p w14:paraId="52F53FAB" w14:textId="5AC3B5A2" w:rsidR="009825BC" w:rsidRPr="00D55507" w:rsidRDefault="009825BC" w:rsidP="00D55507">
      <w:pPr>
        <w:widowControl/>
        <w:spacing w:beforeLines="50" w:before="156" w:afterLines="50" w:after="156" w:line="259" w:lineRule="auto"/>
        <w:rPr>
          <w:rFonts w:ascii="Times New Roman" w:hAnsi="Times New Roman" w:cs="Times New Roman"/>
          <w:kern w:val="0"/>
          <w:sz w:val="24"/>
          <w:szCs w:val="24"/>
          <w:lang w:val="en-GB" w:eastAsia="en-US"/>
        </w:rPr>
      </w:pPr>
      <w:r w:rsidRPr="00D55507">
        <w:rPr>
          <w:rFonts w:ascii="Times New Roman" w:hAnsi="Times New Roman" w:cs="Times New Roman"/>
          <w:kern w:val="0"/>
          <w:sz w:val="24"/>
          <w:szCs w:val="24"/>
          <w:lang w:val="en-GB" w:eastAsia="en-US"/>
        </w:rPr>
        <w:t xml:space="preserve">According to Table </w:t>
      </w:r>
      <w:r w:rsidR="00923347" w:rsidRPr="00D55507">
        <w:rPr>
          <w:rFonts w:ascii="Times New Roman" w:hAnsi="Times New Roman" w:cs="Times New Roman"/>
          <w:kern w:val="0"/>
          <w:sz w:val="24"/>
          <w:szCs w:val="24"/>
          <w:lang w:val="en-GB" w:eastAsia="en-US"/>
        </w:rPr>
        <w:t>3</w:t>
      </w:r>
      <w:r w:rsidRPr="00D55507">
        <w:rPr>
          <w:rFonts w:ascii="Times New Roman" w:hAnsi="Times New Roman" w:cs="Times New Roman"/>
          <w:kern w:val="0"/>
          <w:sz w:val="24"/>
          <w:szCs w:val="24"/>
          <w:lang w:val="en-GB" w:eastAsia="en-US"/>
        </w:rPr>
        <w:t>.</w:t>
      </w:r>
      <w:r w:rsidR="00923347" w:rsidRPr="00D55507">
        <w:rPr>
          <w:rFonts w:ascii="Times New Roman" w:hAnsi="Times New Roman" w:cs="Times New Roman"/>
          <w:kern w:val="0"/>
          <w:sz w:val="24"/>
          <w:szCs w:val="24"/>
          <w:lang w:val="en-GB" w:eastAsia="en-US"/>
        </w:rPr>
        <w:t>4</w:t>
      </w:r>
      <w:r w:rsidRPr="00D55507">
        <w:rPr>
          <w:rFonts w:ascii="Times New Roman" w:hAnsi="Times New Roman" w:cs="Times New Roman"/>
          <w:kern w:val="0"/>
          <w:sz w:val="24"/>
          <w:szCs w:val="24"/>
          <w:lang w:val="en-GB" w:eastAsia="en-US"/>
        </w:rPr>
        <w:t xml:space="preserve">,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 only recorded an asset impairment loss of 290 million yuan in 2018, a key year for shell protection, which was 2.074 billion yuan less than in 2017, a year-on-year decrease of 87.72%, which is obviously a very unreasonable situation.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Telecom's 2017 annual report revealed that the reason why it recorded a large amount of asset impairment in that year was mainly because it was expected that some accounts receivable would be difficult to collect, so it made provision for bad debts and the value of some of the company's inventory and intangible assets also decreased to varying degrees, and also made a large amount of impairment provisions for it. By making this concentrated provision for asset impairment in 2017, the asset impairment loss recognized in 2018 was significantly reduced, resulting in an increase in the level of net profit in 2018. At the same time, the formula can be used to further verify the impact of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Telecom's early centralized provision of asset impairment losses in 2017 on its net profit in 2018.</w:t>
      </w:r>
    </w:p>
    <w:p w14:paraId="20406D4E" w14:textId="4A33D7BB" w:rsidR="009825BC" w:rsidRDefault="009825BC" w:rsidP="004B1096">
      <w:pPr>
        <w:spacing w:line="360" w:lineRule="auto"/>
        <w:rPr>
          <w:rFonts w:ascii="Times New Roman" w:hAnsi="Times New Roman" w:cs="Times New Roman"/>
          <w:sz w:val="24"/>
          <w:szCs w:val="24"/>
        </w:rPr>
      </w:pPr>
      <m:oMath>
        <m:r>
          <m:rPr>
            <m:sty m:val="p"/>
          </m:rPr>
          <w:rPr>
            <w:rFonts w:ascii="Cambria Math" w:hAnsi="Cambria Math" w:cs="Times New Roman"/>
            <w:sz w:val="24"/>
            <w:szCs w:val="24"/>
          </w:rPr>
          <m:t>The contribution of asset impairment losses to profit growth=</m:t>
        </m:r>
        <m:f>
          <m:fPr>
            <m:ctrlPr>
              <w:rPr>
                <w:rFonts w:ascii="Cambria Math" w:hAnsi="Cambria Math" w:cs="Times New Roman"/>
                <w:sz w:val="24"/>
                <w:szCs w:val="24"/>
              </w:rPr>
            </m:ctrlPr>
          </m:fPr>
          <m:num>
            <m:r>
              <w:rPr>
                <w:rFonts w:ascii="Cambria Math" w:hAnsi="Cambria Math" w:cs="Times New Roman"/>
                <w:sz w:val="24"/>
                <w:szCs w:val="24"/>
              </w:rPr>
              <m:t>Reduction in asset impairment losses in 2018</m:t>
            </m:r>
          </m:num>
          <m:den>
            <m:r>
              <w:rPr>
                <w:rFonts w:ascii="Cambria Math" w:hAnsi="Cambria Math" w:cs="Times New Roman"/>
                <w:sz w:val="24"/>
                <w:szCs w:val="24"/>
              </w:rPr>
              <m:t>Net profit growth in 2018</m:t>
            </m:r>
          </m:den>
        </m:f>
      </m:oMath>
      <w:r>
        <w:rPr>
          <w:rFonts w:ascii="Times New Roman" w:hAnsi="Times New Roman" w:cs="Times New Roman" w:hint="eastAsia"/>
          <w:sz w:val="24"/>
          <w:szCs w:val="24"/>
        </w:rPr>
        <w:t>*</w:t>
      </w:r>
      <w:r>
        <w:rPr>
          <w:rFonts w:ascii="Times New Roman" w:hAnsi="Times New Roman" w:cs="Times New Roman"/>
          <w:sz w:val="24"/>
          <w:szCs w:val="24"/>
        </w:rPr>
        <w:t>100%=</w:t>
      </w:r>
      <m:oMath>
        <m:f>
          <m:fPr>
            <m:ctrlPr>
              <w:rPr>
                <w:rFonts w:ascii="Cambria Math" w:hAnsi="Cambria Math" w:cs="Times New Roman"/>
                <w:sz w:val="24"/>
                <w:szCs w:val="24"/>
              </w:rPr>
            </m:ctrlPr>
          </m:fPr>
          <m:num>
            <m:d>
              <m:dPr>
                <m:begChr m:val="|"/>
                <m:endChr m:val="|"/>
                <m:ctrlPr>
                  <w:rPr>
                    <w:rFonts w:ascii="Cambria Math" w:hAnsi="Cambria Math" w:cs="Times New Roman"/>
                    <w:i/>
                    <w:sz w:val="24"/>
                    <w:szCs w:val="24"/>
                  </w:rPr>
                </m:ctrlPr>
              </m:dPr>
              <m:e>
                <m:r>
                  <w:rPr>
                    <w:rFonts w:ascii="Cambria Math" w:hAnsi="Cambria Math" w:cs="Times New Roman"/>
                    <w:sz w:val="24"/>
                    <w:szCs w:val="24"/>
                  </w:rPr>
                  <m:t>2.90-23.64</m:t>
                </m:r>
              </m:e>
            </m:d>
          </m:num>
          <m:den>
            <m:r>
              <w:rPr>
                <w:rFonts w:ascii="Cambria Math" w:hAnsi="Cambria Math" w:cs="Times New Roman"/>
                <w:sz w:val="24"/>
                <w:szCs w:val="24"/>
              </w:rPr>
              <m:t>5.55-(-9.95)</m:t>
            </m:r>
          </m:den>
        </m:f>
        <m:r>
          <w:rPr>
            <w:rFonts w:ascii="Cambria Math" w:hAnsi="Cambria Math" w:cs="Times New Roman"/>
            <w:sz w:val="24"/>
            <w:szCs w:val="24"/>
          </w:rPr>
          <m:t>*100%=134%</m:t>
        </m:r>
      </m:oMath>
    </w:p>
    <w:p w14:paraId="3347E82A" w14:textId="75110473" w:rsidR="009825BC" w:rsidRPr="00D55507" w:rsidRDefault="009825BC" w:rsidP="00D55507">
      <w:pPr>
        <w:widowControl/>
        <w:spacing w:beforeLines="50" w:before="156" w:afterLines="50" w:after="156" w:line="259" w:lineRule="auto"/>
        <w:rPr>
          <w:rFonts w:ascii="Times New Roman" w:hAnsi="Times New Roman" w:cs="Times New Roman"/>
          <w:kern w:val="0"/>
          <w:sz w:val="24"/>
          <w:szCs w:val="24"/>
          <w:lang w:val="en-GB" w:eastAsia="en-US"/>
        </w:rPr>
      </w:pPr>
      <w:r w:rsidRPr="00D55507">
        <w:rPr>
          <w:rFonts w:ascii="Times New Roman" w:hAnsi="Times New Roman" w:cs="Times New Roman"/>
          <w:kern w:val="0"/>
          <w:sz w:val="24"/>
          <w:szCs w:val="24"/>
          <w:lang w:val="en-GB" w:eastAsia="en-US"/>
        </w:rPr>
        <w:t xml:space="preserve">In summary, recognizing asset impairment losses in advance or later has played an important role in earnings management, and has also played a pivotal role in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Telecom's success in "shell protection" in 2018.</w:t>
      </w:r>
    </w:p>
    <w:p w14:paraId="347A7FFD" w14:textId="5E040FE2" w:rsidR="00764679" w:rsidRDefault="00764679" w:rsidP="00764679">
      <w:pPr>
        <w:pStyle w:val="1"/>
        <w:spacing w:before="0" w:after="0" w:line="240" w:lineRule="auto"/>
        <w:rPr>
          <w:rFonts w:ascii="Times New Roman" w:hAnsi="Times New Roman" w:cs="Times New Roman"/>
          <w:sz w:val="28"/>
          <w:szCs w:val="24"/>
        </w:rPr>
      </w:pPr>
      <w:bookmarkStart w:id="15" w:name="_Toc130830430"/>
      <w:r w:rsidRPr="00634DFC">
        <w:rPr>
          <w:rFonts w:ascii="Times New Roman" w:hAnsi="Times New Roman" w:cs="Times New Roman"/>
          <w:sz w:val="28"/>
          <w:szCs w:val="24"/>
        </w:rPr>
        <w:t>4. Conclusion</w:t>
      </w:r>
      <w:bookmarkEnd w:id="15"/>
    </w:p>
    <w:p w14:paraId="63E3DE5A" w14:textId="77777777" w:rsidR="000723D8" w:rsidRPr="00D55507" w:rsidRDefault="000723D8" w:rsidP="00D55507">
      <w:pPr>
        <w:widowControl/>
        <w:spacing w:afterLines="50" w:after="156" w:line="259" w:lineRule="auto"/>
        <w:rPr>
          <w:rFonts w:ascii="Times New Roman" w:hAnsi="Times New Roman" w:cs="Times New Roman"/>
          <w:kern w:val="0"/>
          <w:sz w:val="24"/>
          <w:szCs w:val="24"/>
          <w:lang w:val="en-GB" w:eastAsia="en-US"/>
        </w:rPr>
      </w:pPr>
      <w:r w:rsidRPr="00D55507">
        <w:rPr>
          <w:rFonts w:ascii="Times New Roman" w:hAnsi="Times New Roman" w:cs="Times New Roman"/>
          <w:kern w:val="0"/>
          <w:sz w:val="24"/>
          <w:szCs w:val="24"/>
          <w:lang w:val="en-GB" w:eastAsia="en-US"/>
        </w:rPr>
        <w:t xml:space="preserve">This article first discusses the motivation of earnings management and the concept of earnings management of listed companies, and secondly, through the case evaluation of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 a listed company in China, it is found that the strongest motivation for </w:t>
      </w: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 to implement earnings management by means of asset disposal and non-recurring profits and losses is to reverse losses and protect shells. Although the result was a successful turnaround and a smooth shell, its operating ability and solvency have not been greatly improved, its stock price has not recovered to the pre-cap period, and even lost investors' confidence in the company's investment. Overall, the impact of implementing earnings management will do more harm than good in the long run. The main reason is that there are major deficiencies in the company's internal governance, as well as the imperfection of laws and regulations, and the lack of external supervision are also important factors for the company to dare to carry out earnings management.</w:t>
      </w:r>
    </w:p>
    <w:p w14:paraId="79360710" w14:textId="0AAE82FD" w:rsidR="00764679" w:rsidRDefault="00764679" w:rsidP="00764679">
      <w:pPr>
        <w:pStyle w:val="1"/>
        <w:spacing w:before="0" w:after="0" w:line="240" w:lineRule="auto"/>
        <w:rPr>
          <w:rFonts w:ascii="Times New Roman" w:hAnsi="Times New Roman" w:cs="Times New Roman"/>
          <w:sz w:val="28"/>
          <w:szCs w:val="24"/>
        </w:rPr>
      </w:pPr>
      <w:bookmarkStart w:id="16" w:name="_Toc130830431"/>
      <w:r w:rsidRPr="00634DFC">
        <w:rPr>
          <w:rFonts w:ascii="Times New Roman" w:hAnsi="Times New Roman" w:cs="Times New Roman"/>
          <w:sz w:val="28"/>
          <w:szCs w:val="24"/>
        </w:rPr>
        <w:t>5. Recommendations</w:t>
      </w:r>
      <w:bookmarkEnd w:id="16"/>
    </w:p>
    <w:p w14:paraId="613EFD68" w14:textId="16F8DADB" w:rsidR="009F7ADF" w:rsidRPr="002378AF" w:rsidRDefault="002378AF" w:rsidP="002378AF">
      <w:pPr>
        <w:outlineLvl w:val="1"/>
        <w:rPr>
          <w:rFonts w:ascii="Times New Roman" w:hAnsi="Times New Roman" w:cs="Times New Roman"/>
          <w:b/>
          <w:sz w:val="28"/>
          <w:szCs w:val="24"/>
        </w:rPr>
      </w:pPr>
      <w:bookmarkStart w:id="17" w:name="_Toc130830432"/>
      <w:r>
        <w:rPr>
          <w:rFonts w:ascii="Times New Roman" w:hAnsi="Times New Roman" w:cs="Times New Roman" w:hint="eastAsia"/>
          <w:b/>
          <w:sz w:val="28"/>
          <w:szCs w:val="24"/>
        </w:rPr>
        <w:t>5</w:t>
      </w:r>
      <w:r>
        <w:rPr>
          <w:rFonts w:ascii="Times New Roman" w:hAnsi="Times New Roman" w:cs="Times New Roman"/>
          <w:b/>
          <w:sz w:val="28"/>
          <w:szCs w:val="24"/>
        </w:rPr>
        <w:t xml:space="preserve">.1 </w:t>
      </w:r>
      <w:r w:rsidRPr="002378AF">
        <w:rPr>
          <w:rFonts w:ascii="Times New Roman" w:hAnsi="Times New Roman" w:cs="Times New Roman"/>
          <w:b/>
          <w:sz w:val="28"/>
          <w:szCs w:val="24"/>
        </w:rPr>
        <w:t>Optimize the shareholding structure and lay the foundation for the internal governance structure</w:t>
      </w:r>
      <w:bookmarkEnd w:id="17"/>
    </w:p>
    <w:p w14:paraId="43639075" w14:textId="77777777" w:rsidR="002378AF" w:rsidRPr="00D55507" w:rsidRDefault="002378AF" w:rsidP="00D55507">
      <w:pPr>
        <w:widowControl/>
        <w:spacing w:afterLines="50" w:after="156" w:line="259" w:lineRule="auto"/>
        <w:rPr>
          <w:rFonts w:ascii="Times New Roman" w:hAnsi="Times New Roman" w:cs="Times New Roman"/>
          <w:kern w:val="0"/>
          <w:sz w:val="24"/>
          <w:szCs w:val="24"/>
          <w:lang w:val="en-GB" w:eastAsia="en-US"/>
        </w:rPr>
      </w:pPr>
      <w:r w:rsidRPr="00D55507">
        <w:rPr>
          <w:rFonts w:ascii="Times New Roman" w:hAnsi="Times New Roman" w:cs="Times New Roman"/>
          <w:kern w:val="0"/>
          <w:sz w:val="24"/>
          <w:szCs w:val="24"/>
          <w:lang w:val="en-GB" w:eastAsia="en-US"/>
        </w:rPr>
        <w:t>Equity structure is the cornerstone of a company's internal governance, and a reasonable equity structure lays a good structural foundation for the efficiency and effectiveness of corporate governance through checks and balances based on ultimate ownership, and also creates a good internal environment for high-quality accounting information disclosure. On the one hand, it is necessary to actively develop institutional investors and introduce the supervision power of institutional investors; On the other hand, it is also necessary to protect the rights and interests of small and medium-sized shareholders and strengthen the supervision power of small and medium-sized shareholders.</w:t>
      </w:r>
    </w:p>
    <w:p w14:paraId="41281383" w14:textId="370A1210" w:rsidR="00366E34" w:rsidRPr="002378AF" w:rsidRDefault="002378AF" w:rsidP="002378AF">
      <w:pPr>
        <w:outlineLvl w:val="1"/>
        <w:rPr>
          <w:rFonts w:ascii="Times New Roman" w:hAnsi="Times New Roman" w:cs="Times New Roman"/>
          <w:b/>
          <w:sz w:val="28"/>
          <w:szCs w:val="24"/>
        </w:rPr>
      </w:pPr>
      <w:bookmarkStart w:id="18" w:name="_Toc130830433"/>
      <w:r>
        <w:rPr>
          <w:rFonts w:ascii="Times New Roman" w:hAnsi="Times New Roman" w:cs="Times New Roman" w:hint="eastAsia"/>
          <w:b/>
          <w:sz w:val="28"/>
          <w:szCs w:val="24"/>
        </w:rPr>
        <w:t>5</w:t>
      </w:r>
      <w:r>
        <w:rPr>
          <w:rFonts w:ascii="Times New Roman" w:hAnsi="Times New Roman" w:cs="Times New Roman"/>
          <w:b/>
          <w:sz w:val="28"/>
          <w:szCs w:val="24"/>
        </w:rPr>
        <w:t xml:space="preserve">.2 </w:t>
      </w:r>
      <w:r w:rsidRPr="002378AF">
        <w:rPr>
          <w:rFonts w:ascii="Times New Roman" w:hAnsi="Times New Roman" w:cs="Times New Roman"/>
          <w:b/>
          <w:sz w:val="28"/>
          <w:szCs w:val="24"/>
        </w:rPr>
        <w:t>Improve the structure of the board of directors and strengthen the functions of the board of directors</w:t>
      </w:r>
      <w:bookmarkEnd w:id="18"/>
    </w:p>
    <w:p w14:paraId="798B894E" w14:textId="77777777" w:rsidR="002378AF" w:rsidRPr="00D55507" w:rsidRDefault="002378AF" w:rsidP="00D55507">
      <w:pPr>
        <w:widowControl/>
        <w:spacing w:afterLines="50" w:after="156" w:line="259" w:lineRule="auto"/>
        <w:rPr>
          <w:rFonts w:ascii="Times New Roman" w:hAnsi="Times New Roman" w:cs="Times New Roman"/>
          <w:kern w:val="0"/>
          <w:sz w:val="24"/>
          <w:szCs w:val="24"/>
          <w:lang w:val="en-GB" w:eastAsia="en-US"/>
        </w:rPr>
      </w:pPr>
      <w:r w:rsidRPr="00D55507">
        <w:rPr>
          <w:rFonts w:ascii="Times New Roman" w:hAnsi="Times New Roman" w:cs="Times New Roman"/>
          <w:kern w:val="0"/>
          <w:sz w:val="24"/>
          <w:szCs w:val="24"/>
          <w:lang w:val="en-GB" w:eastAsia="en-US"/>
        </w:rPr>
        <w:t xml:space="preserve">As the power center of the company's internal governance structure, the board of directors undoubtedly plays a central role in improving the efficiency of the company's </w:t>
      </w:r>
      <w:r w:rsidRPr="00D55507">
        <w:rPr>
          <w:rFonts w:ascii="Times New Roman" w:hAnsi="Times New Roman" w:cs="Times New Roman"/>
          <w:kern w:val="0"/>
          <w:sz w:val="24"/>
          <w:szCs w:val="24"/>
          <w:lang w:val="en-GB" w:eastAsia="en-US"/>
        </w:rPr>
        <w:lastRenderedPageBreak/>
        <w:t>internal governance, and the board of directors with efficient operation can exert effective supervision over the accounting activities of the company's management personnel. On the one hand, listed companies should improve the selection mechanism of board members and curb the "phenomenon of insider control"; On the other hand, it is necessary to improve the independence of independent directors and give full play to the functions of independent directors.</w:t>
      </w:r>
    </w:p>
    <w:p w14:paraId="11B6DAB2" w14:textId="2CDF39BB" w:rsidR="00366E34" w:rsidRPr="002378AF" w:rsidRDefault="002378AF" w:rsidP="002378AF">
      <w:pPr>
        <w:outlineLvl w:val="1"/>
        <w:rPr>
          <w:rFonts w:ascii="Times New Roman" w:hAnsi="Times New Roman" w:cs="Times New Roman"/>
          <w:b/>
          <w:sz w:val="28"/>
          <w:szCs w:val="24"/>
        </w:rPr>
      </w:pPr>
      <w:bookmarkStart w:id="19" w:name="_Toc130830434"/>
      <w:r>
        <w:rPr>
          <w:rFonts w:ascii="Times New Roman" w:hAnsi="Times New Roman" w:cs="Times New Roman" w:hint="eastAsia"/>
          <w:b/>
          <w:sz w:val="28"/>
          <w:szCs w:val="24"/>
        </w:rPr>
        <w:t>5</w:t>
      </w:r>
      <w:r>
        <w:rPr>
          <w:rFonts w:ascii="Times New Roman" w:hAnsi="Times New Roman" w:cs="Times New Roman"/>
          <w:b/>
          <w:sz w:val="28"/>
          <w:szCs w:val="24"/>
        </w:rPr>
        <w:t xml:space="preserve">.3 </w:t>
      </w:r>
      <w:r w:rsidRPr="002378AF">
        <w:rPr>
          <w:rFonts w:ascii="Times New Roman" w:hAnsi="Times New Roman" w:cs="Times New Roman"/>
          <w:b/>
          <w:sz w:val="28"/>
          <w:szCs w:val="24"/>
        </w:rPr>
        <w:t>Improve the operation mechanism of the board of supervisors and raise the governance level of the board of supervisors</w:t>
      </w:r>
      <w:bookmarkEnd w:id="19"/>
    </w:p>
    <w:p w14:paraId="380CC02A" w14:textId="77777777" w:rsidR="002378AF" w:rsidRPr="00D55507" w:rsidRDefault="002378AF" w:rsidP="00D55507">
      <w:pPr>
        <w:widowControl/>
        <w:spacing w:afterLines="50" w:after="156" w:line="259" w:lineRule="auto"/>
        <w:rPr>
          <w:rFonts w:ascii="Times New Roman" w:hAnsi="Times New Roman" w:cs="Times New Roman"/>
          <w:kern w:val="0"/>
          <w:sz w:val="24"/>
          <w:szCs w:val="24"/>
          <w:lang w:val="en-GB" w:eastAsia="en-US"/>
        </w:rPr>
      </w:pPr>
      <w:r w:rsidRPr="00D55507">
        <w:rPr>
          <w:rFonts w:ascii="Times New Roman" w:hAnsi="Times New Roman" w:cs="Times New Roman"/>
          <w:kern w:val="0"/>
          <w:sz w:val="24"/>
          <w:szCs w:val="24"/>
          <w:lang w:val="en-GB" w:eastAsia="en-US"/>
        </w:rPr>
        <w:t>As the representative of the various stakeholders of a listed company, the Supervisory Board plays a central role in the internal supervision of the quality of the company's accounting information disclosure, and the power set parallel to the Board of Directors gives the Supervisory Board a strong supervisory function. Listed companies should attach importance to the strength of external supervisors, improve their independence, improve the professional ability of members of the board of supervisors, strengthen the quality of members of the board of supervisors, and reasonably distribute rights and responsibilities between independent directors and the board of supervisors.</w:t>
      </w:r>
    </w:p>
    <w:p w14:paraId="2873E592" w14:textId="4E78561C" w:rsidR="00366E34" w:rsidRPr="002378AF" w:rsidRDefault="002378AF" w:rsidP="002378AF">
      <w:pPr>
        <w:outlineLvl w:val="1"/>
        <w:rPr>
          <w:rFonts w:ascii="Times New Roman" w:hAnsi="Times New Roman" w:cs="Times New Roman"/>
          <w:b/>
          <w:sz w:val="28"/>
          <w:szCs w:val="24"/>
        </w:rPr>
      </w:pPr>
      <w:bookmarkStart w:id="20" w:name="_Toc130830435"/>
      <w:r>
        <w:rPr>
          <w:rFonts w:ascii="Times New Roman" w:hAnsi="Times New Roman" w:cs="Times New Roman" w:hint="eastAsia"/>
          <w:b/>
          <w:sz w:val="28"/>
          <w:szCs w:val="24"/>
        </w:rPr>
        <w:t>5</w:t>
      </w:r>
      <w:r>
        <w:rPr>
          <w:rFonts w:ascii="Times New Roman" w:hAnsi="Times New Roman" w:cs="Times New Roman"/>
          <w:b/>
          <w:sz w:val="28"/>
          <w:szCs w:val="24"/>
        </w:rPr>
        <w:t xml:space="preserve">.4 </w:t>
      </w:r>
      <w:r w:rsidRPr="002378AF">
        <w:rPr>
          <w:rFonts w:ascii="Times New Roman" w:hAnsi="Times New Roman" w:cs="Times New Roman"/>
          <w:b/>
          <w:sz w:val="28"/>
          <w:szCs w:val="24"/>
        </w:rPr>
        <w:t>Promote the further construction of professional committees and fully realize the functions of professional committees</w:t>
      </w:r>
      <w:bookmarkEnd w:id="20"/>
    </w:p>
    <w:p w14:paraId="38855120" w14:textId="0AE1DF2E" w:rsidR="00D55507" w:rsidRPr="00D55507" w:rsidRDefault="002378AF" w:rsidP="00D55507">
      <w:pPr>
        <w:widowControl/>
        <w:spacing w:afterLines="50" w:after="156" w:line="259" w:lineRule="auto"/>
        <w:rPr>
          <w:rFonts w:ascii="Times New Roman" w:hAnsi="Times New Roman" w:cs="Times New Roman" w:hint="eastAsia"/>
          <w:kern w:val="0"/>
          <w:sz w:val="24"/>
          <w:szCs w:val="24"/>
          <w:lang w:val="en-GB" w:eastAsia="en-US"/>
        </w:rPr>
      </w:pPr>
      <w:bookmarkStart w:id="21" w:name="_Toc122018716"/>
      <w:r w:rsidRPr="00D55507">
        <w:rPr>
          <w:rFonts w:ascii="Times New Roman" w:hAnsi="Times New Roman" w:cs="Times New Roman"/>
          <w:kern w:val="0"/>
          <w:sz w:val="24"/>
          <w:szCs w:val="24"/>
          <w:lang w:val="en-GB" w:eastAsia="en-US"/>
        </w:rPr>
        <w:t>As a common permanent body in listed companies in the United Kingdom and the United States, the professional committee of the board of directors plays an important role in making up for the shortcomings of the board of directors itself. On the one hand, the professional committee exercises the specific functions of the board of directors and improves the efficiency of the board of directors; On the other hand, the behavior of supervisors, managers, especially accounting behavior, has become an important part of the internal governance structure of British and American companies. Professional committees generally include audit committees, remuneration committees, nomination committees, etc., among which audit committees play a central role in supervising the quality of accounting information disclosure.</w:t>
      </w:r>
      <w:bookmarkStart w:id="22" w:name="_Toc130830436"/>
    </w:p>
    <w:p w14:paraId="2E43780A" w14:textId="7A4EB511" w:rsidR="005C7311" w:rsidRDefault="005C7311" w:rsidP="005C7311">
      <w:pPr>
        <w:outlineLvl w:val="0"/>
        <w:rPr>
          <w:rFonts w:ascii="Times New Roman" w:hAnsi="Times New Roman" w:cs="Times New Roman"/>
          <w:b/>
          <w:sz w:val="28"/>
          <w:szCs w:val="24"/>
        </w:rPr>
      </w:pPr>
      <w:r w:rsidRPr="00BB36CF">
        <w:rPr>
          <w:rFonts w:ascii="Times New Roman" w:hAnsi="Times New Roman" w:cs="Times New Roman"/>
          <w:b/>
          <w:sz w:val="28"/>
          <w:szCs w:val="24"/>
        </w:rPr>
        <w:t>References</w:t>
      </w:r>
      <w:bookmarkEnd w:id="21"/>
      <w:bookmarkEnd w:id="22"/>
    </w:p>
    <w:p w14:paraId="01529270" w14:textId="77777777" w:rsidR="00653172" w:rsidRPr="00D55507" w:rsidRDefault="00653172" w:rsidP="00D55507">
      <w:pPr>
        <w:widowControl/>
        <w:spacing w:line="259" w:lineRule="auto"/>
        <w:rPr>
          <w:rFonts w:ascii="Times New Roman" w:hAnsi="Times New Roman" w:cs="Times New Roman"/>
          <w:kern w:val="0"/>
          <w:sz w:val="24"/>
          <w:szCs w:val="24"/>
          <w:lang w:val="en-GB" w:eastAsia="en-US"/>
        </w:rPr>
      </w:pPr>
      <w:r w:rsidRPr="00D55507">
        <w:rPr>
          <w:rFonts w:ascii="Times New Roman" w:hAnsi="Times New Roman" w:cs="Times New Roman"/>
          <w:kern w:val="0"/>
          <w:sz w:val="24"/>
          <w:szCs w:val="24"/>
          <w:lang w:val="en-GB" w:eastAsia="en-US"/>
        </w:rPr>
        <w:t xml:space="preserve">Amy Patricia Sweeney, (1994) ‘Debt covenant violations and managers &amp; accounting responses’, </w:t>
      </w:r>
      <w:r w:rsidRPr="00D55507">
        <w:rPr>
          <w:rFonts w:ascii="Times New Roman" w:hAnsi="Times New Roman" w:cs="Times New Roman"/>
          <w:i/>
          <w:kern w:val="0"/>
          <w:sz w:val="24"/>
          <w:szCs w:val="24"/>
          <w:lang w:val="en-GB" w:eastAsia="en-US"/>
        </w:rPr>
        <w:t>Journal of Accounting and Economics</w:t>
      </w:r>
      <w:r w:rsidRPr="00D55507">
        <w:rPr>
          <w:rFonts w:ascii="Times New Roman" w:hAnsi="Times New Roman" w:cs="Times New Roman"/>
          <w:kern w:val="0"/>
          <w:sz w:val="24"/>
          <w:szCs w:val="24"/>
          <w:lang w:val="en-GB" w:eastAsia="en-US"/>
        </w:rPr>
        <w:t>, 17(3), pp. 281-308.</w:t>
      </w:r>
    </w:p>
    <w:p w14:paraId="1E3735E9" w14:textId="77777777" w:rsidR="00653172" w:rsidRPr="00D55507" w:rsidRDefault="00653172" w:rsidP="00D55507">
      <w:pPr>
        <w:widowControl/>
        <w:spacing w:line="259" w:lineRule="auto"/>
        <w:rPr>
          <w:rFonts w:ascii="Times New Roman" w:hAnsi="Times New Roman" w:cs="Times New Roman"/>
          <w:kern w:val="0"/>
          <w:sz w:val="24"/>
          <w:szCs w:val="24"/>
          <w:lang w:val="en-GB" w:eastAsia="en-US"/>
        </w:rPr>
      </w:pPr>
      <w:proofErr w:type="spellStart"/>
      <w:r w:rsidRPr="00D55507">
        <w:rPr>
          <w:rFonts w:ascii="Times New Roman" w:hAnsi="Times New Roman" w:cs="Times New Roman"/>
          <w:kern w:val="0"/>
          <w:sz w:val="24"/>
          <w:szCs w:val="24"/>
          <w:lang w:val="en-GB" w:eastAsia="en-US"/>
        </w:rPr>
        <w:t>Aharony</w:t>
      </w:r>
      <w:proofErr w:type="spellEnd"/>
      <w:r w:rsidRPr="00D55507">
        <w:rPr>
          <w:rFonts w:ascii="Times New Roman" w:hAnsi="Times New Roman" w:cs="Times New Roman"/>
          <w:kern w:val="0"/>
          <w:sz w:val="24"/>
          <w:szCs w:val="24"/>
          <w:lang w:val="en-GB" w:eastAsia="en-US"/>
        </w:rPr>
        <w:t xml:space="preserve"> J., C.W.J. Lee, T.J. Wong. (2000) ‘Financial packaging of IPO firms in China’, </w:t>
      </w:r>
      <w:r w:rsidRPr="00D55507">
        <w:rPr>
          <w:rFonts w:ascii="Times New Roman" w:hAnsi="Times New Roman" w:cs="Times New Roman"/>
          <w:i/>
          <w:kern w:val="0"/>
          <w:sz w:val="24"/>
          <w:szCs w:val="24"/>
          <w:lang w:val="en-GB" w:eastAsia="en-US"/>
        </w:rPr>
        <w:t>Journal of Accounting Research</w:t>
      </w:r>
      <w:r w:rsidRPr="00D55507">
        <w:rPr>
          <w:rFonts w:ascii="Times New Roman" w:hAnsi="Times New Roman" w:cs="Times New Roman"/>
          <w:kern w:val="0"/>
          <w:sz w:val="24"/>
          <w:szCs w:val="24"/>
          <w:lang w:val="en-GB" w:eastAsia="en-US"/>
        </w:rPr>
        <w:t>, 38(1), pp. 103-126.</w:t>
      </w:r>
    </w:p>
    <w:p w14:paraId="35D34A3D" w14:textId="77777777" w:rsidR="00D22D71" w:rsidRPr="00D55507" w:rsidRDefault="00D22D71" w:rsidP="00D55507">
      <w:pPr>
        <w:widowControl/>
        <w:spacing w:line="259" w:lineRule="auto"/>
        <w:rPr>
          <w:rFonts w:ascii="Times New Roman" w:hAnsi="Times New Roman" w:cs="Times New Roman"/>
          <w:kern w:val="0"/>
          <w:sz w:val="24"/>
          <w:szCs w:val="24"/>
          <w:lang w:val="en-GB" w:eastAsia="en-US"/>
        </w:rPr>
      </w:pPr>
      <w:r w:rsidRPr="00D55507">
        <w:rPr>
          <w:rFonts w:ascii="Times New Roman" w:hAnsi="Times New Roman" w:cs="Times New Roman"/>
          <w:kern w:val="0"/>
          <w:sz w:val="24"/>
          <w:szCs w:val="24"/>
          <w:lang w:val="en-GB" w:eastAsia="en-US"/>
        </w:rPr>
        <w:lastRenderedPageBreak/>
        <w:t xml:space="preserve">Andrzej </w:t>
      </w:r>
      <w:proofErr w:type="spellStart"/>
      <w:r w:rsidRPr="00D55507">
        <w:rPr>
          <w:rFonts w:ascii="Times New Roman" w:hAnsi="Times New Roman" w:cs="Times New Roman"/>
          <w:kern w:val="0"/>
          <w:sz w:val="24"/>
          <w:szCs w:val="24"/>
          <w:lang w:val="en-GB" w:eastAsia="en-US"/>
        </w:rPr>
        <w:t>Piosik</w:t>
      </w:r>
      <w:proofErr w:type="spellEnd"/>
      <w:r w:rsidRPr="00D55507">
        <w:rPr>
          <w:rFonts w:ascii="Times New Roman" w:hAnsi="Times New Roman" w:cs="Times New Roman"/>
          <w:kern w:val="0"/>
          <w:sz w:val="24"/>
          <w:szCs w:val="24"/>
          <w:lang w:val="en-GB" w:eastAsia="en-US"/>
        </w:rPr>
        <w:t xml:space="preserve">, </w:t>
      </w:r>
      <w:proofErr w:type="spellStart"/>
      <w:r w:rsidRPr="00D55507">
        <w:rPr>
          <w:rFonts w:ascii="Times New Roman" w:hAnsi="Times New Roman" w:cs="Times New Roman"/>
          <w:kern w:val="0"/>
          <w:sz w:val="24"/>
          <w:szCs w:val="24"/>
          <w:lang w:val="en-GB" w:eastAsia="en-US"/>
        </w:rPr>
        <w:t>Ewa</w:t>
      </w:r>
      <w:proofErr w:type="spellEnd"/>
      <w:r w:rsidRPr="00D55507">
        <w:rPr>
          <w:rFonts w:ascii="Times New Roman" w:hAnsi="Times New Roman" w:cs="Times New Roman"/>
          <w:kern w:val="0"/>
          <w:sz w:val="24"/>
          <w:szCs w:val="24"/>
          <w:lang w:val="en-GB" w:eastAsia="en-US"/>
        </w:rPr>
        <w:t xml:space="preserve"> </w:t>
      </w:r>
      <w:proofErr w:type="spellStart"/>
      <w:r w:rsidRPr="00D55507">
        <w:rPr>
          <w:rFonts w:ascii="Times New Roman" w:hAnsi="Times New Roman" w:cs="Times New Roman"/>
          <w:kern w:val="0"/>
          <w:sz w:val="24"/>
          <w:szCs w:val="24"/>
          <w:lang w:val="en-GB" w:eastAsia="en-US"/>
        </w:rPr>
        <w:t>Genge</w:t>
      </w:r>
      <w:proofErr w:type="spellEnd"/>
      <w:r w:rsidRPr="00D55507">
        <w:rPr>
          <w:rFonts w:ascii="Times New Roman" w:hAnsi="Times New Roman" w:cs="Times New Roman"/>
          <w:kern w:val="0"/>
          <w:sz w:val="24"/>
          <w:szCs w:val="24"/>
          <w:lang w:val="en-GB" w:eastAsia="en-US"/>
        </w:rPr>
        <w:t xml:space="preserve">, (2020) ‘Earnings management prior to mergers and acquisitions: The role of acquirers’ ownership structures. Evidence from Poland’, </w:t>
      </w:r>
      <w:r w:rsidRPr="00D55507">
        <w:rPr>
          <w:rFonts w:ascii="Times New Roman" w:hAnsi="Times New Roman" w:cs="Times New Roman"/>
          <w:i/>
          <w:kern w:val="0"/>
          <w:sz w:val="24"/>
          <w:szCs w:val="24"/>
          <w:lang w:val="en-GB" w:eastAsia="en-US"/>
        </w:rPr>
        <w:t>Procedia Computer Science</w:t>
      </w:r>
      <w:r w:rsidRPr="00D55507">
        <w:rPr>
          <w:rFonts w:ascii="Times New Roman" w:hAnsi="Times New Roman" w:cs="Times New Roman"/>
          <w:kern w:val="0"/>
          <w:sz w:val="24"/>
          <w:szCs w:val="24"/>
          <w:lang w:val="en-GB" w:eastAsia="en-US"/>
        </w:rPr>
        <w:t>, 176, pp. 1299-1311.</w:t>
      </w:r>
    </w:p>
    <w:p w14:paraId="2F45F06F" w14:textId="77777777" w:rsidR="00653172" w:rsidRPr="00D55507" w:rsidRDefault="00653172" w:rsidP="00D55507">
      <w:pPr>
        <w:widowControl/>
        <w:spacing w:line="259" w:lineRule="auto"/>
        <w:rPr>
          <w:rFonts w:ascii="Times New Roman" w:hAnsi="Times New Roman" w:cs="Times New Roman"/>
          <w:kern w:val="0"/>
          <w:sz w:val="24"/>
          <w:szCs w:val="24"/>
          <w:lang w:val="en-GB" w:eastAsia="en-US"/>
        </w:rPr>
      </w:pPr>
      <w:proofErr w:type="spellStart"/>
      <w:r w:rsidRPr="00D55507">
        <w:rPr>
          <w:rFonts w:ascii="Times New Roman" w:hAnsi="Times New Roman" w:cs="Times New Roman"/>
          <w:kern w:val="0"/>
          <w:sz w:val="24"/>
          <w:szCs w:val="24"/>
          <w:lang w:val="en-GB" w:eastAsia="en-US"/>
        </w:rPr>
        <w:t>Bergstresser</w:t>
      </w:r>
      <w:proofErr w:type="spellEnd"/>
      <w:r w:rsidRPr="00D55507">
        <w:rPr>
          <w:rFonts w:ascii="Times New Roman" w:hAnsi="Times New Roman" w:cs="Times New Roman"/>
          <w:kern w:val="0"/>
          <w:sz w:val="24"/>
          <w:szCs w:val="24"/>
          <w:lang w:val="en-GB" w:eastAsia="en-US"/>
        </w:rPr>
        <w:t xml:space="preserve"> D., Philippon T. (2006) ‘CEO incentives and earnings management’, </w:t>
      </w:r>
      <w:r w:rsidRPr="00D55507">
        <w:rPr>
          <w:rFonts w:ascii="Times New Roman" w:hAnsi="Times New Roman" w:cs="Times New Roman"/>
          <w:i/>
          <w:kern w:val="0"/>
          <w:sz w:val="24"/>
          <w:szCs w:val="24"/>
          <w:lang w:val="en-GB" w:eastAsia="en-US"/>
        </w:rPr>
        <w:t>Journal of Financial Economics,</w:t>
      </w:r>
      <w:r w:rsidRPr="00D55507">
        <w:rPr>
          <w:rFonts w:ascii="Times New Roman" w:hAnsi="Times New Roman" w:cs="Times New Roman"/>
          <w:kern w:val="0"/>
          <w:sz w:val="24"/>
          <w:szCs w:val="24"/>
          <w:lang w:val="en-GB" w:eastAsia="en-US"/>
        </w:rPr>
        <w:t xml:space="preserve"> 80(3), pp. 511-529. </w:t>
      </w:r>
    </w:p>
    <w:p w14:paraId="14441360" w14:textId="12A7F796" w:rsidR="00D22D71" w:rsidRPr="00D55507" w:rsidRDefault="00D22D71" w:rsidP="00D55507">
      <w:pPr>
        <w:widowControl/>
        <w:spacing w:line="259" w:lineRule="auto"/>
        <w:rPr>
          <w:rFonts w:ascii="Times New Roman" w:hAnsi="Times New Roman" w:cs="Times New Roman"/>
          <w:kern w:val="0"/>
          <w:sz w:val="24"/>
          <w:szCs w:val="24"/>
          <w:lang w:val="en-GB" w:eastAsia="en-US"/>
        </w:rPr>
      </w:pPr>
      <w:proofErr w:type="spellStart"/>
      <w:r w:rsidRPr="00D55507">
        <w:rPr>
          <w:rFonts w:ascii="Times New Roman" w:hAnsi="Times New Roman" w:cs="Times New Roman"/>
          <w:kern w:val="0"/>
          <w:sz w:val="24"/>
          <w:szCs w:val="24"/>
          <w:lang w:val="en-GB" w:eastAsia="en-US"/>
        </w:rPr>
        <w:t>Barua</w:t>
      </w:r>
      <w:proofErr w:type="spellEnd"/>
      <w:r w:rsidRPr="00D55507">
        <w:rPr>
          <w:rFonts w:ascii="Times New Roman" w:hAnsi="Times New Roman" w:cs="Times New Roman"/>
          <w:kern w:val="0"/>
          <w:sz w:val="24"/>
          <w:szCs w:val="24"/>
          <w:lang w:val="en-GB" w:eastAsia="en-US"/>
        </w:rPr>
        <w:t xml:space="preserve">, A. L. F. Davidson, D. V. Rama, S. </w:t>
      </w:r>
      <w:proofErr w:type="spellStart"/>
      <w:r w:rsidRPr="00D55507">
        <w:rPr>
          <w:rFonts w:ascii="Times New Roman" w:hAnsi="Times New Roman" w:cs="Times New Roman"/>
          <w:kern w:val="0"/>
          <w:sz w:val="24"/>
          <w:szCs w:val="24"/>
          <w:lang w:val="en-GB" w:eastAsia="en-US"/>
        </w:rPr>
        <w:t>Thiruvadi</w:t>
      </w:r>
      <w:proofErr w:type="spellEnd"/>
      <w:r w:rsidRPr="00D55507">
        <w:rPr>
          <w:rFonts w:ascii="Times New Roman" w:hAnsi="Times New Roman" w:cs="Times New Roman"/>
          <w:kern w:val="0"/>
          <w:sz w:val="24"/>
          <w:szCs w:val="24"/>
          <w:lang w:val="en-GB" w:eastAsia="en-US"/>
        </w:rPr>
        <w:t>. (2010) ‘CFO Gender and Accruals Quality’,</w:t>
      </w:r>
      <w:r w:rsidRPr="00D55507">
        <w:rPr>
          <w:rFonts w:ascii="Times New Roman" w:hAnsi="Times New Roman" w:cs="Times New Roman"/>
          <w:i/>
          <w:kern w:val="0"/>
          <w:sz w:val="24"/>
          <w:szCs w:val="24"/>
          <w:lang w:val="en-GB" w:eastAsia="en-US"/>
        </w:rPr>
        <w:t xml:space="preserve"> Accounting Horizons</w:t>
      </w:r>
      <w:r w:rsidRPr="00D55507">
        <w:rPr>
          <w:rFonts w:ascii="Times New Roman" w:hAnsi="Times New Roman" w:cs="Times New Roman"/>
          <w:kern w:val="0"/>
          <w:sz w:val="24"/>
          <w:szCs w:val="24"/>
          <w:lang w:val="en-GB" w:eastAsia="en-US"/>
        </w:rPr>
        <w:t>, 24(1), pp. 25-39.</w:t>
      </w:r>
    </w:p>
    <w:p w14:paraId="25596BE6" w14:textId="77777777" w:rsidR="00653172" w:rsidRPr="00D55507" w:rsidRDefault="00653172" w:rsidP="00D55507">
      <w:pPr>
        <w:widowControl/>
        <w:spacing w:line="259" w:lineRule="auto"/>
        <w:rPr>
          <w:rFonts w:ascii="Times New Roman" w:hAnsi="Times New Roman" w:cs="Times New Roman"/>
          <w:kern w:val="0"/>
          <w:sz w:val="24"/>
          <w:szCs w:val="24"/>
          <w:lang w:val="en-GB" w:eastAsia="en-US"/>
        </w:rPr>
      </w:pPr>
      <w:proofErr w:type="spellStart"/>
      <w:r w:rsidRPr="00D55507">
        <w:rPr>
          <w:rFonts w:ascii="Times New Roman" w:hAnsi="Times New Roman" w:cs="Times New Roman"/>
          <w:kern w:val="0"/>
          <w:sz w:val="24"/>
          <w:szCs w:val="24"/>
          <w:lang w:val="en-GB" w:eastAsia="en-US"/>
        </w:rPr>
        <w:t>Badertscher</w:t>
      </w:r>
      <w:proofErr w:type="spellEnd"/>
      <w:r w:rsidRPr="00D55507">
        <w:rPr>
          <w:rFonts w:ascii="Times New Roman" w:hAnsi="Times New Roman" w:cs="Times New Roman"/>
          <w:kern w:val="0"/>
          <w:sz w:val="24"/>
          <w:szCs w:val="24"/>
          <w:lang w:val="en-GB" w:eastAsia="en-US"/>
        </w:rPr>
        <w:t xml:space="preserve"> B A. (2011) ‘Overvaluation and the Choice of Alternative Earnings Management Mechanisms’, </w:t>
      </w:r>
      <w:r w:rsidRPr="00D55507">
        <w:rPr>
          <w:rFonts w:ascii="Times New Roman" w:hAnsi="Times New Roman" w:cs="Times New Roman"/>
          <w:i/>
          <w:kern w:val="0"/>
          <w:sz w:val="24"/>
          <w:szCs w:val="24"/>
          <w:lang w:val="en-GB" w:eastAsia="en-US"/>
        </w:rPr>
        <w:t>Accounting Review</w:t>
      </w:r>
      <w:r w:rsidRPr="00D55507">
        <w:rPr>
          <w:rFonts w:ascii="Times New Roman" w:hAnsi="Times New Roman" w:cs="Times New Roman"/>
          <w:kern w:val="0"/>
          <w:sz w:val="24"/>
          <w:szCs w:val="24"/>
          <w:lang w:val="en-GB" w:eastAsia="en-US"/>
        </w:rPr>
        <w:t>, 11(5), pp. 163-192.</w:t>
      </w:r>
    </w:p>
    <w:p w14:paraId="2729937E" w14:textId="77777777" w:rsidR="00653172" w:rsidRPr="00D55507" w:rsidRDefault="00653172" w:rsidP="00D55507">
      <w:pPr>
        <w:widowControl/>
        <w:spacing w:line="259" w:lineRule="auto"/>
        <w:rPr>
          <w:rFonts w:ascii="Times New Roman" w:hAnsi="Times New Roman" w:cs="Times New Roman"/>
          <w:kern w:val="0"/>
          <w:sz w:val="24"/>
          <w:szCs w:val="24"/>
          <w:lang w:val="en-GB" w:eastAsia="en-US"/>
        </w:rPr>
      </w:pPr>
      <w:r w:rsidRPr="00D55507">
        <w:rPr>
          <w:rFonts w:ascii="Times New Roman" w:hAnsi="Times New Roman" w:cs="Times New Roman"/>
          <w:kern w:val="0"/>
          <w:sz w:val="24"/>
          <w:szCs w:val="24"/>
          <w:lang w:val="en-GB" w:eastAsia="en-US"/>
        </w:rPr>
        <w:t xml:space="preserve">Cormier, D. </w:t>
      </w:r>
      <w:proofErr w:type="spellStart"/>
      <w:r w:rsidRPr="00D55507">
        <w:rPr>
          <w:rFonts w:ascii="Times New Roman" w:hAnsi="Times New Roman" w:cs="Times New Roman"/>
          <w:kern w:val="0"/>
          <w:sz w:val="24"/>
          <w:szCs w:val="24"/>
          <w:lang w:val="en-GB" w:eastAsia="en-US"/>
        </w:rPr>
        <w:t>Magnan</w:t>
      </w:r>
      <w:proofErr w:type="spellEnd"/>
      <w:r w:rsidRPr="00D55507">
        <w:rPr>
          <w:rFonts w:ascii="Times New Roman" w:hAnsi="Times New Roman" w:cs="Times New Roman"/>
          <w:kern w:val="0"/>
          <w:sz w:val="24"/>
          <w:szCs w:val="24"/>
          <w:lang w:val="en-GB" w:eastAsia="en-US"/>
        </w:rPr>
        <w:t>, M. (2006) ‘Intra-industry imitation in corporate environmental reporting: an international perspective’,</w:t>
      </w:r>
      <w:r w:rsidRPr="00D55507">
        <w:rPr>
          <w:rFonts w:ascii="Times New Roman" w:hAnsi="Times New Roman" w:cs="Times New Roman"/>
          <w:i/>
          <w:kern w:val="0"/>
          <w:sz w:val="24"/>
          <w:szCs w:val="24"/>
          <w:lang w:val="en-GB" w:eastAsia="en-US"/>
        </w:rPr>
        <w:t xml:space="preserve"> Journal of Accounting and Public Policy</w:t>
      </w:r>
      <w:r w:rsidRPr="00D55507">
        <w:rPr>
          <w:rFonts w:ascii="Times New Roman" w:hAnsi="Times New Roman" w:cs="Times New Roman"/>
          <w:kern w:val="0"/>
          <w:sz w:val="24"/>
          <w:szCs w:val="24"/>
          <w:lang w:val="en-GB" w:eastAsia="en-US"/>
        </w:rPr>
        <w:t>, 25(3), pp. 299-331.</w:t>
      </w:r>
    </w:p>
    <w:p w14:paraId="2E36CBDF" w14:textId="77777777" w:rsidR="00653172" w:rsidRPr="00D55507" w:rsidRDefault="00653172" w:rsidP="00D55507">
      <w:pPr>
        <w:widowControl/>
        <w:spacing w:line="259" w:lineRule="auto"/>
        <w:rPr>
          <w:rFonts w:ascii="Times New Roman" w:hAnsi="Times New Roman" w:cs="Times New Roman"/>
          <w:kern w:val="0"/>
          <w:sz w:val="24"/>
          <w:szCs w:val="24"/>
          <w:lang w:val="en-GB" w:eastAsia="en-US"/>
        </w:rPr>
      </w:pPr>
      <w:r w:rsidRPr="00D55507">
        <w:rPr>
          <w:rFonts w:ascii="Times New Roman" w:hAnsi="Times New Roman" w:cs="Times New Roman"/>
          <w:kern w:val="0"/>
          <w:sz w:val="24"/>
          <w:szCs w:val="24"/>
          <w:lang w:val="en-GB" w:eastAsia="en-US"/>
        </w:rPr>
        <w:t xml:space="preserve">De Angelo H. De Angelo L. and Skinner D. J. (1994) ‘Accounting Choice in Troubled Companies’, </w:t>
      </w:r>
      <w:r w:rsidRPr="00D55507">
        <w:rPr>
          <w:rFonts w:ascii="Times New Roman" w:hAnsi="Times New Roman" w:cs="Times New Roman"/>
          <w:i/>
          <w:kern w:val="0"/>
          <w:sz w:val="24"/>
          <w:szCs w:val="24"/>
          <w:lang w:val="en-GB" w:eastAsia="en-US"/>
        </w:rPr>
        <w:t>Accounting and Economics</w:t>
      </w:r>
      <w:r w:rsidRPr="00D55507">
        <w:rPr>
          <w:rFonts w:ascii="Times New Roman" w:hAnsi="Times New Roman" w:cs="Times New Roman"/>
          <w:kern w:val="0"/>
          <w:sz w:val="24"/>
          <w:szCs w:val="24"/>
          <w:lang w:val="en-GB" w:eastAsia="en-US"/>
        </w:rPr>
        <w:t>, 17(2), pp. 113-143.</w:t>
      </w:r>
    </w:p>
    <w:p w14:paraId="4AFB28AE" w14:textId="77777777" w:rsidR="00653172" w:rsidRPr="00D55507" w:rsidRDefault="00653172" w:rsidP="00D55507">
      <w:pPr>
        <w:widowControl/>
        <w:spacing w:line="259" w:lineRule="auto"/>
        <w:rPr>
          <w:rFonts w:ascii="Times New Roman" w:hAnsi="Times New Roman" w:cs="Times New Roman"/>
          <w:kern w:val="0"/>
          <w:sz w:val="24"/>
          <w:szCs w:val="24"/>
          <w:lang w:val="en-GB" w:eastAsia="en-US"/>
        </w:rPr>
      </w:pPr>
      <w:proofErr w:type="spellStart"/>
      <w:r w:rsidRPr="00D55507">
        <w:rPr>
          <w:rFonts w:ascii="Times New Roman" w:hAnsi="Times New Roman" w:cs="Times New Roman"/>
          <w:kern w:val="0"/>
          <w:sz w:val="24"/>
          <w:szCs w:val="24"/>
          <w:lang w:val="en-GB" w:eastAsia="en-US"/>
        </w:rPr>
        <w:t>Dichev</w:t>
      </w:r>
      <w:proofErr w:type="spellEnd"/>
      <w:r w:rsidRPr="00D55507">
        <w:rPr>
          <w:rFonts w:ascii="Times New Roman" w:hAnsi="Times New Roman" w:cs="Times New Roman"/>
          <w:kern w:val="0"/>
          <w:sz w:val="24"/>
          <w:szCs w:val="24"/>
          <w:lang w:val="en-GB" w:eastAsia="en-US"/>
        </w:rPr>
        <w:t xml:space="preserve"> I.D, Skinner D.J. (2002) ‘Large-sample evidence on the debt covenant hypothesis’, </w:t>
      </w:r>
      <w:r w:rsidRPr="00D55507">
        <w:rPr>
          <w:rFonts w:ascii="Times New Roman" w:hAnsi="Times New Roman" w:cs="Times New Roman"/>
          <w:i/>
          <w:kern w:val="0"/>
          <w:sz w:val="24"/>
          <w:szCs w:val="24"/>
          <w:lang w:val="en-GB" w:eastAsia="en-US"/>
        </w:rPr>
        <w:t>Journal of Accounting Research</w:t>
      </w:r>
      <w:r w:rsidRPr="00D55507">
        <w:rPr>
          <w:rFonts w:ascii="Times New Roman" w:hAnsi="Times New Roman" w:cs="Times New Roman"/>
          <w:kern w:val="0"/>
          <w:sz w:val="24"/>
          <w:szCs w:val="24"/>
          <w:lang w:val="en-GB" w:eastAsia="en-US"/>
        </w:rPr>
        <w:t>, 40(4), pp. 1091-1123.</w:t>
      </w:r>
    </w:p>
    <w:p w14:paraId="313311D2" w14:textId="77777777" w:rsidR="00D22D71" w:rsidRPr="00D55507" w:rsidRDefault="00D22D71" w:rsidP="00D55507">
      <w:pPr>
        <w:widowControl/>
        <w:spacing w:line="259" w:lineRule="auto"/>
        <w:rPr>
          <w:rFonts w:ascii="Times New Roman" w:hAnsi="Times New Roman" w:cs="Times New Roman"/>
          <w:kern w:val="0"/>
          <w:sz w:val="24"/>
          <w:szCs w:val="24"/>
          <w:lang w:val="en-GB" w:eastAsia="en-US"/>
        </w:rPr>
      </w:pP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 Technology Co., Ltd. (2016) Annual report 2016.</w:t>
      </w:r>
      <w:r w:rsidRPr="00D55507">
        <w:rPr>
          <w:rFonts w:ascii="Times New Roman" w:hAnsi="Times New Roman" w:cs="Times New Roman" w:hint="eastAsia"/>
          <w:kern w:val="0"/>
          <w:sz w:val="24"/>
          <w:szCs w:val="24"/>
          <w:lang w:val="en-GB" w:eastAsia="en-US"/>
        </w:rPr>
        <w:t xml:space="preserve"> </w:t>
      </w:r>
      <w:r w:rsidRPr="00D55507">
        <w:rPr>
          <w:rFonts w:ascii="Times New Roman" w:hAnsi="Times New Roman" w:cs="Times New Roman"/>
          <w:kern w:val="0"/>
          <w:sz w:val="24"/>
          <w:szCs w:val="24"/>
          <w:lang w:val="en-GB" w:eastAsia="en-US"/>
        </w:rPr>
        <w:t>Available at: https://www.datang.com/investorrelations/14936884605042952.html (Accessed: 7 M</w:t>
      </w:r>
      <w:r w:rsidRPr="00D55507">
        <w:rPr>
          <w:rFonts w:ascii="Times New Roman" w:hAnsi="Times New Roman" w:cs="Times New Roman" w:hint="eastAsia"/>
          <w:kern w:val="0"/>
          <w:sz w:val="24"/>
          <w:szCs w:val="24"/>
          <w:lang w:val="en-GB" w:eastAsia="en-US"/>
        </w:rPr>
        <w:t>arch</w:t>
      </w:r>
      <w:r w:rsidRPr="00D55507">
        <w:rPr>
          <w:rFonts w:ascii="Times New Roman" w:hAnsi="Times New Roman" w:cs="Times New Roman"/>
          <w:kern w:val="0"/>
          <w:sz w:val="24"/>
          <w:szCs w:val="24"/>
          <w:lang w:val="en-GB" w:eastAsia="en-US"/>
        </w:rPr>
        <w:t xml:space="preserve"> 2023).</w:t>
      </w:r>
    </w:p>
    <w:p w14:paraId="0F3F686E" w14:textId="77777777" w:rsidR="00D22D71" w:rsidRPr="00D55507" w:rsidRDefault="00D22D71" w:rsidP="00D55507">
      <w:pPr>
        <w:widowControl/>
        <w:spacing w:line="259" w:lineRule="auto"/>
        <w:rPr>
          <w:rFonts w:ascii="Times New Roman" w:hAnsi="Times New Roman" w:cs="Times New Roman"/>
          <w:kern w:val="0"/>
          <w:sz w:val="24"/>
          <w:szCs w:val="24"/>
          <w:lang w:val="en-GB" w:eastAsia="en-US"/>
        </w:rPr>
      </w:pP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 Technology Co., Ltd. (2017) Annual report 2017.</w:t>
      </w:r>
      <w:r w:rsidRPr="00D55507">
        <w:rPr>
          <w:rFonts w:ascii="Times New Roman" w:hAnsi="Times New Roman" w:cs="Times New Roman" w:hint="eastAsia"/>
          <w:kern w:val="0"/>
          <w:sz w:val="24"/>
          <w:szCs w:val="24"/>
          <w:lang w:val="en-GB" w:eastAsia="en-US"/>
        </w:rPr>
        <w:t xml:space="preserve"> </w:t>
      </w:r>
      <w:r w:rsidRPr="00D55507">
        <w:rPr>
          <w:rFonts w:ascii="Times New Roman" w:hAnsi="Times New Roman" w:cs="Times New Roman"/>
          <w:kern w:val="0"/>
          <w:sz w:val="24"/>
          <w:szCs w:val="24"/>
          <w:lang w:val="en-GB" w:eastAsia="en-US"/>
        </w:rPr>
        <w:t>Available at: https://www.datang.com/investorrelations/15248897938553150.html (Accessed: 7 M</w:t>
      </w:r>
      <w:r w:rsidRPr="00D55507">
        <w:rPr>
          <w:rFonts w:ascii="Times New Roman" w:hAnsi="Times New Roman" w:cs="Times New Roman" w:hint="eastAsia"/>
          <w:kern w:val="0"/>
          <w:sz w:val="24"/>
          <w:szCs w:val="24"/>
          <w:lang w:val="en-GB" w:eastAsia="en-US"/>
        </w:rPr>
        <w:t>arch</w:t>
      </w:r>
      <w:r w:rsidRPr="00D55507">
        <w:rPr>
          <w:rFonts w:ascii="Times New Roman" w:hAnsi="Times New Roman" w:cs="Times New Roman"/>
          <w:kern w:val="0"/>
          <w:sz w:val="24"/>
          <w:szCs w:val="24"/>
          <w:lang w:val="en-GB" w:eastAsia="en-US"/>
        </w:rPr>
        <w:t xml:space="preserve"> 2023).</w:t>
      </w:r>
    </w:p>
    <w:p w14:paraId="0E95EDD9" w14:textId="77777777" w:rsidR="00D22D71" w:rsidRPr="00D55507" w:rsidRDefault="00D22D71" w:rsidP="00D55507">
      <w:pPr>
        <w:widowControl/>
        <w:spacing w:line="259" w:lineRule="auto"/>
        <w:rPr>
          <w:rFonts w:ascii="Times New Roman" w:hAnsi="Times New Roman" w:cs="Times New Roman"/>
          <w:kern w:val="0"/>
          <w:sz w:val="24"/>
          <w:szCs w:val="24"/>
          <w:lang w:val="en-GB" w:eastAsia="en-US"/>
        </w:rPr>
      </w:pP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 Technology Co., Ltd. (2018) Annual report 2018.</w:t>
      </w:r>
      <w:r w:rsidRPr="00D55507">
        <w:rPr>
          <w:rFonts w:ascii="Times New Roman" w:hAnsi="Times New Roman" w:cs="Times New Roman" w:hint="eastAsia"/>
          <w:kern w:val="0"/>
          <w:sz w:val="24"/>
          <w:szCs w:val="24"/>
          <w:lang w:val="en-GB" w:eastAsia="en-US"/>
        </w:rPr>
        <w:t xml:space="preserve"> </w:t>
      </w:r>
      <w:r w:rsidRPr="00D55507">
        <w:rPr>
          <w:rFonts w:ascii="Times New Roman" w:hAnsi="Times New Roman" w:cs="Times New Roman"/>
          <w:kern w:val="0"/>
          <w:sz w:val="24"/>
          <w:szCs w:val="24"/>
          <w:lang w:val="en-GB" w:eastAsia="en-US"/>
        </w:rPr>
        <w:t>Available at: https://www.datang.com/investorrelations/15248900232323151.html (Accessed: 7 M</w:t>
      </w:r>
      <w:r w:rsidRPr="00D55507">
        <w:rPr>
          <w:rFonts w:ascii="Times New Roman" w:hAnsi="Times New Roman" w:cs="Times New Roman" w:hint="eastAsia"/>
          <w:kern w:val="0"/>
          <w:sz w:val="24"/>
          <w:szCs w:val="24"/>
          <w:lang w:val="en-GB" w:eastAsia="en-US"/>
        </w:rPr>
        <w:t>arch</w:t>
      </w:r>
      <w:r w:rsidRPr="00D55507">
        <w:rPr>
          <w:rFonts w:ascii="Times New Roman" w:hAnsi="Times New Roman" w:cs="Times New Roman"/>
          <w:kern w:val="0"/>
          <w:sz w:val="24"/>
          <w:szCs w:val="24"/>
          <w:lang w:val="en-GB" w:eastAsia="en-US"/>
        </w:rPr>
        <w:t xml:space="preserve"> 2023).</w:t>
      </w:r>
    </w:p>
    <w:p w14:paraId="28D265EA" w14:textId="77777777" w:rsidR="00D22D71" w:rsidRPr="00D55507" w:rsidRDefault="00D22D71" w:rsidP="00D55507">
      <w:pPr>
        <w:widowControl/>
        <w:spacing w:line="259" w:lineRule="auto"/>
        <w:rPr>
          <w:rFonts w:ascii="Times New Roman" w:hAnsi="Times New Roman" w:cs="Times New Roman"/>
          <w:kern w:val="0"/>
          <w:sz w:val="24"/>
          <w:szCs w:val="24"/>
          <w:lang w:val="en-GB" w:eastAsia="en-US"/>
        </w:rPr>
      </w:pP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 Technology Co., Ltd. (2019) Annual report 2019.</w:t>
      </w:r>
      <w:r w:rsidRPr="00D55507">
        <w:rPr>
          <w:rFonts w:ascii="Times New Roman" w:hAnsi="Times New Roman" w:cs="Times New Roman" w:hint="eastAsia"/>
          <w:kern w:val="0"/>
          <w:sz w:val="24"/>
          <w:szCs w:val="24"/>
          <w:lang w:val="en-GB" w:eastAsia="en-US"/>
        </w:rPr>
        <w:t xml:space="preserve"> </w:t>
      </w:r>
      <w:r w:rsidRPr="00D55507">
        <w:rPr>
          <w:rFonts w:ascii="Times New Roman" w:hAnsi="Times New Roman" w:cs="Times New Roman"/>
          <w:kern w:val="0"/>
          <w:sz w:val="24"/>
          <w:szCs w:val="24"/>
          <w:lang w:val="en-GB" w:eastAsia="en-US"/>
        </w:rPr>
        <w:t>Available at: https://www.datang.com/investorrelations/15342968999153185.html (Accessed: 7 M</w:t>
      </w:r>
      <w:r w:rsidRPr="00D55507">
        <w:rPr>
          <w:rFonts w:ascii="Times New Roman" w:hAnsi="Times New Roman" w:cs="Times New Roman" w:hint="eastAsia"/>
          <w:kern w:val="0"/>
          <w:sz w:val="24"/>
          <w:szCs w:val="24"/>
          <w:lang w:val="en-GB" w:eastAsia="en-US"/>
        </w:rPr>
        <w:t>arch</w:t>
      </w:r>
      <w:r w:rsidRPr="00D55507">
        <w:rPr>
          <w:rFonts w:ascii="Times New Roman" w:hAnsi="Times New Roman" w:cs="Times New Roman"/>
          <w:kern w:val="0"/>
          <w:sz w:val="24"/>
          <w:szCs w:val="24"/>
          <w:lang w:val="en-GB" w:eastAsia="en-US"/>
        </w:rPr>
        <w:t xml:space="preserve"> 2023).</w:t>
      </w:r>
    </w:p>
    <w:p w14:paraId="2A9C91CF" w14:textId="77777777" w:rsidR="00D22D71" w:rsidRPr="00D55507" w:rsidRDefault="00D22D71" w:rsidP="00D55507">
      <w:pPr>
        <w:widowControl/>
        <w:spacing w:line="259" w:lineRule="auto"/>
        <w:rPr>
          <w:rFonts w:ascii="Times New Roman" w:hAnsi="Times New Roman" w:cs="Times New Roman"/>
          <w:kern w:val="0"/>
          <w:sz w:val="24"/>
          <w:szCs w:val="24"/>
          <w:lang w:val="en-GB" w:eastAsia="en-US"/>
        </w:rPr>
      </w:pPr>
      <w:proofErr w:type="spellStart"/>
      <w:r w:rsidRPr="00D55507">
        <w:rPr>
          <w:rFonts w:ascii="Times New Roman" w:hAnsi="Times New Roman" w:cs="Times New Roman"/>
          <w:kern w:val="0"/>
          <w:sz w:val="24"/>
          <w:szCs w:val="24"/>
          <w:lang w:val="en-GB" w:eastAsia="en-US"/>
        </w:rPr>
        <w:t>Datang</w:t>
      </w:r>
      <w:proofErr w:type="spellEnd"/>
      <w:r w:rsidRPr="00D55507">
        <w:rPr>
          <w:rFonts w:ascii="Times New Roman" w:hAnsi="Times New Roman" w:cs="Times New Roman"/>
          <w:kern w:val="0"/>
          <w:sz w:val="24"/>
          <w:szCs w:val="24"/>
          <w:lang w:val="en-GB" w:eastAsia="en-US"/>
        </w:rPr>
        <w:t xml:space="preserve"> Telecom Technology Co., Ltd. (2020) Annual report 2020.</w:t>
      </w:r>
      <w:r w:rsidRPr="00D55507">
        <w:rPr>
          <w:rFonts w:ascii="Times New Roman" w:hAnsi="Times New Roman" w:cs="Times New Roman" w:hint="eastAsia"/>
          <w:kern w:val="0"/>
          <w:sz w:val="24"/>
          <w:szCs w:val="24"/>
          <w:lang w:val="en-GB" w:eastAsia="en-US"/>
        </w:rPr>
        <w:t xml:space="preserve"> </w:t>
      </w:r>
      <w:r w:rsidRPr="00D55507">
        <w:rPr>
          <w:rFonts w:ascii="Times New Roman" w:hAnsi="Times New Roman" w:cs="Times New Roman"/>
          <w:kern w:val="0"/>
          <w:sz w:val="24"/>
          <w:szCs w:val="24"/>
          <w:lang w:val="en-GB" w:eastAsia="en-US"/>
        </w:rPr>
        <w:t>Available at: https://www.datang.com/investorrelations/15405163622373201.html (Accessed: 7 M</w:t>
      </w:r>
      <w:r w:rsidRPr="00D55507">
        <w:rPr>
          <w:rFonts w:ascii="Times New Roman" w:hAnsi="Times New Roman" w:cs="Times New Roman" w:hint="eastAsia"/>
          <w:kern w:val="0"/>
          <w:sz w:val="24"/>
          <w:szCs w:val="24"/>
          <w:lang w:val="en-GB" w:eastAsia="en-US"/>
        </w:rPr>
        <w:t>arch</w:t>
      </w:r>
      <w:r w:rsidRPr="00D55507">
        <w:rPr>
          <w:rFonts w:ascii="Times New Roman" w:hAnsi="Times New Roman" w:cs="Times New Roman"/>
          <w:kern w:val="0"/>
          <w:sz w:val="24"/>
          <w:szCs w:val="24"/>
          <w:lang w:val="en-GB" w:eastAsia="en-US"/>
        </w:rPr>
        <w:t xml:space="preserve"> 2023).</w:t>
      </w:r>
    </w:p>
    <w:p w14:paraId="5FE3F574" w14:textId="77777777" w:rsidR="00653172" w:rsidRPr="00D55507" w:rsidRDefault="00653172" w:rsidP="00D55507">
      <w:pPr>
        <w:widowControl/>
        <w:spacing w:line="259" w:lineRule="auto"/>
        <w:rPr>
          <w:rFonts w:ascii="Times New Roman" w:hAnsi="Times New Roman" w:cs="Times New Roman"/>
          <w:kern w:val="0"/>
          <w:sz w:val="24"/>
          <w:szCs w:val="24"/>
          <w:lang w:val="en-GB" w:eastAsia="en-US"/>
        </w:rPr>
      </w:pPr>
      <w:r w:rsidRPr="00D55507">
        <w:rPr>
          <w:rFonts w:ascii="Times New Roman" w:hAnsi="Times New Roman" w:cs="Times New Roman"/>
          <w:kern w:val="0"/>
          <w:sz w:val="24"/>
          <w:szCs w:val="24"/>
          <w:lang w:val="en-GB" w:eastAsia="en-US"/>
        </w:rPr>
        <w:t xml:space="preserve">Eli </w:t>
      </w:r>
      <w:proofErr w:type="spellStart"/>
      <w:r w:rsidRPr="00D55507">
        <w:rPr>
          <w:rFonts w:ascii="Times New Roman" w:hAnsi="Times New Roman" w:cs="Times New Roman"/>
          <w:kern w:val="0"/>
          <w:sz w:val="24"/>
          <w:szCs w:val="24"/>
          <w:lang w:val="en-GB" w:eastAsia="en-US"/>
        </w:rPr>
        <w:t>Bartov</w:t>
      </w:r>
      <w:proofErr w:type="spellEnd"/>
      <w:r w:rsidRPr="00D55507">
        <w:rPr>
          <w:rFonts w:ascii="Times New Roman" w:hAnsi="Times New Roman" w:cs="Times New Roman"/>
          <w:kern w:val="0"/>
          <w:sz w:val="24"/>
          <w:szCs w:val="24"/>
          <w:lang w:val="en-GB" w:eastAsia="en-US"/>
        </w:rPr>
        <w:t xml:space="preserve">, Dan </w:t>
      </w:r>
      <w:proofErr w:type="spellStart"/>
      <w:r w:rsidRPr="00D55507">
        <w:rPr>
          <w:rFonts w:ascii="Times New Roman" w:hAnsi="Times New Roman" w:cs="Times New Roman"/>
          <w:kern w:val="0"/>
          <w:sz w:val="24"/>
          <w:szCs w:val="24"/>
          <w:lang w:val="en-GB" w:eastAsia="en-US"/>
        </w:rPr>
        <w:t>Givoly</w:t>
      </w:r>
      <w:proofErr w:type="spellEnd"/>
      <w:r w:rsidRPr="00D55507">
        <w:rPr>
          <w:rFonts w:ascii="Times New Roman" w:hAnsi="Times New Roman" w:cs="Times New Roman"/>
          <w:kern w:val="0"/>
          <w:sz w:val="24"/>
          <w:szCs w:val="24"/>
          <w:lang w:val="en-GB" w:eastAsia="en-US"/>
        </w:rPr>
        <w:t xml:space="preserve">, Carla </w:t>
      </w:r>
      <w:proofErr w:type="spellStart"/>
      <w:r w:rsidRPr="00D55507">
        <w:rPr>
          <w:rFonts w:ascii="Times New Roman" w:hAnsi="Times New Roman" w:cs="Times New Roman"/>
          <w:kern w:val="0"/>
          <w:sz w:val="24"/>
          <w:szCs w:val="24"/>
          <w:lang w:val="en-GB" w:eastAsia="en-US"/>
        </w:rPr>
        <w:t>Hayn</w:t>
      </w:r>
      <w:proofErr w:type="spellEnd"/>
      <w:r w:rsidRPr="00D55507">
        <w:rPr>
          <w:rFonts w:ascii="Times New Roman" w:hAnsi="Times New Roman" w:cs="Times New Roman"/>
          <w:kern w:val="0"/>
          <w:sz w:val="24"/>
          <w:szCs w:val="24"/>
          <w:lang w:val="en-GB" w:eastAsia="en-US"/>
        </w:rPr>
        <w:t>, (2022) ‘The rewards to meeting or beating earnings expectations’,</w:t>
      </w:r>
      <w:r w:rsidRPr="00D55507">
        <w:rPr>
          <w:rFonts w:ascii="Times New Roman" w:hAnsi="Times New Roman" w:cs="Times New Roman"/>
          <w:i/>
          <w:kern w:val="0"/>
          <w:sz w:val="24"/>
          <w:szCs w:val="24"/>
          <w:lang w:val="en-GB" w:eastAsia="en-US"/>
        </w:rPr>
        <w:t xml:space="preserve"> Journal of Accounting and Economics</w:t>
      </w:r>
      <w:r w:rsidRPr="00D55507">
        <w:rPr>
          <w:rFonts w:ascii="Times New Roman" w:hAnsi="Times New Roman" w:cs="Times New Roman"/>
          <w:kern w:val="0"/>
          <w:sz w:val="24"/>
          <w:szCs w:val="24"/>
          <w:lang w:val="en-GB" w:eastAsia="en-US"/>
        </w:rPr>
        <w:t>, 33(2), pp. 173-204.</w:t>
      </w:r>
    </w:p>
    <w:p w14:paraId="120F6847" w14:textId="77777777" w:rsidR="00653172" w:rsidRPr="00D55507" w:rsidRDefault="00653172" w:rsidP="00D55507">
      <w:pPr>
        <w:widowControl/>
        <w:spacing w:line="259" w:lineRule="auto"/>
        <w:rPr>
          <w:rFonts w:ascii="Times New Roman" w:hAnsi="Times New Roman" w:cs="Times New Roman"/>
          <w:kern w:val="0"/>
          <w:sz w:val="24"/>
          <w:szCs w:val="24"/>
          <w:lang w:val="en-GB" w:eastAsia="en-US"/>
        </w:rPr>
      </w:pPr>
      <w:r w:rsidRPr="00D55507">
        <w:rPr>
          <w:rFonts w:ascii="Times New Roman" w:hAnsi="Times New Roman" w:cs="Times New Roman"/>
          <w:kern w:val="0"/>
          <w:sz w:val="24"/>
          <w:szCs w:val="24"/>
          <w:lang w:val="en-GB" w:eastAsia="en-US"/>
        </w:rPr>
        <w:t xml:space="preserve">Grace, M.F., </w:t>
      </w:r>
      <w:proofErr w:type="spellStart"/>
      <w:r w:rsidRPr="00D55507">
        <w:rPr>
          <w:rFonts w:ascii="Times New Roman" w:hAnsi="Times New Roman" w:cs="Times New Roman"/>
          <w:kern w:val="0"/>
          <w:sz w:val="24"/>
          <w:szCs w:val="24"/>
          <w:lang w:val="en-GB" w:eastAsia="en-US"/>
        </w:rPr>
        <w:t>Leverty</w:t>
      </w:r>
      <w:proofErr w:type="spellEnd"/>
      <w:r w:rsidRPr="00D55507">
        <w:rPr>
          <w:rFonts w:ascii="Times New Roman" w:hAnsi="Times New Roman" w:cs="Times New Roman"/>
          <w:kern w:val="0"/>
          <w:sz w:val="24"/>
          <w:szCs w:val="24"/>
          <w:lang w:val="en-GB" w:eastAsia="en-US"/>
        </w:rPr>
        <w:t xml:space="preserve"> J.T. (2010) ‘Political cost incentives for managing the property-liability insurer loss reserve’, </w:t>
      </w:r>
      <w:r w:rsidRPr="00D55507">
        <w:rPr>
          <w:rFonts w:ascii="Times New Roman" w:hAnsi="Times New Roman" w:cs="Times New Roman"/>
          <w:i/>
          <w:kern w:val="0"/>
          <w:sz w:val="24"/>
          <w:szCs w:val="24"/>
          <w:lang w:val="en-GB" w:eastAsia="en-US"/>
        </w:rPr>
        <w:t>Journal of Accounting Research</w:t>
      </w:r>
      <w:r w:rsidRPr="00D55507">
        <w:rPr>
          <w:rFonts w:ascii="Times New Roman" w:hAnsi="Times New Roman" w:cs="Times New Roman"/>
          <w:kern w:val="0"/>
          <w:sz w:val="24"/>
          <w:szCs w:val="24"/>
          <w:lang w:val="en-GB" w:eastAsia="en-US"/>
        </w:rPr>
        <w:t>, 48(1), pp. 21-49.</w:t>
      </w:r>
    </w:p>
    <w:p w14:paraId="6819CE1E" w14:textId="77777777" w:rsidR="00B37F1F" w:rsidRPr="00D55507" w:rsidRDefault="00B37F1F" w:rsidP="00D55507">
      <w:pPr>
        <w:widowControl/>
        <w:spacing w:line="259" w:lineRule="auto"/>
        <w:rPr>
          <w:rFonts w:ascii="Times New Roman" w:hAnsi="Times New Roman" w:cs="Times New Roman"/>
          <w:kern w:val="0"/>
          <w:sz w:val="24"/>
          <w:szCs w:val="24"/>
          <w:lang w:val="en-GB" w:eastAsia="en-US"/>
        </w:rPr>
      </w:pPr>
      <w:r w:rsidRPr="00D55507">
        <w:rPr>
          <w:rFonts w:ascii="Times New Roman" w:hAnsi="Times New Roman" w:cs="Times New Roman"/>
          <w:kern w:val="0"/>
          <w:sz w:val="24"/>
          <w:szCs w:val="24"/>
          <w:lang w:val="en-GB" w:eastAsia="en-US"/>
        </w:rPr>
        <w:t xml:space="preserve">Healy P., </w:t>
      </w:r>
      <w:proofErr w:type="spellStart"/>
      <w:r w:rsidRPr="00D55507">
        <w:rPr>
          <w:rFonts w:ascii="Times New Roman" w:hAnsi="Times New Roman" w:cs="Times New Roman"/>
          <w:kern w:val="0"/>
          <w:sz w:val="24"/>
          <w:szCs w:val="24"/>
          <w:lang w:val="en-GB" w:eastAsia="en-US"/>
        </w:rPr>
        <w:t>Wahlen</w:t>
      </w:r>
      <w:proofErr w:type="spellEnd"/>
      <w:r w:rsidRPr="00D55507">
        <w:rPr>
          <w:rFonts w:ascii="Times New Roman" w:hAnsi="Times New Roman" w:cs="Times New Roman"/>
          <w:kern w:val="0"/>
          <w:sz w:val="24"/>
          <w:szCs w:val="24"/>
          <w:lang w:val="en-GB" w:eastAsia="en-US"/>
        </w:rPr>
        <w:t xml:space="preserve"> J. (1999) ‘A Review of Earnings Management Literature and its Implications for Standard Setting’, </w:t>
      </w:r>
      <w:r w:rsidRPr="00D55507">
        <w:rPr>
          <w:rFonts w:ascii="Times New Roman" w:hAnsi="Times New Roman" w:cs="Times New Roman"/>
          <w:i/>
          <w:kern w:val="0"/>
          <w:sz w:val="24"/>
          <w:szCs w:val="24"/>
          <w:lang w:val="en-GB" w:eastAsia="en-US"/>
        </w:rPr>
        <w:t>Accounting Horizons</w:t>
      </w:r>
      <w:r w:rsidRPr="00D55507">
        <w:rPr>
          <w:rFonts w:ascii="Times New Roman" w:hAnsi="Times New Roman" w:cs="Times New Roman"/>
          <w:kern w:val="0"/>
          <w:sz w:val="24"/>
          <w:szCs w:val="24"/>
          <w:lang w:val="en-GB" w:eastAsia="en-US"/>
        </w:rPr>
        <w:t>, 13(4), pp. 365-383.</w:t>
      </w:r>
    </w:p>
    <w:p w14:paraId="4DA1B0E2" w14:textId="77777777" w:rsidR="00653172" w:rsidRPr="00D55507" w:rsidRDefault="00653172" w:rsidP="00D55507">
      <w:pPr>
        <w:widowControl/>
        <w:spacing w:line="259" w:lineRule="auto"/>
        <w:rPr>
          <w:rFonts w:ascii="Times New Roman" w:hAnsi="Times New Roman" w:cs="Times New Roman"/>
          <w:kern w:val="0"/>
          <w:sz w:val="24"/>
          <w:szCs w:val="24"/>
          <w:lang w:val="en-GB" w:eastAsia="en-US"/>
        </w:rPr>
      </w:pPr>
      <w:r w:rsidRPr="00D55507">
        <w:rPr>
          <w:rFonts w:ascii="Times New Roman" w:hAnsi="Times New Roman" w:cs="Times New Roman"/>
          <w:kern w:val="0"/>
          <w:sz w:val="24"/>
          <w:szCs w:val="24"/>
          <w:lang w:val="en-GB" w:eastAsia="en-US"/>
        </w:rPr>
        <w:t xml:space="preserve">Healy P., </w:t>
      </w:r>
      <w:proofErr w:type="spellStart"/>
      <w:r w:rsidRPr="00D55507">
        <w:rPr>
          <w:rFonts w:ascii="Times New Roman" w:hAnsi="Times New Roman" w:cs="Times New Roman"/>
          <w:kern w:val="0"/>
          <w:sz w:val="24"/>
          <w:szCs w:val="24"/>
          <w:lang w:val="en-GB" w:eastAsia="en-US"/>
        </w:rPr>
        <w:t>Wahlen</w:t>
      </w:r>
      <w:proofErr w:type="spellEnd"/>
      <w:r w:rsidRPr="00D55507">
        <w:rPr>
          <w:rFonts w:ascii="Times New Roman" w:hAnsi="Times New Roman" w:cs="Times New Roman"/>
          <w:kern w:val="0"/>
          <w:sz w:val="24"/>
          <w:szCs w:val="24"/>
          <w:lang w:val="en-GB" w:eastAsia="en-US"/>
        </w:rPr>
        <w:t xml:space="preserve"> J. (1999) ‘A Review of Earnings Management Literature and its Implications for Standard Setting’, </w:t>
      </w:r>
      <w:r w:rsidRPr="00D55507">
        <w:rPr>
          <w:rFonts w:ascii="Times New Roman" w:hAnsi="Times New Roman" w:cs="Times New Roman"/>
          <w:i/>
          <w:kern w:val="0"/>
          <w:sz w:val="24"/>
          <w:szCs w:val="24"/>
          <w:lang w:val="en-GB" w:eastAsia="en-US"/>
        </w:rPr>
        <w:t>Accounting Horizons</w:t>
      </w:r>
      <w:r w:rsidRPr="00D55507">
        <w:rPr>
          <w:rFonts w:ascii="Times New Roman" w:hAnsi="Times New Roman" w:cs="Times New Roman"/>
          <w:kern w:val="0"/>
          <w:sz w:val="24"/>
          <w:szCs w:val="24"/>
          <w:lang w:val="en-GB" w:eastAsia="en-US"/>
        </w:rPr>
        <w:t>, 13(4), pp. 365-383.</w:t>
      </w:r>
    </w:p>
    <w:p w14:paraId="3CCADE6D" w14:textId="77777777" w:rsidR="00D22D71" w:rsidRPr="00D55507" w:rsidRDefault="00D22D71" w:rsidP="00D55507">
      <w:pPr>
        <w:widowControl/>
        <w:spacing w:line="259" w:lineRule="auto"/>
        <w:rPr>
          <w:rFonts w:ascii="Times New Roman" w:hAnsi="Times New Roman" w:cs="Times New Roman"/>
          <w:kern w:val="0"/>
          <w:sz w:val="24"/>
          <w:szCs w:val="24"/>
          <w:lang w:val="en-GB" w:eastAsia="en-US"/>
        </w:rPr>
      </w:pPr>
      <w:r w:rsidRPr="00D55507">
        <w:rPr>
          <w:rFonts w:ascii="Times New Roman" w:hAnsi="Times New Roman" w:cs="Times New Roman"/>
          <w:kern w:val="0"/>
          <w:sz w:val="24"/>
          <w:szCs w:val="24"/>
          <w:lang w:val="en-GB" w:eastAsia="en-US"/>
        </w:rPr>
        <w:t xml:space="preserve">Jones J. (1991) ‘Earnings management during import relief investigations’, </w:t>
      </w:r>
      <w:r w:rsidRPr="00D55507">
        <w:rPr>
          <w:rFonts w:ascii="Times New Roman" w:hAnsi="Times New Roman" w:cs="Times New Roman"/>
          <w:i/>
          <w:kern w:val="0"/>
          <w:sz w:val="24"/>
          <w:szCs w:val="24"/>
          <w:lang w:val="en-GB" w:eastAsia="en-US"/>
        </w:rPr>
        <w:t>Journal of Accounting Research</w:t>
      </w:r>
      <w:r w:rsidRPr="00D55507">
        <w:rPr>
          <w:rFonts w:ascii="Times New Roman" w:hAnsi="Times New Roman" w:cs="Times New Roman"/>
          <w:kern w:val="0"/>
          <w:sz w:val="24"/>
          <w:szCs w:val="24"/>
          <w:lang w:val="en-GB" w:eastAsia="en-US"/>
        </w:rPr>
        <w:t>, 1991(29), pp. 193-228.</w:t>
      </w:r>
    </w:p>
    <w:p w14:paraId="4D1247BE" w14:textId="77777777" w:rsidR="00B37F1F" w:rsidRPr="00D55507" w:rsidRDefault="00B37F1F" w:rsidP="00D55507">
      <w:pPr>
        <w:widowControl/>
        <w:spacing w:line="259" w:lineRule="auto"/>
        <w:rPr>
          <w:rFonts w:ascii="Times New Roman" w:hAnsi="Times New Roman" w:cs="Times New Roman"/>
          <w:kern w:val="0"/>
          <w:sz w:val="24"/>
          <w:szCs w:val="24"/>
          <w:lang w:val="en-GB" w:eastAsia="en-US"/>
        </w:rPr>
      </w:pPr>
      <w:r w:rsidRPr="00D55507">
        <w:rPr>
          <w:rFonts w:ascii="Times New Roman" w:hAnsi="Times New Roman" w:cs="Times New Roman"/>
          <w:kern w:val="0"/>
          <w:sz w:val="24"/>
          <w:szCs w:val="24"/>
          <w:lang w:val="en-GB" w:eastAsia="en-US"/>
        </w:rPr>
        <w:lastRenderedPageBreak/>
        <w:t xml:space="preserve">Jeffery </w:t>
      </w:r>
      <w:proofErr w:type="spellStart"/>
      <w:r w:rsidRPr="00D55507">
        <w:rPr>
          <w:rFonts w:ascii="Times New Roman" w:hAnsi="Times New Roman" w:cs="Times New Roman"/>
          <w:kern w:val="0"/>
          <w:sz w:val="24"/>
          <w:szCs w:val="24"/>
          <w:lang w:val="en-GB" w:eastAsia="en-US"/>
        </w:rPr>
        <w:t>Abarbanell</w:t>
      </w:r>
      <w:proofErr w:type="spellEnd"/>
      <w:r w:rsidRPr="00D55507">
        <w:rPr>
          <w:rFonts w:ascii="Times New Roman" w:hAnsi="Times New Roman" w:cs="Times New Roman"/>
          <w:kern w:val="0"/>
          <w:sz w:val="24"/>
          <w:szCs w:val="24"/>
          <w:lang w:val="en-GB" w:eastAsia="en-US"/>
        </w:rPr>
        <w:t xml:space="preserve">, Reuven </w:t>
      </w:r>
      <w:proofErr w:type="spellStart"/>
      <w:r w:rsidRPr="00D55507">
        <w:rPr>
          <w:rFonts w:ascii="Times New Roman" w:hAnsi="Times New Roman" w:cs="Times New Roman"/>
          <w:kern w:val="0"/>
          <w:sz w:val="24"/>
          <w:szCs w:val="24"/>
          <w:lang w:val="en-GB" w:eastAsia="en-US"/>
        </w:rPr>
        <w:t>Lehavy</w:t>
      </w:r>
      <w:proofErr w:type="spellEnd"/>
      <w:r w:rsidRPr="00D55507">
        <w:rPr>
          <w:rFonts w:ascii="Times New Roman" w:hAnsi="Times New Roman" w:cs="Times New Roman"/>
          <w:kern w:val="0"/>
          <w:sz w:val="24"/>
          <w:szCs w:val="24"/>
          <w:lang w:val="en-GB" w:eastAsia="en-US"/>
        </w:rPr>
        <w:t xml:space="preserve">, (2003) ‘Biased forecasts or biased earnings? The role of reported earnings in explaining apparent bias and over underreaction in analysts’ earnings forecasts’, </w:t>
      </w:r>
      <w:r w:rsidRPr="00D55507">
        <w:rPr>
          <w:rFonts w:ascii="Times New Roman" w:hAnsi="Times New Roman" w:cs="Times New Roman"/>
          <w:i/>
          <w:kern w:val="0"/>
          <w:sz w:val="24"/>
          <w:szCs w:val="24"/>
          <w:lang w:val="en-GB" w:eastAsia="en-US"/>
        </w:rPr>
        <w:t>Journal of Accounting and Economics</w:t>
      </w:r>
      <w:r w:rsidRPr="00D55507">
        <w:rPr>
          <w:rFonts w:ascii="Times New Roman" w:hAnsi="Times New Roman" w:cs="Times New Roman"/>
          <w:kern w:val="0"/>
          <w:sz w:val="24"/>
          <w:szCs w:val="24"/>
          <w:lang w:val="en-GB" w:eastAsia="en-US"/>
        </w:rPr>
        <w:t>, 36(3), pp. 105-146.</w:t>
      </w:r>
    </w:p>
    <w:p w14:paraId="69A98BC7" w14:textId="77777777" w:rsidR="00D22D71" w:rsidRPr="00D55507" w:rsidRDefault="00D22D71" w:rsidP="00D55507">
      <w:pPr>
        <w:widowControl/>
        <w:spacing w:line="259" w:lineRule="auto"/>
        <w:rPr>
          <w:rFonts w:ascii="Times New Roman" w:hAnsi="Times New Roman" w:cs="Times New Roman"/>
          <w:kern w:val="0"/>
          <w:sz w:val="24"/>
          <w:szCs w:val="24"/>
          <w:lang w:val="en-GB" w:eastAsia="en-US"/>
        </w:rPr>
      </w:pPr>
      <w:r w:rsidRPr="00D55507">
        <w:rPr>
          <w:rFonts w:ascii="Times New Roman" w:hAnsi="Times New Roman" w:cs="Times New Roman"/>
          <w:kern w:val="0"/>
          <w:sz w:val="24"/>
          <w:szCs w:val="24"/>
          <w:lang w:val="en-GB" w:eastAsia="en-US"/>
        </w:rPr>
        <w:t xml:space="preserve">Liu Feng. (2001) ‘Institutional Arrangement and Accounting Information Quality: A Case Study of Hong </w:t>
      </w:r>
      <w:proofErr w:type="spellStart"/>
      <w:r w:rsidRPr="00D55507">
        <w:rPr>
          <w:rFonts w:ascii="Times New Roman" w:hAnsi="Times New Roman" w:cs="Times New Roman"/>
          <w:kern w:val="0"/>
          <w:sz w:val="24"/>
          <w:szCs w:val="24"/>
          <w:lang w:val="en-GB" w:eastAsia="en-US"/>
        </w:rPr>
        <w:t>guang</w:t>
      </w:r>
      <w:proofErr w:type="spellEnd"/>
      <w:r w:rsidRPr="00D55507">
        <w:rPr>
          <w:rFonts w:ascii="Times New Roman" w:hAnsi="Times New Roman" w:cs="Times New Roman"/>
          <w:kern w:val="0"/>
          <w:sz w:val="24"/>
          <w:szCs w:val="24"/>
          <w:lang w:val="en-GB" w:eastAsia="en-US"/>
        </w:rPr>
        <w:t xml:space="preserve"> Industry’, </w:t>
      </w:r>
      <w:r w:rsidRPr="00D55507">
        <w:rPr>
          <w:rFonts w:ascii="Times New Roman" w:hAnsi="Times New Roman" w:cs="Times New Roman"/>
          <w:i/>
          <w:kern w:val="0"/>
          <w:sz w:val="24"/>
          <w:szCs w:val="24"/>
          <w:lang w:val="en-GB" w:eastAsia="en-US"/>
        </w:rPr>
        <w:t>Accounting Research</w:t>
      </w:r>
      <w:r w:rsidRPr="00D55507">
        <w:rPr>
          <w:rFonts w:ascii="Times New Roman" w:hAnsi="Times New Roman" w:cs="Times New Roman"/>
          <w:kern w:val="0"/>
          <w:sz w:val="24"/>
          <w:szCs w:val="24"/>
          <w:lang w:val="en-GB" w:eastAsia="en-US"/>
        </w:rPr>
        <w:t>, 7(1), pp. 7-16.</w:t>
      </w:r>
    </w:p>
    <w:p w14:paraId="286435D9" w14:textId="77777777" w:rsidR="00D22D71" w:rsidRPr="00D55507" w:rsidRDefault="00D22D71" w:rsidP="00D55507">
      <w:pPr>
        <w:widowControl/>
        <w:spacing w:line="259" w:lineRule="auto"/>
        <w:rPr>
          <w:rFonts w:ascii="Times New Roman" w:hAnsi="Times New Roman" w:cs="Times New Roman"/>
          <w:kern w:val="0"/>
          <w:sz w:val="24"/>
          <w:szCs w:val="24"/>
          <w:lang w:val="en-GB" w:eastAsia="en-US"/>
        </w:rPr>
      </w:pPr>
      <w:r w:rsidRPr="00D55507">
        <w:rPr>
          <w:rFonts w:ascii="Times New Roman" w:hAnsi="Times New Roman" w:cs="Times New Roman"/>
          <w:kern w:val="0"/>
          <w:sz w:val="24"/>
          <w:szCs w:val="24"/>
          <w:lang w:val="en-GB" w:eastAsia="en-US"/>
        </w:rPr>
        <w:t xml:space="preserve">Liu </w:t>
      </w:r>
      <w:proofErr w:type="spellStart"/>
      <w:r w:rsidRPr="00D55507">
        <w:rPr>
          <w:rFonts w:ascii="Times New Roman" w:hAnsi="Times New Roman" w:cs="Times New Roman"/>
          <w:kern w:val="0"/>
          <w:sz w:val="24"/>
          <w:szCs w:val="24"/>
          <w:lang w:val="en-GB" w:eastAsia="en-US"/>
        </w:rPr>
        <w:t>Huilong</w:t>
      </w:r>
      <w:proofErr w:type="spellEnd"/>
      <w:r w:rsidRPr="00D55507">
        <w:rPr>
          <w:rFonts w:ascii="Times New Roman" w:hAnsi="Times New Roman" w:cs="Times New Roman"/>
          <w:kern w:val="0"/>
          <w:sz w:val="24"/>
          <w:szCs w:val="24"/>
          <w:lang w:val="en-GB" w:eastAsia="en-US"/>
        </w:rPr>
        <w:t xml:space="preserve">, Wang </w:t>
      </w:r>
      <w:proofErr w:type="spellStart"/>
      <w:r w:rsidRPr="00D55507">
        <w:rPr>
          <w:rFonts w:ascii="Times New Roman" w:hAnsi="Times New Roman" w:cs="Times New Roman"/>
          <w:kern w:val="0"/>
          <w:sz w:val="24"/>
          <w:szCs w:val="24"/>
          <w:lang w:val="en-GB" w:eastAsia="en-US"/>
        </w:rPr>
        <w:t>Chengfang</w:t>
      </w:r>
      <w:proofErr w:type="spellEnd"/>
      <w:r w:rsidRPr="00D55507">
        <w:rPr>
          <w:rFonts w:ascii="Times New Roman" w:hAnsi="Times New Roman" w:cs="Times New Roman"/>
          <w:kern w:val="0"/>
          <w:sz w:val="24"/>
          <w:szCs w:val="24"/>
          <w:lang w:val="en-GB" w:eastAsia="en-US"/>
        </w:rPr>
        <w:t xml:space="preserve">, WU </w:t>
      </w:r>
      <w:proofErr w:type="spellStart"/>
      <w:r w:rsidRPr="00D55507">
        <w:rPr>
          <w:rFonts w:ascii="Times New Roman" w:hAnsi="Times New Roman" w:cs="Times New Roman"/>
          <w:kern w:val="0"/>
          <w:sz w:val="24"/>
          <w:szCs w:val="24"/>
          <w:lang w:val="en-GB" w:eastAsia="en-US"/>
        </w:rPr>
        <w:t>Liansheng</w:t>
      </w:r>
      <w:proofErr w:type="spellEnd"/>
      <w:r w:rsidRPr="00D55507">
        <w:rPr>
          <w:rFonts w:ascii="Times New Roman" w:hAnsi="Times New Roman" w:cs="Times New Roman"/>
          <w:kern w:val="0"/>
          <w:sz w:val="24"/>
          <w:szCs w:val="24"/>
          <w:lang w:val="en-GB" w:eastAsia="en-US"/>
        </w:rPr>
        <w:t xml:space="preserve">. (2014) ‘Allocation of Decision Power, Surplus Management and Investment Efficiency’, </w:t>
      </w:r>
      <w:r w:rsidRPr="00D55507">
        <w:rPr>
          <w:rFonts w:ascii="Times New Roman" w:hAnsi="Times New Roman" w:cs="Times New Roman"/>
          <w:i/>
          <w:kern w:val="0"/>
          <w:sz w:val="24"/>
          <w:szCs w:val="24"/>
          <w:lang w:val="en-GB" w:eastAsia="en-US"/>
        </w:rPr>
        <w:t>Economic Research Journal</w:t>
      </w:r>
      <w:r w:rsidRPr="00D55507">
        <w:rPr>
          <w:rFonts w:ascii="Times New Roman" w:hAnsi="Times New Roman" w:cs="Times New Roman"/>
          <w:kern w:val="0"/>
          <w:sz w:val="24"/>
          <w:szCs w:val="24"/>
          <w:lang w:val="en-GB" w:eastAsia="en-US"/>
        </w:rPr>
        <w:t>, 2014(08), pp. 93-106.</w:t>
      </w:r>
    </w:p>
    <w:p w14:paraId="7873B732" w14:textId="77777777" w:rsidR="00B37F1F" w:rsidRPr="00D55507" w:rsidRDefault="00B37F1F" w:rsidP="00D55507">
      <w:pPr>
        <w:widowControl/>
        <w:spacing w:line="259" w:lineRule="auto"/>
        <w:rPr>
          <w:rFonts w:ascii="Times New Roman" w:hAnsi="Times New Roman" w:cs="Times New Roman"/>
          <w:kern w:val="0"/>
          <w:sz w:val="24"/>
          <w:szCs w:val="24"/>
          <w:lang w:val="en-GB" w:eastAsia="en-US"/>
        </w:rPr>
      </w:pPr>
      <w:r w:rsidRPr="00D55507">
        <w:rPr>
          <w:rFonts w:ascii="Times New Roman" w:hAnsi="Times New Roman" w:cs="Times New Roman"/>
          <w:kern w:val="0"/>
          <w:sz w:val="24"/>
          <w:szCs w:val="24"/>
          <w:lang w:val="en-GB" w:eastAsia="en-US"/>
        </w:rPr>
        <w:t xml:space="preserve">Michal </w:t>
      </w:r>
      <w:proofErr w:type="spellStart"/>
      <w:r w:rsidRPr="00D55507">
        <w:rPr>
          <w:rFonts w:ascii="Times New Roman" w:hAnsi="Times New Roman" w:cs="Times New Roman"/>
          <w:kern w:val="0"/>
          <w:sz w:val="24"/>
          <w:szCs w:val="24"/>
          <w:lang w:val="en-GB" w:eastAsia="en-US"/>
        </w:rPr>
        <w:t>Kaldoński</w:t>
      </w:r>
      <w:proofErr w:type="spellEnd"/>
      <w:r w:rsidRPr="00D55507">
        <w:rPr>
          <w:rFonts w:ascii="Times New Roman" w:hAnsi="Times New Roman" w:cs="Times New Roman"/>
          <w:kern w:val="0"/>
          <w:sz w:val="24"/>
          <w:szCs w:val="24"/>
          <w:lang w:val="en-GB" w:eastAsia="en-US"/>
        </w:rPr>
        <w:t xml:space="preserve">, Tomasz </w:t>
      </w:r>
      <w:proofErr w:type="spellStart"/>
      <w:r w:rsidRPr="00D55507">
        <w:rPr>
          <w:rFonts w:ascii="Times New Roman" w:hAnsi="Times New Roman" w:cs="Times New Roman"/>
          <w:kern w:val="0"/>
          <w:sz w:val="24"/>
          <w:szCs w:val="24"/>
          <w:lang w:val="en-GB" w:eastAsia="en-US"/>
        </w:rPr>
        <w:t>Jewartowski</w:t>
      </w:r>
      <w:proofErr w:type="spellEnd"/>
      <w:r w:rsidRPr="00D55507">
        <w:rPr>
          <w:rFonts w:ascii="Times New Roman" w:hAnsi="Times New Roman" w:cs="Times New Roman"/>
          <w:kern w:val="0"/>
          <w:sz w:val="24"/>
          <w:szCs w:val="24"/>
          <w:lang w:val="en-GB" w:eastAsia="en-US"/>
        </w:rPr>
        <w:t xml:space="preserve">, (2020) ‘Do firms using real earnings management care about taxes? Evidence from a high book-tax conformity country’, </w:t>
      </w:r>
      <w:r w:rsidRPr="00D55507">
        <w:rPr>
          <w:rFonts w:ascii="Times New Roman" w:hAnsi="Times New Roman" w:cs="Times New Roman"/>
          <w:i/>
          <w:kern w:val="0"/>
          <w:sz w:val="24"/>
          <w:szCs w:val="24"/>
          <w:lang w:val="en-GB" w:eastAsia="en-US"/>
        </w:rPr>
        <w:t>Finance Research Letters</w:t>
      </w:r>
      <w:r w:rsidRPr="00D55507">
        <w:rPr>
          <w:rFonts w:ascii="Times New Roman" w:hAnsi="Times New Roman" w:cs="Times New Roman"/>
          <w:kern w:val="0"/>
          <w:sz w:val="24"/>
          <w:szCs w:val="24"/>
          <w:lang w:val="en-GB" w:eastAsia="en-US"/>
        </w:rPr>
        <w:t>, 35(1), pp. 51-89</w:t>
      </w:r>
    </w:p>
    <w:p w14:paraId="20AF09B6" w14:textId="77777777" w:rsidR="00D22D71" w:rsidRPr="00D55507" w:rsidRDefault="00D22D71" w:rsidP="00D55507">
      <w:pPr>
        <w:widowControl/>
        <w:spacing w:line="259" w:lineRule="auto"/>
        <w:rPr>
          <w:rFonts w:ascii="Times New Roman" w:hAnsi="Times New Roman" w:cs="Times New Roman"/>
          <w:kern w:val="0"/>
          <w:sz w:val="24"/>
          <w:szCs w:val="24"/>
          <w:lang w:val="en-GB" w:eastAsia="en-US"/>
        </w:rPr>
      </w:pPr>
      <w:r w:rsidRPr="00D55507">
        <w:rPr>
          <w:rFonts w:ascii="Times New Roman" w:hAnsi="Times New Roman" w:cs="Times New Roman"/>
          <w:kern w:val="0"/>
          <w:sz w:val="24"/>
          <w:szCs w:val="24"/>
          <w:lang w:val="en-GB" w:eastAsia="en-US"/>
        </w:rPr>
        <w:t xml:space="preserve">Schipper K. (1989) ‘Commentary on earnings management’, </w:t>
      </w:r>
      <w:r w:rsidRPr="00D55507">
        <w:rPr>
          <w:rFonts w:ascii="Times New Roman" w:hAnsi="Times New Roman" w:cs="Times New Roman"/>
          <w:i/>
          <w:kern w:val="0"/>
          <w:sz w:val="24"/>
          <w:szCs w:val="24"/>
          <w:lang w:val="en-GB" w:eastAsia="en-US"/>
        </w:rPr>
        <w:t>Accounting Horizons,</w:t>
      </w:r>
      <w:r w:rsidRPr="00D55507">
        <w:rPr>
          <w:rFonts w:ascii="Times New Roman" w:hAnsi="Times New Roman" w:cs="Times New Roman"/>
          <w:kern w:val="0"/>
          <w:sz w:val="24"/>
          <w:szCs w:val="24"/>
          <w:lang w:val="en-GB" w:eastAsia="en-US"/>
        </w:rPr>
        <w:t xml:space="preserve"> 3(4), pp. 91-102.</w:t>
      </w:r>
    </w:p>
    <w:p w14:paraId="227009E2" w14:textId="77777777" w:rsidR="00D22D71" w:rsidRPr="00D55507" w:rsidRDefault="00D22D71" w:rsidP="00D55507">
      <w:pPr>
        <w:widowControl/>
        <w:spacing w:line="259" w:lineRule="auto"/>
        <w:rPr>
          <w:rFonts w:ascii="Times New Roman" w:hAnsi="Times New Roman" w:cs="Times New Roman"/>
          <w:kern w:val="0"/>
          <w:sz w:val="24"/>
          <w:szCs w:val="24"/>
          <w:lang w:val="en-GB" w:eastAsia="en-US"/>
        </w:rPr>
      </w:pPr>
      <w:r w:rsidRPr="00D55507">
        <w:rPr>
          <w:rFonts w:ascii="Times New Roman" w:hAnsi="Times New Roman" w:cs="Times New Roman"/>
          <w:kern w:val="0"/>
          <w:sz w:val="24"/>
          <w:szCs w:val="24"/>
          <w:lang w:val="en-GB" w:eastAsia="en-US"/>
        </w:rPr>
        <w:t xml:space="preserve">Scott, W. R. (2003) ‘Financial accounting theory’, </w:t>
      </w:r>
      <w:r w:rsidRPr="00D55507">
        <w:rPr>
          <w:rFonts w:ascii="Times New Roman" w:hAnsi="Times New Roman" w:cs="Times New Roman"/>
          <w:i/>
          <w:kern w:val="0"/>
          <w:sz w:val="24"/>
          <w:szCs w:val="24"/>
          <w:lang w:val="en-GB" w:eastAsia="en-US"/>
        </w:rPr>
        <w:t>Prentice-Hall Inc</w:t>
      </w:r>
      <w:r w:rsidRPr="00D55507">
        <w:rPr>
          <w:rFonts w:ascii="Times New Roman" w:hAnsi="Times New Roman" w:cs="Times New Roman"/>
          <w:kern w:val="0"/>
          <w:sz w:val="24"/>
          <w:szCs w:val="24"/>
          <w:lang w:val="en-GB" w:eastAsia="en-US"/>
        </w:rPr>
        <w:t>.</w:t>
      </w:r>
    </w:p>
    <w:p w14:paraId="29BF94BC" w14:textId="77777777" w:rsidR="00B37F1F" w:rsidRPr="00D55507" w:rsidRDefault="00B37F1F" w:rsidP="00D55507">
      <w:pPr>
        <w:widowControl/>
        <w:spacing w:line="259" w:lineRule="auto"/>
        <w:rPr>
          <w:rFonts w:ascii="Times New Roman" w:hAnsi="Times New Roman" w:cs="Times New Roman"/>
          <w:kern w:val="0"/>
          <w:sz w:val="24"/>
          <w:szCs w:val="24"/>
          <w:lang w:val="en-GB" w:eastAsia="en-US"/>
        </w:rPr>
      </w:pPr>
      <w:r w:rsidRPr="00D55507">
        <w:rPr>
          <w:rFonts w:ascii="Times New Roman" w:hAnsi="Times New Roman" w:cs="Times New Roman"/>
          <w:kern w:val="0"/>
          <w:sz w:val="24"/>
          <w:szCs w:val="24"/>
          <w:lang w:val="en-GB" w:eastAsia="en-US"/>
        </w:rPr>
        <w:t xml:space="preserve">Samuel </w:t>
      </w:r>
      <w:proofErr w:type="spellStart"/>
      <w:r w:rsidRPr="00D55507">
        <w:rPr>
          <w:rFonts w:ascii="Times New Roman" w:hAnsi="Times New Roman" w:cs="Times New Roman"/>
          <w:kern w:val="0"/>
          <w:sz w:val="24"/>
          <w:szCs w:val="24"/>
          <w:lang w:val="en-GB" w:eastAsia="en-US"/>
        </w:rPr>
        <w:t>Mongrut</w:t>
      </w:r>
      <w:proofErr w:type="spellEnd"/>
      <w:r w:rsidRPr="00D55507">
        <w:rPr>
          <w:rFonts w:ascii="Times New Roman" w:hAnsi="Times New Roman" w:cs="Times New Roman"/>
          <w:kern w:val="0"/>
          <w:sz w:val="24"/>
          <w:szCs w:val="24"/>
          <w:lang w:val="en-GB" w:eastAsia="en-US"/>
        </w:rPr>
        <w:t xml:space="preserve">, Diego Winkelried, (2019) ‘Unintended effects </w:t>
      </w:r>
      <w:proofErr w:type="gramStart"/>
      <w:r w:rsidRPr="00D55507">
        <w:rPr>
          <w:rFonts w:ascii="Times New Roman" w:hAnsi="Times New Roman" w:cs="Times New Roman"/>
          <w:kern w:val="0"/>
          <w:sz w:val="24"/>
          <w:szCs w:val="24"/>
          <w:lang w:val="en-GB" w:eastAsia="en-US"/>
        </w:rPr>
        <w:t>of  IFRS</w:t>
      </w:r>
      <w:proofErr w:type="gramEnd"/>
      <w:r w:rsidRPr="00D55507">
        <w:rPr>
          <w:rFonts w:ascii="Times New Roman" w:hAnsi="Times New Roman" w:cs="Times New Roman"/>
          <w:kern w:val="0"/>
          <w:sz w:val="24"/>
          <w:szCs w:val="24"/>
          <w:lang w:val="en-GB" w:eastAsia="en-US"/>
        </w:rPr>
        <w:t xml:space="preserve"> adoption on earnings management: The case of Latin America’, </w:t>
      </w:r>
      <w:r w:rsidRPr="00D55507">
        <w:rPr>
          <w:rFonts w:ascii="Times New Roman" w:hAnsi="Times New Roman" w:cs="Times New Roman"/>
          <w:i/>
          <w:kern w:val="0"/>
          <w:sz w:val="24"/>
          <w:szCs w:val="24"/>
          <w:lang w:val="en-GB" w:eastAsia="en-US"/>
        </w:rPr>
        <w:t>Emerging Markets Review</w:t>
      </w:r>
      <w:r w:rsidRPr="00D55507">
        <w:rPr>
          <w:rFonts w:ascii="Times New Roman" w:hAnsi="Times New Roman" w:cs="Times New Roman"/>
          <w:kern w:val="0"/>
          <w:sz w:val="24"/>
          <w:szCs w:val="24"/>
          <w:lang w:val="en-GB" w:eastAsia="en-US"/>
        </w:rPr>
        <w:t>, 38(1), pp. 377 -388.</w:t>
      </w:r>
    </w:p>
    <w:p w14:paraId="10B6FE18" w14:textId="163B8F80" w:rsidR="00653172" w:rsidRPr="00D55507" w:rsidRDefault="00B37F1F" w:rsidP="00D55507">
      <w:pPr>
        <w:widowControl/>
        <w:spacing w:line="259" w:lineRule="auto"/>
        <w:rPr>
          <w:rFonts w:ascii="Times New Roman" w:hAnsi="Times New Roman" w:cs="Times New Roman" w:hint="eastAsia"/>
          <w:kern w:val="0"/>
          <w:sz w:val="24"/>
          <w:szCs w:val="24"/>
          <w:lang w:val="en-GB" w:eastAsia="en-US"/>
        </w:rPr>
      </w:pPr>
      <w:r w:rsidRPr="00D55507">
        <w:rPr>
          <w:rFonts w:ascii="Times New Roman" w:hAnsi="Times New Roman" w:cs="Times New Roman"/>
          <w:kern w:val="0"/>
          <w:sz w:val="24"/>
          <w:szCs w:val="24"/>
          <w:lang w:val="en-GB" w:eastAsia="en-US"/>
        </w:rPr>
        <w:t xml:space="preserve">Wei </w:t>
      </w:r>
      <w:proofErr w:type="spellStart"/>
      <w:r w:rsidRPr="00D55507">
        <w:rPr>
          <w:rFonts w:ascii="Times New Roman" w:hAnsi="Times New Roman" w:cs="Times New Roman"/>
          <w:kern w:val="0"/>
          <w:sz w:val="24"/>
          <w:szCs w:val="24"/>
          <w:lang w:val="en-GB" w:eastAsia="en-US"/>
        </w:rPr>
        <w:t>Minghai</w:t>
      </w:r>
      <w:proofErr w:type="spellEnd"/>
      <w:r w:rsidRPr="00D55507">
        <w:rPr>
          <w:rFonts w:ascii="Times New Roman" w:hAnsi="Times New Roman" w:cs="Times New Roman"/>
          <w:kern w:val="0"/>
          <w:sz w:val="24"/>
          <w:szCs w:val="24"/>
          <w:lang w:val="en-GB" w:eastAsia="en-US"/>
        </w:rPr>
        <w:t xml:space="preserve">. (2000) ‘Basic Theory of Earnings Management and Its Research Review’, </w:t>
      </w:r>
      <w:r w:rsidRPr="00D55507">
        <w:rPr>
          <w:rFonts w:ascii="Times New Roman" w:hAnsi="Times New Roman" w:cs="Times New Roman"/>
          <w:i/>
          <w:kern w:val="0"/>
          <w:sz w:val="24"/>
          <w:szCs w:val="24"/>
          <w:lang w:val="en-GB" w:eastAsia="en-US"/>
        </w:rPr>
        <w:t>Accounting Research</w:t>
      </w:r>
      <w:r w:rsidRPr="00D55507">
        <w:rPr>
          <w:rFonts w:ascii="Times New Roman" w:hAnsi="Times New Roman" w:cs="Times New Roman"/>
          <w:kern w:val="0"/>
          <w:sz w:val="24"/>
          <w:szCs w:val="24"/>
          <w:lang w:val="en-GB" w:eastAsia="en-US"/>
        </w:rPr>
        <w:t>, 9(1), pp. 37-42.</w:t>
      </w:r>
      <w:bookmarkStart w:id="23" w:name="_GoBack"/>
      <w:bookmarkEnd w:id="23"/>
    </w:p>
    <w:sectPr w:rsidR="00653172" w:rsidRPr="00D55507" w:rsidSect="007945B2">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5A03F3" w14:textId="77777777" w:rsidR="00D02509" w:rsidRDefault="00D02509" w:rsidP="00764679">
      <w:r>
        <w:separator/>
      </w:r>
    </w:p>
  </w:endnote>
  <w:endnote w:type="continuationSeparator" w:id="0">
    <w:p w14:paraId="3748C734" w14:textId="77777777" w:rsidR="00D02509" w:rsidRDefault="00D02509" w:rsidP="007646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0145179"/>
      <w:docPartObj>
        <w:docPartGallery w:val="Page Numbers (Bottom of Page)"/>
        <w:docPartUnique/>
      </w:docPartObj>
    </w:sdtPr>
    <w:sdtEndPr>
      <w:rPr>
        <w:rFonts w:ascii="Times New Roman" w:hAnsi="Times New Roman" w:cs="Times New Roman"/>
      </w:rPr>
    </w:sdtEndPr>
    <w:sdtContent>
      <w:p w14:paraId="7C5029A7" w14:textId="79B662C2" w:rsidR="00B15CD3" w:rsidRPr="007945B2" w:rsidRDefault="00B15CD3">
        <w:pPr>
          <w:pStyle w:val="a5"/>
          <w:jc w:val="center"/>
          <w:rPr>
            <w:rFonts w:ascii="Times New Roman" w:hAnsi="Times New Roman" w:cs="Times New Roman"/>
          </w:rPr>
        </w:pPr>
        <w:r w:rsidRPr="007945B2">
          <w:rPr>
            <w:rFonts w:ascii="Times New Roman" w:hAnsi="Times New Roman" w:cs="Times New Roman"/>
          </w:rPr>
          <w:fldChar w:fldCharType="begin"/>
        </w:r>
        <w:r w:rsidRPr="007945B2">
          <w:rPr>
            <w:rFonts w:ascii="Times New Roman" w:hAnsi="Times New Roman" w:cs="Times New Roman"/>
          </w:rPr>
          <w:instrText>PAGE   \* MERGEFORMAT</w:instrText>
        </w:r>
        <w:r w:rsidRPr="007945B2">
          <w:rPr>
            <w:rFonts w:ascii="Times New Roman" w:hAnsi="Times New Roman" w:cs="Times New Roman"/>
          </w:rPr>
          <w:fldChar w:fldCharType="separate"/>
        </w:r>
        <w:r w:rsidRPr="007945B2">
          <w:rPr>
            <w:rFonts w:ascii="Times New Roman" w:hAnsi="Times New Roman" w:cs="Times New Roman"/>
            <w:lang w:val="zh-CN"/>
          </w:rPr>
          <w:t>2</w:t>
        </w:r>
        <w:r w:rsidRPr="007945B2">
          <w:rPr>
            <w:rFonts w:ascii="Times New Roman" w:hAnsi="Times New Roman" w:cs="Times New Roman"/>
          </w:rPr>
          <w:fldChar w:fldCharType="end"/>
        </w:r>
      </w:p>
    </w:sdtContent>
  </w:sdt>
  <w:p w14:paraId="00FC1C8B" w14:textId="77777777" w:rsidR="00B15CD3" w:rsidRDefault="00B15CD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70C23C" w14:textId="77777777" w:rsidR="00D02509" w:rsidRDefault="00D02509" w:rsidP="00764679">
      <w:r>
        <w:separator/>
      </w:r>
    </w:p>
  </w:footnote>
  <w:footnote w:type="continuationSeparator" w:id="0">
    <w:p w14:paraId="591DD851" w14:textId="77777777" w:rsidR="00D02509" w:rsidRDefault="00D02509" w:rsidP="0076467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DC3"/>
    <w:rsid w:val="0000647B"/>
    <w:rsid w:val="00013BEA"/>
    <w:rsid w:val="0003585B"/>
    <w:rsid w:val="000666AC"/>
    <w:rsid w:val="000723D8"/>
    <w:rsid w:val="00074290"/>
    <w:rsid w:val="000976C5"/>
    <w:rsid w:val="000B57CB"/>
    <w:rsid w:val="000F274F"/>
    <w:rsid w:val="00103B7C"/>
    <w:rsid w:val="00181DDE"/>
    <w:rsid w:val="0018272F"/>
    <w:rsid w:val="001D26BD"/>
    <w:rsid w:val="0023460B"/>
    <w:rsid w:val="002359DA"/>
    <w:rsid w:val="002378AF"/>
    <w:rsid w:val="0024246E"/>
    <w:rsid w:val="002E356E"/>
    <w:rsid w:val="00366E34"/>
    <w:rsid w:val="00375BB2"/>
    <w:rsid w:val="00406442"/>
    <w:rsid w:val="004278F0"/>
    <w:rsid w:val="00440FCF"/>
    <w:rsid w:val="00452267"/>
    <w:rsid w:val="004620DA"/>
    <w:rsid w:val="00477DAB"/>
    <w:rsid w:val="004B1096"/>
    <w:rsid w:val="004E17DB"/>
    <w:rsid w:val="004F31F1"/>
    <w:rsid w:val="00546E3B"/>
    <w:rsid w:val="005B4FC4"/>
    <w:rsid w:val="005C7311"/>
    <w:rsid w:val="005D72D6"/>
    <w:rsid w:val="00634DFC"/>
    <w:rsid w:val="00653172"/>
    <w:rsid w:val="00653ED6"/>
    <w:rsid w:val="00661864"/>
    <w:rsid w:val="00672EB0"/>
    <w:rsid w:val="006944D3"/>
    <w:rsid w:val="00694C2B"/>
    <w:rsid w:val="00704C5D"/>
    <w:rsid w:val="00724897"/>
    <w:rsid w:val="00764679"/>
    <w:rsid w:val="007945B2"/>
    <w:rsid w:val="00804356"/>
    <w:rsid w:val="008E55BF"/>
    <w:rsid w:val="008F1C73"/>
    <w:rsid w:val="009129CC"/>
    <w:rsid w:val="00923347"/>
    <w:rsid w:val="00927E87"/>
    <w:rsid w:val="009370CD"/>
    <w:rsid w:val="0095536B"/>
    <w:rsid w:val="009825BC"/>
    <w:rsid w:val="0098622F"/>
    <w:rsid w:val="009F7ADF"/>
    <w:rsid w:val="00A66A45"/>
    <w:rsid w:val="00AB13F9"/>
    <w:rsid w:val="00AC597B"/>
    <w:rsid w:val="00B15CD3"/>
    <w:rsid w:val="00B37F1F"/>
    <w:rsid w:val="00BA2DC3"/>
    <w:rsid w:val="00BC0E94"/>
    <w:rsid w:val="00BD2C42"/>
    <w:rsid w:val="00BD4D6C"/>
    <w:rsid w:val="00BE1736"/>
    <w:rsid w:val="00BE33F2"/>
    <w:rsid w:val="00C20223"/>
    <w:rsid w:val="00C21C29"/>
    <w:rsid w:val="00C60E41"/>
    <w:rsid w:val="00C75BA5"/>
    <w:rsid w:val="00D02509"/>
    <w:rsid w:val="00D22D71"/>
    <w:rsid w:val="00D55507"/>
    <w:rsid w:val="00D705EA"/>
    <w:rsid w:val="00DA6F13"/>
    <w:rsid w:val="00E71BA7"/>
    <w:rsid w:val="00ED10E8"/>
    <w:rsid w:val="00ED4D59"/>
    <w:rsid w:val="00F0765E"/>
    <w:rsid w:val="00F360DD"/>
    <w:rsid w:val="00F363B5"/>
    <w:rsid w:val="00F50545"/>
    <w:rsid w:val="00F739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535C50"/>
  <w15:chartTrackingRefBased/>
  <w15:docId w15:val="{1C9003A8-46BD-43C7-81C7-440122F58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75BA5"/>
    <w:pPr>
      <w:widowControl w:val="0"/>
      <w:jc w:val="both"/>
    </w:pPr>
  </w:style>
  <w:style w:type="paragraph" w:styleId="1">
    <w:name w:val="heading 1"/>
    <w:basedOn w:val="a"/>
    <w:next w:val="a"/>
    <w:link w:val="10"/>
    <w:uiPriority w:val="9"/>
    <w:qFormat/>
    <w:rsid w:val="00764679"/>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764679"/>
    <w:pPr>
      <w:keepNext/>
      <w:keepLines/>
      <w:widowControl/>
      <w:spacing w:before="260" w:after="260" w:line="416" w:lineRule="auto"/>
      <w:jc w:val="left"/>
      <w:outlineLvl w:val="1"/>
    </w:pPr>
    <w:rPr>
      <w:rFonts w:asciiTheme="majorHAnsi" w:eastAsiaTheme="majorEastAsia" w:hAnsiTheme="majorHAnsi" w:cstheme="majorBidi"/>
      <w:b/>
      <w:bCs/>
      <w:kern w:val="0"/>
      <w:sz w:val="32"/>
      <w:szCs w:val="32"/>
      <w:lang w:val="en-GB" w:eastAsia="en-GB"/>
    </w:rPr>
  </w:style>
  <w:style w:type="paragraph" w:styleId="3">
    <w:name w:val="heading 3"/>
    <w:basedOn w:val="a"/>
    <w:next w:val="a"/>
    <w:link w:val="30"/>
    <w:uiPriority w:val="9"/>
    <w:unhideWhenUsed/>
    <w:qFormat/>
    <w:rsid w:val="00764679"/>
    <w:pPr>
      <w:keepNext/>
      <w:keepLines/>
      <w:widowControl/>
      <w:spacing w:before="260" w:after="260" w:line="416" w:lineRule="auto"/>
      <w:jc w:val="left"/>
      <w:outlineLvl w:val="2"/>
    </w:pPr>
    <w:rPr>
      <w:rFonts w:ascii="Times New Roman" w:eastAsia="宋体" w:hAnsi="Times New Roman" w:cs="Times New Roman"/>
      <w:b/>
      <w:bCs/>
      <w:kern w:val="0"/>
      <w:sz w:val="32"/>
      <w:szCs w:val="32"/>
      <w:lang w:val="en-GB"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6467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764679"/>
    <w:rPr>
      <w:sz w:val="18"/>
      <w:szCs w:val="18"/>
    </w:rPr>
  </w:style>
  <w:style w:type="paragraph" w:styleId="a5">
    <w:name w:val="footer"/>
    <w:basedOn w:val="a"/>
    <w:link w:val="a6"/>
    <w:uiPriority w:val="99"/>
    <w:unhideWhenUsed/>
    <w:rsid w:val="00764679"/>
    <w:pPr>
      <w:tabs>
        <w:tab w:val="center" w:pos="4153"/>
        <w:tab w:val="right" w:pos="8306"/>
      </w:tabs>
      <w:snapToGrid w:val="0"/>
      <w:jc w:val="left"/>
    </w:pPr>
    <w:rPr>
      <w:sz w:val="18"/>
      <w:szCs w:val="18"/>
    </w:rPr>
  </w:style>
  <w:style w:type="character" w:customStyle="1" w:styleId="a6">
    <w:name w:val="页脚 字符"/>
    <w:basedOn w:val="a0"/>
    <w:link w:val="a5"/>
    <w:uiPriority w:val="99"/>
    <w:rsid w:val="00764679"/>
    <w:rPr>
      <w:sz w:val="18"/>
      <w:szCs w:val="18"/>
    </w:rPr>
  </w:style>
  <w:style w:type="character" w:customStyle="1" w:styleId="10">
    <w:name w:val="标题 1 字符"/>
    <w:basedOn w:val="a0"/>
    <w:link w:val="1"/>
    <w:uiPriority w:val="9"/>
    <w:rsid w:val="00764679"/>
    <w:rPr>
      <w:b/>
      <w:bCs/>
      <w:kern w:val="44"/>
      <w:sz w:val="44"/>
      <w:szCs w:val="44"/>
    </w:rPr>
  </w:style>
  <w:style w:type="character" w:customStyle="1" w:styleId="20">
    <w:name w:val="标题 2 字符"/>
    <w:basedOn w:val="a0"/>
    <w:link w:val="2"/>
    <w:uiPriority w:val="9"/>
    <w:rsid w:val="00764679"/>
    <w:rPr>
      <w:rFonts w:asciiTheme="majorHAnsi" w:eastAsiaTheme="majorEastAsia" w:hAnsiTheme="majorHAnsi" w:cstheme="majorBidi"/>
      <w:b/>
      <w:bCs/>
      <w:kern w:val="0"/>
      <w:sz w:val="32"/>
      <w:szCs w:val="32"/>
      <w:lang w:val="en-GB" w:eastAsia="en-GB"/>
    </w:rPr>
  </w:style>
  <w:style w:type="character" w:customStyle="1" w:styleId="30">
    <w:name w:val="标题 3 字符"/>
    <w:basedOn w:val="a0"/>
    <w:link w:val="3"/>
    <w:uiPriority w:val="9"/>
    <w:rsid w:val="00764679"/>
    <w:rPr>
      <w:rFonts w:ascii="Times New Roman" w:eastAsia="宋体" w:hAnsi="Times New Roman" w:cs="Times New Roman"/>
      <w:b/>
      <w:bCs/>
      <w:kern w:val="0"/>
      <w:sz w:val="32"/>
      <w:szCs w:val="32"/>
      <w:lang w:val="en-GB" w:eastAsia="en-GB"/>
    </w:rPr>
  </w:style>
  <w:style w:type="table" w:styleId="a7">
    <w:name w:val="Table Grid"/>
    <w:basedOn w:val="a1"/>
    <w:uiPriority w:val="39"/>
    <w:rsid w:val="008E5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annotation reference"/>
    <w:basedOn w:val="a0"/>
    <w:uiPriority w:val="99"/>
    <w:semiHidden/>
    <w:unhideWhenUsed/>
    <w:rsid w:val="004278F0"/>
    <w:rPr>
      <w:sz w:val="21"/>
      <w:szCs w:val="21"/>
    </w:rPr>
  </w:style>
  <w:style w:type="paragraph" w:styleId="a9">
    <w:name w:val="annotation text"/>
    <w:basedOn w:val="a"/>
    <w:link w:val="aa"/>
    <w:uiPriority w:val="99"/>
    <w:semiHidden/>
    <w:unhideWhenUsed/>
    <w:rsid w:val="004278F0"/>
    <w:pPr>
      <w:jc w:val="left"/>
    </w:pPr>
  </w:style>
  <w:style w:type="character" w:customStyle="1" w:styleId="aa">
    <w:name w:val="批注文字 字符"/>
    <w:basedOn w:val="a0"/>
    <w:link w:val="a9"/>
    <w:uiPriority w:val="99"/>
    <w:semiHidden/>
    <w:rsid w:val="004278F0"/>
  </w:style>
  <w:style w:type="paragraph" w:styleId="ab">
    <w:name w:val="annotation subject"/>
    <w:basedOn w:val="a9"/>
    <w:next w:val="a9"/>
    <w:link w:val="ac"/>
    <w:uiPriority w:val="99"/>
    <w:semiHidden/>
    <w:unhideWhenUsed/>
    <w:rsid w:val="004278F0"/>
    <w:rPr>
      <w:b/>
      <w:bCs/>
    </w:rPr>
  </w:style>
  <w:style w:type="character" w:customStyle="1" w:styleId="ac">
    <w:name w:val="批注主题 字符"/>
    <w:basedOn w:val="aa"/>
    <w:link w:val="ab"/>
    <w:uiPriority w:val="99"/>
    <w:semiHidden/>
    <w:rsid w:val="004278F0"/>
    <w:rPr>
      <w:b/>
      <w:bCs/>
    </w:rPr>
  </w:style>
  <w:style w:type="paragraph" w:styleId="ad">
    <w:name w:val="Balloon Text"/>
    <w:basedOn w:val="a"/>
    <w:link w:val="ae"/>
    <w:uiPriority w:val="99"/>
    <w:semiHidden/>
    <w:unhideWhenUsed/>
    <w:rsid w:val="004278F0"/>
    <w:rPr>
      <w:sz w:val="18"/>
      <w:szCs w:val="18"/>
    </w:rPr>
  </w:style>
  <w:style w:type="character" w:customStyle="1" w:styleId="ae">
    <w:name w:val="批注框文本 字符"/>
    <w:basedOn w:val="a0"/>
    <w:link w:val="ad"/>
    <w:uiPriority w:val="99"/>
    <w:semiHidden/>
    <w:rsid w:val="004278F0"/>
    <w:rPr>
      <w:sz w:val="18"/>
      <w:szCs w:val="18"/>
    </w:rPr>
  </w:style>
  <w:style w:type="paragraph" w:styleId="TOC">
    <w:name w:val="TOC Heading"/>
    <w:basedOn w:val="1"/>
    <w:next w:val="a"/>
    <w:uiPriority w:val="39"/>
    <w:unhideWhenUsed/>
    <w:qFormat/>
    <w:rsid w:val="007945B2"/>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4E17DB"/>
    <w:pPr>
      <w:tabs>
        <w:tab w:val="right" w:leader="dot" w:pos="8296"/>
      </w:tabs>
    </w:pPr>
    <w:rPr>
      <w:rFonts w:ascii="Times New Roman" w:hAnsi="Times New Roman" w:cs="Times New Roman"/>
      <w:noProof/>
      <w:sz w:val="24"/>
    </w:rPr>
  </w:style>
  <w:style w:type="paragraph" w:styleId="TOC2">
    <w:name w:val="toc 2"/>
    <w:basedOn w:val="a"/>
    <w:next w:val="a"/>
    <w:autoRedefine/>
    <w:uiPriority w:val="39"/>
    <w:unhideWhenUsed/>
    <w:rsid w:val="007945B2"/>
    <w:pPr>
      <w:ind w:leftChars="200" w:left="420"/>
    </w:pPr>
  </w:style>
  <w:style w:type="character" w:styleId="af">
    <w:name w:val="Hyperlink"/>
    <w:basedOn w:val="a0"/>
    <w:uiPriority w:val="99"/>
    <w:unhideWhenUsed/>
    <w:rsid w:val="007945B2"/>
    <w:rPr>
      <w:color w:val="0563C1" w:themeColor="hyperlink"/>
      <w:u w:val="single"/>
    </w:rPr>
  </w:style>
  <w:style w:type="character" w:styleId="af0">
    <w:name w:val="Unresolved Mention"/>
    <w:basedOn w:val="a0"/>
    <w:uiPriority w:val="99"/>
    <w:semiHidden/>
    <w:unhideWhenUsed/>
    <w:rsid w:val="005D72D6"/>
    <w:rPr>
      <w:color w:val="605E5C"/>
      <w:shd w:val="clear" w:color="auto" w:fill="E1DFDD"/>
    </w:rPr>
  </w:style>
  <w:style w:type="character" w:styleId="af1">
    <w:name w:val="Placeholder Text"/>
    <w:basedOn w:val="a0"/>
    <w:uiPriority w:val="99"/>
    <w:semiHidden/>
    <w:rsid w:val="009825BC"/>
    <w:rPr>
      <w:color w:val="808080"/>
    </w:rPr>
  </w:style>
  <w:style w:type="paragraph" w:styleId="TOC3">
    <w:name w:val="toc 3"/>
    <w:basedOn w:val="a"/>
    <w:next w:val="a"/>
    <w:autoRedefine/>
    <w:uiPriority w:val="39"/>
    <w:unhideWhenUsed/>
    <w:rsid w:val="00B15CD3"/>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843949">
      <w:bodyDiv w:val="1"/>
      <w:marLeft w:val="0"/>
      <w:marRight w:val="0"/>
      <w:marTop w:val="0"/>
      <w:marBottom w:val="0"/>
      <w:divBdr>
        <w:top w:val="none" w:sz="0" w:space="0" w:color="auto"/>
        <w:left w:val="none" w:sz="0" w:space="0" w:color="auto"/>
        <w:bottom w:val="none" w:sz="0" w:space="0" w:color="auto"/>
        <w:right w:val="none" w:sz="0" w:space="0" w:color="auto"/>
      </w:divBdr>
    </w:div>
    <w:div w:id="276789311">
      <w:bodyDiv w:val="1"/>
      <w:marLeft w:val="0"/>
      <w:marRight w:val="0"/>
      <w:marTop w:val="0"/>
      <w:marBottom w:val="0"/>
      <w:divBdr>
        <w:top w:val="none" w:sz="0" w:space="0" w:color="auto"/>
        <w:left w:val="none" w:sz="0" w:space="0" w:color="auto"/>
        <w:bottom w:val="none" w:sz="0" w:space="0" w:color="auto"/>
        <w:right w:val="none" w:sz="0" w:space="0" w:color="auto"/>
      </w:divBdr>
    </w:div>
    <w:div w:id="277376372">
      <w:bodyDiv w:val="1"/>
      <w:marLeft w:val="0"/>
      <w:marRight w:val="0"/>
      <w:marTop w:val="0"/>
      <w:marBottom w:val="0"/>
      <w:divBdr>
        <w:top w:val="none" w:sz="0" w:space="0" w:color="auto"/>
        <w:left w:val="none" w:sz="0" w:space="0" w:color="auto"/>
        <w:bottom w:val="none" w:sz="0" w:space="0" w:color="auto"/>
        <w:right w:val="none" w:sz="0" w:space="0" w:color="auto"/>
      </w:divBdr>
    </w:div>
    <w:div w:id="582302853">
      <w:bodyDiv w:val="1"/>
      <w:marLeft w:val="0"/>
      <w:marRight w:val="0"/>
      <w:marTop w:val="0"/>
      <w:marBottom w:val="0"/>
      <w:divBdr>
        <w:top w:val="none" w:sz="0" w:space="0" w:color="auto"/>
        <w:left w:val="none" w:sz="0" w:space="0" w:color="auto"/>
        <w:bottom w:val="none" w:sz="0" w:space="0" w:color="auto"/>
        <w:right w:val="none" w:sz="0" w:space="0" w:color="auto"/>
      </w:divBdr>
    </w:div>
    <w:div w:id="869993837">
      <w:bodyDiv w:val="1"/>
      <w:marLeft w:val="0"/>
      <w:marRight w:val="0"/>
      <w:marTop w:val="0"/>
      <w:marBottom w:val="0"/>
      <w:divBdr>
        <w:top w:val="none" w:sz="0" w:space="0" w:color="auto"/>
        <w:left w:val="none" w:sz="0" w:space="0" w:color="auto"/>
        <w:bottom w:val="none" w:sz="0" w:space="0" w:color="auto"/>
        <w:right w:val="none" w:sz="0" w:space="0" w:color="auto"/>
      </w:divBdr>
    </w:div>
    <w:div w:id="1092048298">
      <w:bodyDiv w:val="1"/>
      <w:marLeft w:val="0"/>
      <w:marRight w:val="0"/>
      <w:marTop w:val="0"/>
      <w:marBottom w:val="0"/>
      <w:divBdr>
        <w:top w:val="none" w:sz="0" w:space="0" w:color="auto"/>
        <w:left w:val="none" w:sz="0" w:space="0" w:color="auto"/>
        <w:bottom w:val="none" w:sz="0" w:space="0" w:color="auto"/>
        <w:right w:val="none" w:sz="0" w:space="0" w:color="auto"/>
      </w:divBdr>
    </w:div>
    <w:div w:id="1526869697">
      <w:bodyDiv w:val="1"/>
      <w:marLeft w:val="0"/>
      <w:marRight w:val="0"/>
      <w:marTop w:val="0"/>
      <w:marBottom w:val="0"/>
      <w:divBdr>
        <w:top w:val="none" w:sz="0" w:space="0" w:color="auto"/>
        <w:left w:val="none" w:sz="0" w:space="0" w:color="auto"/>
        <w:bottom w:val="none" w:sz="0" w:space="0" w:color="auto"/>
        <w:right w:val="none" w:sz="0" w:space="0" w:color="auto"/>
      </w:divBdr>
    </w:div>
    <w:div w:id="1790469926">
      <w:bodyDiv w:val="1"/>
      <w:marLeft w:val="0"/>
      <w:marRight w:val="0"/>
      <w:marTop w:val="0"/>
      <w:marBottom w:val="0"/>
      <w:divBdr>
        <w:top w:val="none" w:sz="0" w:space="0" w:color="auto"/>
        <w:left w:val="none" w:sz="0" w:space="0" w:color="auto"/>
        <w:bottom w:val="none" w:sz="0" w:space="0" w:color="auto"/>
        <w:right w:val="none" w:sz="0" w:space="0" w:color="auto"/>
      </w:divBdr>
    </w:div>
    <w:div w:id="1808015322">
      <w:bodyDiv w:val="1"/>
      <w:marLeft w:val="0"/>
      <w:marRight w:val="0"/>
      <w:marTop w:val="0"/>
      <w:marBottom w:val="0"/>
      <w:divBdr>
        <w:top w:val="none" w:sz="0" w:space="0" w:color="auto"/>
        <w:left w:val="none" w:sz="0" w:space="0" w:color="auto"/>
        <w:bottom w:val="none" w:sz="0" w:space="0" w:color="auto"/>
        <w:right w:val="none" w:sz="0" w:space="0" w:color="auto"/>
      </w:divBdr>
    </w:div>
    <w:div w:id="1829251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332091-C15B-47D9-BCF5-89CCC5D6B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1243</TotalTime>
  <Pages>15</Pages>
  <Words>5245</Words>
  <Characters>29901</Characters>
  <Application>Microsoft Office Word</Application>
  <DocSecurity>0</DocSecurity>
  <Lines>249</Lines>
  <Paragraphs>70</Paragraphs>
  <ScaleCrop>false</ScaleCrop>
  <Company/>
  <LinksUpToDate>false</LinksUpToDate>
  <CharactersWithSpaces>35076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小明</dc:creator>
  <cp:keywords/>
  <dc:description/>
  <cp:lastModifiedBy>小明</cp:lastModifiedBy>
  <cp:revision>4</cp:revision>
  <dcterms:created xsi:type="dcterms:W3CDTF">2022-12-05T04:19:00Z</dcterms:created>
  <dcterms:modified xsi:type="dcterms:W3CDTF">2023-03-28T05:38:00Z</dcterms:modified>
</cp:coreProperties>
</file>