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0B481" w14:textId="77777777" w:rsidR="00EE3B91" w:rsidRPr="00EE3B91" w:rsidRDefault="00EE3B91" w:rsidP="00EE3B91">
      <w:pPr>
        <w:pStyle w:val="NormalWeb"/>
        <w:jc w:val="both"/>
        <w:rPr>
          <w:rStyle w:val="Strong"/>
          <w:rFonts w:ascii="Arial Narrow" w:hAnsi="Arial Narrow"/>
        </w:rPr>
      </w:pPr>
    </w:p>
    <w:p w14:paraId="3F197209" w14:textId="77777777" w:rsidR="00EE3B91" w:rsidRPr="00EE3B91" w:rsidRDefault="00EE3B91" w:rsidP="00EE3B91">
      <w:pPr>
        <w:pStyle w:val="NormalWeb"/>
        <w:jc w:val="both"/>
        <w:rPr>
          <w:rStyle w:val="Strong"/>
          <w:rFonts w:ascii="Arial Narrow" w:hAnsi="Arial Narrow"/>
        </w:rPr>
      </w:pPr>
    </w:p>
    <w:p w14:paraId="4E388D73" w14:textId="77777777" w:rsidR="00EE3B91" w:rsidRPr="00EE3B91" w:rsidRDefault="00EE3B91" w:rsidP="00EE3B91">
      <w:pPr>
        <w:pStyle w:val="NormalWeb"/>
        <w:jc w:val="both"/>
        <w:rPr>
          <w:rStyle w:val="Strong"/>
          <w:rFonts w:ascii="Arial Narrow" w:hAnsi="Arial Narrow"/>
        </w:rPr>
      </w:pPr>
    </w:p>
    <w:p w14:paraId="6A9747DF" w14:textId="77777777" w:rsidR="00EE3B91" w:rsidRPr="00EE3B91" w:rsidRDefault="00EE3B91" w:rsidP="00EE3B91">
      <w:pPr>
        <w:pStyle w:val="NormalWeb"/>
        <w:jc w:val="both"/>
        <w:rPr>
          <w:rStyle w:val="Strong"/>
          <w:rFonts w:ascii="Arial Narrow" w:hAnsi="Arial Narrow"/>
        </w:rPr>
      </w:pPr>
    </w:p>
    <w:p w14:paraId="48AD20B6" w14:textId="77777777" w:rsidR="00EE3B91" w:rsidRPr="00EE3B91" w:rsidRDefault="00EE3B91" w:rsidP="00EE3B91">
      <w:pPr>
        <w:pStyle w:val="NormalWeb"/>
        <w:jc w:val="both"/>
        <w:rPr>
          <w:rStyle w:val="Strong"/>
          <w:rFonts w:ascii="Arial Narrow" w:hAnsi="Arial Narrow"/>
        </w:rPr>
      </w:pPr>
    </w:p>
    <w:p w14:paraId="34CCB2C5" w14:textId="77777777" w:rsidR="00EE3B91" w:rsidRPr="00EE3B91" w:rsidRDefault="00EE3B91" w:rsidP="00EE3B91">
      <w:pPr>
        <w:pStyle w:val="NormalWeb"/>
        <w:jc w:val="both"/>
        <w:rPr>
          <w:rStyle w:val="Strong"/>
          <w:rFonts w:ascii="Arial Narrow" w:hAnsi="Arial Narrow"/>
        </w:rPr>
      </w:pPr>
    </w:p>
    <w:p w14:paraId="2BF30270" w14:textId="77777777" w:rsidR="00EE3B91" w:rsidRPr="00EE3B91" w:rsidRDefault="00EE3B91" w:rsidP="00EE3B91">
      <w:pPr>
        <w:pStyle w:val="NormalWeb"/>
        <w:jc w:val="center"/>
        <w:rPr>
          <w:rStyle w:val="Strong"/>
          <w:rFonts w:ascii="Arial Narrow" w:hAnsi="Arial Narrow"/>
          <w:sz w:val="44"/>
          <w:szCs w:val="44"/>
        </w:rPr>
      </w:pPr>
    </w:p>
    <w:p w14:paraId="24B1587B" w14:textId="77777777" w:rsidR="00EE3B91" w:rsidRPr="00EE3B91" w:rsidRDefault="00EE3B91" w:rsidP="00EE3B91">
      <w:pPr>
        <w:pStyle w:val="NormalWeb"/>
        <w:jc w:val="center"/>
        <w:rPr>
          <w:rFonts w:ascii="Arial Narrow" w:hAnsi="Arial Narrow"/>
          <w:b/>
          <w:bCs/>
          <w:sz w:val="56"/>
          <w:szCs w:val="56"/>
        </w:rPr>
      </w:pPr>
      <w:r w:rsidRPr="00EE3B91">
        <w:rPr>
          <w:rFonts w:ascii="Arial Narrow" w:hAnsi="Arial Narrow"/>
          <w:b/>
          <w:bCs/>
          <w:sz w:val="56"/>
          <w:szCs w:val="56"/>
        </w:rPr>
        <w:t>ANGELA ELENA IONESCU</w:t>
      </w:r>
    </w:p>
    <w:p w14:paraId="429C3FB3" w14:textId="77777777" w:rsidR="00EE3B91" w:rsidRPr="00EE3B91" w:rsidRDefault="00EE3B91" w:rsidP="00EE3B91">
      <w:pPr>
        <w:pStyle w:val="NormalWeb"/>
        <w:jc w:val="center"/>
        <w:rPr>
          <w:rFonts w:ascii="Arial Narrow" w:hAnsi="Arial Narrow"/>
          <w:b/>
          <w:bCs/>
          <w:sz w:val="42"/>
          <w:szCs w:val="42"/>
        </w:rPr>
      </w:pPr>
      <w:r w:rsidRPr="00EE3B91">
        <w:rPr>
          <w:rFonts w:ascii="Arial Narrow" w:hAnsi="Arial Narrow"/>
          <w:b/>
          <w:bCs/>
          <w:sz w:val="42"/>
          <w:szCs w:val="42"/>
        </w:rPr>
        <w:t>REGISTRATION NUMBER: 2320022</w:t>
      </w:r>
    </w:p>
    <w:p w14:paraId="7F4487C5" w14:textId="77777777" w:rsidR="00EE3B91" w:rsidRPr="00EE3B91" w:rsidRDefault="00EE3B91" w:rsidP="00EE3B91">
      <w:pPr>
        <w:pStyle w:val="NormalWeb"/>
        <w:jc w:val="center"/>
        <w:rPr>
          <w:rStyle w:val="Strong"/>
          <w:rFonts w:ascii="Arial Narrow" w:hAnsi="Arial Narrow"/>
          <w:sz w:val="44"/>
          <w:szCs w:val="44"/>
        </w:rPr>
      </w:pPr>
    </w:p>
    <w:p w14:paraId="0319974B" w14:textId="77777777" w:rsidR="00EE3B91" w:rsidRPr="00EE3B91" w:rsidRDefault="00EE3B91" w:rsidP="00EE3B91">
      <w:pPr>
        <w:pStyle w:val="NormalWeb"/>
        <w:jc w:val="center"/>
        <w:rPr>
          <w:rStyle w:val="Strong"/>
          <w:rFonts w:ascii="Arial Narrow" w:hAnsi="Arial Narrow"/>
          <w:sz w:val="44"/>
          <w:szCs w:val="44"/>
        </w:rPr>
      </w:pPr>
      <w:r w:rsidRPr="00EE3B91">
        <w:rPr>
          <w:rStyle w:val="Strong"/>
          <w:rFonts w:ascii="Arial Narrow" w:hAnsi="Arial Narrow"/>
          <w:sz w:val="44"/>
          <w:szCs w:val="44"/>
        </w:rPr>
        <w:t>ASSIGNMENT 2 - YEAR 2</w:t>
      </w:r>
    </w:p>
    <w:p w14:paraId="07CDBC24" w14:textId="77777777" w:rsidR="00EE3B91" w:rsidRPr="00EE3B91" w:rsidRDefault="00EE3B91" w:rsidP="00EE3B91">
      <w:pPr>
        <w:pStyle w:val="NormalWeb"/>
        <w:jc w:val="center"/>
        <w:rPr>
          <w:rStyle w:val="Strong"/>
          <w:rFonts w:ascii="Arial Narrow" w:hAnsi="Arial Narrow"/>
          <w:sz w:val="44"/>
          <w:szCs w:val="44"/>
        </w:rPr>
      </w:pPr>
      <w:r w:rsidRPr="00EE3B91">
        <w:rPr>
          <w:rStyle w:val="Strong"/>
          <w:rFonts w:ascii="Arial Narrow" w:hAnsi="Arial Narrow"/>
          <w:sz w:val="44"/>
          <w:szCs w:val="44"/>
        </w:rPr>
        <w:t>COHORT 3/23</w:t>
      </w:r>
    </w:p>
    <w:p w14:paraId="7AB764C7" w14:textId="77777777" w:rsidR="00EE3B91" w:rsidRPr="00EE3B91" w:rsidRDefault="00EE3B91" w:rsidP="00EE3B91">
      <w:pPr>
        <w:pStyle w:val="NormalWeb"/>
        <w:jc w:val="center"/>
        <w:rPr>
          <w:rStyle w:val="Strong"/>
          <w:rFonts w:ascii="Arial Narrow" w:hAnsi="Arial Narrow"/>
          <w:sz w:val="44"/>
          <w:szCs w:val="44"/>
        </w:rPr>
      </w:pPr>
    </w:p>
    <w:p w14:paraId="68A223DC" w14:textId="77777777" w:rsidR="00EE3B91" w:rsidRPr="00EE3B91" w:rsidRDefault="00EE3B91" w:rsidP="00EE3B91">
      <w:pPr>
        <w:pStyle w:val="NormalWeb"/>
        <w:jc w:val="both"/>
        <w:rPr>
          <w:rStyle w:val="Strong"/>
          <w:rFonts w:ascii="Arial Narrow" w:hAnsi="Arial Narrow"/>
        </w:rPr>
      </w:pPr>
    </w:p>
    <w:p w14:paraId="2F46B079" w14:textId="77777777" w:rsidR="00EE3B91" w:rsidRPr="00EE3B91" w:rsidRDefault="00EE3B91" w:rsidP="00EE3B91">
      <w:pPr>
        <w:pStyle w:val="NormalWeb"/>
        <w:jc w:val="both"/>
        <w:rPr>
          <w:rStyle w:val="Strong"/>
          <w:rFonts w:ascii="Arial Narrow" w:hAnsi="Arial Narrow"/>
        </w:rPr>
      </w:pPr>
    </w:p>
    <w:p w14:paraId="45ECEDF8" w14:textId="77777777" w:rsidR="00EE3B91" w:rsidRPr="00EE3B91" w:rsidRDefault="00EE3B91" w:rsidP="00EE3B91">
      <w:pPr>
        <w:pStyle w:val="NormalWeb"/>
        <w:jc w:val="both"/>
        <w:rPr>
          <w:rStyle w:val="Strong"/>
          <w:rFonts w:ascii="Arial Narrow" w:hAnsi="Arial Narrow"/>
        </w:rPr>
      </w:pPr>
    </w:p>
    <w:p w14:paraId="2D721F08" w14:textId="77777777" w:rsidR="00EE3B91" w:rsidRPr="00EE3B91" w:rsidRDefault="00EE3B91" w:rsidP="00EE3B91">
      <w:pPr>
        <w:pStyle w:val="NormalWeb"/>
        <w:jc w:val="both"/>
        <w:rPr>
          <w:rStyle w:val="Strong"/>
          <w:rFonts w:ascii="Arial Narrow" w:hAnsi="Arial Narrow"/>
        </w:rPr>
      </w:pPr>
    </w:p>
    <w:p w14:paraId="0E1D4AE1" w14:textId="77777777" w:rsidR="00EE3B91" w:rsidRPr="00EE3B91" w:rsidRDefault="00EE3B91" w:rsidP="00EE3B91">
      <w:pPr>
        <w:pStyle w:val="NormalWeb"/>
        <w:jc w:val="both"/>
        <w:rPr>
          <w:rStyle w:val="Strong"/>
          <w:rFonts w:ascii="Arial Narrow" w:hAnsi="Arial Narrow"/>
        </w:rPr>
      </w:pPr>
    </w:p>
    <w:p w14:paraId="14CE4C78" w14:textId="77777777" w:rsidR="00EE3B91" w:rsidRPr="00EE3B91" w:rsidRDefault="00EE3B91" w:rsidP="00EE3B91">
      <w:pPr>
        <w:pStyle w:val="NormalWeb"/>
        <w:jc w:val="both"/>
        <w:rPr>
          <w:rStyle w:val="Strong"/>
          <w:rFonts w:ascii="Arial Narrow" w:hAnsi="Arial Narrow"/>
        </w:rPr>
      </w:pPr>
    </w:p>
    <w:p w14:paraId="495849F2" w14:textId="77777777" w:rsidR="00EE3B91" w:rsidRPr="00EE3B91" w:rsidRDefault="00EE3B91" w:rsidP="00EE3B91">
      <w:pPr>
        <w:pStyle w:val="NormalWeb"/>
        <w:jc w:val="both"/>
        <w:rPr>
          <w:rStyle w:val="Strong"/>
          <w:rFonts w:ascii="Arial Narrow" w:hAnsi="Arial Narrow"/>
        </w:rPr>
      </w:pPr>
    </w:p>
    <w:p w14:paraId="5B19A526" w14:textId="77777777" w:rsidR="00EE3B91" w:rsidRPr="00EE3B91" w:rsidRDefault="00EE3B91" w:rsidP="00EE3B91">
      <w:pPr>
        <w:pStyle w:val="NormalWeb"/>
        <w:jc w:val="both"/>
        <w:rPr>
          <w:rStyle w:val="Strong"/>
          <w:rFonts w:ascii="Arial Narrow" w:hAnsi="Arial Narrow"/>
        </w:rPr>
      </w:pPr>
    </w:p>
    <w:p w14:paraId="01E193A7" w14:textId="77777777" w:rsidR="00EE3B91" w:rsidRPr="00EE3B91" w:rsidRDefault="00EE3B91" w:rsidP="00EE3B91">
      <w:pPr>
        <w:pStyle w:val="NormalWeb"/>
        <w:jc w:val="both"/>
        <w:rPr>
          <w:rStyle w:val="Strong"/>
          <w:rFonts w:ascii="Arial Narrow" w:hAnsi="Arial Narrow"/>
        </w:rPr>
      </w:pPr>
    </w:p>
    <w:p w14:paraId="45EA0FE9" w14:textId="77777777" w:rsidR="00EE3B91" w:rsidRDefault="00EE3B91" w:rsidP="00EE3B91">
      <w:pPr>
        <w:pStyle w:val="NormalWeb"/>
        <w:jc w:val="both"/>
        <w:rPr>
          <w:rStyle w:val="Strong"/>
          <w:rFonts w:ascii="Arial Narrow" w:hAnsi="Arial Narrow"/>
        </w:rPr>
      </w:pPr>
    </w:p>
    <w:p w14:paraId="24FFB3F9" w14:textId="77777777" w:rsidR="00EE3B91" w:rsidRPr="00EE3B91" w:rsidRDefault="00EE3B91" w:rsidP="00EE3B91">
      <w:pPr>
        <w:pStyle w:val="NormalWeb"/>
        <w:jc w:val="both"/>
        <w:rPr>
          <w:rStyle w:val="Strong"/>
          <w:rFonts w:ascii="Arial Narrow" w:hAnsi="Arial Narrow"/>
        </w:rPr>
      </w:pPr>
    </w:p>
    <w:p w14:paraId="3F7137DC" w14:textId="77777777" w:rsidR="00EE3B91" w:rsidRPr="002363A6" w:rsidRDefault="00EE3B91" w:rsidP="00EE3B91">
      <w:pPr>
        <w:spacing w:line="276" w:lineRule="auto"/>
        <w:ind w:right="531"/>
        <w:jc w:val="both"/>
        <w:rPr>
          <w:rFonts w:ascii="Arial Narrow" w:eastAsia="Times New Roman" w:hAnsi="Arial Narrow" w:cs="Arial"/>
          <w:b/>
          <w:bCs/>
        </w:rPr>
      </w:pPr>
      <w:r w:rsidRPr="002363A6">
        <w:rPr>
          <w:rStyle w:val="Strong"/>
          <w:rFonts w:ascii="Arial Narrow" w:hAnsi="Arial Narrow"/>
        </w:rPr>
        <w:lastRenderedPageBreak/>
        <w:t xml:space="preserve">Essay 1: </w:t>
      </w:r>
      <w:r w:rsidRPr="002363A6">
        <w:rPr>
          <w:rFonts w:ascii="Arial Narrow" w:eastAsia="Times New Roman" w:hAnsi="Arial Narrow" w:cs="Arial"/>
          <w:b/>
          <w:bCs/>
        </w:rPr>
        <w:t>Why are terrorist organisations often involved in other forms of criminality and how can this inform counter-terrorism policing</w:t>
      </w:r>
      <w:r w:rsidRPr="002363A6">
        <w:rPr>
          <w:rFonts w:ascii="Arial Narrow" w:hAnsi="Arial Narrow" w:cs="Arial"/>
          <w:b/>
          <w:bCs/>
        </w:rPr>
        <w:t xml:space="preserve">? </w:t>
      </w:r>
    </w:p>
    <w:p w14:paraId="7578D812" w14:textId="77777777" w:rsidR="00EE3B91" w:rsidRPr="002363A6" w:rsidRDefault="00EE3B91" w:rsidP="00EE3B91">
      <w:pPr>
        <w:pStyle w:val="NormalWeb"/>
        <w:jc w:val="both"/>
        <w:rPr>
          <w:rFonts w:ascii="Arial Narrow" w:hAnsi="Arial Narrow"/>
        </w:rPr>
      </w:pPr>
    </w:p>
    <w:p w14:paraId="380632FC"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Despite often being categorised as separate threats, terrorism and organised crime are operationally entangled. Ideological motivation does not exclude the reliance on financial and logistical criminal support to sustain terrorist operations, such as drug and firearms trafficking, fraud and forged documents. </w:t>
      </w:r>
      <w:r w:rsidRPr="002363A6">
        <w:rPr>
          <w:rStyle w:val="Strong"/>
          <w:rFonts w:ascii="Arial Narrow" w:hAnsi="Arial Narrow"/>
          <w:b w:val="0"/>
          <w:bCs w:val="0"/>
        </w:rPr>
        <w:t xml:space="preserve">The connection becomes particularly visible in areas such as illicit trafficking and money laundering, where both types of networks depend on the same routes, facilitators and concealment methods </w:t>
      </w:r>
      <w:r w:rsidRPr="002363A6">
        <w:rPr>
          <w:rFonts w:ascii="Arial Narrow" w:hAnsi="Arial Narrow"/>
        </w:rPr>
        <w:t>(Europol, 2017). For counter terrorism policing, these shared systems provide insight into how extremism survives. Trafficking and financial crime are no longer secondary. They are part of the structure of recruitment, attack planning and escape. The more naturally these relationships are seen, the more preventive policing can become.</w:t>
      </w:r>
    </w:p>
    <w:p w14:paraId="60DEBE8B" w14:textId="77777777" w:rsidR="00EE3B91" w:rsidRPr="002363A6" w:rsidRDefault="00EE3B91" w:rsidP="00EE3B91">
      <w:pPr>
        <w:pStyle w:val="NormalWeb"/>
        <w:jc w:val="both"/>
        <w:rPr>
          <w:rFonts w:ascii="Arial Narrow" w:hAnsi="Arial Narrow"/>
        </w:rPr>
      </w:pPr>
    </w:p>
    <w:p w14:paraId="5C40C1E5" w14:textId="77777777" w:rsidR="00EE3B91" w:rsidRPr="002363A6" w:rsidRDefault="00EE3B91" w:rsidP="00EE3B91">
      <w:pPr>
        <w:pStyle w:val="NormalWeb"/>
        <w:jc w:val="both"/>
        <w:rPr>
          <w:rFonts w:ascii="Arial Narrow" w:hAnsi="Arial Narrow"/>
        </w:rPr>
      </w:pPr>
      <w:r w:rsidRPr="002363A6">
        <w:rPr>
          <w:rFonts w:ascii="Arial Narrow" w:hAnsi="Arial Narrow"/>
        </w:rPr>
        <w:t>This essay examines how the operational connections between terrorist organisations and other forms of criminality offer insight into extremist activity. It explores how understanding these links can inform counter terrorism policing by revealing how threats run, plan and camouflage themselves within familiar systems. Rather than focusing on ideology, policing can observe how criminal behaviour shapes extremism. By reading the infrastructures that support terrorism, police gain earlier access to patterns that do not rely on belief but on routine. This understanding does not replace ideological awareness, but reinforces the interpretation of threat by exposing the foundation of its structure.</w:t>
      </w:r>
    </w:p>
    <w:p w14:paraId="3B5B6182" w14:textId="77777777" w:rsidR="00EE3B91" w:rsidRPr="002363A6" w:rsidRDefault="00EE3B91" w:rsidP="00EE3B91">
      <w:pPr>
        <w:pStyle w:val="NormalWeb"/>
        <w:jc w:val="both"/>
        <w:rPr>
          <w:rFonts w:ascii="Arial Narrow" w:hAnsi="Arial Narrow"/>
        </w:rPr>
      </w:pPr>
    </w:p>
    <w:p w14:paraId="3BB8809C"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In the UK, criminal infrastructure is increasingly recognized as part of what allows terrorism to evolve. </w:t>
      </w:r>
      <w:r w:rsidRPr="002363A6">
        <w:rPr>
          <w:rStyle w:val="Strong"/>
          <w:rFonts w:ascii="Arial Narrow" w:hAnsi="Arial Narrow"/>
          <w:b w:val="0"/>
          <w:bCs w:val="0"/>
        </w:rPr>
        <w:t>What appears to be isolated fraud or document misuse could be part of a wider process of radical planning. Disruption tactics have shifted in response, focusing on irregularities in identity use, unexplained cash flows and forged papers rather than waiting for ideological declarations.</w:t>
      </w:r>
      <w:r w:rsidRPr="002363A6">
        <w:rPr>
          <w:rFonts w:ascii="Arial Narrow" w:hAnsi="Arial Narrow"/>
        </w:rPr>
        <w:t xml:space="preserve"> (Home Office, 2024). These indicators show the early stages of operational development. For counter terrorism policing, this redefines what counts as significant in threat recognition. Benefit fraud or identity irregularities become significant flags when viewed through the wider perspective of enabling extremism. When police detect these patterns early, intervention becomes more accurate and strategic.</w:t>
      </w:r>
    </w:p>
    <w:p w14:paraId="302AA5FB" w14:textId="77777777" w:rsidR="00EE3B91" w:rsidRPr="002363A6" w:rsidRDefault="00EE3B91" w:rsidP="00EE3B91">
      <w:pPr>
        <w:pStyle w:val="NormalWeb"/>
        <w:jc w:val="both"/>
        <w:rPr>
          <w:rFonts w:ascii="Arial Narrow" w:hAnsi="Arial Narrow"/>
        </w:rPr>
      </w:pPr>
    </w:p>
    <w:p w14:paraId="6F2E68B2"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Terrorist organizations do not operate independently from criminal systems. </w:t>
      </w:r>
      <w:r w:rsidRPr="002363A6">
        <w:rPr>
          <w:rStyle w:val="Strong"/>
          <w:rFonts w:ascii="Arial Narrow" w:hAnsi="Arial Narrow"/>
          <w:b w:val="0"/>
          <w:bCs w:val="0"/>
        </w:rPr>
        <w:t xml:space="preserve">Their ability to plan, communicate and conduct attacks relies on access to money laundering services, supply chains and logistical assistance </w:t>
      </w:r>
      <w:r w:rsidRPr="002363A6">
        <w:rPr>
          <w:rFonts w:ascii="Arial Narrow" w:hAnsi="Arial Narrow"/>
        </w:rPr>
        <w:t>(UNODC, 2019). Depending on the environment, extremist use of these networks may involve quiet integration or direct collaboration. For counter terrorism policing, this variation provides guidance on where weakness and risk lie. Where criminal operations thrive without oversight, extremist movements gain space to infiltrate and hide. Shared locations or routes become more revealing than ideology. When police prioritise the structural context, they gain the ability to recognise terrorist activity long before it is named. Risk can be calculated through infrastructure rather than waiting for belief to be named.</w:t>
      </w:r>
    </w:p>
    <w:p w14:paraId="62735EB0" w14:textId="77777777" w:rsidR="00EE3B91" w:rsidRPr="002363A6" w:rsidRDefault="00EE3B91" w:rsidP="00EE3B91">
      <w:pPr>
        <w:pStyle w:val="NormalWeb"/>
        <w:jc w:val="both"/>
        <w:rPr>
          <w:rFonts w:ascii="Arial Narrow" w:hAnsi="Arial Narrow"/>
        </w:rPr>
      </w:pPr>
    </w:p>
    <w:p w14:paraId="7F0460AC"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Additionally, terrorist organisations are heavily reliant on the proceeds of organised crime to fund their operations and this dependency is not minor, it is fundamental. </w:t>
      </w:r>
      <w:r w:rsidRPr="002363A6">
        <w:rPr>
          <w:rStyle w:val="Strong"/>
          <w:rFonts w:ascii="Arial Narrow" w:hAnsi="Arial Narrow"/>
          <w:b w:val="0"/>
          <w:bCs w:val="0"/>
        </w:rPr>
        <w:t>The financial support is not limited to ideological donations. It draws heavily from illegal trades including extortion, trafficking and cyber fraud</w:t>
      </w:r>
      <w:r w:rsidRPr="002363A6">
        <w:rPr>
          <w:rFonts w:ascii="Arial Narrow" w:hAnsi="Arial Narrow"/>
        </w:rPr>
        <w:t xml:space="preserve"> (United Nations, 2019). These financial crimes allow extremist groups to operate without exposure, blending into the wider criminal environment. For counter terrorism policing, this changes the role of financial crime units. Their investigations are not only economic, but potential intelligence for national security. Following suspicious transactions, shell companies or asset movements can uncover preparations for attacks or identify concealed extremist cells. This connection allows earlier visibility of terrorist operations before escalation. </w:t>
      </w:r>
    </w:p>
    <w:p w14:paraId="65FDA569" w14:textId="77777777" w:rsidR="00EE3B91" w:rsidRPr="002363A6" w:rsidRDefault="00EE3B91" w:rsidP="00EE3B91">
      <w:pPr>
        <w:pStyle w:val="NormalWeb"/>
        <w:jc w:val="both"/>
        <w:rPr>
          <w:rFonts w:ascii="Arial Narrow" w:hAnsi="Arial Narrow"/>
        </w:rPr>
      </w:pPr>
    </w:p>
    <w:p w14:paraId="4EBFA1F5" w14:textId="77777777" w:rsidR="00EE3B91" w:rsidRPr="002363A6" w:rsidRDefault="00EE3B91" w:rsidP="00EE3B91">
      <w:pPr>
        <w:pStyle w:val="NormalWeb"/>
        <w:jc w:val="both"/>
        <w:rPr>
          <w:rFonts w:ascii="Arial Narrow" w:hAnsi="Arial Narrow"/>
        </w:rPr>
      </w:pPr>
      <w:r w:rsidRPr="002363A6">
        <w:rPr>
          <w:rFonts w:ascii="Arial Narrow" w:hAnsi="Arial Narrow"/>
        </w:rPr>
        <w:lastRenderedPageBreak/>
        <w:t xml:space="preserve">Counter terrorism strategies that overlook organised crime miss the chance of early intervention. </w:t>
      </w:r>
      <w:r w:rsidRPr="002363A6">
        <w:rPr>
          <w:rStyle w:val="Strong"/>
          <w:rFonts w:ascii="Arial Narrow" w:hAnsi="Arial Narrow"/>
          <w:b w:val="0"/>
          <w:bCs w:val="0"/>
        </w:rPr>
        <w:t>Terrorist organisations often gain resilience by inserting themselves into existing illicit structures, especially in conflict zones where criminal networks provide movement, supply and security</w:t>
      </w:r>
      <w:r w:rsidRPr="002363A6">
        <w:rPr>
          <w:rFonts w:ascii="Arial Narrow" w:hAnsi="Arial Narrow"/>
        </w:rPr>
        <w:t xml:space="preserve"> (Shaw and Mahadevan, 2018). These relationships form through shared interest rather than shared belief. For policing, this means environmental awareness not only becomes as important as ideological monitoring, but precedes it. Criminal groups that dominate local economies or transit paths may be indirectly sustaining extremist activity. By mapping those enablers, police can detect the operational roots of terrorist groups. This replaces reactive tactics with proactive analysis, allowing policing to weaken threat before ideology even surfaces, thus offering a more predictive lens for policing. </w:t>
      </w:r>
    </w:p>
    <w:p w14:paraId="28B514AA" w14:textId="77777777" w:rsidR="00EE3B91" w:rsidRPr="002363A6" w:rsidRDefault="00EE3B91" w:rsidP="00EE3B91">
      <w:pPr>
        <w:pStyle w:val="NormalWeb"/>
        <w:jc w:val="both"/>
        <w:rPr>
          <w:rFonts w:ascii="Arial Narrow" w:hAnsi="Arial Narrow"/>
        </w:rPr>
      </w:pPr>
    </w:p>
    <w:p w14:paraId="45E67D5F"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As seen in Africa, where traffickers and terror groups often share protection routes, the illegal drug trade continues to be one of the strongest and most consistent links between organised crime and terrorism. </w:t>
      </w:r>
      <w:r w:rsidRPr="002363A6">
        <w:rPr>
          <w:rStyle w:val="Strong"/>
          <w:rFonts w:ascii="Arial Narrow" w:hAnsi="Arial Narrow"/>
          <w:b w:val="0"/>
          <w:bCs w:val="0"/>
        </w:rPr>
        <w:t>This link creates shared economies, mutual protection and corresponding logistical structures</w:t>
      </w:r>
      <w:r w:rsidRPr="002363A6">
        <w:rPr>
          <w:rFonts w:ascii="Arial Narrow" w:hAnsi="Arial Narrow"/>
        </w:rPr>
        <w:t xml:space="preserve"> (News Desk, 2024). Extremist subjects often use trafficking routes to move people, firearms or funds while masking these activities within wider criminal activities. For counter terrorism policing, this turns drug trafficking into a source of intelligence. Unusual trafficking patterns or newly formed supply networks may indicate more than just economic changes. They can signal movement or planning linked to terrorism. When law enforcement reads drug trafficking through this lens, it enhances the predictive value of routine enforcement that can disrupt terrorist activities. </w:t>
      </w:r>
    </w:p>
    <w:p w14:paraId="36648785" w14:textId="77777777" w:rsidR="00EE3B91" w:rsidRPr="002363A6" w:rsidRDefault="00EE3B91" w:rsidP="00EE3B91">
      <w:pPr>
        <w:pStyle w:val="NormalWeb"/>
        <w:jc w:val="both"/>
        <w:rPr>
          <w:rFonts w:ascii="Arial Narrow" w:hAnsi="Arial Narrow"/>
        </w:rPr>
      </w:pPr>
    </w:p>
    <w:p w14:paraId="49AFC345"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The connection between organised crime and terrorism becomes harder to detect when it takes root in areas with minimal government control. </w:t>
      </w:r>
      <w:r w:rsidRPr="002363A6">
        <w:rPr>
          <w:rStyle w:val="Strong"/>
          <w:rFonts w:ascii="Arial Narrow" w:hAnsi="Arial Narrow"/>
          <w:b w:val="0"/>
          <w:bCs w:val="0"/>
        </w:rPr>
        <w:t>This connection thrives in regions marked by institutional void, where formal oversight is absent and illicit power structures expand</w:t>
      </w:r>
      <w:r w:rsidRPr="002363A6">
        <w:rPr>
          <w:rFonts w:ascii="Arial Narrow" w:hAnsi="Arial Narrow"/>
        </w:rPr>
        <w:t xml:space="preserve"> (UNICRI, 2020). Criminal and extremist subjects create structures that replicate governance, offering services and protection that replace the failing institutions. For counter terrorism policing, this shifts attention to environments where government fragility enables extremist expansion. It is not only ideological hotspots that require monitoring but areas where the loss of authority creates concealed threat. Policing can treat institutional breakdown as a warning sign for terrorism, not just a political concern.</w:t>
      </w:r>
    </w:p>
    <w:p w14:paraId="76E3129E" w14:textId="77777777" w:rsidR="00EE3B91" w:rsidRPr="002363A6" w:rsidRDefault="00EE3B91" w:rsidP="00EE3B91">
      <w:pPr>
        <w:pStyle w:val="NormalWeb"/>
        <w:jc w:val="both"/>
        <w:rPr>
          <w:rFonts w:ascii="Arial Narrow" w:hAnsi="Arial Narrow"/>
        </w:rPr>
      </w:pPr>
    </w:p>
    <w:p w14:paraId="004E2E77"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Terrorist organisations are rarely independent from the structures around them. </w:t>
      </w:r>
      <w:r w:rsidRPr="002363A6">
        <w:rPr>
          <w:rStyle w:val="Strong"/>
          <w:rFonts w:ascii="Arial Narrow" w:hAnsi="Arial Narrow"/>
          <w:b w:val="0"/>
          <w:bCs w:val="0"/>
        </w:rPr>
        <w:t>They rely on criminal systems to move weapons, people and resources</w:t>
      </w:r>
      <w:r w:rsidRPr="002363A6">
        <w:rPr>
          <w:rFonts w:ascii="Arial Narrow" w:hAnsi="Arial Narrow"/>
        </w:rPr>
        <w:t xml:space="preserve"> (</w:t>
      </w:r>
      <w:r w:rsidRPr="002363A6">
        <w:rPr>
          <w:rFonts w:ascii="Arial Narrow" w:hAnsi="Arial Narrow" w:cs="Arial"/>
        </w:rPr>
        <w:t>McCraw, 2003a</w:t>
      </w:r>
      <w:r w:rsidRPr="002363A6">
        <w:rPr>
          <w:rFonts w:ascii="Arial Narrow" w:hAnsi="Arial Narrow"/>
        </w:rPr>
        <w:t>). These actions form a routine that sustains extremist capability. For policing, repeated crimes such as extortion, forgery and trafficking in specific regions can be recognised as more than disorder. They are signs of dependency. Where radicalisation is also present, that convergence becomes evident. Rather than focusing on belief, counter terrorism police can identify threat where criminal behaviour exists in proximity to extremism. This is a signal of structure, not coincidence.</w:t>
      </w:r>
    </w:p>
    <w:p w14:paraId="52593078" w14:textId="77777777" w:rsidR="00EE3B91" w:rsidRPr="002363A6" w:rsidRDefault="00EE3B91" w:rsidP="00EE3B91">
      <w:pPr>
        <w:pStyle w:val="NormalWeb"/>
        <w:jc w:val="both"/>
        <w:rPr>
          <w:rFonts w:ascii="Arial Narrow" w:hAnsi="Arial Narrow"/>
        </w:rPr>
      </w:pPr>
    </w:p>
    <w:p w14:paraId="42A55000"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By using bribery, commercial fronts and quiet intimidation to gain power, terrorist groups are able to infiltrate within local economies and political systems. </w:t>
      </w:r>
      <w:r w:rsidRPr="002363A6">
        <w:rPr>
          <w:rStyle w:val="Strong"/>
          <w:rFonts w:ascii="Arial Narrow" w:hAnsi="Arial Narrow"/>
          <w:b w:val="0"/>
          <w:bCs w:val="0"/>
        </w:rPr>
        <w:t>Control does not always announce itself. It appears through silence, hindered investigations or public contracts presented repeatedly to the same people</w:t>
      </w:r>
      <w:r w:rsidRPr="002363A6">
        <w:rPr>
          <w:rFonts w:ascii="Arial Narrow" w:hAnsi="Arial Narrow"/>
        </w:rPr>
        <w:t xml:space="preserve"> (</w:t>
      </w:r>
      <w:r w:rsidRPr="002363A6">
        <w:rPr>
          <w:rFonts w:ascii="Arial Narrow" w:hAnsi="Arial Narrow" w:cs="Arial"/>
        </w:rPr>
        <w:t>National Security Council, n.d.</w:t>
      </w:r>
      <w:r w:rsidRPr="002363A6">
        <w:rPr>
          <w:rFonts w:ascii="Arial Narrow" w:hAnsi="Arial Narrow"/>
        </w:rPr>
        <w:t xml:space="preserve">). For counter terrorism policing, quiet dominance, often reflected in delayed investigations and postponed enquiries, is an early clue. Power held through routine can be harder to detect than violence. Intelligence analysis must include these indirect signs. Threat is not always explosive. Sometimes it is administrative, commercial, systematic and might appear natural. </w:t>
      </w:r>
    </w:p>
    <w:p w14:paraId="5AFAE125" w14:textId="77777777" w:rsidR="00EE3B91" w:rsidRPr="002363A6" w:rsidRDefault="00EE3B91" w:rsidP="00EE3B91">
      <w:pPr>
        <w:pStyle w:val="NormalWeb"/>
        <w:jc w:val="both"/>
        <w:rPr>
          <w:rFonts w:ascii="Arial Narrow" w:hAnsi="Arial Narrow"/>
        </w:rPr>
      </w:pPr>
    </w:p>
    <w:p w14:paraId="659C3DC7"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Financial support from criminality is not the only factor that terrorist organizations depend on. Criminal networks provide access to routes, materials and safe passage that allow extremist operations to function without attracting attention (McCraw 2003b). The transportation of weapons, recruitment of followers and circulation of illicit materials all depend on infrastructure that blends into ordinary trade. For counter terrorism policing this moves the focus toward logistics. Locations that facilitate movement such as warehouses, shipping ports and commercial supply chains may hold greater intelligence </w:t>
      </w:r>
      <w:r w:rsidRPr="002363A6">
        <w:rPr>
          <w:rFonts w:ascii="Arial Narrow" w:hAnsi="Arial Narrow"/>
        </w:rPr>
        <w:lastRenderedPageBreak/>
        <w:t>value than ideological spaces. Detecting suspicious patterns within these operations helps identify extremist behaviour even in the absence of direct evidence. What appears to be routine may carry strategic function. These criminal activities do not exist in isolation. Together they form a concealed operational map that provides cover, movement and structure to extremist threats.</w:t>
      </w:r>
    </w:p>
    <w:p w14:paraId="35FAE65E" w14:textId="77777777" w:rsidR="00EE3B91" w:rsidRPr="002363A6" w:rsidRDefault="00EE3B91" w:rsidP="00EE3B91">
      <w:pPr>
        <w:pStyle w:val="NormalWeb"/>
        <w:jc w:val="both"/>
        <w:rPr>
          <w:rFonts w:ascii="Arial Narrow" w:hAnsi="Arial Narrow"/>
        </w:rPr>
      </w:pPr>
      <w:r w:rsidRPr="002363A6">
        <w:rPr>
          <w:rFonts w:ascii="Arial Narrow" w:hAnsi="Arial Narrow"/>
        </w:rPr>
        <w:br/>
      </w:r>
      <w:r w:rsidRPr="002363A6">
        <w:rPr>
          <w:rFonts w:ascii="Arial Narrow" w:hAnsi="Arial Narrow"/>
        </w:rPr>
        <w:br/>
        <w:t>Targeting terrorism involves more than tactical arrest or surveillance. Criminal networks support a range of activities from money laundering and human trafficking to resource exploitation, all of which can serve extremist purpose (United Nations 2024). These actions build phantom systems that provide cover and continuity. For counter terrorism policing the challenge lies in connecting activities that are often treated separately. An investigation into financial crime may uncover structures that also facilitate radicalisation. Human trafficking routes may double as transport corridors for extremist activities. Each form of illicit activity can become a mechanism of survival for terrorist groups and when seen together they offer a more complete picture of operational threat.</w:t>
      </w:r>
    </w:p>
    <w:p w14:paraId="75646D47" w14:textId="77777777" w:rsidR="00EE3B91" w:rsidRPr="002363A6" w:rsidRDefault="00EE3B91" w:rsidP="00EE3B91">
      <w:pPr>
        <w:pStyle w:val="NormalWeb"/>
        <w:jc w:val="both"/>
        <w:rPr>
          <w:rFonts w:ascii="Arial Narrow" w:hAnsi="Arial Narrow"/>
        </w:rPr>
      </w:pPr>
    </w:p>
    <w:p w14:paraId="28C1216C"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Criminal networks construct alternative systems that regulate illicit economies and offer protection and control. </w:t>
      </w:r>
      <w:r w:rsidRPr="002363A6">
        <w:rPr>
          <w:rStyle w:val="Strong"/>
          <w:rFonts w:ascii="Arial Narrow" w:hAnsi="Arial Narrow"/>
          <w:b w:val="0"/>
          <w:bCs w:val="0"/>
        </w:rPr>
        <w:t>These systems often function more reliably than weak governments, which makes them attractive to extremists</w:t>
      </w:r>
      <w:r w:rsidRPr="002363A6">
        <w:rPr>
          <w:rFonts w:ascii="Arial Narrow" w:hAnsi="Arial Narrow"/>
        </w:rPr>
        <w:t xml:space="preserve"> (</w:t>
      </w:r>
      <w:r w:rsidRPr="002363A6">
        <w:rPr>
          <w:rFonts w:ascii="Arial Narrow" w:hAnsi="Arial Narrow" w:cs="Arial"/>
        </w:rPr>
        <w:t>O’Brien, 2024</w:t>
      </w:r>
      <w:r w:rsidRPr="002363A6">
        <w:rPr>
          <w:rFonts w:ascii="Arial Narrow" w:hAnsi="Arial Narrow"/>
        </w:rPr>
        <w:t xml:space="preserve">). They do not just use these environments, but they become part of them. For counter terrorism policing, this changes the picture. Informal taxation, community enforcement or phantom governance are not simply criminal signs. They show the presence of functional power that supports extremism through continuity rather than through chaos. </w:t>
      </w:r>
    </w:p>
    <w:p w14:paraId="142C03FA" w14:textId="77777777" w:rsidR="00EE3B91" w:rsidRPr="002363A6" w:rsidRDefault="00EE3B91" w:rsidP="00EE3B91">
      <w:pPr>
        <w:pStyle w:val="NormalWeb"/>
        <w:jc w:val="both"/>
        <w:rPr>
          <w:rFonts w:ascii="Arial Narrow" w:hAnsi="Arial Narrow"/>
        </w:rPr>
      </w:pPr>
    </w:p>
    <w:p w14:paraId="77A15C31" w14:textId="77777777" w:rsidR="00EE3B91" w:rsidRPr="002363A6" w:rsidRDefault="00EE3B91" w:rsidP="00EE3B91">
      <w:pPr>
        <w:pStyle w:val="NormalWeb"/>
        <w:jc w:val="both"/>
        <w:rPr>
          <w:rFonts w:ascii="Arial Narrow" w:hAnsi="Arial Narrow"/>
        </w:rPr>
      </w:pPr>
      <w:r w:rsidRPr="002363A6">
        <w:rPr>
          <w:rFonts w:ascii="Arial Narrow" w:hAnsi="Arial Narrow"/>
        </w:rPr>
        <w:t>During Operation Crevice, one of the UK’s most critical counter terrorism investigations, police uncovered a plot involving the acquisition of 600 kilograms of ammonium nitrate stored in a commercial unit in West London. The material was not trafficked or hidden through elaborate means but purchased through legitimate sources with the support of criminal agents, allowing it to blend into legal supply chains. The group used low level benefit fraud and forged identities to secure resources, fund travel and maintain communications. These methods were simple and repetitive, relying on hired vehicles, ordinary equipment and routine logistics that did not attract attention individually. The investigation also revealed that the men involved maintained links to extremists in Pakistan and Al-Qaeda, where training and ideological reinforcement occurred. The activity’s success depended on their ability to manipulate everyday systems without triggering early suspicion, using legal businesses, forged identities by abusing the system and low-level financial crime as part of a wider structure of planning and concealment (</w:t>
      </w:r>
      <w:r w:rsidRPr="002363A6">
        <w:rPr>
          <w:rFonts w:ascii="Arial Narrow" w:hAnsi="Arial Narrow" w:cs="Arial"/>
        </w:rPr>
        <w:t>Herrington, 2015</w:t>
      </w:r>
      <w:r w:rsidRPr="002363A6">
        <w:rPr>
          <w:rFonts w:ascii="Arial Narrow" w:hAnsi="Arial Narrow"/>
        </w:rPr>
        <w:t xml:space="preserve">). </w:t>
      </w:r>
    </w:p>
    <w:p w14:paraId="045AC3DB" w14:textId="77777777" w:rsidR="00EE3B91" w:rsidRPr="002363A6" w:rsidRDefault="00EE3B91" w:rsidP="00EE3B91">
      <w:pPr>
        <w:pStyle w:val="NormalWeb"/>
        <w:jc w:val="both"/>
        <w:rPr>
          <w:rFonts w:ascii="Arial Narrow" w:hAnsi="Arial Narrow"/>
        </w:rPr>
      </w:pPr>
    </w:p>
    <w:p w14:paraId="29186C5F" w14:textId="77777777" w:rsidR="00EE3B91" w:rsidRPr="002363A6" w:rsidRDefault="00EE3B91" w:rsidP="00EE3B91">
      <w:pPr>
        <w:pStyle w:val="NormalWeb"/>
        <w:jc w:val="both"/>
        <w:rPr>
          <w:rFonts w:ascii="Arial Narrow" w:hAnsi="Arial Narrow"/>
        </w:rPr>
      </w:pPr>
      <w:r w:rsidRPr="002363A6">
        <w:rPr>
          <w:rFonts w:ascii="Arial Narrow" w:hAnsi="Arial Narrow"/>
        </w:rPr>
        <w:t>This case has established how terrorist capability can be built not through dramatic violence but through persistent, familiar offences that slip through the cracks of routine policing. For counter terrorism, the implications are significant. The ammonium nitrate was legally sourced, but its purpose was entirely hidden by how ordinary the transactions appeared. The fraud that funded their operation was not high-value, yet it allowed them to operate without drawing attention. The rented vehicles and storage units, when seen in isolation, were unremarkable, but as a pattern, they revealed operational intent. The connections to Pakistan and Al-Qaeda show that extremist coordination is not always based on clear organisational ties but can emerge through informal, familiar networks that move across borders unnoticed. In policing terms, this means that visibility does not lie in belief or ideology. It lies in the behaviour that repeats itself quietly and efficiently within legal structures. Operation Crevice exposed the necessity of reading preparation as structure. Counter terrorism was taught a lesson: to detect the rhythm of activity that makes threat operational, even when every part of it appears ordinary. Criminal infrastructure is not adjacent to terrorism: it is part of it.</w:t>
      </w:r>
    </w:p>
    <w:p w14:paraId="29023AC0" w14:textId="77777777" w:rsidR="00EE3B91" w:rsidRPr="002363A6" w:rsidRDefault="00EE3B91" w:rsidP="00EE3B91">
      <w:pPr>
        <w:pStyle w:val="NormalWeb"/>
        <w:jc w:val="both"/>
        <w:rPr>
          <w:rFonts w:ascii="Arial Narrow" w:hAnsi="Arial Narrow"/>
        </w:rPr>
      </w:pPr>
    </w:p>
    <w:p w14:paraId="5594A11B" w14:textId="77777777" w:rsidR="00EE3B91" w:rsidRPr="002363A6" w:rsidRDefault="00EE3B91" w:rsidP="00EE3B91">
      <w:pPr>
        <w:pStyle w:val="NormalWeb"/>
        <w:jc w:val="both"/>
        <w:rPr>
          <w:rFonts w:ascii="Arial Narrow" w:hAnsi="Arial Narrow"/>
        </w:rPr>
      </w:pPr>
      <w:r w:rsidRPr="002363A6">
        <w:rPr>
          <w:rFonts w:ascii="Arial Narrow" w:hAnsi="Arial Narrow"/>
        </w:rPr>
        <w:t xml:space="preserve">Terrorist organisations do not engage in criminality out of convenience. They do so because these networks provide the protection, access and continuity that ideological belief alone cannot guarantee. Understanding this is not a matter of political analysis. It is a policing necessity. Counter terrorism cannot succeed by chasing individuals in isolation. It must </w:t>
      </w:r>
      <w:r w:rsidRPr="002363A6">
        <w:rPr>
          <w:rFonts w:ascii="Arial Narrow" w:hAnsi="Arial Narrow"/>
        </w:rPr>
        <w:lastRenderedPageBreak/>
        <w:t xml:space="preserve">map the structures that sustain them, treating criminal activities as strategic warning signs. The threat is not only in what terrorists believe. It is in what they build, who enables them, and how they survive beneath visibility. Every forged document, trafficked item and illicit transaction contributes to the architecture of terrorism. When these acts are treated as minor offences, their true function remains hidden. But when interpreted as mechanisms of movement, planning and concealment, they reveal the deeper shape of threat. Counter terrorism does not require a new system: it requires a different lens. Organised crime offers terrorists more than resources. It offers proof that terrorists can operate outside the reach of lawful authorities and succeed. When criminal networks function more efficiently than government systems, they become more than criminal: they become possible. This is what draws extremist groups. It is not only money or logistics. It is the demonstration that power can be built without permission. When policing sees criminality not just as crime, but as capability, it begins to anticipate threats through structure. The relationship between terrorism and organised crime does not dilute ideology: it makes it operational. </w:t>
      </w:r>
    </w:p>
    <w:p w14:paraId="41F55BFB" w14:textId="77777777" w:rsidR="00EE3B91" w:rsidRPr="002363A6" w:rsidRDefault="00EE3B91" w:rsidP="00EE3B91">
      <w:pPr>
        <w:pStyle w:val="NormalWeb"/>
        <w:jc w:val="both"/>
        <w:rPr>
          <w:rFonts w:ascii="Arial Narrow" w:hAnsi="Arial Narrow"/>
        </w:rPr>
      </w:pPr>
    </w:p>
    <w:p w14:paraId="7CD6777C" w14:textId="77777777" w:rsidR="00EE3B91" w:rsidRPr="002363A6" w:rsidRDefault="00EE3B91" w:rsidP="00EE3B91">
      <w:pPr>
        <w:pStyle w:val="NormalWeb"/>
        <w:jc w:val="both"/>
        <w:rPr>
          <w:rFonts w:ascii="Arial Narrow" w:hAnsi="Arial Narrow"/>
        </w:rPr>
      </w:pPr>
      <w:r w:rsidRPr="002363A6">
        <w:rPr>
          <w:rFonts w:ascii="Arial Narrow" w:hAnsi="Arial Narrow"/>
        </w:rPr>
        <w:t>[word count: 2037]</w:t>
      </w:r>
    </w:p>
    <w:p w14:paraId="4AB2BEF1" w14:textId="77777777" w:rsidR="00EE3B91" w:rsidRPr="002363A6" w:rsidRDefault="00EE3B91" w:rsidP="00EE3B91">
      <w:pPr>
        <w:pStyle w:val="NormalWeb"/>
        <w:jc w:val="both"/>
        <w:rPr>
          <w:rFonts w:ascii="Arial Narrow" w:hAnsi="Arial Narrow"/>
        </w:rPr>
      </w:pPr>
    </w:p>
    <w:p w14:paraId="7EAB11D6" w14:textId="77777777" w:rsidR="002363A6" w:rsidRPr="002363A6" w:rsidRDefault="00EE3B91" w:rsidP="002363A6">
      <w:pPr>
        <w:pStyle w:val="NormalWeb"/>
        <w:jc w:val="both"/>
        <w:rPr>
          <w:rFonts w:ascii="Arial Narrow" w:hAnsi="Arial Narrow"/>
          <w:b/>
          <w:bCs/>
        </w:rPr>
      </w:pPr>
      <w:r w:rsidRPr="002363A6">
        <w:rPr>
          <w:rFonts w:ascii="Arial Narrow" w:hAnsi="Arial Narrow"/>
          <w:b/>
          <w:bCs/>
        </w:rPr>
        <w:t>Reference List:</w:t>
      </w:r>
    </w:p>
    <w:p w14:paraId="17643926" w14:textId="77777777" w:rsidR="002363A6" w:rsidRDefault="002363A6" w:rsidP="002363A6">
      <w:pPr>
        <w:pStyle w:val="NormalWeb"/>
        <w:jc w:val="both"/>
        <w:rPr>
          <w:rFonts w:ascii="Arial Narrow" w:hAnsi="Arial Narrow"/>
        </w:rPr>
      </w:pPr>
    </w:p>
    <w:p w14:paraId="1E2FC262" w14:textId="03D82DDD" w:rsidR="00EE3B91" w:rsidRPr="002363A6" w:rsidRDefault="00EE3B91" w:rsidP="002363A6">
      <w:pPr>
        <w:pStyle w:val="NormalWeb"/>
        <w:jc w:val="both"/>
        <w:rPr>
          <w:rFonts w:ascii="Arial Narrow" w:hAnsi="Arial Narrow" w:cs="Arial"/>
          <w:i/>
          <w:iCs/>
        </w:rPr>
      </w:pPr>
      <w:r w:rsidRPr="002363A6">
        <w:rPr>
          <w:rFonts w:ascii="Arial Narrow" w:hAnsi="Arial Narrow" w:cs="Arial"/>
        </w:rPr>
        <w:t>Europol (2017). </w:t>
      </w:r>
      <w:r w:rsidRPr="002363A6">
        <w:rPr>
          <w:rFonts w:ascii="Arial Narrow" w:eastAsiaTheme="minorHAnsi" w:hAnsi="Arial Narrow" w:cs="Arial"/>
          <w:i/>
          <w:iCs/>
        </w:rPr>
        <w:t>Links between serious and organised crime and terrorism</w:t>
      </w:r>
      <w:r w:rsidRPr="002363A6">
        <w:rPr>
          <w:rFonts w:ascii="Arial Narrow" w:hAnsi="Arial Narrow" w:cs="Arial"/>
          <w:i/>
          <w:iCs/>
        </w:rPr>
        <w:t xml:space="preserve">. </w:t>
      </w:r>
      <w:r w:rsidRPr="002363A6">
        <w:rPr>
          <w:rFonts w:ascii="Arial Narrow" w:hAnsi="Arial Narrow" w:cs="Arial"/>
        </w:rPr>
        <w:t>Europol.</w:t>
      </w:r>
      <w:r w:rsidRPr="002363A6">
        <w:rPr>
          <w:rFonts w:ascii="Arial Narrow" w:hAnsi="Arial Narrow" w:cs="Arial"/>
          <w:i/>
          <w:iCs/>
        </w:rPr>
        <w:t xml:space="preserve"> </w:t>
      </w:r>
      <w:r w:rsidRPr="002363A6">
        <w:rPr>
          <w:rFonts w:ascii="Arial Narrow" w:hAnsi="Arial Narrow" w:cs="Arial"/>
        </w:rPr>
        <w:t xml:space="preserve">Available at: </w:t>
      </w:r>
      <w:hyperlink r:id="rId4" w:history="1">
        <w:r w:rsidRPr="002363A6">
          <w:rPr>
            <w:rStyle w:val="Hyperlink"/>
            <w:rFonts w:ascii="Arial Narrow" w:hAnsi="Arial Narrow" w:cs="Arial"/>
          </w:rPr>
          <w:t>https://www.europol.europa.eu/socta/2017/links-between.html</w:t>
        </w:r>
      </w:hyperlink>
      <w:r w:rsidRPr="002363A6">
        <w:rPr>
          <w:rFonts w:ascii="Arial Narrow" w:hAnsi="Arial Narrow" w:cs="Arial"/>
        </w:rPr>
        <w:t xml:space="preserve"> (Accessed: 23rd May 2025).</w:t>
      </w:r>
    </w:p>
    <w:p w14:paraId="2940EE03" w14:textId="77777777" w:rsidR="00EE3B91" w:rsidRPr="002363A6" w:rsidRDefault="00EE3B91" w:rsidP="00EE3B91">
      <w:pPr>
        <w:spacing w:line="259" w:lineRule="auto"/>
        <w:rPr>
          <w:rFonts w:ascii="Arial Narrow" w:hAnsi="Arial Narrow" w:cs="Arial"/>
        </w:rPr>
      </w:pPr>
    </w:p>
    <w:p w14:paraId="3AF7BCB6"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Home Office (2024). </w:t>
      </w:r>
      <w:r w:rsidRPr="002363A6">
        <w:rPr>
          <w:rFonts w:ascii="Arial Narrow" w:hAnsi="Arial Narrow" w:cs="Arial"/>
          <w:i/>
          <w:iCs/>
        </w:rPr>
        <w:t>Counter-terrorism disruptive powers report 2023 (accessible)</w:t>
      </w:r>
      <w:r w:rsidRPr="002363A6">
        <w:rPr>
          <w:rFonts w:ascii="Arial Narrow" w:hAnsi="Arial Narrow" w:cs="Arial"/>
        </w:rPr>
        <w:t xml:space="preserve">. Home Office. Available at: </w:t>
      </w:r>
      <w:hyperlink r:id="rId5" w:history="1">
        <w:r w:rsidRPr="002363A6">
          <w:rPr>
            <w:rStyle w:val="Hyperlink"/>
            <w:rFonts w:ascii="Arial Narrow" w:hAnsi="Arial Narrow" w:cs="Arial"/>
          </w:rPr>
          <w:t>https://www.gov.uk/government/publications/counter-terrorism-disruptive-powers-report-2023/counter-terrorism-disruptive-powers-report-2023-accessible</w:t>
        </w:r>
      </w:hyperlink>
      <w:r w:rsidRPr="002363A6">
        <w:rPr>
          <w:rFonts w:ascii="Arial Narrow" w:hAnsi="Arial Narrow" w:cs="Arial"/>
        </w:rPr>
        <w:t xml:space="preserve"> (Accessed: 23rd May 2025).</w:t>
      </w:r>
    </w:p>
    <w:p w14:paraId="4D0F60DE" w14:textId="77777777" w:rsidR="00EE3B91" w:rsidRPr="002363A6" w:rsidRDefault="00EE3B91" w:rsidP="00EE3B91">
      <w:pPr>
        <w:spacing w:line="259" w:lineRule="auto"/>
        <w:rPr>
          <w:rFonts w:ascii="Arial Narrow" w:hAnsi="Arial Narrow"/>
        </w:rPr>
      </w:pPr>
      <w:r w:rsidRPr="002363A6">
        <w:rPr>
          <w:rFonts w:ascii="Arial" w:hAnsi="Arial" w:cs="Arial"/>
        </w:rPr>
        <w:t>‌</w:t>
      </w:r>
    </w:p>
    <w:p w14:paraId="6203FAD0" w14:textId="77777777" w:rsidR="00EE3B91" w:rsidRPr="002363A6" w:rsidRDefault="00EE3B91" w:rsidP="00EE3B91">
      <w:pPr>
        <w:spacing w:line="259" w:lineRule="auto"/>
        <w:rPr>
          <w:rFonts w:ascii="Arial Narrow" w:hAnsi="Arial Narrow"/>
        </w:rPr>
      </w:pPr>
      <w:r w:rsidRPr="002363A6">
        <w:rPr>
          <w:rFonts w:ascii="Arial Narrow" w:hAnsi="Arial Narrow"/>
        </w:rPr>
        <w:t>UNODC (2019). </w:t>
      </w:r>
      <w:r w:rsidRPr="002363A6">
        <w:rPr>
          <w:rFonts w:ascii="Arial Narrow" w:hAnsi="Arial Narrow"/>
          <w:i/>
          <w:iCs/>
        </w:rPr>
        <w:t xml:space="preserve"> Theoretical frameworks on the linkages between organized crime and terrorism</w:t>
      </w:r>
      <w:r w:rsidRPr="002363A6">
        <w:rPr>
          <w:rFonts w:ascii="Arial Narrow" w:hAnsi="Arial Narrow"/>
        </w:rPr>
        <w:t xml:space="preserve">. United Nations Office On Drugs And Crime . Available at: </w:t>
      </w:r>
      <w:hyperlink r:id="rId6" w:history="1">
        <w:r w:rsidRPr="002363A6">
          <w:rPr>
            <w:rStyle w:val="Hyperlink"/>
            <w:rFonts w:ascii="Arial Narrow" w:hAnsi="Arial Narrow"/>
          </w:rPr>
          <w:t>https://www.unodc.org/e4j/en/organized-crime/module-16/key-issues/theoretical-frameworks-on-the-linkages-between-organized-crime-and-terrorism.html</w:t>
        </w:r>
      </w:hyperlink>
      <w:r w:rsidRPr="002363A6">
        <w:rPr>
          <w:rFonts w:ascii="Arial Narrow" w:hAnsi="Arial Narrow"/>
        </w:rPr>
        <w:t xml:space="preserve"> </w:t>
      </w:r>
      <w:r w:rsidRPr="002363A6">
        <w:rPr>
          <w:rFonts w:ascii="Arial Narrow" w:hAnsi="Arial Narrow" w:cs="Arial"/>
        </w:rPr>
        <w:t>(Accessed: 23rd May 2025).</w:t>
      </w:r>
    </w:p>
    <w:p w14:paraId="4DB9F96B" w14:textId="77777777" w:rsidR="00EE3B91" w:rsidRPr="002363A6" w:rsidRDefault="00EE3B91" w:rsidP="00EE3B91">
      <w:pPr>
        <w:spacing w:line="259" w:lineRule="auto"/>
        <w:rPr>
          <w:rFonts w:ascii="Arial Narrow" w:hAnsi="Arial Narrow"/>
        </w:rPr>
      </w:pPr>
      <w:r w:rsidRPr="002363A6">
        <w:rPr>
          <w:rFonts w:ascii="Arial" w:hAnsi="Arial" w:cs="Arial"/>
        </w:rPr>
        <w:t>‌</w:t>
      </w:r>
    </w:p>
    <w:p w14:paraId="72A26160" w14:textId="77777777" w:rsidR="00EE3B91" w:rsidRPr="002363A6" w:rsidRDefault="00EE3B91" w:rsidP="00EE3B91">
      <w:pPr>
        <w:rPr>
          <w:rFonts w:ascii="Arial Narrow" w:hAnsi="Arial Narrow" w:cs="Arial"/>
        </w:rPr>
      </w:pPr>
      <w:r w:rsidRPr="002363A6">
        <w:rPr>
          <w:rFonts w:ascii="Arial Narrow" w:hAnsi="Arial Narrow"/>
        </w:rPr>
        <w:t>United Nations (2019).</w:t>
      </w:r>
      <w:r w:rsidRPr="002363A6">
        <w:rPr>
          <w:rFonts w:ascii="Arial Narrow" w:hAnsi="Arial Narrow"/>
          <w:i/>
          <w:iCs/>
        </w:rPr>
        <w:t xml:space="preserve"> Organized Crime</w:t>
      </w:r>
      <w:r w:rsidRPr="002363A6">
        <w:rPr>
          <w:rFonts w:ascii="Arial Narrow" w:hAnsi="Arial Narrow"/>
        </w:rPr>
        <w:t xml:space="preserve">. Office On Drugs And Crime. Available at: </w:t>
      </w:r>
      <w:hyperlink r:id="rId7" w:history="1">
        <w:r w:rsidRPr="002363A6">
          <w:rPr>
            <w:rStyle w:val="Hyperlink"/>
            <w:rFonts w:ascii="Arial Narrow" w:hAnsi="Arial Narrow"/>
          </w:rPr>
          <w:t>https://www.unodc.org/unodc/en/organized-crime/intro.html</w:t>
        </w:r>
      </w:hyperlink>
      <w:r w:rsidRPr="002363A6">
        <w:rPr>
          <w:rFonts w:ascii="Arial Narrow" w:hAnsi="Arial Narrow"/>
        </w:rPr>
        <w:t xml:space="preserve"> </w:t>
      </w:r>
      <w:r w:rsidRPr="002363A6">
        <w:rPr>
          <w:rFonts w:ascii="Arial Narrow" w:hAnsi="Arial Narrow" w:cs="Arial"/>
        </w:rPr>
        <w:t>(Accessed: 23rd May 2025).</w:t>
      </w:r>
    </w:p>
    <w:p w14:paraId="5A7E821B" w14:textId="77777777" w:rsidR="00EE3B91" w:rsidRPr="002363A6" w:rsidRDefault="00EE3B91" w:rsidP="00EE3B91">
      <w:pPr>
        <w:rPr>
          <w:rFonts w:ascii="Arial Narrow" w:hAnsi="Arial Narrow" w:cs="Arial"/>
        </w:rPr>
      </w:pPr>
    </w:p>
    <w:p w14:paraId="425224BE" w14:textId="77777777" w:rsidR="00EE3B91" w:rsidRPr="002363A6" w:rsidRDefault="00EE3B91" w:rsidP="00EE3B91">
      <w:pPr>
        <w:rPr>
          <w:rFonts w:ascii="Arial Narrow" w:hAnsi="Arial Narrow" w:cs="Arial"/>
        </w:rPr>
      </w:pPr>
      <w:r w:rsidRPr="002363A6">
        <w:rPr>
          <w:rFonts w:ascii="Arial Narrow" w:hAnsi="Arial Narrow"/>
        </w:rPr>
        <w:t xml:space="preserve">Shaw, M. and Mahadevan, P. (2018). </w:t>
      </w:r>
      <w:r w:rsidRPr="002363A6">
        <w:rPr>
          <w:rFonts w:ascii="Arial Narrow" w:hAnsi="Arial Narrow"/>
          <w:i/>
          <w:iCs/>
        </w:rPr>
        <w:t xml:space="preserve">When terrorism and organized crime meet. </w:t>
      </w:r>
      <w:r w:rsidRPr="002363A6">
        <w:rPr>
          <w:rFonts w:ascii="Arial Narrow" w:hAnsi="Arial Narrow"/>
        </w:rPr>
        <w:t xml:space="preserve">Global Initiative. Available at: </w:t>
      </w:r>
      <w:hyperlink r:id="rId8" w:history="1">
        <w:r w:rsidRPr="002363A6">
          <w:rPr>
            <w:rStyle w:val="Hyperlink"/>
            <w:rFonts w:ascii="Arial Narrow" w:hAnsi="Arial Narrow"/>
          </w:rPr>
          <w:t>https://globalinitiative.net/wp-content/uploads/2018/10/PP6-7_2018-1.pdf</w:t>
        </w:r>
      </w:hyperlink>
      <w:r w:rsidRPr="002363A6">
        <w:rPr>
          <w:rFonts w:ascii="Arial Narrow" w:hAnsi="Arial Narrow"/>
        </w:rPr>
        <w:t xml:space="preserve"> </w:t>
      </w:r>
      <w:r w:rsidRPr="002363A6">
        <w:rPr>
          <w:rFonts w:ascii="Arial Narrow" w:hAnsi="Arial Narrow" w:cs="Arial"/>
        </w:rPr>
        <w:t>(Accessed: 23rd May 2025).</w:t>
      </w:r>
    </w:p>
    <w:p w14:paraId="64586C2E" w14:textId="77777777" w:rsidR="00EE3B91" w:rsidRPr="002363A6" w:rsidRDefault="00EE3B91" w:rsidP="00EE3B91">
      <w:pPr>
        <w:rPr>
          <w:rFonts w:ascii="Arial Narrow" w:hAnsi="Arial Narrow" w:cs="Arial"/>
        </w:rPr>
      </w:pPr>
    </w:p>
    <w:p w14:paraId="2F3B14C7" w14:textId="77777777" w:rsidR="00EE3B91" w:rsidRPr="002363A6" w:rsidRDefault="00EE3B91" w:rsidP="00EE3B91">
      <w:pPr>
        <w:rPr>
          <w:rFonts w:ascii="Arial Narrow" w:hAnsi="Arial Narrow" w:cs="Arial"/>
        </w:rPr>
      </w:pPr>
      <w:r w:rsidRPr="002363A6">
        <w:rPr>
          <w:rFonts w:ascii="Arial Narrow" w:hAnsi="Arial Narrow"/>
        </w:rPr>
        <w:t>News Desk (2024). </w:t>
      </w:r>
      <w:r w:rsidRPr="002363A6">
        <w:rPr>
          <w:rFonts w:ascii="Arial Narrow" w:hAnsi="Arial Narrow"/>
          <w:i/>
          <w:iCs/>
        </w:rPr>
        <w:t>Crime-terror nexus battles drug control</w:t>
      </w:r>
      <w:r w:rsidRPr="002363A6">
        <w:rPr>
          <w:rFonts w:ascii="Arial Narrow" w:hAnsi="Arial Narrow"/>
        </w:rPr>
        <w:t xml:space="preserve">. Flinders University. Available at: </w:t>
      </w:r>
      <w:hyperlink r:id="rId9" w:history="1">
        <w:r w:rsidRPr="002363A6">
          <w:rPr>
            <w:rStyle w:val="Hyperlink"/>
            <w:rFonts w:ascii="Arial Narrow" w:hAnsi="Arial Narrow"/>
          </w:rPr>
          <w:t>https://news.flinders.edu.au/blog/2024/06/27/crime-terror-nexus-battles-drug-control/</w:t>
        </w:r>
      </w:hyperlink>
      <w:r w:rsidRPr="002363A6">
        <w:rPr>
          <w:rFonts w:ascii="Arial Narrow" w:hAnsi="Arial Narrow"/>
        </w:rPr>
        <w:t xml:space="preserve"> (</w:t>
      </w:r>
      <w:r w:rsidRPr="002363A6">
        <w:rPr>
          <w:rFonts w:ascii="Arial Narrow" w:hAnsi="Arial Narrow" w:cs="Arial"/>
        </w:rPr>
        <w:t>Accessed: 23rd May 2025).</w:t>
      </w:r>
    </w:p>
    <w:p w14:paraId="0898D7A2" w14:textId="77777777" w:rsidR="00EE3B91" w:rsidRPr="002363A6" w:rsidRDefault="00EE3B91" w:rsidP="00EE3B91">
      <w:pPr>
        <w:rPr>
          <w:rFonts w:ascii="Arial Narrow" w:hAnsi="Arial Narrow" w:cs="Arial"/>
        </w:rPr>
      </w:pPr>
    </w:p>
    <w:p w14:paraId="6A952450"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UNICRI (2020). </w:t>
      </w:r>
      <w:r w:rsidRPr="002363A6">
        <w:rPr>
          <w:rFonts w:ascii="Arial Narrow" w:hAnsi="Arial Narrow" w:cs="Arial"/>
          <w:i/>
          <w:iCs/>
        </w:rPr>
        <w:t xml:space="preserve">The Nexus between organized crime and terrorism - A week dedicated to capacity building and advocacy. </w:t>
      </w:r>
      <w:r w:rsidRPr="002363A6">
        <w:rPr>
          <w:rFonts w:ascii="Arial Narrow" w:hAnsi="Arial Narrow" w:cs="Arial"/>
        </w:rPr>
        <w:t xml:space="preserve">United Nations Interregional Crime and Justice Research Institute. Available at: </w:t>
      </w:r>
      <w:hyperlink r:id="rId10" w:history="1">
        <w:r w:rsidRPr="002363A6">
          <w:rPr>
            <w:rStyle w:val="Hyperlink"/>
            <w:rFonts w:ascii="Arial Narrow" w:hAnsi="Arial Narrow" w:cs="Arial"/>
          </w:rPr>
          <w:t>https://unicri.org/index.php/news/Nexus-organizedcrime-terrorism</w:t>
        </w:r>
      </w:hyperlink>
      <w:r w:rsidRPr="002363A6">
        <w:rPr>
          <w:rFonts w:ascii="Arial Narrow" w:hAnsi="Arial Narrow" w:cs="Arial"/>
        </w:rPr>
        <w:t xml:space="preserve"> (Accessed 23 May 2025).</w:t>
      </w:r>
    </w:p>
    <w:p w14:paraId="769EEF52" w14:textId="77777777" w:rsidR="00EE3B91" w:rsidRPr="002363A6" w:rsidRDefault="00EE3B91" w:rsidP="00EE3B91">
      <w:pPr>
        <w:spacing w:line="259" w:lineRule="auto"/>
        <w:rPr>
          <w:rFonts w:ascii="Arial Narrow" w:hAnsi="Arial Narrow" w:cs="Arial"/>
        </w:rPr>
      </w:pPr>
      <w:r w:rsidRPr="002363A6">
        <w:rPr>
          <w:rFonts w:ascii="Arial" w:hAnsi="Arial" w:cs="Arial"/>
        </w:rPr>
        <w:lastRenderedPageBreak/>
        <w:t>‌</w:t>
      </w:r>
    </w:p>
    <w:p w14:paraId="4A5009F6"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McCraw, S. (2003a). </w:t>
      </w:r>
      <w:r w:rsidRPr="002363A6">
        <w:rPr>
          <w:rFonts w:ascii="Arial Narrow" w:hAnsi="Arial Narrow" w:cs="Arial"/>
          <w:i/>
          <w:iCs/>
        </w:rPr>
        <w:t>International Drug Trafficking and Terrorism</w:t>
      </w:r>
      <w:r w:rsidRPr="002363A6">
        <w:rPr>
          <w:rFonts w:ascii="Arial Narrow" w:hAnsi="Arial Narrow" w:cs="Arial"/>
        </w:rPr>
        <w:t xml:space="preserve">. FBI. Available at: </w:t>
      </w:r>
      <w:hyperlink r:id="rId11" w:history="1">
        <w:r w:rsidRPr="002363A6">
          <w:rPr>
            <w:rStyle w:val="Hyperlink"/>
            <w:rFonts w:ascii="Arial Narrow" w:hAnsi="Arial Narrow" w:cs="Arial"/>
          </w:rPr>
          <w:t>https://archives.fbi.gov/archives/news/testimony/international-drug-trafficking-and-terrorism</w:t>
        </w:r>
      </w:hyperlink>
      <w:r w:rsidRPr="002363A6">
        <w:rPr>
          <w:rFonts w:ascii="Arial Narrow" w:hAnsi="Arial Narrow" w:cs="Arial"/>
        </w:rPr>
        <w:t xml:space="preserve"> (Accessed 23 May 2025).</w:t>
      </w:r>
    </w:p>
    <w:p w14:paraId="7B9AEEDE" w14:textId="77777777" w:rsidR="00EE3B91" w:rsidRPr="002363A6" w:rsidRDefault="00EE3B91" w:rsidP="00EE3B91">
      <w:pPr>
        <w:spacing w:line="259" w:lineRule="auto"/>
        <w:rPr>
          <w:rFonts w:ascii="Arial Narrow" w:hAnsi="Arial Narrow" w:cs="Arial"/>
        </w:rPr>
      </w:pPr>
      <w:r w:rsidRPr="002363A6">
        <w:rPr>
          <w:rFonts w:ascii="Arial" w:hAnsi="Arial" w:cs="Arial"/>
        </w:rPr>
        <w:t>‌</w:t>
      </w:r>
    </w:p>
    <w:p w14:paraId="01CAA5F3"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National Security Council (n.d.). </w:t>
      </w:r>
      <w:r w:rsidRPr="002363A6">
        <w:rPr>
          <w:rFonts w:ascii="Arial Narrow" w:hAnsi="Arial Narrow" w:cs="Arial"/>
          <w:i/>
          <w:iCs/>
        </w:rPr>
        <w:t>Transnational organized crime: A growing threat to national and international security</w:t>
      </w:r>
      <w:r w:rsidRPr="002363A6">
        <w:rPr>
          <w:rFonts w:ascii="Arial Narrow" w:hAnsi="Arial Narrow" w:cs="Arial"/>
        </w:rPr>
        <w:t xml:space="preserve">. The White House. Available at: </w:t>
      </w:r>
      <w:hyperlink r:id="rId12" w:history="1">
        <w:r w:rsidRPr="002363A6">
          <w:rPr>
            <w:rStyle w:val="Hyperlink"/>
            <w:rFonts w:ascii="Arial Narrow" w:hAnsi="Arial Narrow" w:cs="Arial"/>
          </w:rPr>
          <w:t>https://obamawhitehouse.archives.gov/administration/eop/nsc/transnational-crime/threat</w:t>
        </w:r>
      </w:hyperlink>
      <w:r w:rsidRPr="002363A6">
        <w:rPr>
          <w:rFonts w:ascii="Arial Narrow" w:hAnsi="Arial Narrow" w:cs="Arial"/>
        </w:rPr>
        <w:t xml:space="preserve"> (Accessed 23 May 2025).</w:t>
      </w:r>
    </w:p>
    <w:p w14:paraId="564D12F3" w14:textId="77777777" w:rsidR="00EE3B91" w:rsidRPr="002363A6" w:rsidRDefault="00EE3B91" w:rsidP="00EE3B91">
      <w:pPr>
        <w:rPr>
          <w:rFonts w:ascii="Arial Narrow" w:hAnsi="Arial Narrow" w:cs="Arial"/>
        </w:rPr>
      </w:pPr>
      <w:r w:rsidRPr="002363A6">
        <w:rPr>
          <w:rFonts w:ascii="Arial" w:hAnsi="Arial" w:cs="Arial"/>
        </w:rPr>
        <w:t>‌</w:t>
      </w:r>
    </w:p>
    <w:p w14:paraId="65DCCC8B"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McCraw, S. (2003b). </w:t>
      </w:r>
      <w:r w:rsidRPr="002363A6">
        <w:rPr>
          <w:rFonts w:ascii="Arial Narrow" w:hAnsi="Arial Narrow" w:cs="Arial"/>
          <w:i/>
          <w:iCs/>
        </w:rPr>
        <w:t>International Drug Trafficking and Terrorism</w:t>
      </w:r>
      <w:r w:rsidRPr="002363A6">
        <w:rPr>
          <w:rFonts w:ascii="Arial Narrow" w:hAnsi="Arial Narrow" w:cs="Arial"/>
        </w:rPr>
        <w:t xml:space="preserve">. FBI. Available at: </w:t>
      </w:r>
      <w:hyperlink r:id="rId13" w:history="1">
        <w:r w:rsidRPr="002363A6">
          <w:rPr>
            <w:rStyle w:val="Hyperlink"/>
            <w:rFonts w:ascii="Arial Narrow" w:hAnsi="Arial Narrow" w:cs="Arial"/>
          </w:rPr>
          <w:t>https://archives.fbi.gov/archives/news/testimony/international-drug-trafficking-and-terrorism</w:t>
        </w:r>
      </w:hyperlink>
      <w:r w:rsidRPr="002363A6">
        <w:rPr>
          <w:rFonts w:ascii="Arial Narrow" w:hAnsi="Arial Narrow" w:cs="Arial"/>
        </w:rPr>
        <w:t xml:space="preserve"> (Accessed 23 May 2025).</w:t>
      </w:r>
    </w:p>
    <w:p w14:paraId="629FE04A" w14:textId="77777777" w:rsidR="00EE3B91" w:rsidRPr="002363A6" w:rsidRDefault="00EE3B91" w:rsidP="00EE3B91">
      <w:pPr>
        <w:rPr>
          <w:rFonts w:ascii="Arial Narrow" w:hAnsi="Arial Narrow" w:cs="Arial"/>
        </w:rPr>
      </w:pPr>
    </w:p>
    <w:p w14:paraId="2A6C5106" w14:textId="77777777" w:rsidR="00EE3B91" w:rsidRPr="002363A6" w:rsidRDefault="00EE3B91" w:rsidP="00EE3B91">
      <w:pPr>
        <w:rPr>
          <w:rFonts w:ascii="Arial Narrow" w:hAnsi="Arial Narrow" w:cs="Arial"/>
        </w:rPr>
      </w:pPr>
      <w:r w:rsidRPr="002363A6">
        <w:rPr>
          <w:rFonts w:ascii="Arial Narrow" w:hAnsi="Arial Narrow" w:cs="Arial"/>
        </w:rPr>
        <w:t xml:space="preserve">United Nations (2024). Peace and Security: </w:t>
      </w:r>
      <w:r w:rsidRPr="002363A6">
        <w:rPr>
          <w:rFonts w:ascii="Arial Narrow" w:hAnsi="Arial Narrow" w:cs="Arial"/>
          <w:i/>
          <w:iCs/>
        </w:rPr>
        <w:t xml:space="preserve">What is transnational organized crime? </w:t>
      </w:r>
      <w:r w:rsidRPr="002363A6">
        <w:rPr>
          <w:rFonts w:ascii="Arial Narrow" w:hAnsi="Arial Narrow" w:cs="Arial"/>
        </w:rPr>
        <w:t xml:space="preserve">United Nations. Available at: </w:t>
      </w:r>
      <w:hyperlink r:id="rId14" w:history="1">
        <w:r w:rsidRPr="002363A6">
          <w:rPr>
            <w:rStyle w:val="Hyperlink"/>
            <w:rFonts w:ascii="Arial Narrow" w:hAnsi="Arial Narrow" w:cs="Arial"/>
          </w:rPr>
          <w:t>https://www.un.org/en/peace-and-security/transnational-crime</w:t>
        </w:r>
      </w:hyperlink>
      <w:r w:rsidRPr="002363A6">
        <w:rPr>
          <w:rFonts w:ascii="Arial Narrow" w:hAnsi="Arial Narrow" w:cs="Arial"/>
        </w:rPr>
        <w:t xml:space="preserve"> (Accessed 23 May 2025).</w:t>
      </w:r>
    </w:p>
    <w:p w14:paraId="186D1A5D" w14:textId="77777777" w:rsidR="00EE3B91" w:rsidRPr="002363A6" w:rsidRDefault="00EE3B91" w:rsidP="00EE3B91">
      <w:pPr>
        <w:rPr>
          <w:rFonts w:ascii="Arial Narrow" w:hAnsi="Arial Narrow" w:cs="Arial"/>
        </w:rPr>
      </w:pPr>
    </w:p>
    <w:p w14:paraId="2C992AB1"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O’Brien, J. (2024). </w:t>
      </w:r>
      <w:r w:rsidRPr="002363A6">
        <w:rPr>
          <w:rFonts w:ascii="Arial Narrow" w:hAnsi="Arial Narrow" w:cs="Arial"/>
          <w:i/>
          <w:iCs/>
        </w:rPr>
        <w:t>Illicit economy and terrorism funding</w:t>
      </w:r>
      <w:r w:rsidRPr="002363A6">
        <w:rPr>
          <w:rFonts w:ascii="Arial Narrow" w:hAnsi="Arial Narrow" w:cs="Arial"/>
        </w:rPr>
        <w:t xml:space="preserve">. Vision of Humanity. Available at: </w:t>
      </w:r>
      <w:hyperlink r:id="rId15" w:history="1">
        <w:r w:rsidRPr="002363A6">
          <w:rPr>
            <w:rStyle w:val="Hyperlink"/>
            <w:rFonts w:ascii="Arial Narrow" w:hAnsi="Arial Narrow" w:cs="Arial"/>
          </w:rPr>
          <w:t>https://www.visionofhumanity.org/how-illicit-economies-fund-terrorism/</w:t>
        </w:r>
      </w:hyperlink>
      <w:r w:rsidRPr="002363A6">
        <w:rPr>
          <w:rFonts w:ascii="Arial Narrow" w:hAnsi="Arial Narrow" w:cs="Arial"/>
        </w:rPr>
        <w:t xml:space="preserve"> (Accessed 23 May 2025).</w:t>
      </w:r>
    </w:p>
    <w:p w14:paraId="0B079807" w14:textId="77777777" w:rsidR="00EE3B91" w:rsidRPr="002363A6" w:rsidRDefault="00EE3B91" w:rsidP="00EE3B91">
      <w:pPr>
        <w:rPr>
          <w:rFonts w:ascii="Arial Narrow" w:hAnsi="Arial Narrow" w:cs="Arial"/>
        </w:rPr>
      </w:pPr>
      <w:r w:rsidRPr="002363A6">
        <w:rPr>
          <w:rFonts w:ascii="Arial" w:hAnsi="Arial" w:cs="Arial"/>
        </w:rPr>
        <w:t>‌</w:t>
      </w:r>
    </w:p>
    <w:p w14:paraId="3D600236" w14:textId="77777777" w:rsidR="00EE3B91" w:rsidRPr="002363A6" w:rsidRDefault="00EE3B91" w:rsidP="00EE3B91">
      <w:pPr>
        <w:spacing w:line="259" w:lineRule="auto"/>
        <w:rPr>
          <w:rFonts w:ascii="Arial Narrow" w:hAnsi="Arial Narrow" w:cs="Arial"/>
        </w:rPr>
      </w:pPr>
      <w:r w:rsidRPr="002363A6">
        <w:rPr>
          <w:rFonts w:ascii="Arial Narrow" w:hAnsi="Arial Narrow" w:cs="Arial"/>
        </w:rPr>
        <w:t xml:space="preserve">Herrington, L. (2015). </w:t>
      </w:r>
      <w:r w:rsidRPr="002363A6">
        <w:rPr>
          <w:rFonts w:ascii="Arial Narrow" w:hAnsi="Arial Narrow" w:cs="Arial"/>
          <w:i/>
          <w:iCs/>
        </w:rPr>
        <w:t>British Islamic extremist terrorism: the declining significance of Al-Qaeda and Pakistan.</w:t>
      </w:r>
      <w:r w:rsidRPr="002363A6">
        <w:rPr>
          <w:rFonts w:ascii="Arial Narrow" w:hAnsi="Arial Narrow" w:cs="Arial"/>
        </w:rPr>
        <w:t xml:space="preserve"> The Royal Institute of International Affairs. Available at: </w:t>
      </w:r>
      <w:hyperlink r:id="rId16" w:history="1">
        <w:r w:rsidRPr="002363A6">
          <w:rPr>
            <w:rStyle w:val="Hyperlink"/>
            <w:rFonts w:ascii="Arial Narrow" w:hAnsi="Arial Narrow" w:cs="Arial"/>
          </w:rPr>
          <w:t>https://www.chathamhouse.org/sites/default/files/field/field_publication_docs/INTA91_1_02_Herrington.pdf</w:t>
        </w:r>
      </w:hyperlink>
      <w:r w:rsidRPr="002363A6">
        <w:rPr>
          <w:rFonts w:ascii="Arial Narrow" w:hAnsi="Arial Narrow" w:cs="Arial"/>
        </w:rPr>
        <w:t xml:space="preserve"> </w:t>
      </w:r>
      <w:r w:rsidRPr="002363A6">
        <w:rPr>
          <w:rFonts w:ascii="Arial" w:hAnsi="Arial" w:cs="Arial"/>
        </w:rPr>
        <w:t>‌</w:t>
      </w:r>
      <w:r w:rsidRPr="002363A6">
        <w:rPr>
          <w:rFonts w:ascii="Arial Narrow" w:hAnsi="Arial Narrow" w:cs="Arial"/>
        </w:rPr>
        <w:t>(Accessed 23 May 2025).</w:t>
      </w:r>
    </w:p>
    <w:p w14:paraId="274197E7" w14:textId="77777777" w:rsidR="00EE3B91" w:rsidRPr="002363A6" w:rsidRDefault="00EE3B91" w:rsidP="00EE3B91">
      <w:pPr>
        <w:pStyle w:val="NormalWeb"/>
        <w:jc w:val="both"/>
        <w:rPr>
          <w:rFonts w:ascii="Arial Narrow" w:hAnsi="Arial Narrow"/>
        </w:rPr>
      </w:pPr>
    </w:p>
    <w:p w14:paraId="1A6D3AEF" w14:textId="77777777" w:rsidR="00EE3B91" w:rsidRPr="002363A6" w:rsidRDefault="00EE3B91" w:rsidP="00EE3B91">
      <w:pPr>
        <w:pStyle w:val="NormalWeb"/>
        <w:jc w:val="both"/>
        <w:rPr>
          <w:rFonts w:ascii="Arial Narrow" w:hAnsi="Arial Narrow"/>
        </w:rPr>
      </w:pPr>
    </w:p>
    <w:p w14:paraId="6B7A9746" w14:textId="77777777" w:rsidR="00EE3B91" w:rsidRPr="002363A6" w:rsidRDefault="00EE3B91" w:rsidP="00EE3B91">
      <w:pPr>
        <w:pStyle w:val="NormalWeb"/>
        <w:jc w:val="both"/>
        <w:rPr>
          <w:rFonts w:ascii="Arial Narrow" w:hAnsi="Arial Narrow"/>
        </w:rPr>
      </w:pPr>
    </w:p>
    <w:p w14:paraId="590A37F6" w14:textId="77777777" w:rsidR="00EE3B91" w:rsidRPr="002363A6" w:rsidRDefault="00EE3B91" w:rsidP="00EE3B91">
      <w:pPr>
        <w:pStyle w:val="NormalWeb"/>
        <w:jc w:val="both"/>
        <w:rPr>
          <w:rFonts w:ascii="Arial Narrow" w:hAnsi="Arial Narrow"/>
        </w:rPr>
      </w:pPr>
    </w:p>
    <w:p w14:paraId="7811C8FB" w14:textId="77777777" w:rsidR="00EE3B91" w:rsidRPr="002363A6" w:rsidRDefault="00EE3B91" w:rsidP="00EE3B91">
      <w:pPr>
        <w:pStyle w:val="NormalWeb"/>
        <w:jc w:val="both"/>
        <w:rPr>
          <w:rFonts w:ascii="Arial Narrow" w:hAnsi="Arial Narrow"/>
        </w:rPr>
      </w:pPr>
    </w:p>
    <w:p w14:paraId="5D58459C" w14:textId="77777777" w:rsidR="00EE3B91" w:rsidRPr="002363A6" w:rsidRDefault="00EE3B91" w:rsidP="00EE3B91">
      <w:pPr>
        <w:pStyle w:val="NormalWeb"/>
        <w:jc w:val="both"/>
        <w:rPr>
          <w:rFonts w:ascii="Arial Narrow" w:hAnsi="Arial Narrow"/>
        </w:rPr>
      </w:pPr>
    </w:p>
    <w:p w14:paraId="1E735867" w14:textId="77777777" w:rsidR="00EE3B91" w:rsidRPr="002363A6" w:rsidRDefault="00EE3B91" w:rsidP="00EE3B91">
      <w:pPr>
        <w:pStyle w:val="NormalWeb"/>
        <w:jc w:val="both"/>
        <w:rPr>
          <w:rFonts w:ascii="Arial Narrow" w:hAnsi="Arial Narrow"/>
        </w:rPr>
      </w:pPr>
    </w:p>
    <w:p w14:paraId="4A131C04" w14:textId="77777777" w:rsidR="00EE3B91" w:rsidRPr="002363A6" w:rsidRDefault="00EE3B91" w:rsidP="00EE3B91">
      <w:pPr>
        <w:pStyle w:val="NormalWeb"/>
        <w:jc w:val="both"/>
        <w:rPr>
          <w:rFonts w:ascii="Arial Narrow" w:hAnsi="Arial Narrow"/>
        </w:rPr>
      </w:pPr>
    </w:p>
    <w:p w14:paraId="5A26B2EC" w14:textId="77777777" w:rsidR="00EE3B91" w:rsidRPr="002363A6" w:rsidRDefault="00EE3B91" w:rsidP="00EE3B91">
      <w:pPr>
        <w:pStyle w:val="NormalWeb"/>
        <w:jc w:val="both"/>
        <w:rPr>
          <w:rFonts w:ascii="Arial Narrow" w:hAnsi="Arial Narrow"/>
        </w:rPr>
      </w:pPr>
    </w:p>
    <w:p w14:paraId="19AAF00A" w14:textId="77777777" w:rsidR="00EE3B91" w:rsidRPr="002363A6" w:rsidRDefault="00EE3B91" w:rsidP="00EE3B91">
      <w:pPr>
        <w:pStyle w:val="NormalWeb"/>
        <w:jc w:val="both"/>
        <w:rPr>
          <w:rFonts w:ascii="Arial Narrow" w:hAnsi="Arial Narrow"/>
        </w:rPr>
      </w:pPr>
    </w:p>
    <w:p w14:paraId="4DC75D1D" w14:textId="77777777" w:rsidR="00EE3B91" w:rsidRPr="002363A6" w:rsidRDefault="00EE3B91" w:rsidP="00EE3B91">
      <w:pPr>
        <w:pStyle w:val="NormalWeb"/>
        <w:jc w:val="both"/>
        <w:rPr>
          <w:rFonts w:ascii="Arial Narrow" w:hAnsi="Arial Narrow"/>
        </w:rPr>
      </w:pPr>
    </w:p>
    <w:p w14:paraId="744C0530" w14:textId="77777777" w:rsidR="00EE3B91" w:rsidRPr="002363A6" w:rsidRDefault="00EE3B91" w:rsidP="00EE3B91">
      <w:pPr>
        <w:pStyle w:val="NormalWeb"/>
        <w:jc w:val="both"/>
        <w:rPr>
          <w:rFonts w:ascii="Arial Narrow" w:hAnsi="Arial Narrow"/>
        </w:rPr>
      </w:pPr>
    </w:p>
    <w:p w14:paraId="236FF29B" w14:textId="77777777" w:rsidR="00EE3B91" w:rsidRPr="002363A6" w:rsidRDefault="00EE3B91" w:rsidP="00EE3B91">
      <w:pPr>
        <w:pStyle w:val="NormalWeb"/>
        <w:jc w:val="both"/>
        <w:rPr>
          <w:rFonts w:ascii="Arial Narrow" w:hAnsi="Arial Narrow"/>
        </w:rPr>
      </w:pPr>
    </w:p>
    <w:p w14:paraId="1F2EB9D4" w14:textId="77777777" w:rsidR="00EE3B91" w:rsidRPr="002363A6" w:rsidRDefault="00EE3B91" w:rsidP="00EE3B91">
      <w:pPr>
        <w:spacing w:line="276" w:lineRule="auto"/>
        <w:ind w:right="531"/>
        <w:jc w:val="both"/>
        <w:rPr>
          <w:rFonts w:ascii="Arial Narrow" w:eastAsia="Times New Roman" w:hAnsi="Arial Narrow" w:cs="Arial"/>
          <w:b/>
          <w:bCs/>
        </w:rPr>
      </w:pPr>
      <w:r w:rsidRPr="002363A6">
        <w:rPr>
          <w:rFonts w:ascii="Arial Narrow" w:hAnsi="Arial Narrow"/>
          <w:b/>
          <w:bCs/>
        </w:rPr>
        <w:lastRenderedPageBreak/>
        <w:t xml:space="preserve">Essay 2: </w:t>
      </w:r>
      <w:r w:rsidRPr="002363A6">
        <w:rPr>
          <w:rFonts w:ascii="Arial Narrow" w:eastAsia="Times New Roman" w:hAnsi="Arial Narrow" w:cs="Arial"/>
          <w:b/>
          <w:bCs/>
        </w:rPr>
        <w:t xml:space="preserve">Why </w:t>
      </w:r>
      <w:proofErr w:type="gramStart"/>
      <w:r w:rsidRPr="002363A6">
        <w:rPr>
          <w:rFonts w:ascii="Arial Narrow" w:eastAsia="Times New Roman" w:hAnsi="Arial Narrow" w:cs="Arial"/>
          <w:b/>
          <w:bCs/>
        </w:rPr>
        <w:t>is</w:t>
      </w:r>
      <w:proofErr w:type="gramEnd"/>
      <w:r w:rsidRPr="002363A6">
        <w:rPr>
          <w:rFonts w:ascii="Arial Narrow" w:eastAsia="Times New Roman" w:hAnsi="Arial Narrow" w:cs="Arial"/>
          <w:b/>
          <w:bCs/>
        </w:rPr>
        <w:t xml:space="preserve"> a partnership approach the most effective way to reach groups or communities who are less willing to engage with police? </w:t>
      </w:r>
    </w:p>
    <w:p w14:paraId="5E9BC039" w14:textId="77777777" w:rsidR="00EE3B91" w:rsidRPr="002363A6" w:rsidRDefault="00EE3B91" w:rsidP="00EE3B91">
      <w:pPr>
        <w:jc w:val="both"/>
        <w:rPr>
          <w:rFonts w:ascii="Arial Narrow" w:hAnsi="Arial Narrow"/>
        </w:rPr>
      </w:pPr>
    </w:p>
    <w:p w14:paraId="182A2C1E" w14:textId="77777777" w:rsidR="00EE3B91" w:rsidRPr="002363A6" w:rsidRDefault="00EE3B91" w:rsidP="00EE3B91">
      <w:pPr>
        <w:jc w:val="both"/>
        <w:rPr>
          <w:rFonts w:ascii="Arial Narrow" w:hAnsi="Arial Narrow"/>
        </w:rPr>
      </w:pPr>
      <w:r w:rsidRPr="002363A6">
        <w:rPr>
          <w:rFonts w:ascii="Arial Narrow" w:hAnsi="Arial Narrow"/>
        </w:rPr>
        <w:t>Communities do not disengage from police by chance. That distance is often a result of repeated negative experiences, inconsistent presence and a history of unmet promises. When the police only make an appearance after incidents or when things escalate, people begin to see them as disconnected or indifferent. A partnership approach can change this dynamic. It brings people into the process and creates a space for shared responsibility, inviting communities to become part of the solution instead of being treated as outsiders to policing decisions.</w:t>
      </w:r>
    </w:p>
    <w:p w14:paraId="24EB3379" w14:textId="77777777" w:rsidR="00EE3B91" w:rsidRPr="002363A6" w:rsidRDefault="00EE3B91" w:rsidP="00EE3B91">
      <w:pPr>
        <w:jc w:val="both"/>
        <w:rPr>
          <w:rFonts w:ascii="Arial Narrow" w:hAnsi="Arial Narrow"/>
        </w:rPr>
      </w:pPr>
    </w:p>
    <w:p w14:paraId="6E2261C0" w14:textId="77777777" w:rsidR="00EE3B91" w:rsidRPr="002363A6" w:rsidRDefault="00EE3B91" w:rsidP="00EE3B91">
      <w:pPr>
        <w:jc w:val="both"/>
        <w:rPr>
          <w:rFonts w:ascii="Arial Narrow" w:hAnsi="Arial Narrow"/>
        </w:rPr>
      </w:pPr>
      <w:r w:rsidRPr="002363A6">
        <w:rPr>
          <w:rFonts w:ascii="Arial Narrow" w:hAnsi="Arial Narrow"/>
        </w:rPr>
        <w:t xml:space="preserve">Trust builds when engagement is sustained, not when it is used as a temporary strategy. Communities need to feel that they are genuinely being heard and that their opinion and contribution have an impact. Effective engagement helps reduce crime and the fear of crime when communities are included in the decision-making process and feel that their voices have a real influence (Perez, 2024). Public participation has an influence on behaviour. People begin to take initiative when they know their voices will impact decisions and they respond more proactively when they feel that safety is a shared effort rather than something imposed from a superficial authority. </w:t>
      </w:r>
    </w:p>
    <w:p w14:paraId="380CF6D1" w14:textId="77777777" w:rsidR="00EE3B91" w:rsidRPr="002363A6" w:rsidRDefault="00EE3B91" w:rsidP="00EE3B91">
      <w:pPr>
        <w:jc w:val="both"/>
        <w:rPr>
          <w:rFonts w:ascii="Arial Narrow" w:hAnsi="Arial Narrow"/>
        </w:rPr>
      </w:pPr>
    </w:p>
    <w:p w14:paraId="64657156" w14:textId="77777777" w:rsidR="00EE3B91" w:rsidRPr="002363A6" w:rsidRDefault="00EE3B91" w:rsidP="00EE3B91">
      <w:pPr>
        <w:jc w:val="both"/>
        <w:rPr>
          <w:rFonts w:ascii="Arial Narrow" w:hAnsi="Arial Narrow"/>
        </w:rPr>
      </w:pPr>
      <w:r w:rsidRPr="002363A6">
        <w:rPr>
          <w:rFonts w:ascii="Arial Narrow" w:hAnsi="Arial Narrow"/>
        </w:rPr>
        <w:t>There is also an ethical foundation that shapes this approach. Communities are not just sources of information. They are central to building public safety. Developing and maintaining trust is necessary for order, but it also requires a clear sense of shared responsibility between officers and the people they serve (Pastor, Corderman and Jarvis, 2023). When people feel that their lives matter in the eyes of the officers and they are treated with humanity, they are more likely to take an active role in protecting their own communities.</w:t>
      </w:r>
    </w:p>
    <w:p w14:paraId="22B9E00A" w14:textId="77777777" w:rsidR="00EE3B91" w:rsidRPr="002363A6" w:rsidRDefault="00EE3B91" w:rsidP="00EE3B91">
      <w:pPr>
        <w:jc w:val="both"/>
        <w:rPr>
          <w:rFonts w:ascii="Arial Narrow" w:hAnsi="Arial Narrow"/>
        </w:rPr>
      </w:pPr>
    </w:p>
    <w:p w14:paraId="4FD49368" w14:textId="77777777" w:rsidR="00EE3B91" w:rsidRPr="002363A6" w:rsidRDefault="00EE3B91" w:rsidP="00EE3B91">
      <w:pPr>
        <w:jc w:val="both"/>
        <w:rPr>
          <w:rFonts w:ascii="Arial Narrow" w:hAnsi="Arial Narrow"/>
        </w:rPr>
      </w:pPr>
      <w:r w:rsidRPr="002363A6">
        <w:rPr>
          <w:rFonts w:ascii="Arial Narrow" w:hAnsi="Arial Narrow"/>
        </w:rPr>
        <w:t>This essay explores why a partnership approach is the most effective method of engaging with groups and communities who are often reluctant to interact with police. It examines the roots of that reluctance, identifies the communities most affected and shows how collaboration builds legitimacy, enhances public trust and improves long-term positive outcomes.</w:t>
      </w:r>
    </w:p>
    <w:p w14:paraId="2927EA54" w14:textId="77777777" w:rsidR="00EE3B91" w:rsidRPr="002363A6" w:rsidRDefault="00EE3B91" w:rsidP="00EE3B91">
      <w:pPr>
        <w:jc w:val="both"/>
        <w:rPr>
          <w:rFonts w:ascii="Arial Narrow" w:hAnsi="Arial Narrow"/>
        </w:rPr>
      </w:pPr>
    </w:p>
    <w:p w14:paraId="7B55616B" w14:textId="77777777" w:rsidR="00EE3B91" w:rsidRPr="002363A6" w:rsidRDefault="00EE3B91" w:rsidP="00EE3B91">
      <w:pPr>
        <w:jc w:val="both"/>
        <w:rPr>
          <w:rFonts w:ascii="Arial Narrow" w:hAnsi="Arial Narrow"/>
        </w:rPr>
      </w:pPr>
      <w:r w:rsidRPr="002363A6">
        <w:rPr>
          <w:rFonts w:ascii="Arial Narrow" w:hAnsi="Arial Narrow"/>
        </w:rPr>
        <w:t xml:space="preserve">Reluctance to engage with police varies across different communities, shaped by a variety of factors such as historical experiences, societal context and personal interactions. In some cases, individuals or groups have been subjected to discrimination, inequality or negative past experiences with law enforcement, creating lasting distrust. Others may feel unheard, misrepresented or mistreated by authorities, which leads them to avoid interactions altogether. </w:t>
      </w:r>
    </w:p>
    <w:p w14:paraId="15873BF6" w14:textId="77777777" w:rsidR="00EE3B91" w:rsidRPr="002363A6" w:rsidRDefault="00EE3B91" w:rsidP="00EE3B91">
      <w:pPr>
        <w:jc w:val="both"/>
        <w:rPr>
          <w:rFonts w:ascii="Arial Narrow" w:hAnsi="Arial Narrow"/>
        </w:rPr>
      </w:pPr>
    </w:p>
    <w:p w14:paraId="00140A0A" w14:textId="77777777" w:rsidR="00EE3B91" w:rsidRPr="002363A6" w:rsidRDefault="00EE3B91" w:rsidP="00EE3B91">
      <w:pPr>
        <w:jc w:val="both"/>
        <w:rPr>
          <w:rFonts w:ascii="Arial Narrow" w:hAnsi="Arial Narrow"/>
        </w:rPr>
      </w:pPr>
      <w:r w:rsidRPr="002363A6">
        <w:rPr>
          <w:rFonts w:ascii="Arial Narrow" w:hAnsi="Arial Narrow"/>
        </w:rPr>
        <w:t>Victims of domestic abuse face significant barriers when it comes to reporting incidents to the police. Research reveals that only one in five women who experience domestic abuse from an intimate partner report it to the police, with fear, shame and a belief they will not be taken seriously acting as major deterrents (Women's Aid, 2023). Many domestic abuse survivors assess the risk of not being believed or supported as more dangerous than the abuse itself. That decision reveals how much damage is done when police response lacks empathy or consistency.</w:t>
      </w:r>
    </w:p>
    <w:p w14:paraId="1BD1C18E" w14:textId="77777777" w:rsidR="00EE3B91" w:rsidRPr="002363A6" w:rsidRDefault="00EE3B91" w:rsidP="00EE3B91">
      <w:pPr>
        <w:jc w:val="both"/>
        <w:rPr>
          <w:rFonts w:ascii="Arial Narrow" w:hAnsi="Arial Narrow"/>
        </w:rPr>
      </w:pPr>
    </w:p>
    <w:p w14:paraId="58FB2699" w14:textId="77777777" w:rsidR="00EE3B91" w:rsidRPr="002363A6" w:rsidRDefault="00EE3B91" w:rsidP="00EE3B91">
      <w:pPr>
        <w:jc w:val="both"/>
        <w:rPr>
          <w:rFonts w:ascii="Arial Narrow" w:hAnsi="Arial Narrow"/>
        </w:rPr>
      </w:pPr>
      <w:r w:rsidRPr="002363A6">
        <w:rPr>
          <w:rFonts w:ascii="Arial Narrow" w:hAnsi="Arial Narrow"/>
        </w:rPr>
        <w:t xml:space="preserve">Ethnic and racial minority groups often experience reluctance to engage with police due to racism and negative past experiences. Research shows that ethnic minorities, particularly black people, are more likely to be stopped and searched by police, which contributes to a sense of alienation and distrust (Home Office, 2023). The reality of disproportionate </w:t>
      </w:r>
      <w:r w:rsidRPr="002363A6">
        <w:rPr>
          <w:rFonts w:ascii="Arial Narrow" w:hAnsi="Arial Narrow"/>
        </w:rPr>
        <w:lastRenderedPageBreak/>
        <w:t>scrutiny reinforces the belief that some communities are treated as suspects by default rather than as members of the public that deserve equal protection.</w:t>
      </w:r>
    </w:p>
    <w:p w14:paraId="3604A408" w14:textId="77777777" w:rsidR="00EE3B91" w:rsidRPr="002363A6" w:rsidRDefault="00EE3B91" w:rsidP="00EE3B91">
      <w:pPr>
        <w:jc w:val="both"/>
        <w:rPr>
          <w:rFonts w:ascii="Arial Narrow" w:hAnsi="Arial Narrow"/>
        </w:rPr>
      </w:pPr>
    </w:p>
    <w:p w14:paraId="6B15A8AF" w14:textId="77777777" w:rsidR="00EE3B91" w:rsidRPr="002363A6" w:rsidRDefault="00EE3B91" w:rsidP="00EE3B91">
      <w:pPr>
        <w:jc w:val="both"/>
        <w:rPr>
          <w:rFonts w:ascii="Arial Narrow" w:hAnsi="Arial Narrow"/>
        </w:rPr>
      </w:pPr>
      <w:r w:rsidRPr="002363A6">
        <w:rPr>
          <w:rFonts w:ascii="Arial Narrow" w:hAnsi="Arial Narrow"/>
        </w:rPr>
        <w:t xml:space="preserve">Young people, especially in urban areas, are frequently under heightened police scrutiny, which leads to feelings of being unfairly treated and as a result, feel discouraged from engaging with officers. A recent study found that only 44 percent of Generation Z expressed confidence in the police, significantly lower than the general population (Duffy and Morini, 2024). When young people feel constantly watched, judged or dismissed, they disengage entirely. That absence of trust at an early stage erodes the chance to create cooperative relationships later on, as adults. </w:t>
      </w:r>
    </w:p>
    <w:p w14:paraId="38F5435A" w14:textId="77777777" w:rsidR="00EE3B91" w:rsidRPr="002363A6" w:rsidRDefault="00EE3B91" w:rsidP="00EE3B91">
      <w:pPr>
        <w:jc w:val="both"/>
        <w:rPr>
          <w:rFonts w:ascii="Arial Narrow" w:hAnsi="Arial Narrow"/>
        </w:rPr>
      </w:pPr>
    </w:p>
    <w:p w14:paraId="34259E40" w14:textId="77777777" w:rsidR="00EE3B91" w:rsidRPr="002363A6" w:rsidRDefault="00EE3B91" w:rsidP="00EE3B91">
      <w:pPr>
        <w:jc w:val="both"/>
        <w:rPr>
          <w:rFonts w:ascii="Arial Narrow" w:hAnsi="Arial Narrow"/>
        </w:rPr>
      </w:pPr>
      <w:r w:rsidRPr="002363A6">
        <w:rPr>
          <w:rFonts w:ascii="Arial Narrow" w:hAnsi="Arial Narrow"/>
        </w:rPr>
        <w:t xml:space="preserve">LGBTQAI+ communities face their own set of challenges when engaging with law enforcement. Many individuals of this community experience discrimination or even violence from police, particularly transgender people, who often face inappropriate questioning or denial of service (Grasso et al., 2024). For many, the fear of secondary victimisation outweighs the potential benefit of police protection. These experiences are not isolated incidents, but part of a wider institutional marginalisation. </w:t>
      </w:r>
    </w:p>
    <w:p w14:paraId="2234CCD3" w14:textId="77777777" w:rsidR="00EE3B91" w:rsidRPr="002363A6" w:rsidRDefault="00EE3B91" w:rsidP="00EE3B91">
      <w:pPr>
        <w:jc w:val="both"/>
        <w:rPr>
          <w:rFonts w:ascii="Arial Narrow" w:hAnsi="Arial Narrow"/>
        </w:rPr>
      </w:pPr>
    </w:p>
    <w:p w14:paraId="5EA290BE" w14:textId="77777777" w:rsidR="00EE3B91" w:rsidRPr="002363A6" w:rsidRDefault="00EE3B91" w:rsidP="00EE3B91">
      <w:pPr>
        <w:jc w:val="both"/>
        <w:rPr>
          <w:rFonts w:ascii="Arial Narrow" w:hAnsi="Arial Narrow"/>
        </w:rPr>
      </w:pPr>
      <w:r w:rsidRPr="002363A6">
        <w:rPr>
          <w:rFonts w:ascii="Arial Narrow" w:hAnsi="Arial Narrow"/>
        </w:rPr>
        <w:t>Individuals experiencing homelessness, mental health issues or substance abuse disorders also avoid engaging with the police due to negative past experiences and a fear of further stigmatization. Research shows that police encounters often lead to increased stigmatization, making individuals more reluctant to report crimes or seek assistance (Andresen and Hodgkinson, 2019). A person who feels judged or criminalised during a vulnerable moment is unlikely to seek help again. These groups often become invisible to systems designed to protect the public and that invisibility, in turn, increases their risk.</w:t>
      </w:r>
    </w:p>
    <w:p w14:paraId="1D97BDEA" w14:textId="77777777" w:rsidR="00EE3B91" w:rsidRPr="002363A6" w:rsidRDefault="00EE3B91" w:rsidP="00EE3B91">
      <w:pPr>
        <w:jc w:val="both"/>
        <w:rPr>
          <w:rFonts w:ascii="Arial Narrow" w:hAnsi="Arial Narrow"/>
        </w:rPr>
      </w:pPr>
    </w:p>
    <w:p w14:paraId="615D7B45" w14:textId="77777777" w:rsidR="00EE3B91" w:rsidRPr="002363A6" w:rsidRDefault="00EE3B91" w:rsidP="00EE3B91">
      <w:pPr>
        <w:jc w:val="both"/>
        <w:rPr>
          <w:rFonts w:ascii="Arial Narrow" w:hAnsi="Arial Narrow"/>
        </w:rPr>
      </w:pPr>
      <w:r w:rsidRPr="002363A6">
        <w:rPr>
          <w:rFonts w:ascii="Arial Narrow" w:hAnsi="Arial Narrow"/>
        </w:rPr>
        <w:t>Migrant and refugee communities often hesitate to interact with police due to fear of deportation, lack of legal status or negative experiences with law enforcement in their home countries. The hostile environment policies in the UK have created an atmosphere where migrants, especially those without legal status, are afraid to contact authorities for fear of being reported to immigration services (JCWI, 2024). Seeking help becomes a calculated risk. Even victims of crime sometimes remain silent because the system feels more dangerous than the harm they experienced. That silence is created by real fear, not by ignorance.</w:t>
      </w:r>
    </w:p>
    <w:p w14:paraId="5A4EE7EC" w14:textId="77777777" w:rsidR="00EE3B91" w:rsidRPr="002363A6" w:rsidRDefault="00EE3B91" w:rsidP="00EE3B91">
      <w:pPr>
        <w:jc w:val="both"/>
        <w:rPr>
          <w:rFonts w:ascii="Arial Narrow" w:hAnsi="Arial Narrow"/>
        </w:rPr>
      </w:pPr>
    </w:p>
    <w:p w14:paraId="20242B1E" w14:textId="77777777" w:rsidR="00EE3B91" w:rsidRPr="002363A6" w:rsidRDefault="00EE3B91" w:rsidP="00EE3B91">
      <w:pPr>
        <w:jc w:val="both"/>
        <w:rPr>
          <w:rFonts w:ascii="Arial Narrow" w:hAnsi="Arial Narrow"/>
        </w:rPr>
      </w:pPr>
      <w:r w:rsidRPr="002363A6">
        <w:rPr>
          <w:rFonts w:ascii="Arial Narrow" w:hAnsi="Arial Narrow"/>
        </w:rPr>
        <w:t>Hesitance to engage with police is, thus, a complex issue, shaped by a variety of personal, societal and historical factors. Understanding these barriers is crucial in fostering more inclusive and effective policing strategies. By recognising the root causes of disengagement, law enforcement can take steps to rebuild trust and establish more meaningful connections with marginalised communities. Without meaningful engagement, policing becomes speculation rather than fact. Communities that feel ignored or misunderstood are less likely to cooperate, even when police presence increases. Trust does not grow from visibility alone. It grows from fairness, consistency and the belief that people are part of the process, not merely subjected to it. Policing by consent demands that the public are involved, not dismissed. Public confidence in the police has significantly declined, with only 53 percent of adults in England and Wales saying they believe the police do a good or excellent job (Home Office, 2023). That level of confidence is not just a statistic. It directly shapes reporting rates, cooperation and public morale. When trust collapses, even police forces that benefit from abundant resources can become ineffective.</w:t>
      </w:r>
    </w:p>
    <w:p w14:paraId="2696E455" w14:textId="77777777" w:rsidR="00EE3B91" w:rsidRPr="002363A6" w:rsidRDefault="00EE3B91" w:rsidP="00EE3B91">
      <w:pPr>
        <w:jc w:val="both"/>
        <w:rPr>
          <w:rFonts w:ascii="Arial Narrow" w:hAnsi="Arial Narrow"/>
        </w:rPr>
      </w:pPr>
    </w:p>
    <w:p w14:paraId="05C260D5" w14:textId="77777777" w:rsidR="00EE3B91" w:rsidRPr="002363A6" w:rsidRDefault="00EE3B91" w:rsidP="00EE3B91">
      <w:pPr>
        <w:jc w:val="both"/>
        <w:rPr>
          <w:rFonts w:ascii="Arial Narrow" w:hAnsi="Arial Narrow"/>
        </w:rPr>
      </w:pPr>
      <w:r w:rsidRPr="002363A6">
        <w:rPr>
          <w:rFonts w:ascii="Arial Narrow" w:hAnsi="Arial Narrow"/>
        </w:rPr>
        <w:lastRenderedPageBreak/>
        <w:t xml:space="preserve">In London, efforts to improve community engagement have been linked to better outcomes in neighbourhood policing, such as higher trust levels and increased local cooperation. Members of the public can ask questions in real time to the Mayor of London, where a comprehensive answer will follow (London Assembly, 2019). This builds confidence through listening, acting and continuity. The results support that legitimacy is earned through responsive and respectful presence. </w:t>
      </w:r>
    </w:p>
    <w:p w14:paraId="0D097797" w14:textId="77777777" w:rsidR="00EE3B91" w:rsidRPr="002363A6" w:rsidRDefault="00EE3B91" w:rsidP="00EE3B91">
      <w:pPr>
        <w:jc w:val="both"/>
        <w:rPr>
          <w:rFonts w:ascii="Arial Narrow" w:hAnsi="Arial Narrow"/>
        </w:rPr>
      </w:pPr>
    </w:p>
    <w:p w14:paraId="3F3D95C7" w14:textId="77777777" w:rsidR="00EE3B91" w:rsidRPr="002363A6" w:rsidRDefault="00EE3B91" w:rsidP="00EE3B91">
      <w:pPr>
        <w:jc w:val="both"/>
        <w:rPr>
          <w:rFonts w:ascii="Arial Narrow" w:hAnsi="Arial Narrow"/>
        </w:rPr>
      </w:pPr>
      <w:r w:rsidRPr="002363A6">
        <w:rPr>
          <w:rFonts w:ascii="Arial Narrow" w:hAnsi="Arial Narrow"/>
        </w:rPr>
        <w:t>The breakdown in trust between the public and police requires urgent reform centred around transparency, accountability and ethical leadership (Tudor, 2023). Authority must be earned through action. No amount of media work can replace what people observe day to day in how officers treat them. The path to legitimacy is paved by conduct, not slogans.</w:t>
      </w:r>
    </w:p>
    <w:p w14:paraId="38A7B66E" w14:textId="77777777" w:rsidR="00EE3B91" w:rsidRPr="002363A6" w:rsidRDefault="00EE3B91" w:rsidP="00EE3B91">
      <w:pPr>
        <w:jc w:val="both"/>
        <w:rPr>
          <w:rFonts w:ascii="Arial Narrow" w:hAnsi="Arial Narrow"/>
        </w:rPr>
      </w:pPr>
    </w:p>
    <w:p w14:paraId="150E6A36" w14:textId="77777777" w:rsidR="00EE3B91" w:rsidRPr="002363A6" w:rsidRDefault="00EE3B91" w:rsidP="00EE3B91">
      <w:pPr>
        <w:jc w:val="both"/>
        <w:rPr>
          <w:rFonts w:ascii="Arial Narrow" w:hAnsi="Arial Narrow"/>
        </w:rPr>
      </w:pPr>
      <w:r w:rsidRPr="002363A6">
        <w:rPr>
          <w:rFonts w:ascii="Arial Narrow" w:hAnsi="Arial Narrow"/>
        </w:rPr>
        <w:t>An example of successful community engagement is The Scottish Violence Reduction Unit (SVRU). It was created in 2005, in response to the extreme levels of violence across Scotland. That year, Scotland recorded 137 homicides, with 41 in Glasgow alone, resulting in the city being called the murder capital of Europe. Strathclyde Police recognised that enforcement alone was failing and decided to take a different approach. The SVRU began treating violence as a public health concern that could be prevented and addressed at its roots rather than reacted to once it had already caused harm. This new direction produced significant results. Since then, the homicide rate in Glasgow fell by 41 percent and a significant reduction in youth violence was observed (</w:t>
      </w:r>
      <w:r w:rsidRPr="002363A6">
        <w:rPr>
          <w:rFonts w:ascii="Arial" w:hAnsi="Arial" w:cs="Arial"/>
        </w:rPr>
        <w:t>‌</w:t>
      </w:r>
      <w:r w:rsidRPr="002363A6">
        <w:rPr>
          <w:rFonts w:ascii="Arial Narrow" w:hAnsi="Arial Narrow"/>
        </w:rPr>
        <w:t>Scottish Violence Reduction Unit, 2020</w:t>
      </w:r>
      <w:hyperlink r:id="rId17" w:history="1"/>
      <w:r w:rsidRPr="002363A6">
        <w:rPr>
          <w:rFonts w:ascii="Arial Narrow" w:hAnsi="Arial Narrow"/>
        </w:rPr>
        <w:t>). These outcomes were not accidental. They came from consistent presence, long-term collaboration and a refusal to give up on communities others had quit on. This move was not just about tactics. It was about recognising that crime stems from deeper conditions such as poverty, trauma and exclusion. Instead of seeing young people as offenders, the SVRU chose to view them as people in need of support and direction. The police did not act as distant authority. They worked alongside schools, youth services, healthcare and local groups. By listening first and acting with patience, they created the kind of legitimacy that cannot be claimed through control, only earned through effort and time.</w:t>
      </w:r>
    </w:p>
    <w:p w14:paraId="650D61B2" w14:textId="77777777" w:rsidR="00EE3B91" w:rsidRPr="002363A6" w:rsidRDefault="00EE3B91" w:rsidP="00EE3B91">
      <w:pPr>
        <w:jc w:val="both"/>
        <w:rPr>
          <w:rFonts w:ascii="Arial Narrow" w:hAnsi="Arial Narrow"/>
        </w:rPr>
      </w:pPr>
    </w:p>
    <w:p w14:paraId="4D69DFD3" w14:textId="77777777" w:rsidR="00EE3B91" w:rsidRPr="002363A6" w:rsidRDefault="00EE3B91" w:rsidP="00EE3B91">
      <w:pPr>
        <w:jc w:val="both"/>
        <w:rPr>
          <w:rFonts w:ascii="Arial Narrow" w:hAnsi="Arial Narrow"/>
        </w:rPr>
      </w:pPr>
      <w:r w:rsidRPr="002363A6">
        <w:rPr>
          <w:rFonts w:ascii="Arial Narrow" w:hAnsi="Arial Narrow"/>
        </w:rPr>
        <w:t>One of the key strategies that supports the SVRU model is the Mentors in Violence Prevention programme. It trains students to lead conversations about violence and to challenge harmful behaviour when they see it happening in their schools (Relationships Project, n.d.). The strength of the programme comes from its refusal to treat young people as passive. It gives them a role, a voice and a responsibility to protect each other. By allowing pupils to speak with credibility among their peers, the intervention becomes part of the environment rather than something imposed from outside.</w:t>
      </w:r>
    </w:p>
    <w:p w14:paraId="71BC8CA6" w14:textId="77777777" w:rsidR="00EE3B91" w:rsidRPr="002363A6" w:rsidRDefault="00EE3B91" w:rsidP="00EE3B91">
      <w:pPr>
        <w:jc w:val="both"/>
        <w:rPr>
          <w:rFonts w:ascii="Arial Narrow" w:hAnsi="Arial Narrow"/>
        </w:rPr>
      </w:pPr>
    </w:p>
    <w:p w14:paraId="696CA4D4" w14:textId="77777777" w:rsidR="00EE3B91" w:rsidRPr="002363A6" w:rsidRDefault="00EE3B91" w:rsidP="00EE3B91">
      <w:pPr>
        <w:jc w:val="both"/>
        <w:rPr>
          <w:rFonts w:ascii="Arial Narrow" w:hAnsi="Arial Narrow"/>
        </w:rPr>
      </w:pPr>
      <w:r w:rsidRPr="002363A6">
        <w:rPr>
          <w:rFonts w:ascii="Arial Narrow" w:hAnsi="Arial Narrow"/>
        </w:rPr>
        <w:t>The same principle applies to the Quit Fighting for Likes campaign, which was developed with Youth Link Scotland and Medics Against Violence. It focuses on the way digital conflict among teenagers can escalate into physical violence, especially when the need for attention and social validation are involved (Youth Link Scotland, 2024). Instead of blaming technology or telling young people what not to do, it shows them the real consequences of these situations. It teaches that walking away is not weakness. It is strength, especially when it means breaking a cycle of retaliation and escalation that others expect you to follow.</w:t>
      </w:r>
    </w:p>
    <w:p w14:paraId="07FC41D8" w14:textId="77777777" w:rsidR="00EE3B91" w:rsidRPr="002363A6" w:rsidRDefault="00EE3B91" w:rsidP="00EE3B91">
      <w:pPr>
        <w:jc w:val="both"/>
        <w:rPr>
          <w:rFonts w:ascii="Arial Narrow" w:hAnsi="Arial Narrow"/>
        </w:rPr>
      </w:pPr>
    </w:p>
    <w:p w14:paraId="7376B35D" w14:textId="77777777" w:rsidR="00EE3B91" w:rsidRPr="002363A6" w:rsidRDefault="00EE3B91" w:rsidP="00EE3B91">
      <w:pPr>
        <w:jc w:val="both"/>
        <w:rPr>
          <w:rFonts w:ascii="Arial Narrow" w:hAnsi="Arial Narrow"/>
        </w:rPr>
      </w:pPr>
      <w:r w:rsidRPr="002363A6">
        <w:rPr>
          <w:rFonts w:ascii="Arial Narrow" w:hAnsi="Arial Narrow"/>
        </w:rPr>
        <w:t>Another key initiative is the No Knives Better Lives programme. It addresses knife crime not through fear but through education, support and the message that carrying a weapon increases your vulnerability rather than reducing it (Scottish Government, 2018). This message is not given in isolation. The programme provides real alternatives. It gives young people someone to trust, somewhere to turn and something to work towards that feels more secure than a knife in their pocket. That difference is what makes prevention meaningful rather than abstract.</w:t>
      </w:r>
    </w:p>
    <w:p w14:paraId="2BCBE3F5" w14:textId="77777777" w:rsidR="00EE3B91" w:rsidRPr="002363A6" w:rsidRDefault="00EE3B91" w:rsidP="00EE3B91">
      <w:pPr>
        <w:jc w:val="both"/>
        <w:rPr>
          <w:rFonts w:ascii="Arial Narrow" w:hAnsi="Arial Narrow"/>
        </w:rPr>
      </w:pPr>
    </w:p>
    <w:p w14:paraId="47F4FA81" w14:textId="77777777" w:rsidR="00EE3B91" w:rsidRPr="002363A6" w:rsidRDefault="00EE3B91" w:rsidP="00EE3B91">
      <w:pPr>
        <w:jc w:val="both"/>
        <w:rPr>
          <w:rFonts w:ascii="Arial Narrow" w:hAnsi="Arial Narrow"/>
        </w:rPr>
      </w:pPr>
      <w:r w:rsidRPr="002363A6">
        <w:rPr>
          <w:rFonts w:ascii="Arial Narrow" w:hAnsi="Arial Narrow"/>
        </w:rPr>
        <w:lastRenderedPageBreak/>
        <w:t xml:space="preserve">Together, these interventions do not operate as separate campaigns. They form part of one sustained vision, where the police are present not to control but to guide and protect. The SVRU did not try to scare young people into obedience. It worked with them, stayed with them and built something they could believe in. This is what real partnership looks like. It does not demand instant results. It demands consistency, respect and the kind of care that cannot be faked. The outcome is not just lowering crime. It is a generation that sees the police not as a threat but as part of the solution. The partnership approach to policing is essential in connecting the gap between law enforcement and the communities that have historically felt excluded. Through genuine collaboration, shared responsibility and early intervention, it becomes possible to rebuild legitimacy and establish long-term public confidence. The SVRU shows that this is not theoretical: it is operational and proven. When people are included and treated as participants, they begin to trust. This is how change begins, through presence, through partnership and through belief in a shared, better future. </w:t>
      </w:r>
    </w:p>
    <w:p w14:paraId="1C3B122A" w14:textId="77777777" w:rsidR="00EE3B91" w:rsidRPr="002363A6" w:rsidRDefault="00EE3B91" w:rsidP="00EE3B91">
      <w:pPr>
        <w:jc w:val="both"/>
        <w:rPr>
          <w:rFonts w:ascii="Arial Narrow" w:hAnsi="Arial Narrow"/>
        </w:rPr>
      </w:pPr>
    </w:p>
    <w:p w14:paraId="21348CEF" w14:textId="77777777" w:rsidR="00EE3B91" w:rsidRPr="002363A6" w:rsidRDefault="00EE3B91" w:rsidP="00EE3B91">
      <w:pPr>
        <w:jc w:val="both"/>
        <w:rPr>
          <w:rFonts w:ascii="Arial Narrow" w:hAnsi="Arial Narrow"/>
        </w:rPr>
      </w:pPr>
      <w:r w:rsidRPr="002363A6">
        <w:rPr>
          <w:rFonts w:ascii="Arial Narrow" w:hAnsi="Arial Narrow"/>
        </w:rPr>
        <w:t>[word count: 1907]</w:t>
      </w:r>
    </w:p>
    <w:p w14:paraId="42AC52B4" w14:textId="77777777" w:rsidR="00EE3B91" w:rsidRPr="002363A6" w:rsidRDefault="00EE3B91" w:rsidP="00EE3B91">
      <w:pPr>
        <w:jc w:val="both"/>
        <w:rPr>
          <w:rFonts w:ascii="Arial Narrow" w:hAnsi="Arial Narrow"/>
        </w:rPr>
      </w:pPr>
    </w:p>
    <w:p w14:paraId="67ED90B7" w14:textId="77777777" w:rsidR="00EE3B91" w:rsidRPr="002363A6" w:rsidRDefault="00EE3B91" w:rsidP="00EE3B91">
      <w:pPr>
        <w:jc w:val="both"/>
        <w:rPr>
          <w:rFonts w:ascii="Arial Narrow" w:hAnsi="Arial Narrow"/>
          <w:b/>
          <w:bCs/>
        </w:rPr>
      </w:pPr>
      <w:r w:rsidRPr="002363A6">
        <w:rPr>
          <w:rFonts w:ascii="Arial Narrow" w:hAnsi="Arial Narrow"/>
          <w:b/>
          <w:bCs/>
        </w:rPr>
        <w:t>Reference List:</w:t>
      </w:r>
    </w:p>
    <w:p w14:paraId="1FD5B32B" w14:textId="77777777" w:rsidR="00EE3B91" w:rsidRPr="002363A6" w:rsidRDefault="00EE3B91" w:rsidP="00EE3B91">
      <w:pPr>
        <w:jc w:val="both"/>
        <w:rPr>
          <w:rFonts w:ascii="Arial Narrow" w:hAnsi="Arial Narrow"/>
        </w:rPr>
      </w:pPr>
    </w:p>
    <w:p w14:paraId="644747AB" w14:textId="77777777" w:rsidR="00EE3B91" w:rsidRPr="002363A6" w:rsidRDefault="00EE3B91" w:rsidP="00EE3B91">
      <w:pPr>
        <w:spacing w:line="259" w:lineRule="auto"/>
        <w:rPr>
          <w:rFonts w:ascii="Arial Narrow" w:hAnsi="Arial Narrow"/>
        </w:rPr>
      </w:pPr>
      <w:r w:rsidRPr="002363A6">
        <w:rPr>
          <w:rFonts w:ascii="Arial Narrow" w:hAnsi="Arial Narrow"/>
        </w:rPr>
        <w:t>Perez, K. (2024). </w:t>
      </w:r>
      <w:r w:rsidRPr="002363A6">
        <w:rPr>
          <w:rFonts w:ascii="Arial Narrow" w:hAnsi="Arial Narrow"/>
          <w:i/>
          <w:iCs/>
        </w:rPr>
        <w:t xml:space="preserve">June: Community Engagement - </w:t>
      </w:r>
      <w:r w:rsidRPr="002363A6">
        <w:rPr>
          <w:rFonts w:ascii="Arial Narrow" w:eastAsiaTheme="minorHAnsi" w:hAnsi="Arial Narrow"/>
          <w:i/>
          <w:iCs/>
        </w:rPr>
        <w:t>The big picture</w:t>
      </w:r>
      <w:r w:rsidRPr="002363A6">
        <w:rPr>
          <w:rFonts w:ascii="Arial Narrow" w:eastAsiaTheme="minorHAnsi" w:hAnsi="Arial Narrow"/>
          <w:b/>
          <w:bCs/>
          <w:i/>
          <w:iCs/>
        </w:rPr>
        <w:t>: </w:t>
      </w:r>
      <w:r w:rsidRPr="002363A6">
        <w:rPr>
          <w:rFonts w:ascii="Arial Narrow" w:eastAsiaTheme="minorHAnsi" w:hAnsi="Arial Narrow"/>
          <w:i/>
          <w:iCs/>
        </w:rPr>
        <w:t>Laying a strong foundation of trust and legitimacy is crucial for effective policing.</w:t>
      </w:r>
      <w:r w:rsidRPr="002363A6">
        <w:rPr>
          <w:rFonts w:ascii="Arial Narrow" w:hAnsi="Arial Narrow"/>
        </w:rPr>
        <w:t xml:space="preserve"> National Policing Institute. Available at: </w:t>
      </w:r>
      <w:hyperlink r:id="rId18" w:history="1">
        <w:r w:rsidRPr="002363A6">
          <w:rPr>
            <w:rStyle w:val="Hyperlink"/>
            <w:rFonts w:ascii="Arial Narrow" w:hAnsi="Arial Narrow"/>
          </w:rPr>
          <w:t>https://www.policinginstitute.org/infocus/june-community-engagement/</w:t>
        </w:r>
      </w:hyperlink>
      <w:r w:rsidRPr="002363A6">
        <w:rPr>
          <w:rFonts w:ascii="Arial Narrow" w:hAnsi="Arial Narrow"/>
        </w:rPr>
        <w:t xml:space="preserve"> </w:t>
      </w:r>
      <w:r w:rsidRPr="002363A6">
        <w:rPr>
          <w:rFonts w:ascii="Arial Narrow" w:hAnsi="Arial Narrow" w:cs="Arial"/>
        </w:rPr>
        <w:t>(Accessed 24th May 2025).</w:t>
      </w:r>
    </w:p>
    <w:p w14:paraId="1D955D2A" w14:textId="77777777" w:rsidR="00EE3B91" w:rsidRPr="002363A6" w:rsidRDefault="00EE3B91" w:rsidP="00EE3B91">
      <w:pPr>
        <w:rPr>
          <w:rFonts w:ascii="Arial Narrow" w:hAnsi="Arial Narrow"/>
        </w:rPr>
      </w:pPr>
      <w:r w:rsidRPr="002363A6">
        <w:rPr>
          <w:rFonts w:ascii="Arial" w:hAnsi="Arial" w:cs="Arial"/>
        </w:rPr>
        <w:t>‌</w:t>
      </w:r>
    </w:p>
    <w:p w14:paraId="0623D945" w14:textId="77777777" w:rsidR="00EE3B91" w:rsidRPr="002363A6" w:rsidRDefault="00EE3B91" w:rsidP="00EE3B91">
      <w:pPr>
        <w:spacing w:line="259" w:lineRule="auto"/>
        <w:rPr>
          <w:rFonts w:ascii="Arial Narrow" w:hAnsi="Arial Narrow"/>
        </w:rPr>
      </w:pPr>
      <w:r w:rsidRPr="002363A6">
        <w:rPr>
          <w:rFonts w:ascii="Arial Narrow" w:hAnsi="Arial Narrow"/>
        </w:rPr>
        <w:t>Pastor, P., Corderman, D. and Jarvis, J. (2023). </w:t>
      </w:r>
      <w:r w:rsidRPr="002363A6">
        <w:rPr>
          <w:rFonts w:ascii="Arial Narrow" w:hAnsi="Arial Narrow"/>
          <w:i/>
          <w:iCs/>
        </w:rPr>
        <w:t>Intertwining Ethics and Confidence to Regain and Sustain Trust</w:t>
      </w:r>
      <w:r w:rsidRPr="002363A6">
        <w:rPr>
          <w:rFonts w:ascii="Arial Narrow" w:hAnsi="Arial Narrow"/>
        </w:rPr>
        <w:t xml:space="preserve">. FBI: Law Enforcement Bulletin. Available at: </w:t>
      </w:r>
      <w:hyperlink r:id="rId19" w:history="1">
        <w:r w:rsidRPr="002363A6">
          <w:rPr>
            <w:rStyle w:val="Hyperlink"/>
            <w:rFonts w:ascii="Arial Narrow" w:hAnsi="Arial Narrow"/>
          </w:rPr>
          <w:t>https://leb.fbi.gov/articles/featured-articles/intertwining-ethics-and-confidence-to-regain-and-sustain-trust-</w:t>
        </w:r>
      </w:hyperlink>
      <w:r w:rsidRPr="002363A6">
        <w:rPr>
          <w:rFonts w:ascii="Arial Narrow" w:hAnsi="Arial Narrow"/>
        </w:rPr>
        <w:t xml:space="preserve"> (</w:t>
      </w:r>
      <w:r w:rsidRPr="002363A6">
        <w:rPr>
          <w:rFonts w:ascii="Arial Narrow" w:hAnsi="Arial Narrow" w:cs="Arial"/>
        </w:rPr>
        <w:t>Accessed 24th May 2025).</w:t>
      </w:r>
    </w:p>
    <w:p w14:paraId="2852EAB5" w14:textId="77777777" w:rsidR="00EE3B91" w:rsidRPr="002363A6" w:rsidRDefault="00EE3B91" w:rsidP="00EE3B91">
      <w:pPr>
        <w:rPr>
          <w:rFonts w:ascii="Arial Narrow" w:hAnsi="Arial Narrow"/>
        </w:rPr>
      </w:pPr>
    </w:p>
    <w:p w14:paraId="1002F5E7" w14:textId="77777777" w:rsidR="00EE3B91" w:rsidRPr="002363A6" w:rsidRDefault="00EE3B91" w:rsidP="00EE3B91">
      <w:pPr>
        <w:spacing w:line="259" w:lineRule="auto"/>
        <w:rPr>
          <w:rFonts w:ascii="Arial Narrow" w:hAnsi="Arial Narrow"/>
        </w:rPr>
      </w:pPr>
      <w:r w:rsidRPr="002363A6">
        <w:rPr>
          <w:rFonts w:ascii="Arial Narrow" w:hAnsi="Arial Narrow"/>
        </w:rPr>
        <w:t>Women's Aid (2023). </w:t>
      </w:r>
      <w:r w:rsidRPr="002363A6">
        <w:rPr>
          <w:rFonts w:ascii="Arial Narrow" w:hAnsi="Arial Narrow"/>
          <w:i/>
          <w:iCs/>
        </w:rPr>
        <w:t xml:space="preserve">How Common Is Domestic abuse? </w:t>
      </w:r>
      <w:r w:rsidRPr="002363A6">
        <w:rPr>
          <w:rFonts w:ascii="Arial Narrow" w:hAnsi="Arial Narrow"/>
        </w:rPr>
        <w:t xml:space="preserve"> Women’s Aid. Available at: </w:t>
      </w:r>
      <w:hyperlink r:id="rId20" w:history="1">
        <w:r w:rsidRPr="002363A6">
          <w:rPr>
            <w:rStyle w:val="Hyperlink"/>
            <w:rFonts w:ascii="Arial Narrow" w:hAnsi="Arial Narrow"/>
          </w:rPr>
          <w:t>https://www.womensaid.org.uk/information-support/what-is-domestic-abuse/how-common-is-domestic-abuse/</w:t>
        </w:r>
      </w:hyperlink>
      <w:r w:rsidRPr="002363A6">
        <w:rPr>
          <w:rFonts w:ascii="Arial Narrow" w:hAnsi="Arial Narrow"/>
        </w:rPr>
        <w:t xml:space="preserve"> (</w:t>
      </w:r>
      <w:r w:rsidRPr="002363A6">
        <w:rPr>
          <w:rFonts w:ascii="Arial Narrow" w:hAnsi="Arial Narrow" w:cs="Arial"/>
        </w:rPr>
        <w:t>Accessed 24th May 2025).</w:t>
      </w:r>
    </w:p>
    <w:p w14:paraId="5CA051B8" w14:textId="77777777" w:rsidR="00EE3B91" w:rsidRPr="002363A6" w:rsidRDefault="00EE3B91" w:rsidP="00EE3B91">
      <w:pPr>
        <w:spacing w:line="259" w:lineRule="auto"/>
        <w:rPr>
          <w:rFonts w:ascii="Arial Narrow" w:hAnsi="Arial Narrow"/>
        </w:rPr>
      </w:pPr>
    </w:p>
    <w:p w14:paraId="0D6BDF88" w14:textId="77777777" w:rsidR="00EE3B91" w:rsidRPr="002363A6" w:rsidRDefault="00EE3B91" w:rsidP="00EE3B91">
      <w:pPr>
        <w:spacing w:line="259" w:lineRule="auto"/>
        <w:rPr>
          <w:rFonts w:ascii="Arial Narrow" w:hAnsi="Arial Narrow"/>
        </w:rPr>
      </w:pPr>
      <w:r w:rsidRPr="002363A6">
        <w:rPr>
          <w:rFonts w:ascii="Arial" w:hAnsi="Arial" w:cs="Arial"/>
        </w:rPr>
        <w:t>‌</w:t>
      </w:r>
      <w:r w:rsidRPr="002363A6">
        <w:rPr>
          <w:rFonts w:ascii="Arial Narrow" w:hAnsi="Arial Narrow"/>
        </w:rPr>
        <w:t>Home Office (2024). </w:t>
      </w:r>
      <w:r w:rsidRPr="002363A6">
        <w:rPr>
          <w:rFonts w:ascii="Arial Narrow" w:hAnsi="Arial Narrow"/>
          <w:i/>
          <w:iCs/>
        </w:rPr>
        <w:t>Crime, Justice and the Law -</w:t>
      </w:r>
      <w:r w:rsidRPr="002363A6">
        <w:rPr>
          <w:rFonts w:ascii="Arial Narrow" w:hAnsi="Arial Narrow"/>
        </w:rPr>
        <w:t xml:space="preserve"> </w:t>
      </w:r>
      <w:r w:rsidRPr="002363A6">
        <w:rPr>
          <w:rFonts w:ascii="Arial Narrow" w:hAnsi="Arial Narrow"/>
          <w:i/>
          <w:iCs/>
        </w:rPr>
        <w:t>Stop and Search</w:t>
      </w:r>
      <w:r w:rsidRPr="002363A6">
        <w:rPr>
          <w:rFonts w:ascii="Arial Narrow" w:hAnsi="Arial Narrow"/>
        </w:rPr>
        <w:t xml:space="preserve">. Ethnicity Facts and Figures Service. Available at: </w:t>
      </w:r>
      <w:hyperlink r:id="rId21" w:history="1">
        <w:r w:rsidRPr="002363A6">
          <w:rPr>
            <w:rStyle w:val="Hyperlink"/>
            <w:rFonts w:ascii="Arial Narrow" w:hAnsi="Arial Narrow"/>
          </w:rPr>
          <w:t>https://www.ethnicity-facts-figures.service.gov.uk/crime-justice-and-the-law/policing/stop-and-search/latest/</w:t>
        </w:r>
      </w:hyperlink>
      <w:r w:rsidRPr="002363A6">
        <w:rPr>
          <w:rFonts w:ascii="Arial Narrow" w:hAnsi="Arial Narrow"/>
        </w:rPr>
        <w:t xml:space="preserve"> (</w:t>
      </w:r>
      <w:r w:rsidRPr="002363A6">
        <w:rPr>
          <w:rFonts w:ascii="Arial Narrow" w:hAnsi="Arial Narrow" w:cs="Arial"/>
        </w:rPr>
        <w:t>Accessed 24th May 2025).</w:t>
      </w:r>
    </w:p>
    <w:p w14:paraId="7E6B1628" w14:textId="77777777" w:rsidR="00EE3B91" w:rsidRPr="002363A6" w:rsidRDefault="00EE3B91" w:rsidP="00EE3B91">
      <w:pPr>
        <w:rPr>
          <w:rFonts w:ascii="Arial Narrow" w:hAnsi="Arial Narrow"/>
        </w:rPr>
      </w:pPr>
    </w:p>
    <w:p w14:paraId="6D3DEDBF" w14:textId="77777777" w:rsidR="00EE3B91" w:rsidRPr="002363A6" w:rsidRDefault="00EE3B91" w:rsidP="00EE3B91">
      <w:pPr>
        <w:spacing w:line="259" w:lineRule="auto"/>
        <w:rPr>
          <w:rFonts w:ascii="Arial Narrow" w:hAnsi="Arial Narrow"/>
        </w:rPr>
      </w:pPr>
      <w:r w:rsidRPr="002363A6">
        <w:rPr>
          <w:rFonts w:ascii="Arial Narrow" w:hAnsi="Arial Narrow"/>
        </w:rPr>
        <w:t>Duffy, B. and Morini, P. (2024). </w:t>
      </w:r>
      <w:r w:rsidRPr="002363A6">
        <w:rPr>
          <w:rFonts w:ascii="Arial Narrow" w:hAnsi="Arial Narrow"/>
          <w:i/>
          <w:iCs/>
        </w:rPr>
        <w:t>The police have a problem with Gen Z</w:t>
      </w:r>
      <w:r w:rsidRPr="002363A6">
        <w:rPr>
          <w:rFonts w:ascii="Arial Narrow" w:hAnsi="Arial Narrow"/>
        </w:rPr>
        <w:t xml:space="preserve">. The Police Foundation. Available at: </w:t>
      </w:r>
      <w:hyperlink r:id="rId22" w:history="1">
        <w:r w:rsidRPr="002363A6">
          <w:rPr>
            <w:rStyle w:val="Hyperlink"/>
            <w:rFonts w:ascii="Arial Narrow" w:hAnsi="Arial Narrow"/>
          </w:rPr>
          <w:t>https://www.police-foundation.org.uk/2024/06/the-police-have-a-problem-with-gen-z/</w:t>
        </w:r>
      </w:hyperlink>
      <w:r w:rsidRPr="002363A6">
        <w:rPr>
          <w:rFonts w:ascii="Arial Narrow" w:hAnsi="Arial Narrow"/>
        </w:rPr>
        <w:t xml:space="preserve"> (</w:t>
      </w:r>
      <w:r w:rsidRPr="002363A6">
        <w:rPr>
          <w:rFonts w:ascii="Arial Narrow" w:hAnsi="Arial Narrow" w:cs="Arial"/>
        </w:rPr>
        <w:t>Accessed 24th May 2025).</w:t>
      </w:r>
    </w:p>
    <w:p w14:paraId="7BD6A3E8" w14:textId="77777777" w:rsidR="00EE3B91" w:rsidRPr="002363A6" w:rsidRDefault="00EE3B91" w:rsidP="00EE3B91">
      <w:pPr>
        <w:spacing w:line="259" w:lineRule="auto"/>
        <w:rPr>
          <w:rFonts w:ascii="Arial Narrow" w:hAnsi="Arial Narrow"/>
        </w:rPr>
      </w:pPr>
      <w:r w:rsidRPr="002363A6">
        <w:rPr>
          <w:rFonts w:ascii="Arial" w:hAnsi="Arial" w:cs="Arial"/>
        </w:rPr>
        <w:t>‌</w:t>
      </w:r>
    </w:p>
    <w:p w14:paraId="745AEE4B" w14:textId="77777777" w:rsidR="00EE3B91" w:rsidRPr="002363A6" w:rsidRDefault="00EE3B91" w:rsidP="00EE3B91">
      <w:pPr>
        <w:rPr>
          <w:rFonts w:ascii="Arial Narrow" w:hAnsi="Arial Narrow" w:cs="Arial"/>
        </w:rPr>
      </w:pPr>
      <w:r w:rsidRPr="002363A6">
        <w:rPr>
          <w:rFonts w:ascii="Arial Narrow" w:hAnsi="Arial Narrow"/>
        </w:rPr>
        <w:t xml:space="preserve">Grasso et al. (2024). </w:t>
      </w:r>
      <w:r w:rsidRPr="002363A6">
        <w:rPr>
          <w:rFonts w:ascii="Arial Narrow" w:hAnsi="Arial Narrow"/>
          <w:i/>
          <w:iCs/>
        </w:rPr>
        <w:t>Policing Progress: Findings from a National Survey of LGBTQ+ People’s Experiences with Law Enforcement</w:t>
      </w:r>
      <w:r w:rsidRPr="002363A6">
        <w:rPr>
          <w:rFonts w:ascii="Arial Narrow" w:hAnsi="Arial Narrow"/>
        </w:rPr>
        <w:t xml:space="preserve">. ACLU, New York, NY. Available at: </w:t>
      </w:r>
      <w:hyperlink r:id="rId23" w:history="1">
        <w:r w:rsidRPr="002363A6">
          <w:rPr>
            <w:rStyle w:val="Hyperlink"/>
            <w:rFonts w:ascii="Arial Narrow" w:hAnsi="Arial Narrow"/>
          </w:rPr>
          <w:t>https://www.aclu.org/publications/policing-progress-findings-from-a-national-survey-of-lgbtq-peoples-experiences-with-law-enforcement</w:t>
        </w:r>
      </w:hyperlink>
      <w:r w:rsidRPr="002363A6">
        <w:rPr>
          <w:rFonts w:ascii="Arial Narrow" w:hAnsi="Arial Narrow"/>
        </w:rPr>
        <w:t xml:space="preserve"> (</w:t>
      </w:r>
      <w:r w:rsidRPr="002363A6">
        <w:rPr>
          <w:rFonts w:ascii="Arial Narrow" w:hAnsi="Arial Narrow" w:cs="Arial"/>
        </w:rPr>
        <w:t>Accessed 24th May 2025).</w:t>
      </w:r>
    </w:p>
    <w:p w14:paraId="5F74AC8E" w14:textId="77777777" w:rsidR="00EE3B91" w:rsidRPr="002363A6" w:rsidRDefault="00EE3B91" w:rsidP="00EE3B91">
      <w:pPr>
        <w:rPr>
          <w:rFonts w:ascii="Arial Narrow" w:hAnsi="Arial Narrow" w:cs="Arial"/>
        </w:rPr>
      </w:pPr>
    </w:p>
    <w:p w14:paraId="1A0CA06D" w14:textId="77777777" w:rsidR="00EE3B91" w:rsidRPr="002363A6" w:rsidRDefault="00EE3B91" w:rsidP="00EE3B91">
      <w:pPr>
        <w:rPr>
          <w:rFonts w:ascii="Arial Narrow" w:hAnsi="Arial Narrow" w:cs="Arial"/>
        </w:rPr>
      </w:pPr>
      <w:r w:rsidRPr="002363A6">
        <w:rPr>
          <w:rFonts w:ascii="Arial Narrow" w:hAnsi="Arial Narrow"/>
        </w:rPr>
        <w:t xml:space="preserve">Andresen, M.A. and Hodgkinson, T. (2019). </w:t>
      </w:r>
      <w:r w:rsidRPr="002363A6">
        <w:rPr>
          <w:rFonts w:ascii="Arial Narrow" w:hAnsi="Arial Narrow"/>
          <w:i/>
          <w:iCs/>
        </w:rPr>
        <w:t>Policing interactions with persons with mental illness.</w:t>
      </w:r>
      <w:r w:rsidRPr="002363A6">
        <w:rPr>
          <w:rFonts w:ascii="Arial Narrow" w:hAnsi="Arial Narrow"/>
        </w:rPr>
        <w:t xml:space="preserve"> CRIMRXIV. Available at: </w:t>
      </w:r>
      <w:hyperlink r:id="rId24" w:history="1">
        <w:r w:rsidRPr="002363A6">
          <w:rPr>
            <w:rStyle w:val="Hyperlink"/>
            <w:rFonts w:ascii="Arial Narrow" w:hAnsi="Arial Narrow"/>
          </w:rPr>
          <w:t>https://www.crimrxiv.com/pub/rtzdzziq/release/1</w:t>
        </w:r>
      </w:hyperlink>
      <w:r w:rsidRPr="002363A6">
        <w:rPr>
          <w:rFonts w:ascii="Arial Narrow" w:hAnsi="Arial Narrow"/>
        </w:rPr>
        <w:t xml:space="preserve"> (</w:t>
      </w:r>
      <w:r w:rsidRPr="002363A6">
        <w:rPr>
          <w:rFonts w:ascii="Arial Narrow" w:hAnsi="Arial Narrow" w:cs="Arial"/>
        </w:rPr>
        <w:t>Accessed 24th May 2025).</w:t>
      </w:r>
    </w:p>
    <w:p w14:paraId="71732B18" w14:textId="77777777" w:rsidR="00EE3B91" w:rsidRPr="002363A6" w:rsidRDefault="00EE3B91" w:rsidP="00EE3B91">
      <w:pPr>
        <w:rPr>
          <w:rFonts w:ascii="Arial Narrow" w:hAnsi="Arial Narrow" w:cs="Arial"/>
        </w:rPr>
      </w:pPr>
    </w:p>
    <w:p w14:paraId="6A492C15" w14:textId="77777777" w:rsidR="00EE3B91" w:rsidRPr="002363A6" w:rsidRDefault="00EE3B91" w:rsidP="00EE3B91">
      <w:pPr>
        <w:rPr>
          <w:rFonts w:ascii="Arial Narrow" w:hAnsi="Arial Narrow" w:cs="Arial"/>
        </w:rPr>
      </w:pPr>
      <w:r w:rsidRPr="002363A6">
        <w:rPr>
          <w:rFonts w:ascii="Arial Narrow" w:hAnsi="Arial Narrow"/>
        </w:rPr>
        <w:t>JCWI (2024). </w:t>
      </w:r>
      <w:r w:rsidRPr="002363A6">
        <w:rPr>
          <w:rFonts w:ascii="Arial Narrow" w:hAnsi="Arial Narrow"/>
          <w:i/>
          <w:iCs/>
        </w:rPr>
        <w:t>The Hostile Environment Explained</w:t>
      </w:r>
      <w:r w:rsidRPr="002363A6">
        <w:rPr>
          <w:rFonts w:ascii="Arial Narrow" w:hAnsi="Arial Narrow"/>
        </w:rPr>
        <w:t xml:space="preserve">. Joint Council for the Welfare of Immigrants. Available at: </w:t>
      </w:r>
      <w:hyperlink r:id="rId25" w:history="1">
        <w:r w:rsidRPr="002363A6">
          <w:rPr>
            <w:rStyle w:val="Hyperlink"/>
            <w:rFonts w:ascii="Arial Narrow" w:hAnsi="Arial Narrow"/>
          </w:rPr>
          <w:t>https://jcwi.org.uk/reportsbriefings/the-hostile-environment-explained/</w:t>
        </w:r>
      </w:hyperlink>
      <w:r w:rsidRPr="002363A6">
        <w:rPr>
          <w:rFonts w:ascii="Arial Narrow" w:hAnsi="Arial Narrow"/>
        </w:rPr>
        <w:t xml:space="preserve"> (</w:t>
      </w:r>
      <w:r w:rsidRPr="002363A6">
        <w:rPr>
          <w:rFonts w:ascii="Arial Narrow" w:hAnsi="Arial Narrow" w:cs="Arial"/>
        </w:rPr>
        <w:t>Accessed 24th May 2025).</w:t>
      </w:r>
    </w:p>
    <w:p w14:paraId="142CFEEB" w14:textId="77777777" w:rsidR="00EE3B91" w:rsidRPr="002363A6" w:rsidRDefault="00EE3B91" w:rsidP="00EE3B91">
      <w:pPr>
        <w:spacing w:line="259" w:lineRule="auto"/>
        <w:rPr>
          <w:rFonts w:ascii="Arial Narrow" w:hAnsi="Arial Narrow"/>
        </w:rPr>
      </w:pPr>
    </w:p>
    <w:p w14:paraId="1D3C3652" w14:textId="77777777" w:rsidR="00EE3B91" w:rsidRPr="002363A6" w:rsidRDefault="00EE3B91" w:rsidP="00EE3B91">
      <w:pPr>
        <w:rPr>
          <w:rFonts w:ascii="Arial Narrow" w:hAnsi="Arial Narrow" w:cs="Arial"/>
        </w:rPr>
      </w:pPr>
      <w:r w:rsidRPr="002363A6">
        <w:rPr>
          <w:rFonts w:ascii="Arial" w:hAnsi="Arial" w:cs="Arial"/>
        </w:rPr>
        <w:t>‌</w:t>
      </w:r>
      <w:r w:rsidRPr="002363A6">
        <w:rPr>
          <w:rFonts w:ascii="Arial Narrow" w:hAnsi="Arial Narrow"/>
        </w:rPr>
        <w:t>Home Office (2023). </w:t>
      </w:r>
      <w:r w:rsidRPr="002363A6">
        <w:rPr>
          <w:rFonts w:ascii="Arial Narrow" w:hAnsi="Arial Narrow"/>
          <w:i/>
          <w:iCs/>
        </w:rPr>
        <w:t>Public polling on community safety</w:t>
      </w:r>
      <w:r w:rsidRPr="002363A6">
        <w:rPr>
          <w:rFonts w:ascii="Arial Narrow" w:hAnsi="Arial Narrow"/>
        </w:rPr>
        <w:t xml:space="preserve">. Home Office. Available at: </w:t>
      </w:r>
      <w:hyperlink r:id="rId26" w:history="1">
        <w:r w:rsidRPr="002363A6">
          <w:rPr>
            <w:rStyle w:val="Hyperlink"/>
            <w:rFonts w:ascii="Arial Narrow" w:hAnsi="Arial Narrow"/>
          </w:rPr>
          <w:t>https://www.gov.uk/government/publications/public-polling-on-community-safety/public-polling-on-community-safety</w:t>
        </w:r>
      </w:hyperlink>
      <w:r w:rsidRPr="002363A6">
        <w:rPr>
          <w:rFonts w:ascii="Arial Narrow" w:hAnsi="Arial Narrow"/>
        </w:rPr>
        <w:t xml:space="preserve"> (</w:t>
      </w:r>
      <w:r w:rsidRPr="002363A6">
        <w:rPr>
          <w:rFonts w:ascii="Arial Narrow" w:hAnsi="Arial Narrow" w:cs="Arial"/>
        </w:rPr>
        <w:t>Accessed 24th May 2025).</w:t>
      </w:r>
    </w:p>
    <w:p w14:paraId="29FC9D11" w14:textId="77777777" w:rsidR="00EE3B91" w:rsidRPr="002363A6" w:rsidRDefault="00EE3B91" w:rsidP="00EE3B91">
      <w:pPr>
        <w:rPr>
          <w:rFonts w:ascii="Arial Narrow" w:hAnsi="Arial Narrow" w:cs="Arial"/>
        </w:rPr>
      </w:pPr>
      <w:r w:rsidRPr="002363A6">
        <w:rPr>
          <w:rFonts w:ascii="Arial Narrow" w:hAnsi="Arial Narrow"/>
        </w:rPr>
        <w:t>London Assembly (2019). </w:t>
      </w:r>
      <w:r w:rsidRPr="002363A6">
        <w:rPr>
          <w:rFonts w:ascii="Arial Narrow" w:hAnsi="Arial Narrow"/>
          <w:i/>
          <w:iCs/>
        </w:rPr>
        <w:t xml:space="preserve">Community engagement in policing tactics. </w:t>
      </w:r>
      <w:r w:rsidRPr="002363A6">
        <w:rPr>
          <w:rFonts w:ascii="Arial Narrow" w:hAnsi="Arial Narrow"/>
        </w:rPr>
        <w:t xml:space="preserve">Mayor of London | London Assembly | Greater London Authority. Available at: </w:t>
      </w:r>
      <w:hyperlink r:id="rId27" w:history="1">
        <w:r w:rsidRPr="002363A6">
          <w:rPr>
            <w:rStyle w:val="Hyperlink"/>
            <w:rFonts w:ascii="Arial Narrow" w:hAnsi="Arial Narrow"/>
          </w:rPr>
          <w:t>https://www.london.gov.uk/who-we-are/what-london-assembly-does/questions-mayor/find-an-answer/community-engagement-policing-tactics</w:t>
        </w:r>
      </w:hyperlink>
      <w:r w:rsidRPr="002363A6">
        <w:rPr>
          <w:rFonts w:ascii="Arial Narrow" w:hAnsi="Arial Narrow"/>
        </w:rPr>
        <w:t xml:space="preserve"> (</w:t>
      </w:r>
      <w:r w:rsidRPr="002363A6">
        <w:rPr>
          <w:rFonts w:ascii="Arial Narrow" w:hAnsi="Arial Narrow" w:cs="Arial"/>
        </w:rPr>
        <w:t>Accessed 24th May 2025).</w:t>
      </w:r>
    </w:p>
    <w:p w14:paraId="5B224E45" w14:textId="77777777" w:rsidR="00EE3B91" w:rsidRPr="002363A6" w:rsidRDefault="00EE3B91" w:rsidP="00EE3B91">
      <w:pPr>
        <w:rPr>
          <w:rFonts w:ascii="Arial Narrow" w:hAnsi="Arial Narrow"/>
        </w:rPr>
      </w:pPr>
    </w:p>
    <w:p w14:paraId="4E2196A4" w14:textId="77777777" w:rsidR="00EE3B91" w:rsidRPr="002363A6" w:rsidRDefault="00EE3B91" w:rsidP="00EE3B91">
      <w:pPr>
        <w:rPr>
          <w:rFonts w:ascii="Arial Narrow" w:hAnsi="Arial Narrow" w:cs="Arial"/>
        </w:rPr>
      </w:pPr>
      <w:r w:rsidRPr="002363A6">
        <w:rPr>
          <w:rFonts w:ascii="Arial Narrow" w:hAnsi="Arial Narrow"/>
        </w:rPr>
        <w:t>Tudor, S. (2023). </w:t>
      </w:r>
      <w:r w:rsidRPr="002363A6">
        <w:rPr>
          <w:rFonts w:ascii="Arial Narrow" w:hAnsi="Arial Narrow"/>
          <w:i/>
          <w:iCs/>
        </w:rPr>
        <w:t>Police Standards and culture: Restoring Public Trust</w:t>
      </w:r>
      <w:r w:rsidRPr="002363A6">
        <w:rPr>
          <w:rFonts w:ascii="Arial Narrow" w:hAnsi="Arial Narrow"/>
        </w:rPr>
        <w:t xml:space="preserve">. House of Lords Library. Available at: </w:t>
      </w:r>
      <w:hyperlink r:id="rId28" w:history="1">
        <w:r w:rsidRPr="002363A6">
          <w:rPr>
            <w:rStyle w:val="Hyperlink"/>
            <w:rFonts w:ascii="Arial Narrow" w:hAnsi="Arial Narrow"/>
          </w:rPr>
          <w:t>https://lordslibrary.parliament.uk/police-standards-and-culture-restoring-public-trust/</w:t>
        </w:r>
      </w:hyperlink>
      <w:r w:rsidRPr="002363A6">
        <w:rPr>
          <w:rFonts w:ascii="Arial Narrow" w:hAnsi="Arial Narrow"/>
        </w:rPr>
        <w:t xml:space="preserve"> (</w:t>
      </w:r>
      <w:r w:rsidRPr="002363A6">
        <w:rPr>
          <w:rFonts w:ascii="Arial Narrow" w:hAnsi="Arial Narrow" w:cs="Arial"/>
        </w:rPr>
        <w:t>Accessed 24th May 2025).</w:t>
      </w:r>
    </w:p>
    <w:p w14:paraId="799CE8CB" w14:textId="77777777" w:rsidR="00EE3B91" w:rsidRPr="002363A6" w:rsidRDefault="00EE3B91" w:rsidP="00EE3B91">
      <w:pPr>
        <w:spacing w:line="259" w:lineRule="auto"/>
        <w:rPr>
          <w:rFonts w:ascii="Arial Narrow" w:hAnsi="Arial Narrow"/>
        </w:rPr>
      </w:pPr>
    </w:p>
    <w:p w14:paraId="139B9E13" w14:textId="77777777" w:rsidR="00EE3B91" w:rsidRPr="002363A6" w:rsidRDefault="00EE3B91" w:rsidP="00EE3B91">
      <w:pPr>
        <w:spacing w:line="259" w:lineRule="auto"/>
        <w:rPr>
          <w:rFonts w:ascii="Arial Narrow" w:hAnsi="Arial Narrow"/>
        </w:rPr>
      </w:pPr>
      <w:r w:rsidRPr="002363A6">
        <w:rPr>
          <w:rFonts w:ascii="Arial" w:hAnsi="Arial" w:cs="Arial"/>
        </w:rPr>
        <w:t>‌</w:t>
      </w:r>
      <w:r w:rsidRPr="002363A6">
        <w:rPr>
          <w:rFonts w:ascii="Arial Narrow" w:hAnsi="Arial Narrow"/>
        </w:rPr>
        <w:t>Scottish Violence Reduction Unit (2020). </w:t>
      </w:r>
      <w:r w:rsidRPr="002363A6">
        <w:rPr>
          <w:rFonts w:ascii="Arial Narrow" w:hAnsi="Arial Narrow"/>
          <w:i/>
          <w:iCs/>
        </w:rPr>
        <w:t>About Us - Scottish Violence Reduction Unit</w:t>
      </w:r>
      <w:r w:rsidRPr="002363A6">
        <w:rPr>
          <w:rFonts w:ascii="Arial Narrow" w:hAnsi="Arial Narrow"/>
        </w:rPr>
        <w:t xml:space="preserve">. Scottish Violence Reduction Unit. Available at: </w:t>
      </w:r>
      <w:hyperlink r:id="rId29" w:history="1">
        <w:r w:rsidRPr="002363A6">
          <w:rPr>
            <w:rStyle w:val="Hyperlink"/>
            <w:rFonts w:ascii="Arial Narrow" w:hAnsi="Arial Narrow"/>
          </w:rPr>
          <w:t>https://www.svru.co.uk/about-us/</w:t>
        </w:r>
      </w:hyperlink>
      <w:r w:rsidRPr="002363A6">
        <w:rPr>
          <w:rFonts w:ascii="Arial Narrow" w:hAnsi="Arial Narrow"/>
        </w:rPr>
        <w:t xml:space="preserve"> (</w:t>
      </w:r>
      <w:r w:rsidRPr="002363A6">
        <w:rPr>
          <w:rFonts w:ascii="Arial Narrow" w:hAnsi="Arial Narrow" w:cs="Arial"/>
        </w:rPr>
        <w:t>Accessed 24th May 2025).</w:t>
      </w:r>
    </w:p>
    <w:p w14:paraId="540BE8C9" w14:textId="77777777" w:rsidR="00EE3B91" w:rsidRPr="002363A6" w:rsidRDefault="00EE3B91" w:rsidP="00EE3B91">
      <w:pPr>
        <w:rPr>
          <w:rFonts w:ascii="Arial Narrow" w:hAnsi="Arial Narrow"/>
        </w:rPr>
      </w:pPr>
      <w:r w:rsidRPr="002363A6">
        <w:rPr>
          <w:rFonts w:ascii="Arial" w:hAnsi="Arial" w:cs="Arial"/>
        </w:rPr>
        <w:t>‌</w:t>
      </w:r>
    </w:p>
    <w:p w14:paraId="67EE5576" w14:textId="77777777" w:rsidR="00EE3B91" w:rsidRPr="002363A6" w:rsidRDefault="00EE3B91" w:rsidP="00EE3B91">
      <w:pPr>
        <w:spacing w:line="259" w:lineRule="auto"/>
        <w:rPr>
          <w:rFonts w:ascii="Arial Narrow" w:hAnsi="Arial Narrow"/>
        </w:rPr>
      </w:pPr>
      <w:r w:rsidRPr="002363A6">
        <w:rPr>
          <w:rFonts w:ascii="Arial Narrow" w:hAnsi="Arial Narrow"/>
        </w:rPr>
        <w:t>Relationships Project (n.d.). </w:t>
      </w:r>
      <w:r w:rsidRPr="002363A6">
        <w:rPr>
          <w:rFonts w:ascii="Arial Narrow" w:eastAsiaTheme="minorHAnsi" w:hAnsi="Arial Narrow"/>
          <w:i/>
          <w:iCs/>
        </w:rPr>
        <w:t>Case study: Scottish Violence Reduction Unit (SVRU)</w:t>
      </w:r>
      <w:r w:rsidRPr="002363A6">
        <w:rPr>
          <w:rFonts w:ascii="Arial Narrow" w:hAnsi="Arial Narrow"/>
          <w:i/>
          <w:iCs/>
        </w:rPr>
        <w:t>. A public health approach to ending violence.</w:t>
      </w:r>
      <w:r w:rsidRPr="002363A6">
        <w:rPr>
          <w:rFonts w:ascii="Arial Narrow" w:hAnsi="Arial Narrow"/>
          <w:b/>
          <w:bCs/>
          <w:i/>
          <w:iCs/>
        </w:rPr>
        <w:t xml:space="preserve"> </w:t>
      </w:r>
      <w:r w:rsidRPr="002363A6">
        <w:rPr>
          <w:rFonts w:ascii="Arial Narrow" w:hAnsi="Arial Narrow"/>
        </w:rPr>
        <w:t xml:space="preserve">Relationships Project. Available at: </w:t>
      </w:r>
      <w:hyperlink r:id="rId30" w:history="1">
        <w:r w:rsidRPr="002363A6">
          <w:rPr>
            <w:rStyle w:val="Hyperlink"/>
            <w:rFonts w:ascii="Arial Narrow" w:hAnsi="Arial Narrow"/>
          </w:rPr>
          <w:t>https://relationshipsproject.org/project/48771/</w:t>
        </w:r>
      </w:hyperlink>
      <w:r w:rsidRPr="002363A6">
        <w:rPr>
          <w:rFonts w:ascii="Arial Narrow" w:hAnsi="Arial Narrow"/>
        </w:rPr>
        <w:t xml:space="preserve"> (</w:t>
      </w:r>
      <w:r w:rsidRPr="002363A6">
        <w:rPr>
          <w:rFonts w:ascii="Arial Narrow" w:hAnsi="Arial Narrow" w:cs="Arial"/>
        </w:rPr>
        <w:t>Accessed 24th May 2025).</w:t>
      </w:r>
    </w:p>
    <w:p w14:paraId="3D518608" w14:textId="77777777" w:rsidR="00EE3B91" w:rsidRPr="002363A6" w:rsidRDefault="00EE3B91" w:rsidP="00EE3B91">
      <w:pPr>
        <w:spacing w:line="259" w:lineRule="auto"/>
        <w:rPr>
          <w:rFonts w:ascii="Arial Narrow" w:hAnsi="Arial Narrow"/>
        </w:rPr>
      </w:pPr>
    </w:p>
    <w:p w14:paraId="7B8FA58A" w14:textId="77777777" w:rsidR="00EE3B91" w:rsidRPr="002363A6" w:rsidRDefault="00EE3B91" w:rsidP="00EE3B91">
      <w:pPr>
        <w:rPr>
          <w:rFonts w:ascii="Arial Narrow" w:hAnsi="Arial Narrow" w:cs="Arial"/>
        </w:rPr>
      </w:pPr>
      <w:r w:rsidRPr="002363A6">
        <w:rPr>
          <w:rFonts w:ascii="Arial Narrow" w:hAnsi="Arial Narrow"/>
        </w:rPr>
        <w:t>Youth Link Scotland (2024). </w:t>
      </w:r>
      <w:r w:rsidRPr="002363A6">
        <w:rPr>
          <w:rFonts w:ascii="Arial Narrow" w:hAnsi="Arial Narrow"/>
          <w:i/>
          <w:iCs/>
        </w:rPr>
        <w:t>Quit Fighting for Likes</w:t>
      </w:r>
      <w:r w:rsidRPr="002363A6">
        <w:rPr>
          <w:rFonts w:ascii="Arial Narrow" w:hAnsi="Arial Narrow"/>
        </w:rPr>
        <w:t xml:space="preserve">. Youth Link Scotland. Available at: </w:t>
      </w:r>
      <w:hyperlink r:id="rId31" w:history="1">
        <w:r w:rsidRPr="002363A6">
          <w:rPr>
            <w:rStyle w:val="Hyperlink"/>
            <w:rFonts w:ascii="Arial Narrow" w:hAnsi="Arial Narrow"/>
          </w:rPr>
          <w:t>https://www.youthlink.scot/news/quit-fighting-for-likes/</w:t>
        </w:r>
      </w:hyperlink>
      <w:r w:rsidRPr="002363A6">
        <w:rPr>
          <w:rFonts w:ascii="Arial Narrow" w:hAnsi="Arial Narrow"/>
        </w:rPr>
        <w:t xml:space="preserve"> (</w:t>
      </w:r>
      <w:r w:rsidRPr="002363A6">
        <w:rPr>
          <w:rFonts w:ascii="Arial Narrow" w:hAnsi="Arial Narrow" w:cs="Arial"/>
        </w:rPr>
        <w:t>Accessed 24th May 2025).</w:t>
      </w:r>
    </w:p>
    <w:p w14:paraId="50CE87A8" w14:textId="77777777" w:rsidR="00EE3B91" w:rsidRPr="002363A6" w:rsidRDefault="00EE3B91" w:rsidP="00EE3B91">
      <w:pPr>
        <w:spacing w:line="259" w:lineRule="auto"/>
        <w:rPr>
          <w:rFonts w:ascii="Arial Narrow" w:hAnsi="Arial Narrow"/>
        </w:rPr>
      </w:pPr>
      <w:r w:rsidRPr="002363A6">
        <w:rPr>
          <w:rFonts w:ascii="Arial" w:hAnsi="Arial" w:cs="Arial"/>
        </w:rPr>
        <w:t>‌</w:t>
      </w:r>
    </w:p>
    <w:p w14:paraId="1E3720DC" w14:textId="77777777" w:rsidR="00EE3B91" w:rsidRPr="002363A6" w:rsidRDefault="00EE3B91" w:rsidP="00EE3B91">
      <w:pPr>
        <w:rPr>
          <w:rFonts w:ascii="Arial Narrow" w:hAnsi="Arial Narrow" w:cs="Arial"/>
        </w:rPr>
      </w:pPr>
      <w:r w:rsidRPr="002363A6">
        <w:rPr>
          <w:rFonts w:ascii="Arial Narrow" w:hAnsi="Arial Narrow"/>
        </w:rPr>
        <w:t>Scottish Government (2018). </w:t>
      </w:r>
      <w:r w:rsidRPr="002363A6">
        <w:rPr>
          <w:rFonts w:ascii="Arial Narrow" w:hAnsi="Arial Narrow"/>
          <w:i/>
          <w:iCs/>
        </w:rPr>
        <w:t>Crime prevention: Violence including knife crime</w:t>
      </w:r>
      <w:r w:rsidRPr="002363A6">
        <w:rPr>
          <w:rFonts w:ascii="Arial Narrow" w:hAnsi="Arial Narrow"/>
        </w:rPr>
        <w:t xml:space="preserve">. Scottish Government. Available at: </w:t>
      </w:r>
      <w:hyperlink r:id="rId32" w:history="1">
        <w:r w:rsidRPr="002363A6">
          <w:rPr>
            <w:rStyle w:val="Hyperlink"/>
            <w:rFonts w:ascii="Arial Narrow" w:hAnsi="Arial Narrow"/>
          </w:rPr>
          <w:t>https://www.gov.scot/policies/crime-prevention-and-reduction/violence-knife-crime/</w:t>
        </w:r>
      </w:hyperlink>
      <w:r w:rsidRPr="002363A6">
        <w:rPr>
          <w:rFonts w:ascii="Arial Narrow" w:hAnsi="Arial Narrow"/>
        </w:rPr>
        <w:t xml:space="preserve"> (</w:t>
      </w:r>
      <w:r w:rsidRPr="002363A6">
        <w:rPr>
          <w:rFonts w:ascii="Arial Narrow" w:hAnsi="Arial Narrow" w:cs="Arial"/>
        </w:rPr>
        <w:t>Accessed 24th May 2025).</w:t>
      </w:r>
    </w:p>
    <w:p w14:paraId="43F44FD2" w14:textId="77777777" w:rsidR="00EE3B91" w:rsidRPr="002363A6" w:rsidRDefault="00EE3B91" w:rsidP="00EE3B91">
      <w:pPr>
        <w:jc w:val="both"/>
        <w:rPr>
          <w:rFonts w:ascii="Arial Narrow" w:hAnsi="Arial Narrow"/>
        </w:rPr>
      </w:pPr>
    </w:p>
    <w:p w14:paraId="0EA6F21A" w14:textId="77777777" w:rsidR="00EE3B91" w:rsidRPr="002363A6" w:rsidRDefault="00EE3B91" w:rsidP="00EE3B91">
      <w:pPr>
        <w:jc w:val="both"/>
        <w:rPr>
          <w:rFonts w:ascii="Arial Narrow" w:hAnsi="Arial Narrow"/>
        </w:rPr>
      </w:pPr>
    </w:p>
    <w:p w14:paraId="35A27583" w14:textId="77777777" w:rsidR="00EE3B91" w:rsidRPr="002363A6" w:rsidRDefault="00EE3B91" w:rsidP="00EE3B91">
      <w:pPr>
        <w:pStyle w:val="NormalWeb"/>
        <w:jc w:val="both"/>
        <w:rPr>
          <w:rFonts w:ascii="Arial Narrow" w:hAnsi="Arial Narrow"/>
        </w:rPr>
      </w:pPr>
    </w:p>
    <w:p w14:paraId="0A504BA3" w14:textId="77777777" w:rsidR="00892A31" w:rsidRPr="002363A6" w:rsidRDefault="00892A31" w:rsidP="00EE3B91">
      <w:pPr>
        <w:rPr>
          <w:rFonts w:ascii="Arial Narrow" w:hAnsi="Arial Narrow"/>
        </w:rPr>
      </w:pPr>
    </w:p>
    <w:sectPr w:rsidR="00892A31" w:rsidRPr="002363A6" w:rsidSect="0054332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F5A"/>
    <w:rsid w:val="00182726"/>
    <w:rsid w:val="002363A6"/>
    <w:rsid w:val="00543321"/>
    <w:rsid w:val="00714F5A"/>
    <w:rsid w:val="00892A31"/>
    <w:rsid w:val="009D1DFB"/>
    <w:rsid w:val="00AD2994"/>
    <w:rsid w:val="00D2740B"/>
    <w:rsid w:val="00EE3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2FE71"/>
  <w15:chartTrackingRefBased/>
  <w15:docId w15:val="{CFD579BA-9438-4326-BD71-72159EE3A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B91"/>
    <w:pPr>
      <w:spacing w:line="278" w:lineRule="auto"/>
    </w:pPr>
    <w:rPr>
      <w:rFonts w:eastAsiaTheme="minorEastAsia"/>
      <w:sz w:val="24"/>
      <w:szCs w:val="24"/>
      <w:lang w:eastAsia="en-GB"/>
    </w:rPr>
  </w:style>
  <w:style w:type="paragraph" w:styleId="Heading1">
    <w:name w:val="heading 1"/>
    <w:basedOn w:val="Normal"/>
    <w:next w:val="Normal"/>
    <w:link w:val="Heading1Char"/>
    <w:uiPriority w:val="9"/>
    <w:qFormat/>
    <w:rsid w:val="00714F5A"/>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714F5A"/>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714F5A"/>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714F5A"/>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714F5A"/>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714F5A"/>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714F5A"/>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714F5A"/>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714F5A"/>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F5A"/>
    <w:rPr>
      <w:rFonts w:eastAsiaTheme="majorEastAsia" w:cstheme="majorBidi"/>
      <w:color w:val="272727" w:themeColor="text1" w:themeTint="D8"/>
    </w:rPr>
  </w:style>
  <w:style w:type="paragraph" w:styleId="Title">
    <w:name w:val="Title"/>
    <w:basedOn w:val="Normal"/>
    <w:next w:val="Normal"/>
    <w:link w:val="TitleChar"/>
    <w:uiPriority w:val="10"/>
    <w:qFormat/>
    <w:rsid w:val="00714F5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14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F5A"/>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14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F5A"/>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714F5A"/>
    <w:rPr>
      <w:i/>
      <w:iCs/>
      <w:color w:val="404040" w:themeColor="text1" w:themeTint="BF"/>
    </w:rPr>
  </w:style>
  <w:style w:type="paragraph" w:styleId="ListParagraph">
    <w:name w:val="List Paragraph"/>
    <w:basedOn w:val="Normal"/>
    <w:uiPriority w:val="34"/>
    <w:qFormat/>
    <w:rsid w:val="00714F5A"/>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714F5A"/>
    <w:rPr>
      <w:i/>
      <w:iCs/>
      <w:color w:val="0F4761" w:themeColor="accent1" w:themeShade="BF"/>
    </w:rPr>
  </w:style>
  <w:style w:type="paragraph" w:styleId="IntenseQuote">
    <w:name w:val="Intense Quote"/>
    <w:basedOn w:val="Normal"/>
    <w:next w:val="Normal"/>
    <w:link w:val="IntenseQuoteChar"/>
    <w:uiPriority w:val="30"/>
    <w:qFormat/>
    <w:rsid w:val="00714F5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714F5A"/>
    <w:rPr>
      <w:i/>
      <w:iCs/>
      <w:color w:val="0F4761" w:themeColor="accent1" w:themeShade="BF"/>
    </w:rPr>
  </w:style>
  <w:style w:type="character" w:styleId="IntenseReference">
    <w:name w:val="Intense Reference"/>
    <w:basedOn w:val="DefaultParagraphFont"/>
    <w:uiPriority w:val="32"/>
    <w:qFormat/>
    <w:rsid w:val="00714F5A"/>
    <w:rPr>
      <w:b/>
      <w:bCs/>
      <w:smallCaps/>
      <w:color w:val="0F4761" w:themeColor="accent1" w:themeShade="BF"/>
      <w:spacing w:val="5"/>
    </w:rPr>
  </w:style>
  <w:style w:type="character" w:styleId="Hyperlink">
    <w:name w:val="Hyperlink"/>
    <w:basedOn w:val="DefaultParagraphFont"/>
    <w:uiPriority w:val="99"/>
    <w:unhideWhenUsed/>
    <w:rsid w:val="00543321"/>
    <w:rPr>
      <w:color w:val="467886" w:themeColor="hyperlink"/>
      <w:u w:val="single"/>
    </w:rPr>
  </w:style>
  <w:style w:type="character" w:styleId="UnresolvedMention">
    <w:name w:val="Unresolved Mention"/>
    <w:basedOn w:val="DefaultParagraphFont"/>
    <w:uiPriority w:val="99"/>
    <w:semiHidden/>
    <w:unhideWhenUsed/>
    <w:rsid w:val="00543321"/>
    <w:rPr>
      <w:color w:val="605E5C"/>
      <w:shd w:val="clear" w:color="auto" w:fill="E1DFDD"/>
    </w:rPr>
  </w:style>
  <w:style w:type="paragraph" w:styleId="NormalWeb">
    <w:name w:val="Normal (Web)"/>
    <w:basedOn w:val="Normal"/>
    <w:uiPriority w:val="99"/>
    <w:unhideWhenUsed/>
    <w:rsid w:val="00EE3B91"/>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EE3B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670965">
      <w:bodyDiv w:val="1"/>
      <w:marLeft w:val="0"/>
      <w:marRight w:val="0"/>
      <w:marTop w:val="0"/>
      <w:marBottom w:val="0"/>
      <w:divBdr>
        <w:top w:val="none" w:sz="0" w:space="0" w:color="auto"/>
        <w:left w:val="none" w:sz="0" w:space="0" w:color="auto"/>
        <w:bottom w:val="none" w:sz="0" w:space="0" w:color="auto"/>
        <w:right w:val="none" w:sz="0" w:space="0" w:color="auto"/>
      </w:divBdr>
    </w:div>
    <w:div w:id="181602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initiative.net/wp-content/uploads/2018/10/PP6-7_2018-1.pdf" TargetMode="External"/><Relationship Id="rId13" Type="http://schemas.openxmlformats.org/officeDocument/2006/relationships/hyperlink" Target="https://archives.fbi.gov/archives/news/testimony/international-drug-trafficking-and-terrorism" TargetMode="External"/><Relationship Id="rId18" Type="http://schemas.openxmlformats.org/officeDocument/2006/relationships/hyperlink" Target="https://www.policinginstitute.org/infocus/june-community-engagement/" TargetMode="External"/><Relationship Id="rId26" Type="http://schemas.openxmlformats.org/officeDocument/2006/relationships/hyperlink" Target="https://www.gov.uk/government/publications/public-polling-on-community-safety/public-polling-on-community-safety" TargetMode="External"/><Relationship Id="rId3" Type="http://schemas.openxmlformats.org/officeDocument/2006/relationships/webSettings" Target="webSettings.xml"/><Relationship Id="rId21" Type="http://schemas.openxmlformats.org/officeDocument/2006/relationships/hyperlink" Target="https://www.ethnicity-facts-figures.service.gov.uk/crime-justice-and-the-law/policing/stop-and-search/latest/" TargetMode="External"/><Relationship Id="rId34" Type="http://schemas.openxmlformats.org/officeDocument/2006/relationships/theme" Target="theme/theme1.xml"/><Relationship Id="rId7" Type="http://schemas.openxmlformats.org/officeDocument/2006/relationships/hyperlink" Target="https://www.unodc.org/unodc/en/organized-crime/intro.html" TargetMode="External"/><Relationship Id="rId12" Type="http://schemas.openxmlformats.org/officeDocument/2006/relationships/hyperlink" Target="https://obamawhitehouse.archives.gov/administration/eop/nsc/transnational-crime/threat" TargetMode="External"/><Relationship Id="rId17" Type="http://schemas.openxmlformats.org/officeDocument/2006/relationships/hyperlink" Target="https://www.svru.co.uk/about-us/" TargetMode="External"/><Relationship Id="rId25" Type="http://schemas.openxmlformats.org/officeDocument/2006/relationships/hyperlink" Target="https://jcwi.org.uk/reportsbriefings/the-hostile-environment-explained/"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hathamhouse.org/sites/default/files/field/field_publication_docs/INTA91_1_02_Herrington.pdf" TargetMode="External"/><Relationship Id="rId20" Type="http://schemas.openxmlformats.org/officeDocument/2006/relationships/hyperlink" Target="https://www.womensaid.org.uk/information-support/what-is-domestic-abuse/how-common-is-domestic-abuse/" TargetMode="External"/><Relationship Id="rId29" Type="http://schemas.openxmlformats.org/officeDocument/2006/relationships/hyperlink" Target="https://www.svru.co.uk/about-us/" TargetMode="External"/><Relationship Id="rId1" Type="http://schemas.openxmlformats.org/officeDocument/2006/relationships/styles" Target="styles.xml"/><Relationship Id="rId6" Type="http://schemas.openxmlformats.org/officeDocument/2006/relationships/hyperlink" Target="https://www.unodc.org/e4j/en/organized-crime/module-16/key-issues/theoretical-frameworks-on-the-linkages-between-organized-crime-and-terrorism.html" TargetMode="External"/><Relationship Id="rId11" Type="http://schemas.openxmlformats.org/officeDocument/2006/relationships/hyperlink" Target="https://archives.fbi.gov/archives/news/testimony/international-drug-trafficking-and-terrorism" TargetMode="External"/><Relationship Id="rId24" Type="http://schemas.openxmlformats.org/officeDocument/2006/relationships/hyperlink" Target="https://www.crimrxiv.com/pub/rtzdzziq/release/1" TargetMode="External"/><Relationship Id="rId32" Type="http://schemas.openxmlformats.org/officeDocument/2006/relationships/hyperlink" Target="https://www.gov.scot/policies/crime-prevention-and-reduction/violence-knife-crime/" TargetMode="External"/><Relationship Id="rId5" Type="http://schemas.openxmlformats.org/officeDocument/2006/relationships/hyperlink" Target="https://www.gov.uk/government/publications/counter-terrorism-disruptive-powers-report-2023/counter-terrorism-disruptive-powers-report-2023-accessible" TargetMode="External"/><Relationship Id="rId15" Type="http://schemas.openxmlformats.org/officeDocument/2006/relationships/hyperlink" Target="https://www.visionofhumanity.org/how-illicit-economies-fund-terrorism/" TargetMode="External"/><Relationship Id="rId23" Type="http://schemas.openxmlformats.org/officeDocument/2006/relationships/hyperlink" Target="https://www.aclu.org/publications/policing-progress-findings-from-a-national-survey-of-lgbtq-peoples-experiences-with-law-enforcement" TargetMode="External"/><Relationship Id="rId28" Type="http://schemas.openxmlformats.org/officeDocument/2006/relationships/hyperlink" Target="https://lordslibrary.parliament.uk/police-standards-and-culture-restoring-public-trust/" TargetMode="External"/><Relationship Id="rId10" Type="http://schemas.openxmlformats.org/officeDocument/2006/relationships/hyperlink" Target="https://unicri.org/index.php/news/Nexus-organizedcrime-terrorism" TargetMode="External"/><Relationship Id="rId19" Type="http://schemas.openxmlformats.org/officeDocument/2006/relationships/hyperlink" Target="https://leb.fbi.gov/articles/featured-articles/intertwining-ethics-and-confidence-to-regain-and-sustain-trust-" TargetMode="External"/><Relationship Id="rId31" Type="http://schemas.openxmlformats.org/officeDocument/2006/relationships/hyperlink" Target="https://www.youthlink.scot/news/quit-fighting-for-likes/" TargetMode="External"/><Relationship Id="rId4" Type="http://schemas.openxmlformats.org/officeDocument/2006/relationships/hyperlink" Target="https://www.europol.europa.eu/socta/2017/links-between.html" TargetMode="External"/><Relationship Id="rId9" Type="http://schemas.openxmlformats.org/officeDocument/2006/relationships/hyperlink" Target="https://news.flinders.edu.au/blog/2024/06/27/crime-terror-nexus-battles-drug-control/" TargetMode="External"/><Relationship Id="rId14" Type="http://schemas.openxmlformats.org/officeDocument/2006/relationships/hyperlink" Target="https://www.un.org/en/peace-and-security/transnational-crime" TargetMode="External"/><Relationship Id="rId22" Type="http://schemas.openxmlformats.org/officeDocument/2006/relationships/hyperlink" Target="https://www.police-foundation.org.uk/2024/06/the-police-have-a-problem-with-gen-z/" TargetMode="External"/><Relationship Id="rId27" Type="http://schemas.openxmlformats.org/officeDocument/2006/relationships/hyperlink" Target="https://www.london.gov.uk/who-we-are/what-london-assembly-does/questions-mayor/find-an-answer/community-engagement-policing-tactics" TargetMode="External"/><Relationship Id="rId30" Type="http://schemas.openxmlformats.org/officeDocument/2006/relationships/hyperlink" Target="https://relationshipsproject.org/project/487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5508</Words>
  <Characters>31401</Characters>
  <Application>Microsoft Office Word</Application>
  <DocSecurity>0</DocSecurity>
  <Lines>261</Lines>
  <Paragraphs>73</Paragraphs>
  <ScaleCrop>false</ScaleCrop>
  <Company>Gwent Police</Company>
  <LinksUpToDate>false</LinksUpToDate>
  <CharactersWithSpaces>36836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Ionescu, Angela</dc:creator>
  <cp:keywords/>
  <dc:description/>
  <cp:lastModifiedBy>Ionescu, Angela</cp:lastModifiedBy>
  <cp:revision>4</cp:revision>
  <dcterms:created xsi:type="dcterms:W3CDTF">2025-05-26T22:06:00Z</dcterms:created>
  <dcterms:modified xsi:type="dcterms:W3CDTF">2025-05-26T22:11:00Z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2025-05-26T22:07:59Z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34db8f1c-cdb3-4a57-a491-2fa58f9efe83</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