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358B8" w14:textId="0DFD9D8D" w:rsidR="001053F3" w:rsidRDefault="002811C7" w:rsidP="00E57299">
      <w:pPr>
        <w:pStyle w:val="Heading1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431680" behindDoc="1" locked="0" layoutInCell="1" allowOverlap="1" wp14:anchorId="4DDE97EC" wp14:editId="6F7706CF">
                <wp:simplePos x="0" y="0"/>
                <wp:positionH relativeFrom="page">
                  <wp:posOffset>0</wp:posOffset>
                </wp:positionH>
                <wp:positionV relativeFrom="page">
                  <wp:posOffset>3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130"/>
                          <a:chOff x="0" y="0"/>
                          <a:chExt cx="7560309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916939"/>
                            <a:ext cx="7560309" cy="9775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9775190">
                                <a:moveTo>
                                  <a:pt x="0" y="9775059"/>
                                </a:moveTo>
                                <a:lnTo>
                                  <a:pt x="7559999" y="9775059"/>
                                </a:lnTo>
                                <a:lnTo>
                                  <a:pt x="75599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75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9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7560309" cy="916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916940">
                                <a:moveTo>
                                  <a:pt x="7559999" y="916940"/>
                                </a:moveTo>
                                <a:lnTo>
                                  <a:pt x="0" y="916940"/>
                                </a:lnTo>
                                <a:lnTo>
                                  <a:pt x="0" y="0"/>
                                </a:lnTo>
                                <a:lnTo>
                                  <a:pt x="7559999" y="0"/>
                                </a:lnTo>
                                <a:lnTo>
                                  <a:pt x="7559999" y="9169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878840"/>
                            <a:ext cx="7560309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38100">
                                <a:moveTo>
                                  <a:pt x="7560000" y="38100"/>
                                </a:move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  <a:lnTo>
                                  <a:pt x="7560000" y="0"/>
                                </a:lnTo>
                                <a:lnTo>
                                  <a:pt x="756000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2A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60000" y="1059815"/>
                            <a:ext cx="38100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231140">
                                <a:moveTo>
                                  <a:pt x="38100" y="231140"/>
                                </a:moveTo>
                                <a:lnTo>
                                  <a:pt x="0" y="23114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231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60000" y="3865880"/>
                            <a:ext cx="6840220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1568450">
                                <a:moveTo>
                                  <a:pt x="6801900" y="1568450"/>
                                </a:moveTo>
                                <a:lnTo>
                                  <a:pt x="38100" y="1568450"/>
                                </a:lnTo>
                                <a:lnTo>
                                  <a:pt x="23306" y="1565443"/>
                                </a:lnTo>
                                <a:lnTo>
                                  <a:pt x="11191" y="1557258"/>
                                </a:lnTo>
                                <a:lnTo>
                                  <a:pt x="3006" y="1545143"/>
                                </a:lnTo>
                                <a:lnTo>
                                  <a:pt x="0" y="1530350"/>
                                </a:lnTo>
                                <a:lnTo>
                                  <a:pt x="0" y="38100"/>
                                </a:lnTo>
                                <a:lnTo>
                                  <a:pt x="3006" y="23306"/>
                                </a:lnTo>
                                <a:lnTo>
                                  <a:pt x="11191" y="11191"/>
                                </a:lnTo>
                                <a:lnTo>
                                  <a:pt x="23306" y="3006"/>
                                </a:lnTo>
                                <a:lnTo>
                                  <a:pt x="38100" y="0"/>
                                </a:lnTo>
                                <a:lnTo>
                                  <a:pt x="6801900" y="0"/>
                                </a:lnTo>
                                <a:lnTo>
                                  <a:pt x="6816693" y="3006"/>
                                </a:lnTo>
                                <a:lnTo>
                                  <a:pt x="6828808" y="11191"/>
                                </a:lnTo>
                                <a:lnTo>
                                  <a:pt x="6836993" y="23306"/>
                                </a:lnTo>
                                <a:lnTo>
                                  <a:pt x="6840000" y="38100"/>
                                </a:lnTo>
                                <a:lnTo>
                                  <a:pt x="6840000" y="1530350"/>
                                </a:lnTo>
                                <a:lnTo>
                                  <a:pt x="6836993" y="1545143"/>
                                </a:lnTo>
                                <a:lnTo>
                                  <a:pt x="6828808" y="1557258"/>
                                </a:lnTo>
                                <a:lnTo>
                                  <a:pt x="6816693" y="1565443"/>
                                </a:lnTo>
                                <a:lnTo>
                                  <a:pt x="6801900" y="1568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60000" y="3865880"/>
                            <a:ext cx="6840220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1568450">
                                <a:moveTo>
                                  <a:pt x="6801900" y="1568450"/>
                                </a:moveTo>
                                <a:lnTo>
                                  <a:pt x="38100" y="1568450"/>
                                </a:lnTo>
                                <a:lnTo>
                                  <a:pt x="23306" y="1565443"/>
                                </a:lnTo>
                                <a:lnTo>
                                  <a:pt x="11191" y="1557258"/>
                                </a:lnTo>
                                <a:lnTo>
                                  <a:pt x="3006" y="1545143"/>
                                </a:lnTo>
                                <a:lnTo>
                                  <a:pt x="0" y="1530350"/>
                                </a:lnTo>
                                <a:lnTo>
                                  <a:pt x="0" y="38100"/>
                                </a:lnTo>
                                <a:lnTo>
                                  <a:pt x="3006" y="23306"/>
                                </a:lnTo>
                                <a:lnTo>
                                  <a:pt x="11191" y="11191"/>
                                </a:lnTo>
                                <a:lnTo>
                                  <a:pt x="23306" y="3006"/>
                                </a:lnTo>
                                <a:lnTo>
                                  <a:pt x="38100" y="0"/>
                                </a:lnTo>
                                <a:lnTo>
                                  <a:pt x="6801900" y="0"/>
                                </a:lnTo>
                                <a:lnTo>
                                  <a:pt x="6816693" y="3006"/>
                                </a:lnTo>
                                <a:lnTo>
                                  <a:pt x="6826341" y="9525"/>
                                </a:lnTo>
                                <a:lnTo>
                                  <a:pt x="38100" y="9525"/>
                                </a:lnTo>
                                <a:lnTo>
                                  <a:pt x="27004" y="11779"/>
                                </a:lnTo>
                                <a:lnTo>
                                  <a:pt x="17918" y="17918"/>
                                </a:lnTo>
                                <a:lnTo>
                                  <a:pt x="11779" y="27004"/>
                                </a:lnTo>
                                <a:lnTo>
                                  <a:pt x="9525" y="38100"/>
                                </a:lnTo>
                                <a:lnTo>
                                  <a:pt x="9525" y="1530350"/>
                                </a:lnTo>
                                <a:lnTo>
                                  <a:pt x="11779" y="1541445"/>
                                </a:lnTo>
                                <a:lnTo>
                                  <a:pt x="17918" y="1550531"/>
                                </a:lnTo>
                                <a:lnTo>
                                  <a:pt x="27004" y="1556670"/>
                                </a:lnTo>
                                <a:lnTo>
                                  <a:pt x="38100" y="1558925"/>
                                </a:lnTo>
                                <a:lnTo>
                                  <a:pt x="6826341" y="1558925"/>
                                </a:lnTo>
                                <a:lnTo>
                                  <a:pt x="6816693" y="1565443"/>
                                </a:lnTo>
                                <a:lnTo>
                                  <a:pt x="6801900" y="1568450"/>
                                </a:lnTo>
                                <a:close/>
                              </a:path>
                              <a:path w="6840220" h="1568450">
                                <a:moveTo>
                                  <a:pt x="6826341" y="1558925"/>
                                </a:moveTo>
                                <a:lnTo>
                                  <a:pt x="6801900" y="1558925"/>
                                </a:lnTo>
                                <a:lnTo>
                                  <a:pt x="6812995" y="1556670"/>
                                </a:lnTo>
                                <a:lnTo>
                                  <a:pt x="6822081" y="1550531"/>
                                </a:lnTo>
                                <a:lnTo>
                                  <a:pt x="6828220" y="1541445"/>
                                </a:lnTo>
                                <a:lnTo>
                                  <a:pt x="6830475" y="1530350"/>
                                </a:lnTo>
                                <a:lnTo>
                                  <a:pt x="6830475" y="38100"/>
                                </a:lnTo>
                                <a:lnTo>
                                  <a:pt x="6828220" y="27004"/>
                                </a:lnTo>
                                <a:lnTo>
                                  <a:pt x="6822081" y="17918"/>
                                </a:lnTo>
                                <a:lnTo>
                                  <a:pt x="6812995" y="11779"/>
                                </a:lnTo>
                                <a:lnTo>
                                  <a:pt x="6801900" y="9525"/>
                                </a:lnTo>
                                <a:lnTo>
                                  <a:pt x="6826341" y="9525"/>
                                </a:lnTo>
                                <a:lnTo>
                                  <a:pt x="6828808" y="11191"/>
                                </a:lnTo>
                                <a:lnTo>
                                  <a:pt x="6836993" y="23306"/>
                                </a:lnTo>
                                <a:lnTo>
                                  <a:pt x="6840000" y="38100"/>
                                </a:lnTo>
                                <a:lnTo>
                                  <a:pt x="6840000" y="1530350"/>
                                </a:lnTo>
                                <a:lnTo>
                                  <a:pt x="6836993" y="1545143"/>
                                </a:lnTo>
                                <a:lnTo>
                                  <a:pt x="6828808" y="1557258"/>
                                </a:lnTo>
                                <a:lnTo>
                                  <a:pt x="6826341" y="15589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60000" y="5577205"/>
                            <a:ext cx="3810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462280">
                                <a:moveTo>
                                  <a:pt x="38100" y="462280"/>
                                </a:moveTo>
                                <a:lnTo>
                                  <a:pt x="0" y="46228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462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9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60000" y="7980680"/>
                            <a:ext cx="6840220" cy="2279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2279650">
                                <a:moveTo>
                                  <a:pt x="6840000" y="2279320"/>
                                </a:moveTo>
                                <a:lnTo>
                                  <a:pt x="0" y="2279320"/>
                                </a:lnTo>
                                <a:lnTo>
                                  <a:pt x="0" y="38100"/>
                                </a:lnTo>
                                <a:lnTo>
                                  <a:pt x="3006" y="23306"/>
                                </a:lnTo>
                                <a:lnTo>
                                  <a:pt x="11191" y="11191"/>
                                </a:lnTo>
                                <a:lnTo>
                                  <a:pt x="23306" y="3006"/>
                                </a:lnTo>
                                <a:lnTo>
                                  <a:pt x="38100" y="0"/>
                                </a:lnTo>
                                <a:lnTo>
                                  <a:pt x="6801900" y="0"/>
                                </a:lnTo>
                                <a:lnTo>
                                  <a:pt x="6816693" y="3006"/>
                                </a:lnTo>
                                <a:lnTo>
                                  <a:pt x="6828808" y="11191"/>
                                </a:lnTo>
                                <a:lnTo>
                                  <a:pt x="6836993" y="23306"/>
                                </a:lnTo>
                                <a:lnTo>
                                  <a:pt x="6840000" y="38100"/>
                                </a:lnTo>
                                <a:lnTo>
                                  <a:pt x="6840000" y="2279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59994" y="7980689"/>
                            <a:ext cx="6840220" cy="2279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2279650">
                                <a:moveTo>
                                  <a:pt x="6840004" y="38100"/>
                                </a:moveTo>
                                <a:lnTo>
                                  <a:pt x="6836994" y="23304"/>
                                </a:lnTo>
                                <a:lnTo>
                                  <a:pt x="6828803" y="11188"/>
                                </a:lnTo>
                                <a:lnTo>
                                  <a:pt x="6826339" y="9525"/>
                                </a:lnTo>
                                <a:lnTo>
                                  <a:pt x="6816699" y="3009"/>
                                </a:lnTo>
                                <a:lnTo>
                                  <a:pt x="6801904" y="0"/>
                                </a:lnTo>
                                <a:lnTo>
                                  <a:pt x="38100" y="0"/>
                                </a:lnTo>
                                <a:lnTo>
                                  <a:pt x="23304" y="3009"/>
                                </a:lnTo>
                                <a:lnTo>
                                  <a:pt x="11188" y="11188"/>
                                </a:lnTo>
                                <a:lnTo>
                                  <a:pt x="3009" y="23304"/>
                                </a:lnTo>
                                <a:lnTo>
                                  <a:pt x="0" y="38100"/>
                                </a:lnTo>
                                <a:lnTo>
                                  <a:pt x="0" y="2279319"/>
                                </a:lnTo>
                                <a:lnTo>
                                  <a:pt x="9525" y="2279319"/>
                                </a:lnTo>
                                <a:lnTo>
                                  <a:pt x="9525" y="38100"/>
                                </a:lnTo>
                                <a:lnTo>
                                  <a:pt x="11772" y="27000"/>
                                </a:lnTo>
                                <a:lnTo>
                                  <a:pt x="17919" y="17919"/>
                                </a:lnTo>
                                <a:lnTo>
                                  <a:pt x="27000" y="11772"/>
                                </a:lnTo>
                                <a:lnTo>
                                  <a:pt x="38100" y="9525"/>
                                </a:lnTo>
                                <a:lnTo>
                                  <a:pt x="6801904" y="9525"/>
                                </a:lnTo>
                                <a:lnTo>
                                  <a:pt x="6812991" y="11772"/>
                                </a:lnTo>
                                <a:lnTo>
                                  <a:pt x="6822084" y="17919"/>
                                </a:lnTo>
                                <a:lnTo>
                                  <a:pt x="6828218" y="27000"/>
                                </a:lnTo>
                                <a:lnTo>
                                  <a:pt x="6830479" y="38100"/>
                                </a:lnTo>
                                <a:lnTo>
                                  <a:pt x="6830479" y="2279319"/>
                                </a:lnTo>
                                <a:lnTo>
                                  <a:pt x="6840004" y="2279319"/>
                                </a:lnTo>
                                <a:lnTo>
                                  <a:pt x="6840004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.000251pt;width:595.3pt;height:841.9pt;mso-position-horizontal-relative:page;mso-position-vertical-relative:page;z-index:-15884800" id="docshapegroup1" coordorigin="0,0" coordsize="11906,16838">
                <v:rect style="position:absolute;left:0;top:1444;width:11906;height:15394" id="docshape2" filled="true" fillcolor="#f7f9f9" stroked="false">
                  <v:fill type="solid"/>
                </v:rect>
                <v:rect style="position:absolute;left:0;top:0;width:11906;height:1444" id="docshape3" filled="true" fillcolor="#1f497c" stroked="false">
                  <v:fill type="solid"/>
                </v:rect>
                <v:rect style="position:absolute;left:0;top:1384;width:11906;height:60" id="docshape4" filled="true" fillcolor="#112a49" stroked="false">
                  <v:fill type="solid"/>
                </v:rect>
                <v:rect style="position:absolute;left:566;top:1669;width:60;height:364" id="docshape5" filled="true" fillcolor="#1f497c" stroked="false">
                  <v:fill type="solid"/>
                </v:rect>
                <v:shape style="position:absolute;left:566;top:6088;width:10772;height:2470" id="docshape6" coordorigin="567,6088" coordsize="10772,2470" path="m11279,8558l627,8558,604,8553,585,8540,572,8521,567,8498,567,6148,572,6125,585,6106,604,6093,627,6088,11279,6088,11302,6093,11321,6106,11334,6125,11339,6148,11339,8498,11334,8521,11321,8540,11302,8553,11279,8558xe" filled="true" fillcolor="#ffffff" stroked="false">
                  <v:path arrowok="t"/>
                  <v:fill type="solid"/>
                </v:shape>
                <v:shape style="position:absolute;left:566;top:6088;width:10772;height:2470" id="docshape7" coordorigin="567,6088" coordsize="10772,2470" path="m11279,8558l627,8558,604,8553,585,8540,572,8521,567,8498,567,6148,572,6125,585,6106,604,6093,627,6088,11279,6088,11302,6093,11317,6103,627,6103,609,6107,595,6116,585,6131,582,6148,582,8498,585,8515,595,8530,609,8539,627,8543,11317,8543,11302,8553,11279,8558xm11317,8543l11279,8543,11296,8539,11310,8530,11320,8515,11324,8498,11324,6148,11320,6131,11310,6116,11296,6107,11279,6103,11317,6103,11321,6106,11334,6125,11339,6148,11339,8498,11334,8521,11321,8540,11317,8543xe" filled="true" fillcolor="#d8d8d8" stroked="false">
                  <v:path arrowok="t"/>
                  <v:fill type="solid"/>
                </v:shape>
                <v:rect style="position:absolute;left:566;top:8783;width:60;height:728" id="docshape8" filled="true" fillcolor="#1f497c" stroked="false">
                  <v:fill type="solid"/>
                </v:rect>
                <v:shape style="position:absolute;left:566;top:12568;width:10772;height:3590" id="docshape9" coordorigin="567,12568" coordsize="10772,3590" path="m11339,16157l567,16157,567,12628,572,12605,585,12586,604,12573,627,12568,11279,12568,11302,12573,11321,12586,11334,12605,11339,12628,11339,16157xe" filled="true" fillcolor="#ffffff" stroked="false">
                  <v:path arrowok="t"/>
                  <v:fill type="solid"/>
                </v:shape>
                <v:shape style="position:absolute;left:566;top:12568;width:10772;height:3590" id="docshape10" coordorigin="567,12568" coordsize="10772,3590" path="m11339,12628l11334,12605,11321,12586,11317,12583,11302,12573,11279,12568,627,12568,604,12573,585,12586,572,12605,567,12628,567,16158,582,16158,582,12628,585,12611,595,12596,609,12587,627,12583,11279,12583,11296,12587,11310,12596,11320,12611,11324,12628,11324,16158,11339,16158,11339,12628xe" filled="true" fillcolor="#d8d8d8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id="0" w:name="WOLSELEY_GROUP_HOLDINGS_LIMITED"/>
      <w:bookmarkEnd w:id="0"/>
    </w:p>
    <w:p w14:paraId="65FF57A5" w14:textId="3B58234B" w:rsidR="001053F3" w:rsidRDefault="001053F3" w:rsidP="00DC05A2">
      <w:pPr>
        <w:pStyle w:val="BodyText"/>
        <w:spacing w:before="151"/>
      </w:pPr>
    </w:p>
    <w:p w14:paraId="0FD235C1" w14:textId="77777777" w:rsidR="001053F3" w:rsidRDefault="001053F3">
      <w:pPr>
        <w:pStyle w:val="BodyText"/>
        <w:rPr>
          <w:sz w:val="26"/>
        </w:rPr>
      </w:pPr>
    </w:p>
    <w:p w14:paraId="0E64D44E" w14:textId="77777777" w:rsidR="001053F3" w:rsidRDefault="001053F3">
      <w:pPr>
        <w:pStyle w:val="BodyText"/>
        <w:spacing w:before="6"/>
        <w:rPr>
          <w:sz w:val="26"/>
        </w:rPr>
      </w:pPr>
    </w:p>
    <w:p w14:paraId="4D3167BC" w14:textId="77777777" w:rsidR="001053F3" w:rsidRDefault="002811C7">
      <w:pPr>
        <w:pStyle w:val="ListParagraph"/>
        <w:numPr>
          <w:ilvl w:val="0"/>
          <w:numId w:val="3"/>
        </w:numPr>
        <w:tabs>
          <w:tab w:val="left" w:pos="774"/>
        </w:tabs>
        <w:spacing w:before="1"/>
        <w:ind w:left="774" w:hanging="311"/>
        <w:rPr>
          <w:b/>
          <w:sz w:val="26"/>
        </w:rPr>
      </w:pPr>
      <w:r>
        <w:rPr>
          <w:b/>
          <w:color w:val="1F497C"/>
          <w:sz w:val="26"/>
        </w:rPr>
        <w:t>5-YEAR</w:t>
      </w:r>
      <w:r>
        <w:rPr>
          <w:b/>
          <w:color w:val="1F497C"/>
          <w:spacing w:val="36"/>
          <w:sz w:val="26"/>
        </w:rPr>
        <w:t xml:space="preserve"> </w:t>
      </w:r>
      <w:r>
        <w:rPr>
          <w:b/>
          <w:color w:val="1F497C"/>
          <w:sz w:val="26"/>
        </w:rPr>
        <w:t>FINANCIAL</w:t>
      </w:r>
      <w:r>
        <w:rPr>
          <w:b/>
          <w:color w:val="1F497C"/>
          <w:spacing w:val="37"/>
          <w:sz w:val="26"/>
        </w:rPr>
        <w:t xml:space="preserve"> </w:t>
      </w:r>
      <w:r>
        <w:rPr>
          <w:b/>
          <w:color w:val="1F497C"/>
          <w:sz w:val="26"/>
        </w:rPr>
        <w:t>RATIOS</w:t>
      </w:r>
      <w:r>
        <w:rPr>
          <w:b/>
          <w:color w:val="1F497C"/>
          <w:spacing w:val="37"/>
          <w:sz w:val="26"/>
        </w:rPr>
        <w:t xml:space="preserve"> </w:t>
      </w:r>
      <w:r>
        <w:rPr>
          <w:b/>
          <w:color w:val="1F497C"/>
          <w:sz w:val="26"/>
        </w:rPr>
        <w:t>ANALYSIS</w:t>
      </w:r>
      <w:r>
        <w:rPr>
          <w:b/>
          <w:color w:val="1F497C"/>
          <w:spacing w:val="37"/>
          <w:sz w:val="26"/>
        </w:rPr>
        <w:t xml:space="preserve"> </w:t>
      </w:r>
      <w:r>
        <w:rPr>
          <w:b/>
          <w:color w:val="1F497C"/>
          <w:sz w:val="26"/>
        </w:rPr>
        <w:t>(WORKSHEET:</w:t>
      </w:r>
      <w:r>
        <w:rPr>
          <w:b/>
          <w:color w:val="1F497C"/>
          <w:spacing w:val="36"/>
          <w:sz w:val="26"/>
        </w:rPr>
        <w:t xml:space="preserve"> </w:t>
      </w:r>
      <w:r>
        <w:rPr>
          <w:b/>
          <w:color w:val="1F497C"/>
          <w:spacing w:val="-2"/>
          <w:sz w:val="26"/>
        </w:rPr>
        <w:t>"RATIOS_5YR")</w:t>
      </w:r>
    </w:p>
    <w:p w14:paraId="7B65885C" w14:textId="77777777" w:rsidR="001053F3" w:rsidRDefault="001053F3">
      <w:pPr>
        <w:pStyle w:val="BodyText"/>
        <w:spacing w:before="2" w:after="1"/>
        <w:rPr>
          <w:rFonts w:ascii="Arial"/>
          <w:b/>
          <w:sz w:val="18"/>
        </w:rPr>
      </w:pPr>
    </w:p>
    <w:tbl>
      <w:tblPr>
        <w:tblW w:w="0" w:type="auto"/>
        <w:tblInd w:w="298" w:type="dxa"/>
        <w:tblBorders>
          <w:top w:val="single" w:sz="6" w:space="0" w:color="D8D8D8"/>
          <w:left w:val="single" w:sz="6" w:space="0" w:color="D8D8D8"/>
          <w:bottom w:val="single" w:sz="6" w:space="0" w:color="D8D8D8"/>
          <w:right w:val="single" w:sz="6" w:space="0" w:color="D8D8D8"/>
          <w:insideH w:val="single" w:sz="6" w:space="0" w:color="D8D8D8"/>
          <w:insideV w:val="single" w:sz="6" w:space="0" w:color="D8D8D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2689"/>
        <w:gridCol w:w="1183"/>
        <w:gridCol w:w="1183"/>
        <w:gridCol w:w="1183"/>
        <w:gridCol w:w="1183"/>
        <w:gridCol w:w="1183"/>
      </w:tblGrid>
      <w:tr w:rsidR="001053F3" w14:paraId="29167039" w14:textId="77777777">
        <w:trPr>
          <w:trHeight w:val="484"/>
        </w:trPr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012D354D" w14:textId="77777777" w:rsidR="001053F3" w:rsidRDefault="002811C7">
            <w:pPr>
              <w:pStyle w:val="TableParagraph"/>
              <w:spacing w:before="118"/>
              <w:ind w:left="105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Ratio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Category</w:t>
            </w:r>
          </w:p>
        </w:tc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3E627276" w14:textId="77777777" w:rsidR="001053F3" w:rsidRDefault="002811C7">
            <w:pPr>
              <w:pStyle w:val="TableParagraph"/>
              <w:spacing w:before="118"/>
              <w:ind w:left="105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Financial</w:t>
            </w:r>
            <w:r>
              <w:rPr>
                <w:b/>
                <w:color w:val="FFFFFF"/>
                <w:spacing w:val="-2"/>
                <w:sz w:val="18"/>
              </w:rPr>
              <w:t xml:space="preserve"> Ratio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61CDE824" w14:textId="77777777" w:rsidR="001053F3" w:rsidRDefault="002811C7">
            <w:pPr>
              <w:pStyle w:val="TableParagraph"/>
              <w:spacing w:before="118"/>
              <w:ind w:left="233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FY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17/18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334F9920" w14:textId="77777777" w:rsidR="001053F3" w:rsidRDefault="002811C7">
            <w:pPr>
              <w:pStyle w:val="TableParagraph"/>
              <w:spacing w:before="118"/>
              <w:ind w:left="233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FY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18/19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0FB2379F" w14:textId="77777777" w:rsidR="001053F3" w:rsidRDefault="002811C7">
            <w:pPr>
              <w:pStyle w:val="TableParagraph"/>
              <w:spacing w:before="118"/>
              <w:ind w:left="233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FY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19/20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430C7DD1" w14:textId="77777777" w:rsidR="001053F3" w:rsidRDefault="002811C7">
            <w:pPr>
              <w:pStyle w:val="TableParagraph"/>
              <w:spacing w:before="118"/>
              <w:ind w:left="234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FY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20/21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51439776" w14:textId="77777777" w:rsidR="001053F3" w:rsidRDefault="002811C7">
            <w:pPr>
              <w:pStyle w:val="TableParagraph"/>
              <w:spacing w:before="118"/>
              <w:ind w:left="234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FY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21/22</w:t>
            </w:r>
          </w:p>
        </w:tc>
      </w:tr>
      <w:tr w:rsidR="001053F3" w14:paraId="2CB44111" w14:textId="77777777">
        <w:trPr>
          <w:trHeight w:val="439"/>
        </w:trPr>
        <w:tc>
          <w:tcPr>
            <w:tcW w:w="2151" w:type="dxa"/>
            <w:tcBorders>
              <w:top w:val="nil"/>
            </w:tcBorders>
            <w:shd w:val="clear" w:color="auto" w:fill="FFFFFF"/>
          </w:tcPr>
          <w:p w14:paraId="5CDBF2D4" w14:textId="77777777" w:rsidR="001053F3" w:rsidRDefault="002811C7">
            <w:pPr>
              <w:pStyle w:val="TableParagraph"/>
              <w:spacing w:before="96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pacing w:val="-2"/>
                <w:sz w:val="18"/>
              </w:rPr>
              <w:t>Investment</w:t>
            </w:r>
          </w:p>
        </w:tc>
        <w:tc>
          <w:tcPr>
            <w:tcW w:w="2689" w:type="dxa"/>
            <w:tcBorders>
              <w:top w:val="nil"/>
            </w:tcBorders>
            <w:shd w:val="clear" w:color="auto" w:fill="FFFFFF"/>
          </w:tcPr>
          <w:p w14:paraId="7CFF8AB9" w14:textId="77777777" w:rsidR="001053F3" w:rsidRDefault="002811C7">
            <w:pPr>
              <w:pStyle w:val="TableParagraph"/>
              <w:spacing w:before="96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Return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on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Equity</w:t>
            </w:r>
            <w:r>
              <w:rPr>
                <w:rFonts w:ascii="Arial MT"/>
                <w:color w:val="2B3D4F"/>
                <w:spacing w:val="-5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4"/>
                <w:sz w:val="18"/>
              </w:rPr>
              <w:t>(ROE)</w:t>
            </w:r>
          </w:p>
        </w:tc>
        <w:tc>
          <w:tcPr>
            <w:tcW w:w="1183" w:type="dxa"/>
            <w:tcBorders>
              <w:top w:val="nil"/>
            </w:tcBorders>
            <w:shd w:val="clear" w:color="auto" w:fill="FFFFFF"/>
          </w:tcPr>
          <w:p w14:paraId="7279E7FF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12.4%</w:t>
            </w:r>
          </w:p>
        </w:tc>
        <w:tc>
          <w:tcPr>
            <w:tcW w:w="1183" w:type="dxa"/>
            <w:tcBorders>
              <w:top w:val="nil"/>
            </w:tcBorders>
            <w:shd w:val="clear" w:color="auto" w:fill="FFFFFF"/>
          </w:tcPr>
          <w:p w14:paraId="49C6072A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14.1%</w:t>
            </w:r>
          </w:p>
        </w:tc>
        <w:tc>
          <w:tcPr>
            <w:tcW w:w="1183" w:type="dxa"/>
            <w:tcBorders>
              <w:top w:val="nil"/>
            </w:tcBorders>
            <w:shd w:val="clear" w:color="auto" w:fill="FFFFFF"/>
          </w:tcPr>
          <w:p w14:paraId="4D0DB4E4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5.2%</w:t>
            </w:r>
          </w:p>
        </w:tc>
        <w:tc>
          <w:tcPr>
            <w:tcW w:w="1183" w:type="dxa"/>
            <w:tcBorders>
              <w:top w:val="nil"/>
            </w:tcBorders>
            <w:shd w:val="clear" w:color="auto" w:fill="FFFFFF"/>
          </w:tcPr>
          <w:p w14:paraId="21E1787B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18.5%</w:t>
            </w:r>
          </w:p>
        </w:tc>
        <w:tc>
          <w:tcPr>
            <w:tcW w:w="1183" w:type="dxa"/>
            <w:tcBorders>
              <w:top w:val="nil"/>
            </w:tcBorders>
            <w:shd w:val="clear" w:color="auto" w:fill="FFFFFF"/>
          </w:tcPr>
          <w:p w14:paraId="61D7BE81" w14:textId="77777777" w:rsidR="001053F3" w:rsidRDefault="002811C7">
            <w:pPr>
              <w:pStyle w:val="TableParagraph"/>
              <w:spacing w:before="96"/>
              <w:ind w:right="78"/>
              <w:rPr>
                <w:b/>
                <w:sz w:val="18"/>
              </w:rPr>
            </w:pPr>
            <w:r>
              <w:rPr>
                <w:b/>
                <w:color w:val="2B3D4F"/>
                <w:spacing w:val="-2"/>
                <w:sz w:val="18"/>
              </w:rPr>
              <w:t>16.8%</w:t>
            </w:r>
          </w:p>
        </w:tc>
      </w:tr>
      <w:tr w:rsidR="001053F3" w14:paraId="6A4BE644" w14:textId="77777777">
        <w:trPr>
          <w:trHeight w:val="431"/>
        </w:trPr>
        <w:tc>
          <w:tcPr>
            <w:tcW w:w="2151" w:type="dxa"/>
            <w:shd w:val="clear" w:color="auto" w:fill="F2F4F9"/>
          </w:tcPr>
          <w:p w14:paraId="1A30F9BA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pacing w:val="-2"/>
                <w:sz w:val="18"/>
              </w:rPr>
              <w:t>Investment</w:t>
            </w:r>
          </w:p>
        </w:tc>
        <w:tc>
          <w:tcPr>
            <w:tcW w:w="2689" w:type="dxa"/>
            <w:shd w:val="clear" w:color="auto" w:fill="F2F4F9"/>
          </w:tcPr>
          <w:p w14:paraId="63E91229" w14:textId="77777777" w:rsidR="001053F3" w:rsidRDefault="002811C7">
            <w:pPr>
              <w:pStyle w:val="TableParagraph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Return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on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Assets</w:t>
            </w:r>
            <w:r>
              <w:rPr>
                <w:rFonts w:ascii="Arial MT"/>
                <w:color w:val="2B3D4F"/>
                <w:spacing w:val="-5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4"/>
                <w:sz w:val="18"/>
              </w:rPr>
              <w:t>(ROA)</w:t>
            </w:r>
          </w:p>
        </w:tc>
        <w:tc>
          <w:tcPr>
            <w:tcW w:w="1183" w:type="dxa"/>
            <w:shd w:val="clear" w:color="auto" w:fill="F2F4F9"/>
          </w:tcPr>
          <w:p w14:paraId="7F6A9492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5.1%</w:t>
            </w:r>
          </w:p>
        </w:tc>
        <w:tc>
          <w:tcPr>
            <w:tcW w:w="1183" w:type="dxa"/>
            <w:shd w:val="clear" w:color="auto" w:fill="F2F4F9"/>
          </w:tcPr>
          <w:p w14:paraId="36D29189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5.8%</w:t>
            </w:r>
          </w:p>
        </w:tc>
        <w:tc>
          <w:tcPr>
            <w:tcW w:w="1183" w:type="dxa"/>
            <w:shd w:val="clear" w:color="auto" w:fill="F2F4F9"/>
          </w:tcPr>
          <w:p w14:paraId="47260F35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2.1%</w:t>
            </w:r>
          </w:p>
        </w:tc>
        <w:tc>
          <w:tcPr>
            <w:tcW w:w="1183" w:type="dxa"/>
            <w:shd w:val="clear" w:color="auto" w:fill="F2F4F9"/>
          </w:tcPr>
          <w:p w14:paraId="1A224750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7.6%</w:t>
            </w:r>
          </w:p>
        </w:tc>
        <w:tc>
          <w:tcPr>
            <w:tcW w:w="1183" w:type="dxa"/>
            <w:shd w:val="clear" w:color="auto" w:fill="F2F4F9"/>
          </w:tcPr>
          <w:p w14:paraId="3016807C" w14:textId="77777777" w:rsidR="001053F3" w:rsidRDefault="002811C7">
            <w:pPr>
              <w:pStyle w:val="TableParagraph"/>
              <w:ind w:right="78"/>
              <w:rPr>
                <w:b/>
                <w:sz w:val="18"/>
              </w:rPr>
            </w:pPr>
            <w:r>
              <w:rPr>
                <w:b/>
                <w:color w:val="2B3D4F"/>
                <w:spacing w:val="-4"/>
                <w:sz w:val="18"/>
              </w:rPr>
              <w:t>6.9%</w:t>
            </w:r>
          </w:p>
        </w:tc>
      </w:tr>
      <w:tr w:rsidR="001053F3" w14:paraId="110EEBAA" w14:textId="77777777">
        <w:trPr>
          <w:trHeight w:val="432"/>
        </w:trPr>
        <w:tc>
          <w:tcPr>
            <w:tcW w:w="2151" w:type="dxa"/>
            <w:shd w:val="clear" w:color="auto" w:fill="FFFFFF"/>
          </w:tcPr>
          <w:p w14:paraId="7CCDBB01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pacing w:val="-2"/>
                <w:sz w:val="18"/>
              </w:rPr>
              <w:t>Investment</w:t>
            </w:r>
          </w:p>
        </w:tc>
        <w:tc>
          <w:tcPr>
            <w:tcW w:w="2689" w:type="dxa"/>
            <w:shd w:val="clear" w:color="auto" w:fill="FFFFFF"/>
          </w:tcPr>
          <w:p w14:paraId="7B8C22AD" w14:textId="77777777" w:rsidR="001053F3" w:rsidRDefault="002811C7">
            <w:pPr>
              <w:pStyle w:val="TableParagraph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Price-to-Earnings</w:t>
            </w:r>
            <w:r>
              <w:rPr>
                <w:rFonts w:ascii="Arial MT"/>
                <w:color w:val="2B3D4F"/>
                <w:spacing w:val="17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(P/E)*</w:t>
            </w:r>
          </w:p>
        </w:tc>
        <w:tc>
          <w:tcPr>
            <w:tcW w:w="5915" w:type="dxa"/>
            <w:gridSpan w:val="5"/>
            <w:shd w:val="clear" w:color="auto" w:fill="FFFFFF"/>
          </w:tcPr>
          <w:p w14:paraId="4A1B36B7" w14:textId="77777777" w:rsidR="001053F3" w:rsidRDefault="002811C7">
            <w:pPr>
              <w:pStyle w:val="TableParagraph"/>
              <w:ind w:left="1775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N/A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(Privately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Held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by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4"/>
                <w:sz w:val="18"/>
              </w:rPr>
              <w:t>CD&amp;R)</w:t>
            </w:r>
          </w:p>
        </w:tc>
      </w:tr>
      <w:tr w:rsidR="001053F3" w14:paraId="5B1F842E" w14:textId="77777777">
        <w:trPr>
          <w:trHeight w:val="432"/>
        </w:trPr>
        <w:tc>
          <w:tcPr>
            <w:tcW w:w="2151" w:type="dxa"/>
            <w:shd w:val="clear" w:color="auto" w:fill="F2F4F9"/>
          </w:tcPr>
          <w:p w14:paraId="0473A2CA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pacing w:val="-2"/>
                <w:sz w:val="18"/>
              </w:rPr>
              <w:t>Investment</w:t>
            </w:r>
            <w:r>
              <w:rPr>
                <w:b/>
                <w:color w:val="2B3D4F"/>
                <w:spacing w:val="4"/>
                <w:sz w:val="18"/>
              </w:rPr>
              <w:t xml:space="preserve"> </w:t>
            </w:r>
            <w:r>
              <w:rPr>
                <w:b/>
                <w:color w:val="2B3D4F"/>
                <w:spacing w:val="-4"/>
                <w:sz w:val="18"/>
              </w:rPr>
              <w:t>Proxy</w:t>
            </w:r>
          </w:p>
        </w:tc>
        <w:tc>
          <w:tcPr>
            <w:tcW w:w="2689" w:type="dxa"/>
            <w:shd w:val="clear" w:color="auto" w:fill="F2F4F9"/>
          </w:tcPr>
          <w:p w14:paraId="6338E48A" w14:textId="77777777" w:rsidR="001053F3" w:rsidRDefault="002811C7">
            <w:pPr>
              <w:pStyle w:val="TableParagraph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EV</w:t>
            </w:r>
            <w:r>
              <w:rPr>
                <w:rFonts w:ascii="Arial MT"/>
                <w:color w:val="2B3D4F"/>
                <w:spacing w:val="-7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/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EBITDA</w:t>
            </w:r>
            <w:r>
              <w:rPr>
                <w:rFonts w:ascii="Arial MT"/>
                <w:color w:val="2B3D4F"/>
                <w:spacing w:val="-6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Multiple</w:t>
            </w:r>
          </w:p>
        </w:tc>
        <w:tc>
          <w:tcPr>
            <w:tcW w:w="1183" w:type="dxa"/>
            <w:shd w:val="clear" w:color="auto" w:fill="F2F4F9"/>
          </w:tcPr>
          <w:p w14:paraId="18A47513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7.5x</w:t>
            </w:r>
          </w:p>
        </w:tc>
        <w:tc>
          <w:tcPr>
            <w:tcW w:w="1183" w:type="dxa"/>
            <w:shd w:val="clear" w:color="auto" w:fill="F2F4F9"/>
          </w:tcPr>
          <w:p w14:paraId="782C25CD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7.8x</w:t>
            </w:r>
          </w:p>
        </w:tc>
        <w:tc>
          <w:tcPr>
            <w:tcW w:w="1183" w:type="dxa"/>
            <w:shd w:val="clear" w:color="auto" w:fill="F2F4F9"/>
          </w:tcPr>
          <w:p w14:paraId="50B329C0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6.2x</w:t>
            </w:r>
          </w:p>
        </w:tc>
        <w:tc>
          <w:tcPr>
            <w:tcW w:w="1183" w:type="dxa"/>
            <w:shd w:val="clear" w:color="auto" w:fill="F2F4F9"/>
          </w:tcPr>
          <w:p w14:paraId="04558365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8.5x</w:t>
            </w:r>
          </w:p>
        </w:tc>
        <w:tc>
          <w:tcPr>
            <w:tcW w:w="1183" w:type="dxa"/>
            <w:shd w:val="clear" w:color="auto" w:fill="F2F4F9"/>
          </w:tcPr>
          <w:p w14:paraId="5F9E6898" w14:textId="77777777" w:rsidR="001053F3" w:rsidRDefault="002811C7">
            <w:pPr>
              <w:pStyle w:val="TableParagraph"/>
              <w:ind w:right="78"/>
              <w:rPr>
                <w:b/>
                <w:sz w:val="18"/>
              </w:rPr>
            </w:pPr>
            <w:r>
              <w:rPr>
                <w:b/>
                <w:color w:val="2B3D4F"/>
                <w:spacing w:val="-4"/>
                <w:sz w:val="18"/>
              </w:rPr>
              <w:t>8.1x</w:t>
            </w:r>
          </w:p>
        </w:tc>
      </w:tr>
      <w:tr w:rsidR="001053F3" w14:paraId="080471AD" w14:textId="77777777">
        <w:trPr>
          <w:trHeight w:val="431"/>
        </w:trPr>
        <w:tc>
          <w:tcPr>
            <w:tcW w:w="2151" w:type="dxa"/>
            <w:shd w:val="clear" w:color="auto" w:fill="FFFFFF"/>
          </w:tcPr>
          <w:p w14:paraId="631EC74E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Cash</w:t>
            </w:r>
            <w:r>
              <w:rPr>
                <w:b/>
                <w:color w:val="2B3D4F"/>
                <w:spacing w:val="-4"/>
                <w:sz w:val="18"/>
              </w:rPr>
              <w:t xml:space="preserve"> Flow</w:t>
            </w:r>
          </w:p>
        </w:tc>
        <w:tc>
          <w:tcPr>
            <w:tcW w:w="2689" w:type="dxa"/>
            <w:shd w:val="clear" w:color="auto" w:fill="FFFFFF"/>
          </w:tcPr>
          <w:p w14:paraId="2ED0D913" w14:textId="77777777" w:rsidR="001053F3" w:rsidRDefault="002811C7">
            <w:pPr>
              <w:pStyle w:val="TableParagraph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Operating</w:t>
            </w:r>
            <w:r>
              <w:rPr>
                <w:rFonts w:ascii="Arial MT"/>
                <w:color w:val="2B3D4F"/>
                <w:spacing w:val="-9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Cash</w:t>
            </w:r>
            <w:r>
              <w:rPr>
                <w:rFonts w:ascii="Arial MT"/>
                <w:color w:val="2B3D4F"/>
                <w:spacing w:val="-8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Flow</w:t>
            </w:r>
            <w:r>
              <w:rPr>
                <w:rFonts w:ascii="Arial MT"/>
                <w:color w:val="2B3D4F"/>
                <w:spacing w:val="-9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4"/>
                <w:sz w:val="18"/>
              </w:rPr>
              <w:t>Ratio</w:t>
            </w:r>
          </w:p>
        </w:tc>
        <w:tc>
          <w:tcPr>
            <w:tcW w:w="1183" w:type="dxa"/>
            <w:shd w:val="clear" w:color="auto" w:fill="FFFFFF"/>
          </w:tcPr>
          <w:p w14:paraId="1D246A4C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0.85</w:t>
            </w:r>
          </w:p>
        </w:tc>
        <w:tc>
          <w:tcPr>
            <w:tcW w:w="1183" w:type="dxa"/>
            <w:shd w:val="clear" w:color="auto" w:fill="FFFFFF"/>
          </w:tcPr>
          <w:p w14:paraId="190EA886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0.92</w:t>
            </w:r>
          </w:p>
        </w:tc>
        <w:tc>
          <w:tcPr>
            <w:tcW w:w="1183" w:type="dxa"/>
            <w:shd w:val="clear" w:color="auto" w:fill="FFFFFF"/>
          </w:tcPr>
          <w:p w14:paraId="6263D805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0.45</w:t>
            </w:r>
          </w:p>
        </w:tc>
        <w:tc>
          <w:tcPr>
            <w:tcW w:w="1183" w:type="dxa"/>
            <w:shd w:val="clear" w:color="auto" w:fill="FFFFFF"/>
          </w:tcPr>
          <w:p w14:paraId="2B6332A0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1.15</w:t>
            </w:r>
          </w:p>
        </w:tc>
        <w:tc>
          <w:tcPr>
            <w:tcW w:w="1183" w:type="dxa"/>
            <w:shd w:val="clear" w:color="auto" w:fill="FFFFFF"/>
          </w:tcPr>
          <w:p w14:paraId="1799F2CD" w14:textId="77777777" w:rsidR="001053F3" w:rsidRDefault="002811C7">
            <w:pPr>
              <w:pStyle w:val="TableParagraph"/>
              <w:ind w:right="78"/>
              <w:rPr>
                <w:b/>
                <w:sz w:val="18"/>
              </w:rPr>
            </w:pPr>
            <w:r>
              <w:rPr>
                <w:b/>
                <w:color w:val="2B3D4F"/>
                <w:spacing w:val="-4"/>
                <w:sz w:val="18"/>
              </w:rPr>
              <w:t>1.08</w:t>
            </w:r>
          </w:p>
        </w:tc>
      </w:tr>
      <w:tr w:rsidR="001053F3" w14:paraId="2608FB72" w14:textId="77777777">
        <w:trPr>
          <w:trHeight w:val="432"/>
        </w:trPr>
        <w:tc>
          <w:tcPr>
            <w:tcW w:w="2151" w:type="dxa"/>
            <w:shd w:val="clear" w:color="auto" w:fill="F2F4F9"/>
          </w:tcPr>
          <w:p w14:paraId="2D89AD1A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Cash</w:t>
            </w:r>
            <w:r>
              <w:rPr>
                <w:b/>
                <w:color w:val="2B3D4F"/>
                <w:spacing w:val="-4"/>
                <w:sz w:val="18"/>
              </w:rPr>
              <w:t xml:space="preserve"> Flow</w:t>
            </w:r>
          </w:p>
        </w:tc>
        <w:tc>
          <w:tcPr>
            <w:tcW w:w="2689" w:type="dxa"/>
            <w:shd w:val="clear" w:color="auto" w:fill="F2F4F9"/>
          </w:tcPr>
          <w:p w14:paraId="15C27B37" w14:textId="77777777" w:rsidR="001053F3" w:rsidRDefault="002811C7">
            <w:pPr>
              <w:pStyle w:val="TableParagraph"/>
              <w:ind w:left="97" w:right="0"/>
              <w:jc w:val="left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Free</w:t>
            </w:r>
            <w:r>
              <w:rPr>
                <w:rFonts w:ascii="Arial MT"/>
                <w:color w:val="2B3D4F"/>
                <w:spacing w:val="-9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Cash</w:t>
            </w:r>
            <w:r>
              <w:rPr>
                <w:rFonts w:ascii="Arial MT"/>
                <w:color w:val="2B3D4F"/>
                <w:spacing w:val="-8"/>
                <w:sz w:val="18"/>
              </w:rPr>
              <w:t xml:space="preserve"> </w:t>
            </w:r>
            <w:r>
              <w:rPr>
                <w:rFonts w:ascii="Arial MT"/>
                <w:color w:val="2B3D4F"/>
                <w:sz w:val="18"/>
              </w:rPr>
              <w:t>Flow</w:t>
            </w:r>
            <w:r>
              <w:rPr>
                <w:rFonts w:ascii="Arial MT"/>
                <w:color w:val="2B3D4F"/>
                <w:spacing w:val="-9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Margin</w:t>
            </w:r>
          </w:p>
        </w:tc>
        <w:tc>
          <w:tcPr>
            <w:tcW w:w="1183" w:type="dxa"/>
            <w:shd w:val="clear" w:color="auto" w:fill="F2F4F9"/>
          </w:tcPr>
          <w:p w14:paraId="60FDAC5E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2.8%</w:t>
            </w:r>
          </w:p>
        </w:tc>
        <w:tc>
          <w:tcPr>
            <w:tcW w:w="1183" w:type="dxa"/>
            <w:shd w:val="clear" w:color="auto" w:fill="F2F4F9"/>
          </w:tcPr>
          <w:p w14:paraId="7ECA859C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3.4%</w:t>
            </w:r>
          </w:p>
        </w:tc>
        <w:tc>
          <w:tcPr>
            <w:tcW w:w="1183" w:type="dxa"/>
            <w:shd w:val="clear" w:color="auto" w:fill="F2F4F9"/>
          </w:tcPr>
          <w:p w14:paraId="3A74AE5A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0.9%</w:t>
            </w:r>
          </w:p>
        </w:tc>
        <w:tc>
          <w:tcPr>
            <w:tcW w:w="1183" w:type="dxa"/>
            <w:shd w:val="clear" w:color="auto" w:fill="F2F4F9"/>
          </w:tcPr>
          <w:p w14:paraId="29519620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4.8%</w:t>
            </w:r>
          </w:p>
        </w:tc>
        <w:tc>
          <w:tcPr>
            <w:tcW w:w="1183" w:type="dxa"/>
            <w:shd w:val="clear" w:color="auto" w:fill="F2F4F9"/>
          </w:tcPr>
          <w:p w14:paraId="39F924E3" w14:textId="77777777" w:rsidR="001053F3" w:rsidRDefault="002811C7">
            <w:pPr>
              <w:pStyle w:val="TableParagraph"/>
              <w:ind w:right="78"/>
              <w:rPr>
                <w:b/>
                <w:sz w:val="18"/>
              </w:rPr>
            </w:pPr>
            <w:r>
              <w:rPr>
                <w:b/>
                <w:color w:val="2B3D4F"/>
                <w:spacing w:val="-4"/>
                <w:sz w:val="18"/>
              </w:rPr>
              <w:t>4.2%</w:t>
            </w:r>
          </w:p>
        </w:tc>
      </w:tr>
    </w:tbl>
    <w:p w14:paraId="41A31C3B" w14:textId="77777777" w:rsidR="001053F3" w:rsidRDefault="002811C7">
      <w:pPr>
        <w:spacing w:before="130" w:line="292" w:lineRule="auto"/>
        <w:ind w:left="283"/>
        <w:rPr>
          <w:rFonts w:ascii="Arial"/>
          <w:i/>
          <w:sz w:val="17"/>
        </w:rPr>
      </w:pPr>
      <w:r>
        <w:rPr>
          <w:rFonts w:ascii="Arial"/>
          <w:i/>
          <w:color w:val="595959"/>
          <w:sz w:val="17"/>
        </w:rPr>
        <w:t>*Note: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Wolseley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Group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Holdings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Limited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is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privately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held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by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Clayton,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proofErr w:type="spellStart"/>
      <w:r>
        <w:rPr>
          <w:rFonts w:ascii="Arial"/>
          <w:i/>
          <w:color w:val="595959"/>
          <w:sz w:val="17"/>
        </w:rPr>
        <w:t>Dubilier</w:t>
      </w:r>
      <w:proofErr w:type="spellEnd"/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&amp;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Rice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(CD&amp;R).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A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public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share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P/E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ratio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is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non-applicable.</w:t>
      </w:r>
      <w:r>
        <w:rPr>
          <w:rFonts w:ascii="Arial"/>
          <w:i/>
          <w:color w:val="595959"/>
          <w:spacing w:val="-5"/>
          <w:sz w:val="17"/>
        </w:rPr>
        <w:t xml:space="preserve"> </w:t>
      </w:r>
      <w:r>
        <w:rPr>
          <w:rFonts w:ascii="Arial"/>
          <w:i/>
          <w:color w:val="595959"/>
          <w:sz w:val="17"/>
        </w:rPr>
        <w:t>EV/ EBITDA is included as an institutional valuation proxy.</w:t>
      </w:r>
    </w:p>
    <w:p w14:paraId="297ED8C7" w14:textId="77777777" w:rsidR="001053F3" w:rsidRDefault="001053F3">
      <w:pPr>
        <w:pStyle w:val="BodyText"/>
        <w:spacing w:before="102"/>
        <w:rPr>
          <w:rFonts w:ascii="Arial"/>
          <w:i/>
          <w:sz w:val="17"/>
        </w:rPr>
      </w:pPr>
    </w:p>
    <w:p w14:paraId="024F1FDD" w14:textId="77777777" w:rsidR="001053F3" w:rsidRDefault="002811C7">
      <w:pPr>
        <w:pStyle w:val="Heading3"/>
        <w:ind w:left="478"/>
      </w:pPr>
      <w:r>
        <w:rPr>
          <w:color w:val="1F497C"/>
          <w:spacing w:val="-2"/>
        </w:rPr>
        <w:t>5-Year</w:t>
      </w:r>
      <w:r>
        <w:rPr>
          <w:color w:val="1F497C"/>
          <w:spacing w:val="-5"/>
        </w:rPr>
        <w:t xml:space="preserve"> </w:t>
      </w:r>
      <w:r>
        <w:rPr>
          <w:color w:val="1F497C"/>
          <w:spacing w:val="-2"/>
        </w:rPr>
        <w:t>Trend</w:t>
      </w:r>
      <w:r>
        <w:rPr>
          <w:color w:val="1F497C"/>
          <w:spacing w:val="-5"/>
        </w:rPr>
        <w:t xml:space="preserve"> </w:t>
      </w:r>
      <w:r>
        <w:rPr>
          <w:color w:val="1F497C"/>
          <w:spacing w:val="-2"/>
        </w:rPr>
        <w:t>Commentary</w:t>
      </w:r>
      <w:r>
        <w:rPr>
          <w:color w:val="1F497C"/>
          <w:spacing w:val="-4"/>
        </w:rPr>
        <w:t xml:space="preserve"> </w:t>
      </w:r>
      <w:r>
        <w:rPr>
          <w:color w:val="1F497C"/>
          <w:spacing w:val="-2"/>
        </w:rPr>
        <w:t>Summary</w:t>
      </w:r>
    </w:p>
    <w:p w14:paraId="30862565" w14:textId="77777777" w:rsidR="001053F3" w:rsidRDefault="002811C7">
      <w:pPr>
        <w:pStyle w:val="BodyText"/>
        <w:spacing w:before="110" w:line="292" w:lineRule="auto"/>
        <w:ind w:left="748" w:right="509"/>
      </w:pPr>
      <w:r>
        <w:rPr>
          <w:rFonts w:ascii="Arial"/>
          <w:b/>
          <w:color w:val="2B3D4F"/>
        </w:rPr>
        <w:t>ROE</w:t>
      </w:r>
      <w:r>
        <w:rPr>
          <w:rFonts w:ascii="Arial"/>
          <w:b/>
          <w:color w:val="2B3D4F"/>
          <w:spacing w:val="-3"/>
        </w:rPr>
        <w:t xml:space="preserve"> </w:t>
      </w:r>
      <w:r>
        <w:rPr>
          <w:rFonts w:ascii="Arial"/>
          <w:b/>
          <w:color w:val="2B3D4F"/>
        </w:rPr>
        <w:t>&amp;</w:t>
      </w:r>
      <w:r>
        <w:rPr>
          <w:rFonts w:ascii="Arial"/>
          <w:b/>
          <w:color w:val="2B3D4F"/>
          <w:spacing w:val="-3"/>
        </w:rPr>
        <w:t xml:space="preserve"> </w:t>
      </w:r>
      <w:r>
        <w:rPr>
          <w:rFonts w:ascii="Arial"/>
          <w:b/>
          <w:color w:val="2B3D4F"/>
        </w:rPr>
        <w:t>ROA</w:t>
      </w:r>
      <w:r>
        <w:rPr>
          <w:rFonts w:ascii="Arial"/>
          <w:b/>
          <w:color w:val="2B3D4F"/>
          <w:spacing w:val="-3"/>
        </w:rPr>
        <w:t xml:space="preserve"> </w:t>
      </w:r>
      <w:r>
        <w:rPr>
          <w:rFonts w:ascii="Arial"/>
          <w:b/>
          <w:color w:val="2B3D4F"/>
        </w:rPr>
        <w:t>Dynamics:</w:t>
      </w:r>
      <w:r>
        <w:rPr>
          <w:rFonts w:ascii="Arial"/>
          <w:b/>
          <w:color w:val="2B3D4F"/>
          <w:spacing w:val="-5"/>
        </w:rPr>
        <w:t xml:space="preserve"> </w:t>
      </w:r>
      <w:r>
        <w:rPr>
          <w:color w:val="2B3D4F"/>
        </w:rPr>
        <w:t>Experienced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a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temporary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contraction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in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FY19/20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due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to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pandemic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disruption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>and</w:t>
      </w:r>
      <w:r>
        <w:rPr>
          <w:color w:val="2B3D4F"/>
          <w:spacing w:val="-3"/>
        </w:rPr>
        <w:t xml:space="preserve"> </w:t>
      </w:r>
      <w:r>
        <w:rPr>
          <w:color w:val="2B3D4F"/>
        </w:rPr>
        <w:t xml:space="preserve">pre-divestment structural shifts, but surged post-2021 acquisition by CD&amp;R to 18.5% ROE and 7.6% ROA before stabilizing strongly. </w:t>
      </w:r>
      <w:r>
        <w:rPr>
          <w:rFonts w:ascii="Arial"/>
          <w:b/>
          <w:color w:val="2B3D4F"/>
        </w:rPr>
        <w:t xml:space="preserve">Operating Cash Flow Coverage: </w:t>
      </w:r>
      <w:r>
        <w:rPr>
          <w:color w:val="2B3D4F"/>
        </w:rPr>
        <w:t xml:space="preserve">Rebounded from 0.45 in FY19/20 to over 1.0 (1.08 in FY21/22), proving current liabilities are robustly covered by cash flow from core operations. </w:t>
      </w:r>
      <w:r>
        <w:rPr>
          <w:rFonts w:ascii="Arial"/>
          <w:b/>
          <w:color w:val="2B3D4F"/>
        </w:rPr>
        <w:t xml:space="preserve">Free Cash Flow Generation: </w:t>
      </w:r>
      <w:r>
        <w:rPr>
          <w:color w:val="2B3D4F"/>
        </w:rPr>
        <w:t>Improved significantly from 0.9% in FY19/20 to 4.2% in FY21/22 due to optimized inventory management, disciplined capital spending, and pricing discipline.</w:t>
      </w:r>
    </w:p>
    <w:p w14:paraId="255571CE" w14:textId="77777777" w:rsidR="001053F3" w:rsidRDefault="001053F3">
      <w:pPr>
        <w:pStyle w:val="BodyText"/>
      </w:pPr>
    </w:p>
    <w:p w14:paraId="59FBBBB5" w14:textId="77777777" w:rsidR="001053F3" w:rsidRDefault="001053F3">
      <w:pPr>
        <w:pStyle w:val="BodyText"/>
        <w:spacing w:before="46"/>
      </w:pPr>
    </w:p>
    <w:p w14:paraId="295D00B9" w14:textId="77777777" w:rsidR="001053F3" w:rsidRDefault="002811C7">
      <w:pPr>
        <w:pStyle w:val="Heading2"/>
        <w:numPr>
          <w:ilvl w:val="0"/>
          <w:numId w:val="3"/>
        </w:numPr>
        <w:tabs>
          <w:tab w:val="left" w:pos="774"/>
        </w:tabs>
        <w:spacing w:line="292" w:lineRule="auto"/>
        <w:ind w:left="463" w:right="980" w:firstLine="0"/>
      </w:pPr>
      <w:r>
        <w:rPr>
          <w:color w:val="1F497C"/>
        </w:rPr>
        <w:t>INDUSTRY BENCHMARK &amp; COMPETITOR COMPARISON (WORKSHEET:</w:t>
      </w:r>
      <w:r>
        <w:rPr>
          <w:color w:val="1F497C"/>
          <w:spacing w:val="80"/>
        </w:rPr>
        <w:t xml:space="preserve"> </w:t>
      </w:r>
      <w:r>
        <w:rPr>
          <w:color w:val="1F497C"/>
          <w:spacing w:val="-2"/>
        </w:rPr>
        <w:t>"BENCHMARK")</w:t>
      </w:r>
    </w:p>
    <w:p w14:paraId="6FF1773F" w14:textId="77777777" w:rsidR="001053F3" w:rsidRDefault="001053F3">
      <w:pPr>
        <w:pStyle w:val="BodyText"/>
        <w:spacing w:before="5"/>
        <w:rPr>
          <w:rFonts w:ascii="Arial"/>
          <w:b/>
          <w:sz w:val="12"/>
        </w:rPr>
      </w:pPr>
    </w:p>
    <w:tbl>
      <w:tblPr>
        <w:tblW w:w="0" w:type="auto"/>
        <w:tblInd w:w="298" w:type="dxa"/>
        <w:tblBorders>
          <w:top w:val="single" w:sz="6" w:space="0" w:color="D8D8D8"/>
          <w:left w:val="single" w:sz="6" w:space="0" w:color="D8D8D8"/>
          <w:bottom w:val="single" w:sz="6" w:space="0" w:color="D8D8D8"/>
          <w:right w:val="single" w:sz="6" w:space="0" w:color="D8D8D8"/>
          <w:insideH w:val="single" w:sz="6" w:space="0" w:color="D8D8D8"/>
          <w:insideV w:val="single" w:sz="6" w:space="0" w:color="D8D8D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9"/>
        <w:gridCol w:w="1936"/>
        <w:gridCol w:w="1936"/>
        <w:gridCol w:w="1936"/>
        <w:gridCol w:w="2259"/>
      </w:tblGrid>
      <w:tr w:rsidR="001053F3" w14:paraId="7EAE827B" w14:textId="77777777">
        <w:trPr>
          <w:trHeight w:val="484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1D789503" w14:textId="77777777" w:rsidR="001053F3" w:rsidRDefault="002811C7">
            <w:pPr>
              <w:pStyle w:val="TableParagraph"/>
              <w:spacing w:before="118"/>
              <w:ind w:left="105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Ratio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/</w:t>
            </w:r>
            <w:r>
              <w:rPr>
                <w:b/>
                <w:color w:val="FFFFFF"/>
                <w:spacing w:val="-2"/>
                <w:sz w:val="18"/>
              </w:rPr>
              <w:t xml:space="preserve"> Metric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35F967EF" w14:textId="77777777" w:rsidR="001053F3" w:rsidRDefault="002811C7">
            <w:pPr>
              <w:pStyle w:val="TableParagraph"/>
              <w:spacing w:before="118"/>
              <w:ind w:left="239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Wolseley</w:t>
            </w:r>
            <w:r>
              <w:rPr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(Latest)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3C151F7B" w14:textId="77777777" w:rsidR="001053F3" w:rsidRDefault="002811C7">
            <w:pPr>
              <w:pStyle w:val="TableParagraph"/>
              <w:spacing w:before="118"/>
              <w:ind w:left="214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Travis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Perkins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plc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11657B7E" w14:textId="77777777" w:rsidR="001053F3" w:rsidRDefault="002811C7">
            <w:pPr>
              <w:pStyle w:val="TableParagraph"/>
              <w:spacing w:before="118"/>
              <w:ind w:left="199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Grafton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Group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5"/>
                <w:sz w:val="18"/>
              </w:rPr>
              <w:t>plc</w:t>
            </w:r>
          </w:p>
        </w:tc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1F497C"/>
          </w:tcPr>
          <w:p w14:paraId="7D3F4106" w14:textId="77777777" w:rsidR="001053F3" w:rsidRDefault="002811C7">
            <w:pPr>
              <w:pStyle w:val="TableParagraph"/>
              <w:spacing w:before="118"/>
              <w:ind w:left="405" w:right="0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 xml:space="preserve">Industry </w:t>
            </w:r>
            <w:r>
              <w:rPr>
                <w:b/>
                <w:color w:val="FFFFFF"/>
                <w:spacing w:val="-2"/>
                <w:sz w:val="18"/>
              </w:rPr>
              <w:t>Average</w:t>
            </w:r>
          </w:p>
        </w:tc>
      </w:tr>
      <w:tr w:rsidR="001053F3" w14:paraId="3995953D" w14:textId="77777777">
        <w:trPr>
          <w:trHeight w:val="439"/>
        </w:trPr>
        <w:tc>
          <w:tcPr>
            <w:tcW w:w="2689" w:type="dxa"/>
            <w:tcBorders>
              <w:top w:val="nil"/>
            </w:tcBorders>
            <w:shd w:val="clear" w:color="auto" w:fill="FFFFFF"/>
          </w:tcPr>
          <w:p w14:paraId="07D099E7" w14:textId="77777777" w:rsidR="001053F3" w:rsidRDefault="002811C7">
            <w:pPr>
              <w:pStyle w:val="TableParagraph"/>
              <w:spacing w:before="96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Return</w:t>
            </w:r>
            <w:r>
              <w:rPr>
                <w:b/>
                <w:color w:val="2B3D4F"/>
                <w:spacing w:val="-3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on</w:t>
            </w:r>
            <w:r>
              <w:rPr>
                <w:b/>
                <w:color w:val="2B3D4F"/>
                <w:spacing w:val="-3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Equity</w:t>
            </w:r>
            <w:r>
              <w:rPr>
                <w:b/>
                <w:color w:val="2B3D4F"/>
                <w:spacing w:val="-3"/>
                <w:sz w:val="18"/>
              </w:rPr>
              <w:t xml:space="preserve"> </w:t>
            </w:r>
            <w:r>
              <w:rPr>
                <w:b/>
                <w:color w:val="2B3D4F"/>
                <w:spacing w:val="-4"/>
                <w:sz w:val="18"/>
              </w:rPr>
              <w:t>(ROE)</w:t>
            </w:r>
          </w:p>
        </w:tc>
        <w:tc>
          <w:tcPr>
            <w:tcW w:w="1936" w:type="dxa"/>
            <w:tcBorders>
              <w:top w:val="nil"/>
            </w:tcBorders>
            <w:shd w:val="clear" w:color="auto" w:fill="FFFFFF"/>
          </w:tcPr>
          <w:p w14:paraId="68ACF813" w14:textId="77777777" w:rsidR="001053F3" w:rsidRDefault="002811C7">
            <w:pPr>
              <w:pStyle w:val="TableParagraph"/>
              <w:spacing w:before="96"/>
              <w:ind w:right="80"/>
              <w:rPr>
                <w:b/>
                <w:sz w:val="18"/>
              </w:rPr>
            </w:pPr>
            <w:r>
              <w:rPr>
                <w:b/>
                <w:color w:val="1D7E34"/>
                <w:spacing w:val="-2"/>
                <w:sz w:val="18"/>
              </w:rPr>
              <w:t>16.8%</w:t>
            </w:r>
          </w:p>
        </w:tc>
        <w:tc>
          <w:tcPr>
            <w:tcW w:w="1936" w:type="dxa"/>
            <w:tcBorders>
              <w:top w:val="nil"/>
            </w:tcBorders>
            <w:shd w:val="clear" w:color="auto" w:fill="FFFFFF"/>
          </w:tcPr>
          <w:p w14:paraId="4EB5E3D7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14.2%</w:t>
            </w:r>
          </w:p>
        </w:tc>
        <w:tc>
          <w:tcPr>
            <w:tcW w:w="1936" w:type="dxa"/>
            <w:tcBorders>
              <w:top w:val="nil"/>
            </w:tcBorders>
            <w:shd w:val="clear" w:color="auto" w:fill="FFFFFF"/>
          </w:tcPr>
          <w:p w14:paraId="32F2A15F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13.5%</w:t>
            </w:r>
          </w:p>
        </w:tc>
        <w:tc>
          <w:tcPr>
            <w:tcW w:w="2259" w:type="dxa"/>
            <w:tcBorders>
              <w:top w:val="nil"/>
            </w:tcBorders>
            <w:shd w:val="clear" w:color="auto" w:fill="FFFFFF"/>
          </w:tcPr>
          <w:p w14:paraId="2125936E" w14:textId="77777777" w:rsidR="001053F3" w:rsidRDefault="002811C7">
            <w:pPr>
              <w:pStyle w:val="TableParagraph"/>
              <w:spacing w:before="96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2"/>
                <w:sz w:val="18"/>
              </w:rPr>
              <w:t>14.8%</w:t>
            </w:r>
          </w:p>
        </w:tc>
      </w:tr>
      <w:tr w:rsidR="001053F3" w14:paraId="0C8DB6B7" w14:textId="77777777">
        <w:trPr>
          <w:trHeight w:val="432"/>
        </w:trPr>
        <w:tc>
          <w:tcPr>
            <w:tcW w:w="2689" w:type="dxa"/>
            <w:shd w:val="clear" w:color="auto" w:fill="F2F4F9"/>
          </w:tcPr>
          <w:p w14:paraId="3A8B1A6E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Return</w:t>
            </w:r>
            <w:r>
              <w:rPr>
                <w:b/>
                <w:color w:val="2B3D4F"/>
                <w:spacing w:val="-6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on</w:t>
            </w:r>
            <w:r>
              <w:rPr>
                <w:b/>
                <w:color w:val="2B3D4F"/>
                <w:spacing w:val="-6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Assets</w:t>
            </w:r>
            <w:r>
              <w:rPr>
                <w:b/>
                <w:color w:val="2B3D4F"/>
                <w:spacing w:val="-5"/>
                <w:sz w:val="18"/>
              </w:rPr>
              <w:t xml:space="preserve"> </w:t>
            </w:r>
            <w:r>
              <w:rPr>
                <w:b/>
                <w:color w:val="2B3D4F"/>
                <w:spacing w:val="-4"/>
                <w:sz w:val="18"/>
              </w:rPr>
              <w:t>(ROA)</w:t>
            </w:r>
          </w:p>
        </w:tc>
        <w:tc>
          <w:tcPr>
            <w:tcW w:w="1936" w:type="dxa"/>
            <w:shd w:val="clear" w:color="auto" w:fill="F2F4F9"/>
          </w:tcPr>
          <w:p w14:paraId="0581BC91" w14:textId="77777777" w:rsidR="001053F3" w:rsidRDefault="002811C7">
            <w:pPr>
              <w:pStyle w:val="TableParagraph"/>
              <w:ind w:right="80"/>
              <w:rPr>
                <w:b/>
                <w:sz w:val="18"/>
              </w:rPr>
            </w:pPr>
            <w:r>
              <w:rPr>
                <w:b/>
                <w:color w:val="1D7E34"/>
                <w:spacing w:val="-4"/>
                <w:sz w:val="18"/>
              </w:rPr>
              <w:t>6.9%</w:t>
            </w:r>
          </w:p>
        </w:tc>
        <w:tc>
          <w:tcPr>
            <w:tcW w:w="1936" w:type="dxa"/>
            <w:shd w:val="clear" w:color="auto" w:fill="F2F4F9"/>
          </w:tcPr>
          <w:p w14:paraId="5D2BA88B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5.8%</w:t>
            </w:r>
          </w:p>
        </w:tc>
        <w:tc>
          <w:tcPr>
            <w:tcW w:w="1936" w:type="dxa"/>
            <w:shd w:val="clear" w:color="auto" w:fill="F2F4F9"/>
          </w:tcPr>
          <w:p w14:paraId="6EEDBA3B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6.1%</w:t>
            </w:r>
          </w:p>
        </w:tc>
        <w:tc>
          <w:tcPr>
            <w:tcW w:w="2259" w:type="dxa"/>
            <w:shd w:val="clear" w:color="auto" w:fill="F2F4F9"/>
          </w:tcPr>
          <w:p w14:paraId="310E4C31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6.3%</w:t>
            </w:r>
          </w:p>
        </w:tc>
      </w:tr>
      <w:tr w:rsidR="001053F3" w14:paraId="0427AE00" w14:textId="77777777">
        <w:trPr>
          <w:trHeight w:val="432"/>
        </w:trPr>
        <w:tc>
          <w:tcPr>
            <w:tcW w:w="2689" w:type="dxa"/>
            <w:shd w:val="clear" w:color="auto" w:fill="FFFFFF"/>
          </w:tcPr>
          <w:p w14:paraId="33A745D3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Operating</w:t>
            </w:r>
            <w:r>
              <w:rPr>
                <w:b/>
                <w:color w:val="2B3D4F"/>
                <w:spacing w:val="-5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Cash</w:t>
            </w:r>
            <w:r>
              <w:rPr>
                <w:b/>
                <w:color w:val="2B3D4F"/>
                <w:spacing w:val="-4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Flow</w:t>
            </w:r>
            <w:r>
              <w:rPr>
                <w:b/>
                <w:color w:val="2B3D4F"/>
                <w:spacing w:val="-4"/>
                <w:sz w:val="18"/>
              </w:rPr>
              <w:t xml:space="preserve"> Ratio</w:t>
            </w:r>
          </w:p>
        </w:tc>
        <w:tc>
          <w:tcPr>
            <w:tcW w:w="1936" w:type="dxa"/>
            <w:shd w:val="clear" w:color="auto" w:fill="FFFFFF"/>
          </w:tcPr>
          <w:p w14:paraId="332E8419" w14:textId="77777777" w:rsidR="001053F3" w:rsidRDefault="002811C7">
            <w:pPr>
              <w:pStyle w:val="TableParagraph"/>
              <w:ind w:right="80"/>
              <w:rPr>
                <w:b/>
                <w:sz w:val="18"/>
              </w:rPr>
            </w:pPr>
            <w:r>
              <w:rPr>
                <w:b/>
                <w:color w:val="1D7E34"/>
                <w:spacing w:val="-4"/>
                <w:sz w:val="18"/>
              </w:rPr>
              <w:t>1.08</w:t>
            </w:r>
          </w:p>
        </w:tc>
        <w:tc>
          <w:tcPr>
            <w:tcW w:w="1936" w:type="dxa"/>
            <w:shd w:val="clear" w:color="auto" w:fill="FFFFFF"/>
          </w:tcPr>
          <w:p w14:paraId="1A8E81C2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0.95</w:t>
            </w:r>
          </w:p>
        </w:tc>
        <w:tc>
          <w:tcPr>
            <w:tcW w:w="1936" w:type="dxa"/>
            <w:shd w:val="clear" w:color="auto" w:fill="FFFFFF"/>
          </w:tcPr>
          <w:p w14:paraId="6814BEAC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1.02</w:t>
            </w:r>
          </w:p>
        </w:tc>
        <w:tc>
          <w:tcPr>
            <w:tcW w:w="2259" w:type="dxa"/>
            <w:shd w:val="clear" w:color="auto" w:fill="FFFFFF"/>
          </w:tcPr>
          <w:p w14:paraId="7EE3CC75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1.01</w:t>
            </w:r>
          </w:p>
        </w:tc>
      </w:tr>
      <w:tr w:rsidR="001053F3" w14:paraId="1D3A0233" w14:textId="77777777">
        <w:trPr>
          <w:trHeight w:val="432"/>
        </w:trPr>
        <w:tc>
          <w:tcPr>
            <w:tcW w:w="2689" w:type="dxa"/>
            <w:shd w:val="clear" w:color="auto" w:fill="F2F4F9"/>
          </w:tcPr>
          <w:p w14:paraId="014AF578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Free</w:t>
            </w:r>
            <w:r>
              <w:rPr>
                <w:b/>
                <w:color w:val="2B3D4F"/>
                <w:spacing w:val="-8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Cash</w:t>
            </w:r>
            <w:r>
              <w:rPr>
                <w:b/>
                <w:color w:val="2B3D4F"/>
                <w:spacing w:val="-5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>Flow</w:t>
            </w:r>
            <w:r>
              <w:rPr>
                <w:b/>
                <w:color w:val="2B3D4F"/>
                <w:spacing w:val="-5"/>
                <w:sz w:val="18"/>
              </w:rPr>
              <w:t xml:space="preserve"> </w:t>
            </w:r>
            <w:r>
              <w:rPr>
                <w:b/>
                <w:color w:val="2B3D4F"/>
                <w:spacing w:val="-2"/>
                <w:sz w:val="18"/>
              </w:rPr>
              <w:t>Margin</w:t>
            </w:r>
          </w:p>
        </w:tc>
        <w:tc>
          <w:tcPr>
            <w:tcW w:w="1936" w:type="dxa"/>
            <w:shd w:val="clear" w:color="auto" w:fill="F2F4F9"/>
          </w:tcPr>
          <w:p w14:paraId="33B7AA4D" w14:textId="77777777" w:rsidR="001053F3" w:rsidRDefault="002811C7">
            <w:pPr>
              <w:pStyle w:val="TableParagraph"/>
              <w:ind w:right="80"/>
              <w:rPr>
                <w:b/>
                <w:sz w:val="18"/>
              </w:rPr>
            </w:pPr>
            <w:r>
              <w:rPr>
                <w:b/>
                <w:color w:val="1D7E34"/>
                <w:spacing w:val="-4"/>
                <w:sz w:val="18"/>
              </w:rPr>
              <w:t>4.2%</w:t>
            </w:r>
          </w:p>
        </w:tc>
        <w:tc>
          <w:tcPr>
            <w:tcW w:w="1936" w:type="dxa"/>
            <w:shd w:val="clear" w:color="auto" w:fill="F2F4F9"/>
          </w:tcPr>
          <w:p w14:paraId="280D1E2C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3.5%</w:t>
            </w:r>
          </w:p>
        </w:tc>
        <w:tc>
          <w:tcPr>
            <w:tcW w:w="1936" w:type="dxa"/>
            <w:shd w:val="clear" w:color="auto" w:fill="F2F4F9"/>
          </w:tcPr>
          <w:p w14:paraId="1A4B46EE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3.8%</w:t>
            </w:r>
          </w:p>
        </w:tc>
        <w:tc>
          <w:tcPr>
            <w:tcW w:w="2259" w:type="dxa"/>
            <w:shd w:val="clear" w:color="auto" w:fill="F2F4F9"/>
          </w:tcPr>
          <w:p w14:paraId="54ECD87C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pacing w:val="-4"/>
                <w:sz w:val="18"/>
              </w:rPr>
              <w:t>3.8%</w:t>
            </w:r>
          </w:p>
        </w:tc>
      </w:tr>
      <w:tr w:rsidR="001053F3" w14:paraId="4D40BE2A" w14:textId="77777777">
        <w:trPr>
          <w:trHeight w:val="431"/>
        </w:trPr>
        <w:tc>
          <w:tcPr>
            <w:tcW w:w="2689" w:type="dxa"/>
            <w:shd w:val="clear" w:color="auto" w:fill="FFFFFF"/>
          </w:tcPr>
          <w:p w14:paraId="55732509" w14:textId="77777777" w:rsidR="001053F3" w:rsidRDefault="002811C7">
            <w:pPr>
              <w:pStyle w:val="TableParagraph"/>
              <w:ind w:left="97" w:right="0"/>
              <w:jc w:val="left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P/E</w:t>
            </w:r>
            <w:r>
              <w:rPr>
                <w:b/>
                <w:color w:val="2B3D4F"/>
                <w:spacing w:val="-1"/>
                <w:sz w:val="18"/>
              </w:rPr>
              <w:t xml:space="preserve"> </w:t>
            </w:r>
            <w:r>
              <w:rPr>
                <w:b/>
                <w:color w:val="2B3D4F"/>
                <w:sz w:val="18"/>
              </w:rPr>
              <w:t xml:space="preserve">Ratio / EV </w:t>
            </w:r>
            <w:r>
              <w:rPr>
                <w:b/>
                <w:color w:val="2B3D4F"/>
                <w:spacing w:val="-4"/>
                <w:sz w:val="18"/>
              </w:rPr>
              <w:t>Proxy</w:t>
            </w:r>
          </w:p>
        </w:tc>
        <w:tc>
          <w:tcPr>
            <w:tcW w:w="1936" w:type="dxa"/>
            <w:shd w:val="clear" w:color="auto" w:fill="FFFFFF"/>
          </w:tcPr>
          <w:p w14:paraId="3D60A130" w14:textId="77777777" w:rsidR="001053F3" w:rsidRDefault="002811C7">
            <w:pPr>
              <w:pStyle w:val="TableParagraph"/>
              <w:rPr>
                <w:b/>
                <w:sz w:val="18"/>
              </w:rPr>
            </w:pPr>
            <w:r>
              <w:rPr>
                <w:b/>
                <w:color w:val="2B3D4F"/>
                <w:sz w:val="18"/>
              </w:rPr>
              <w:t>8.1x</w:t>
            </w:r>
            <w:r>
              <w:rPr>
                <w:b/>
                <w:color w:val="2B3D4F"/>
                <w:spacing w:val="-4"/>
                <w:sz w:val="18"/>
              </w:rPr>
              <w:t xml:space="preserve"> </w:t>
            </w:r>
            <w:r>
              <w:rPr>
                <w:b/>
                <w:color w:val="2B3D4F"/>
                <w:spacing w:val="-2"/>
                <w:sz w:val="18"/>
              </w:rPr>
              <w:t>(EV/EBITDA)</w:t>
            </w:r>
          </w:p>
        </w:tc>
        <w:tc>
          <w:tcPr>
            <w:tcW w:w="1936" w:type="dxa"/>
            <w:shd w:val="clear" w:color="auto" w:fill="FFFFFF"/>
          </w:tcPr>
          <w:p w14:paraId="3F147CE3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12.4x</w:t>
            </w:r>
            <w:r>
              <w:rPr>
                <w:rFonts w:ascii="Arial MT"/>
                <w:color w:val="2B3D4F"/>
                <w:spacing w:val="-4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(P/E)</w:t>
            </w:r>
          </w:p>
        </w:tc>
        <w:tc>
          <w:tcPr>
            <w:tcW w:w="1936" w:type="dxa"/>
            <w:shd w:val="clear" w:color="auto" w:fill="FFFFFF"/>
          </w:tcPr>
          <w:p w14:paraId="1007F120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11.8x</w:t>
            </w:r>
            <w:r>
              <w:rPr>
                <w:rFonts w:ascii="Arial MT"/>
                <w:color w:val="2B3D4F"/>
                <w:spacing w:val="-4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(P/E)</w:t>
            </w:r>
          </w:p>
        </w:tc>
        <w:tc>
          <w:tcPr>
            <w:tcW w:w="2259" w:type="dxa"/>
            <w:shd w:val="clear" w:color="auto" w:fill="FFFFFF"/>
          </w:tcPr>
          <w:p w14:paraId="1BBA183E" w14:textId="77777777" w:rsidR="001053F3" w:rsidRDefault="002811C7">
            <w:pPr>
              <w:pStyle w:val="TableParagraph"/>
              <w:rPr>
                <w:rFonts w:ascii="Arial MT"/>
                <w:sz w:val="18"/>
              </w:rPr>
            </w:pPr>
            <w:r>
              <w:rPr>
                <w:rFonts w:ascii="Arial MT"/>
                <w:color w:val="2B3D4F"/>
                <w:sz w:val="18"/>
              </w:rPr>
              <w:t>12.1x</w:t>
            </w:r>
            <w:r>
              <w:rPr>
                <w:rFonts w:ascii="Arial MT"/>
                <w:color w:val="2B3D4F"/>
                <w:spacing w:val="-4"/>
                <w:sz w:val="18"/>
              </w:rPr>
              <w:t xml:space="preserve"> </w:t>
            </w:r>
            <w:r>
              <w:rPr>
                <w:rFonts w:ascii="Arial MT"/>
                <w:color w:val="2B3D4F"/>
                <w:spacing w:val="-2"/>
                <w:sz w:val="18"/>
              </w:rPr>
              <w:t>(P/E)</w:t>
            </w:r>
          </w:p>
        </w:tc>
      </w:tr>
    </w:tbl>
    <w:p w14:paraId="47CC4193" w14:textId="77777777" w:rsidR="001053F3" w:rsidRDefault="002811C7">
      <w:pPr>
        <w:pStyle w:val="BodyText"/>
        <w:spacing w:before="9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4D1761" wp14:editId="5C86B888">
                <wp:simplePos x="0" y="0"/>
                <wp:positionH relativeFrom="page">
                  <wp:posOffset>377918</wp:posOffset>
                </wp:positionH>
                <wp:positionV relativeFrom="paragraph">
                  <wp:posOffset>137785</wp:posOffset>
                </wp:positionV>
                <wp:extent cx="6804659" cy="226187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4659" cy="2261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1DF4BD" w14:textId="77777777" w:rsidR="001053F3" w:rsidRDefault="002811C7">
                            <w:pPr>
                              <w:spacing w:before="135" w:line="355" w:lineRule="auto"/>
                              <w:ind w:left="166" w:right="5887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F497C"/>
                                <w:sz w:val="20"/>
                              </w:rPr>
                              <w:t>Strategic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z w:val="20"/>
                              </w:rPr>
                              <w:t>Strengths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z w:val="20"/>
                              </w:rPr>
                              <w:t>&amp;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z w:val="20"/>
                              </w:rPr>
                              <w:t>Weaknesses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1F497C"/>
                                <w:sz w:val="20"/>
                              </w:rPr>
                              <w:t xml:space="preserve">Evaluation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Key Strengths:</w:t>
                            </w:r>
                          </w:p>
                          <w:p w14:paraId="4542C1F7" w14:textId="77777777" w:rsidR="001053F3" w:rsidRDefault="002811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36"/>
                              </w:tabs>
                              <w:spacing w:line="292" w:lineRule="auto"/>
                              <w:ind w:right="630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Outperforming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Capital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Efficiency: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Wolseley's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ROE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16.8%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surpasses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Travis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Perkins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(14.2%)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Grafton Group (13.5%), driven by focused branch operations and lean costs.</w:t>
                            </w:r>
                          </w:p>
                          <w:p w14:paraId="2D17E943" w14:textId="77777777" w:rsidR="001053F3" w:rsidRDefault="002811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36"/>
                              </w:tabs>
                              <w:spacing w:before="58" w:line="292" w:lineRule="auto"/>
                              <w:ind w:right="623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Superior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Free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Cash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Conversion: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At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4.2%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FCF</w:t>
                            </w:r>
                            <w:r>
                              <w:rPr>
                                <w:color w:val="2B3D4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margin,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Wolseley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outperforms</w:t>
                            </w:r>
                            <w:r>
                              <w:rPr>
                                <w:color w:val="2B3D4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3.8%</w:t>
                            </w:r>
                            <w:r>
                              <w:rPr>
                                <w:color w:val="2B3D4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industry</w:t>
                            </w:r>
                            <w:r>
                              <w:rPr>
                                <w:color w:val="2B3D4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benchmark, providing solid cash headroom for strategic growth.</w:t>
                            </w:r>
                          </w:p>
                          <w:p w14:paraId="095C8297" w14:textId="77777777" w:rsidR="001053F3" w:rsidRDefault="002811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36"/>
                              </w:tabs>
                              <w:spacing w:before="59"/>
                              <w:ind w:hanging="125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Strong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Short-Term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Coverage: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Operating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cash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flow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ratio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1.08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confirms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healthy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working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capital</w:t>
                            </w:r>
                            <w:r>
                              <w:rPr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pacing w:val="-2"/>
                                <w:sz w:val="20"/>
                              </w:rPr>
                              <w:t>management.</w:t>
                            </w:r>
                          </w:p>
                          <w:p w14:paraId="3D0A86C4" w14:textId="77777777" w:rsidR="001053F3" w:rsidRDefault="002811C7">
                            <w:pPr>
                              <w:spacing w:before="170"/>
                              <w:ind w:left="166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Weaknesses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&amp;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Industry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2"/>
                                <w:sz w:val="20"/>
                              </w:rPr>
                              <w:t>Risks:</w:t>
                            </w:r>
                          </w:p>
                          <w:p w14:paraId="57E0D19D" w14:textId="77777777" w:rsidR="001053F3" w:rsidRDefault="002811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36"/>
                              </w:tabs>
                              <w:spacing w:before="110" w:line="292" w:lineRule="auto"/>
                              <w:ind w:right="738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Private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Capital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Structure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z w:val="20"/>
                              </w:rPr>
                              <w:t>Constraints:</w:t>
                            </w:r>
                            <w:r>
                              <w:rPr>
                                <w:rFonts w:ascii="Arial"/>
                                <w:b/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direct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public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equity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access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limits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share-backed</w:t>
                            </w:r>
                            <w:r>
                              <w:rPr>
                                <w:color w:val="2B3D4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B3D4F"/>
                                <w:sz w:val="20"/>
                              </w:rPr>
                              <w:t>acquisitions compared to listed peers.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9.757395pt;margin-top:10.849218pt;width:535.8pt;height:178.1pt;mso-position-horizontal-relative:page;mso-position-vertical-relative:paragraph;z-index:-15728640;mso-wrap-distance-left:0;mso-wrap-distance-right:0" type="#_x0000_t202" id="docshape11" filled="false" stroked="false">
                <v:textbox inset="0,0,0,0">
                  <w:txbxContent>
                    <w:p>
                      <w:pPr>
                        <w:spacing w:line="355" w:lineRule="auto" w:before="135"/>
                        <w:ind w:left="166" w:right="5887" w:firstLine="0"/>
                        <w:jc w:val="lef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1F497C"/>
                          <w:sz w:val="20"/>
                        </w:rPr>
                        <w:t>Strategic</w:t>
                      </w:r>
                      <w:r>
                        <w:rPr>
                          <w:rFonts w:ascii="Arial"/>
                          <w:b/>
                          <w:color w:val="1F497C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F497C"/>
                          <w:sz w:val="20"/>
                        </w:rPr>
                        <w:t>Strengths</w:t>
                      </w:r>
                      <w:r>
                        <w:rPr>
                          <w:rFonts w:ascii="Arial"/>
                          <w:b/>
                          <w:color w:val="1F497C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F497C"/>
                          <w:sz w:val="20"/>
                        </w:rPr>
                        <w:t>&amp;</w:t>
                      </w:r>
                      <w:r>
                        <w:rPr>
                          <w:rFonts w:ascii="Arial"/>
                          <w:b/>
                          <w:color w:val="1F497C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F497C"/>
                          <w:sz w:val="20"/>
                        </w:rPr>
                        <w:t>Weaknesses</w:t>
                      </w:r>
                      <w:r>
                        <w:rPr>
                          <w:rFonts w:ascii="Arial"/>
                          <w:b/>
                          <w:color w:val="1F497C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F497C"/>
                          <w:sz w:val="20"/>
                        </w:rPr>
                        <w:t>Evaluation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Key Strengths: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tabs>
                          <w:tab w:pos="436" w:val="left" w:leader="none"/>
                        </w:tabs>
                        <w:spacing w:line="292" w:lineRule="auto" w:before="0"/>
                        <w:ind w:left="436" w:right="630" w:hanging="126"/>
                        <w:jc w:val="left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Outperforming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Capital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Efficiency: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Wolseley's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ROE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of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16.8%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surpasses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Travis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Perkins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(14.2%)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and</w:t>
                      </w:r>
                      <w:r>
                        <w:rPr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Grafton Group (13.5%), driven by focused branch operations and lean costs.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tabs>
                          <w:tab w:pos="436" w:val="left" w:leader="none"/>
                        </w:tabs>
                        <w:spacing w:line="292" w:lineRule="auto" w:before="58"/>
                        <w:ind w:left="436" w:right="623" w:hanging="126"/>
                        <w:jc w:val="left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Superior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Free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Cash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Conversion: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At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4.2%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FCF</w:t>
                      </w:r>
                      <w:r>
                        <w:rPr>
                          <w:color w:val="2B3D4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margin,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Wolseley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outperforms</w:t>
                      </w:r>
                      <w:r>
                        <w:rPr>
                          <w:color w:val="2B3D4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the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3.8%</w:t>
                      </w:r>
                      <w:r>
                        <w:rPr>
                          <w:color w:val="2B3D4F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industry</w:t>
                      </w:r>
                      <w:r>
                        <w:rPr>
                          <w:color w:val="2B3D4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benchmark, providing solid cash headroom for strategic growth.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tabs>
                          <w:tab w:pos="436" w:val="left" w:leader="none"/>
                        </w:tabs>
                        <w:spacing w:before="59"/>
                        <w:ind w:left="436" w:right="0" w:hanging="125"/>
                        <w:jc w:val="left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Strong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Short-Term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Coverage: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Operating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cash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flow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ratio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of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1.08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confirms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healthy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working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capital</w:t>
                      </w:r>
                      <w:r>
                        <w:rPr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pacing w:val="-2"/>
                          <w:sz w:val="20"/>
                        </w:rPr>
                        <w:t>management.</w:t>
                      </w:r>
                    </w:p>
                    <w:p>
                      <w:pPr>
                        <w:spacing w:before="170"/>
                        <w:ind w:left="166" w:right="0" w:firstLine="0"/>
                        <w:jc w:val="left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Weaknesses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&amp;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Industry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2"/>
                          <w:sz w:val="20"/>
                        </w:rPr>
                        <w:t>Risks: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tabs>
                          <w:tab w:pos="436" w:val="left" w:leader="none"/>
                        </w:tabs>
                        <w:spacing w:line="292" w:lineRule="auto" w:before="110"/>
                        <w:ind w:left="436" w:right="738" w:hanging="126"/>
                        <w:jc w:val="left"/>
                        <w:rPr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Private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Capital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Structure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2B3D4F"/>
                          <w:sz w:val="20"/>
                        </w:rPr>
                        <w:t>Constraints:</w:t>
                      </w:r>
                      <w:r>
                        <w:rPr>
                          <w:rFonts w:ascii="Arial"/>
                          <w:b/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Lack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of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direct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public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equity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access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limits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share-backed</w:t>
                      </w:r>
                      <w:r>
                        <w:rPr>
                          <w:color w:val="2B3D4F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color w:val="2B3D4F"/>
                          <w:sz w:val="20"/>
                        </w:rPr>
                        <w:t>acquisitions compared to listed peers.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1FC88F6" w14:textId="77777777" w:rsidR="001053F3" w:rsidRDefault="001053F3">
      <w:pPr>
        <w:pStyle w:val="BodyText"/>
        <w:rPr>
          <w:rFonts w:ascii="Arial"/>
          <w:b/>
          <w:sz w:val="16"/>
        </w:rPr>
        <w:sectPr w:rsidR="001053F3">
          <w:type w:val="continuous"/>
          <w:pgSz w:w="11910" w:h="16840"/>
          <w:pgMar w:top="240" w:right="566" w:bottom="280" w:left="283" w:header="720" w:footer="720" w:gutter="0"/>
          <w:cols w:space="720"/>
        </w:sectPr>
      </w:pPr>
    </w:p>
    <w:p w14:paraId="501EEFB3" w14:textId="77777777" w:rsidR="001053F3" w:rsidRDefault="002811C7">
      <w:pPr>
        <w:pStyle w:val="BodyText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37622082" wp14:editId="4A85F2AB">
                <wp:simplePos x="0" y="0"/>
                <wp:positionH relativeFrom="page">
                  <wp:posOffset>0</wp:posOffset>
                </wp:positionH>
                <wp:positionV relativeFrom="page">
                  <wp:posOffset>3</wp:posOffset>
                </wp:positionV>
                <wp:extent cx="7560309" cy="1069213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9" y="10691999"/>
                              </a:moveTo>
                              <a:lnTo>
                                <a:pt x="0" y="10691999"/>
                              </a:lnTo>
                              <a:lnTo>
                                <a:pt x="0" y="0"/>
                              </a:lnTo>
                              <a:lnTo>
                                <a:pt x="7559999" y="0"/>
                              </a:lnTo>
                              <a:lnTo>
                                <a:pt x="7559999" y="10691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F9F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0pt;margin-top:.000251pt;width:595.27559pt;height:841.889764pt;mso-position-horizontal-relative:page;mso-position-vertical-relative:page;z-index:15729664" id="docshape12" filled="true" fillcolor="#f7f9f9" stroked="false">
                <v:fill type="solid"/>
                <w10:wrap type="none"/>
              </v:rect>
            </w:pict>
          </mc:Fallback>
        </mc:AlternateContent>
      </w:r>
      <w:r>
        <w:rPr>
          <w:rFonts w:ascii="Arial"/>
          <w:b/>
          <w:noProof/>
          <w:sz w:val="17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0FBB62FD" wp14:editId="7E39F2C0">
                <wp:simplePos x="0" y="0"/>
                <wp:positionH relativeFrom="page">
                  <wp:posOffset>360000</wp:posOffset>
                </wp:positionH>
                <wp:positionV relativeFrom="page">
                  <wp:posOffset>432003</wp:posOffset>
                </wp:positionV>
                <wp:extent cx="6840220" cy="536575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220" cy="536575"/>
                          <a:chOff x="0" y="0"/>
                          <a:chExt cx="6840220" cy="53657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840220" cy="5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536575">
                                <a:moveTo>
                                  <a:pt x="6801900" y="536575"/>
                                </a:moveTo>
                                <a:lnTo>
                                  <a:pt x="38100" y="536575"/>
                                </a:lnTo>
                                <a:lnTo>
                                  <a:pt x="23306" y="533568"/>
                                </a:lnTo>
                                <a:lnTo>
                                  <a:pt x="11191" y="525383"/>
                                </a:lnTo>
                                <a:lnTo>
                                  <a:pt x="3006" y="513268"/>
                                </a:lnTo>
                                <a:lnTo>
                                  <a:pt x="0" y="498475"/>
                                </a:lnTo>
                                <a:lnTo>
                                  <a:pt x="0" y="0"/>
                                </a:lnTo>
                                <a:lnTo>
                                  <a:pt x="6840000" y="0"/>
                                </a:lnTo>
                                <a:lnTo>
                                  <a:pt x="6840000" y="498475"/>
                                </a:lnTo>
                                <a:lnTo>
                                  <a:pt x="6836993" y="513268"/>
                                </a:lnTo>
                                <a:lnTo>
                                  <a:pt x="6828808" y="525383"/>
                                </a:lnTo>
                                <a:lnTo>
                                  <a:pt x="6816693" y="533568"/>
                                </a:lnTo>
                                <a:lnTo>
                                  <a:pt x="6801900" y="536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-5" y="12"/>
                            <a:ext cx="6840220" cy="5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536575">
                                <a:moveTo>
                                  <a:pt x="6840004" y="0"/>
                                </a:moveTo>
                                <a:lnTo>
                                  <a:pt x="6830479" y="0"/>
                                </a:lnTo>
                                <a:lnTo>
                                  <a:pt x="6830479" y="498475"/>
                                </a:lnTo>
                                <a:lnTo>
                                  <a:pt x="6828218" y="509562"/>
                                </a:lnTo>
                                <a:lnTo>
                                  <a:pt x="6822084" y="518655"/>
                                </a:lnTo>
                                <a:lnTo>
                                  <a:pt x="6812991" y="524789"/>
                                </a:lnTo>
                                <a:lnTo>
                                  <a:pt x="6801904" y="527050"/>
                                </a:lnTo>
                                <a:lnTo>
                                  <a:pt x="38100" y="527050"/>
                                </a:lnTo>
                                <a:lnTo>
                                  <a:pt x="27000" y="524789"/>
                                </a:lnTo>
                                <a:lnTo>
                                  <a:pt x="17919" y="518655"/>
                                </a:lnTo>
                                <a:lnTo>
                                  <a:pt x="11772" y="509562"/>
                                </a:lnTo>
                                <a:lnTo>
                                  <a:pt x="9525" y="498475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8475"/>
                                </a:lnTo>
                                <a:lnTo>
                                  <a:pt x="3009" y="513257"/>
                                </a:lnTo>
                                <a:lnTo>
                                  <a:pt x="11188" y="525373"/>
                                </a:lnTo>
                                <a:lnTo>
                                  <a:pt x="23304" y="533565"/>
                                </a:lnTo>
                                <a:lnTo>
                                  <a:pt x="38100" y="536575"/>
                                </a:lnTo>
                                <a:lnTo>
                                  <a:pt x="6801904" y="536575"/>
                                </a:lnTo>
                                <a:lnTo>
                                  <a:pt x="6836994" y="513257"/>
                                </a:lnTo>
                                <a:lnTo>
                                  <a:pt x="6840004" y="498475"/>
                                </a:lnTo>
                                <a:lnTo>
                                  <a:pt x="6840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6840220" cy="536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87C6C8" w14:textId="77777777" w:rsidR="001053F3" w:rsidRDefault="002811C7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64"/>
                                </w:tabs>
                                <w:spacing w:line="292" w:lineRule="auto"/>
                                <w:ind w:left="464" w:right="59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z w:val="20"/>
                                </w:rPr>
                                <w:t>Macroeconomic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z w:val="20"/>
                                </w:rPr>
                                <w:t>&amp;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z w:val="20"/>
                                </w:rPr>
                                <w:t>Construction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z w:val="20"/>
                                </w:rPr>
                                <w:t>Exposure:</w:t>
                              </w:r>
                              <w:r>
                                <w:rPr>
                                  <w:rFonts w:ascii="Arial"/>
                                  <w:b/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Sensitivity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UK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RMI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activity,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mortgage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rates,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supply</w:t>
                              </w:r>
                              <w:r>
                                <w:rPr>
                                  <w:color w:val="2B3D4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2B3D4F"/>
                                  <w:sz w:val="20"/>
                                </w:rPr>
                                <w:t>chain cost inflation.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B62FD" id="Group 13" o:spid="_x0000_s1027" style="position:absolute;margin-left:28.35pt;margin-top:34pt;width:538.6pt;height:42.25pt;z-index:15730176;mso-wrap-distance-left:0;mso-wrap-distance-right:0;mso-position-horizontal-relative:page;mso-position-vertical-relative:page" coordsize="68402,5365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">
                <v:shape id="Graphic 14" o:spid="_x0000_s1028" style="position:absolute;width:68402;height:5365;visibility:visible;mso-wrap-style:square;v-text-anchor:top" coordsize="6840220,5365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" path="m6801900,536575r-6763800,l23306,533568,11191,525383,3006,513268,,498475,,,6840000,r,498475l6836993,513268r-8185,12115l6816693,533568r-14793,3007xe" stroked="f">
                  <v:path arrowok="t"/>
                </v:shape>
                <v:shape id="Graphic 15" o:spid="_x0000_s1029" style="position:absolute;width:68402;height:5365;visibility:visible;mso-wrap-style:square;v-text-anchor:top" coordsize="6840220,5365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" path="m6840004,r-9525,l6830479,498475r-2261,11087l6822084,518655r-9093,6134l6801904,527050r-6763804,l27000,524789r-9081,-6134l11772,509562,9525,498475,9525,,,,,498475r3009,14782l11188,525373r12116,8192l38100,536575r6763804,l6836994,513257r3010,-14782l6840004,xe" fillcolor="#d8d8d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30" type="#_x0000_t202" style="position:absolute;width:68402;height:536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" filled="f" stroked="f">
                  <v:textbox inset="0,0,0,0">
                    <w:txbxContent>
                      <w:p w14:paraId="4587C6C8" w14:textId="77777777" w:rsidR="001053F3" w:rsidRDefault="002811C7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64"/>
                          </w:tabs>
                          <w:spacing w:line="292" w:lineRule="auto"/>
                          <w:ind w:left="464" w:right="598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2B3D4F"/>
                            <w:sz w:val="20"/>
                          </w:rPr>
                          <w:t>Macroeconomic</w:t>
                        </w:r>
                        <w:r>
                          <w:rPr>
                            <w:rFonts w:ascii="Arial"/>
                            <w:b/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3D4F"/>
                            <w:sz w:val="20"/>
                          </w:rPr>
                          <w:t>&amp;</w:t>
                        </w:r>
                        <w:r>
                          <w:rPr>
                            <w:rFonts w:ascii="Arial"/>
                            <w:b/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3D4F"/>
                            <w:sz w:val="20"/>
                          </w:rPr>
                          <w:t>Construction</w:t>
                        </w:r>
                        <w:r>
                          <w:rPr>
                            <w:rFonts w:ascii="Arial"/>
                            <w:b/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3D4F"/>
                            <w:sz w:val="20"/>
                          </w:rPr>
                          <w:t>Exposure:</w:t>
                        </w:r>
                        <w:r>
                          <w:rPr>
                            <w:rFonts w:ascii="Arial"/>
                            <w:b/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Sensitivity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to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UK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RMI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activity,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mortgage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rates,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and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supply</w:t>
                        </w:r>
                        <w:r>
                          <w:rPr>
                            <w:color w:val="2B3D4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2B3D4F"/>
                            <w:sz w:val="20"/>
                          </w:rPr>
                          <w:t>chain cost inflation.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sectPr w:rsidR="001053F3">
      <w:pgSz w:w="11910" w:h="16840"/>
      <w:pgMar w:top="660" w:right="566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1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17B74"/>
    <w:multiLevelType w:val="hybridMultilevel"/>
    <w:tmpl w:val="FFFFFFFF"/>
    <w:lvl w:ilvl="0" w:tplc="C22240A6">
      <w:start w:val="1"/>
      <w:numFmt w:val="decimal"/>
      <w:lvlText w:val="%1."/>
      <w:lvlJc w:val="left"/>
      <w:pPr>
        <w:ind w:left="775" w:hanging="312"/>
        <w:jc w:val="left"/>
      </w:pPr>
      <w:rPr>
        <w:rFonts w:ascii="Arial" w:eastAsia="Arial" w:hAnsi="Arial" w:cs="Arial" w:hint="default"/>
        <w:b/>
        <w:bCs/>
        <w:i w:val="0"/>
        <w:iCs w:val="0"/>
        <w:color w:val="1F497C"/>
        <w:spacing w:val="0"/>
        <w:w w:val="99"/>
        <w:sz w:val="26"/>
        <w:szCs w:val="26"/>
        <w:lang w:val="en-US" w:eastAsia="en-US" w:bidi="ar-SA"/>
      </w:rPr>
    </w:lvl>
    <w:lvl w:ilvl="1" w:tplc="703C1176">
      <w:numFmt w:val="bullet"/>
      <w:lvlText w:val="•"/>
      <w:lvlJc w:val="left"/>
      <w:pPr>
        <w:ind w:left="1807" w:hanging="312"/>
      </w:pPr>
      <w:rPr>
        <w:rFonts w:hint="default"/>
        <w:lang w:val="en-US" w:eastAsia="en-US" w:bidi="ar-SA"/>
      </w:rPr>
    </w:lvl>
    <w:lvl w:ilvl="2" w:tplc="1786B7AA">
      <w:numFmt w:val="bullet"/>
      <w:lvlText w:val="•"/>
      <w:lvlJc w:val="left"/>
      <w:pPr>
        <w:ind w:left="2835" w:hanging="312"/>
      </w:pPr>
      <w:rPr>
        <w:rFonts w:hint="default"/>
        <w:lang w:val="en-US" w:eastAsia="en-US" w:bidi="ar-SA"/>
      </w:rPr>
    </w:lvl>
    <w:lvl w:ilvl="3" w:tplc="967A4098">
      <w:numFmt w:val="bullet"/>
      <w:lvlText w:val="•"/>
      <w:lvlJc w:val="left"/>
      <w:pPr>
        <w:ind w:left="3862" w:hanging="312"/>
      </w:pPr>
      <w:rPr>
        <w:rFonts w:hint="default"/>
        <w:lang w:val="en-US" w:eastAsia="en-US" w:bidi="ar-SA"/>
      </w:rPr>
    </w:lvl>
    <w:lvl w:ilvl="4" w:tplc="6CCAF1C6">
      <w:numFmt w:val="bullet"/>
      <w:lvlText w:val="•"/>
      <w:lvlJc w:val="left"/>
      <w:pPr>
        <w:ind w:left="4890" w:hanging="312"/>
      </w:pPr>
      <w:rPr>
        <w:rFonts w:hint="default"/>
        <w:lang w:val="en-US" w:eastAsia="en-US" w:bidi="ar-SA"/>
      </w:rPr>
    </w:lvl>
    <w:lvl w:ilvl="5" w:tplc="BDF8642E">
      <w:numFmt w:val="bullet"/>
      <w:lvlText w:val="•"/>
      <w:lvlJc w:val="left"/>
      <w:pPr>
        <w:ind w:left="5918" w:hanging="312"/>
      </w:pPr>
      <w:rPr>
        <w:rFonts w:hint="default"/>
        <w:lang w:val="en-US" w:eastAsia="en-US" w:bidi="ar-SA"/>
      </w:rPr>
    </w:lvl>
    <w:lvl w:ilvl="6" w:tplc="A726EB6E">
      <w:numFmt w:val="bullet"/>
      <w:lvlText w:val="•"/>
      <w:lvlJc w:val="left"/>
      <w:pPr>
        <w:ind w:left="6945" w:hanging="312"/>
      </w:pPr>
      <w:rPr>
        <w:rFonts w:hint="default"/>
        <w:lang w:val="en-US" w:eastAsia="en-US" w:bidi="ar-SA"/>
      </w:rPr>
    </w:lvl>
    <w:lvl w:ilvl="7" w:tplc="9E8A7E32">
      <w:numFmt w:val="bullet"/>
      <w:lvlText w:val="•"/>
      <w:lvlJc w:val="left"/>
      <w:pPr>
        <w:ind w:left="7973" w:hanging="312"/>
      </w:pPr>
      <w:rPr>
        <w:rFonts w:hint="default"/>
        <w:lang w:val="en-US" w:eastAsia="en-US" w:bidi="ar-SA"/>
      </w:rPr>
    </w:lvl>
    <w:lvl w:ilvl="8" w:tplc="A22291A2">
      <w:numFmt w:val="bullet"/>
      <w:lvlText w:val="•"/>
      <w:lvlJc w:val="left"/>
      <w:pPr>
        <w:ind w:left="9001" w:hanging="312"/>
      </w:pPr>
      <w:rPr>
        <w:rFonts w:hint="default"/>
        <w:lang w:val="en-US" w:eastAsia="en-US" w:bidi="ar-SA"/>
      </w:rPr>
    </w:lvl>
  </w:abstractNum>
  <w:abstractNum w:abstractNumId="1" w15:restartNumberingAfterBreak="0">
    <w:nsid w:val="1F07170B"/>
    <w:multiLevelType w:val="hybridMultilevel"/>
    <w:tmpl w:val="FFFFFFFF"/>
    <w:lvl w:ilvl="0" w:tplc="6B807210">
      <w:numFmt w:val="bullet"/>
      <w:lvlText w:val="•"/>
      <w:lvlJc w:val="left"/>
      <w:pPr>
        <w:ind w:left="465" w:hanging="126"/>
      </w:pPr>
      <w:rPr>
        <w:rFonts w:ascii="Arial MT" w:eastAsia="Arial MT" w:hAnsi="Arial MT" w:cs="Arial MT" w:hint="default"/>
        <w:b w:val="0"/>
        <w:bCs w:val="0"/>
        <w:i w:val="0"/>
        <w:iCs w:val="0"/>
        <w:color w:val="2B3D4F"/>
        <w:spacing w:val="0"/>
        <w:w w:val="99"/>
        <w:sz w:val="20"/>
        <w:szCs w:val="20"/>
        <w:lang w:val="en-US" w:eastAsia="en-US" w:bidi="ar-SA"/>
      </w:rPr>
    </w:lvl>
    <w:lvl w:ilvl="1" w:tplc="70D0486E">
      <w:numFmt w:val="bullet"/>
      <w:lvlText w:val="•"/>
      <w:lvlJc w:val="left"/>
      <w:pPr>
        <w:ind w:left="1491" w:hanging="126"/>
      </w:pPr>
      <w:rPr>
        <w:rFonts w:hint="default"/>
        <w:lang w:val="en-US" w:eastAsia="en-US" w:bidi="ar-SA"/>
      </w:rPr>
    </w:lvl>
    <w:lvl w:ilvl="2" w:tplc="3708B41E">
      <w:numFmt w:val="bullet"/>
      <w:lvlText w:val="•"/>
      <w:lvlJc w:val="left"/>
      <w:pPr>
        <w:ind w:left="2522" w:hanging="126"/>
      </w:pPr>
      <w:rPr>
        <w:rFonts w:hint="default"/>
        <w:lang w:val="en-US" w:eastAsia="en-US" w:bidi="ar-SA"/>
      </w:rPr>
    </w:lvl>
    <w:lvl w:ilvl="3" w:tplc="598CEA0E">
      <w:numFmt w:val="bullet"/>
      <w:lvlText w:val="•"/>
      <w:lvlJc w:val="left"/>
      <w:pPr>
        <w:ind w:left="3553" w:hanging="126"/>
      </w:pPr>
      <w:rPr>
        <w:rFonts w:hint="default"/>
        <w:lang w:val="en-US" w:eastAsia="en-US" w:bidi="ar-SA"/>
      </w:rPr>
    </w:lvl>
    <w:lvl w:ilvl="4" w:tplc="B5E6C682">
      <w:numFmt w:val="bullet"/>
      <w:lvlText w:val="•"/>
      <w:lvlJc w:val="left"/>
      <w:pPr>
        <w:ind w:left="4584" w:hanging="126"/>
      </w:pPr>
      <w:rPr>
        <w:rFonts w:hint="default"/>
        <w:lang w:val="en-US" w:eastAsia="en-US" w:bidi="ar-SA"/>
      </w:rPr>
    </w:lvl>
    <w:lvl w:ilvl="5" w:tplc="22324F98">
      <w:numFmt w:val="bullet"/>
      <w:lvlText w:val="•"/>
      <w:lvlJc w:val="left"/>
      <w:pPr>
        <w:ind w:left="5615" w:hanging="126"/>
      </w:pPr>
      <w:rPr>
        <w:rFonts w:hint="default"/>
        <w:lang w:val="en-US" w:eastAsia="en-US" w:bidi="ar-SA"/>
      </w:rPr>
    </w:lvl>
    <w:lvl w:ilvl="6" w:tplc="DFEE5816">
      <w:numFmt w:val="bullet"/>
      <w:lvlText w:val="•"/>
      <w:lvlJc w:val="left"/>
      <w:pPr>
        <w:ind w:left="6647" w:hanging="126"/>
      </w:pPr>
      <w:rPr>
        <w:rFonts w:hint="default"/>
        <w:lang w:val="en-US" w:eastAsia="en-US" w:bidi="ar-SA"/>
      </w:rPr>
    </w:lvl>
    <w:lvl w:ilvl="7" w:tplc="D2660EB4">
      <w:numFmt w:val="bullet"/>
      <w:lvlText w:val="•"/>
      <w:lvlJc w:val="left"/>
      <w:pPr>
        <w:ind w:left="7678" w:hanging="126"/>
      </w:pPr>
      <w:rPr>
        <w:rFonts w:hint="default"/>
        <w:lang w:val="en-US" w:eastAsia="en-US" w:bidi="ar-SA"/>
      </w:rPr>
    </w:lvl>
    <w:lvl w:ilvl="8" w:tplc="4EF22D36">
      <w:numFmt w:val="bullet"/>
      <w:lvlText w:val="•"/>
      <w:lvlJc w:val="left"/>
      <w:pPr>
        <w:ind w:left="8709" w:hanging="126"/>
      </w:pPr>
      <w:rPr>
        <w:rFonts w:hint="default"/>
        <w:lang w:val="en-US" w:eastAsia="en-US" w:bidi="ar-SA"/>
      </w:rPr>
    </w:lvl>
  </w:abstractNum>
  <w:abstractNum w:abstractNumId="2" w15:restartNumberingAfterBreak="0">
    <w:nsid w:val="6F72300E"/>
    <w:multiLevelType w:val="hybridMultilevel"/>
    <w:tmpl w:val="FFFFFFFF"/>
    <w:lvl w:ilvl="0" w:tplc="655844E4">
      <w:numFmt w:val="bullet"/>
      <w:lvlText w:val="•"/>
      <w:lvlJc w:val="left"/>
      <w:pPr>
        <w:ind w:left="436" w:hanging="126"/>
      </w:pPr>
      <w:rPr>
        <w:rFonts w:ascii="Arial MT" w:eastAsia="Arial MT" w:hAnsi="Arial MT" w:cs="Arial MT" w:hint="default"/>
        <w:b w:val="0"/>
        <w:bCs w:val="0"/>
        <w:i w:val="0"/>
        <w:iCs w:val="0"/>
        <w:color w:val="2B3D4F"/>
        <w:spacing w:val="0"/>
        <w:w w:val="99"/>
        <w:sz w:val="20"/>
        <w:szCs w:val="20"/>
        <w:lang w:val="en-US" w:eastAsia="en-US" w:bidi="ar-SA"/>
      </w:rPr>
    </w:lvl>
    <w:lvl w:ilvl="1" w:tplc="6D6A142C">
      <w:numFmt w:val="bullet"/>
      <w:lvlText w:val="•"/>
      <w:lvlJc w:val="left"/>
      <w:pPr>
        <w:ind w:left="1467" w:hanging="126"/>
      </w:pPr>
      <w:rPr>
        <w:rFonts w:hint="default"/>
        <w:lang w:val="en-US" w:eastAsia="en-US" w:bidi="ar-SA"/>
      </w:rPr>
    </w:lvl>
    <w:lvl w:ilvl="2" w:tplc="3A2E7414">
      <w:numFmt w:val="bullet"/>
      <w:lvlText w:val="•"/>
      <w:lvlJc w:val="left"/>
      <w:pPr>
        <w:ind w:left="2495" w:hanging="126"/>
      </w:pPr>
      <w:rPr>
        <w:rFonts w:hint="default"/>
        <w:lang w:val="en-US" w:eastAsia="en-US" w:bidi="ar-SA"/>
      </w:rPr>
    </w:lvl>
    <w:lvl w:ilvl="3" w:tplc="8F32F3CC">
      <w:numFmt w:val="bullet"/>
      <w:lvlText w:val="•"/>
      <w:lvlJc w:val="left"/>
      <w:pPr>
        <w:ind w:left="3522" w:hanging="126"/>
      </w:pPr>
      <w:rPr>
        <w:rFonts w:hint="default"/>
        <w:lang w:val="en-US" w:eastAsia="en-US" w:bidi="ar-SA"/>
      </w:rPr>
    </w:lvl>
    <w:lvl w:ilvl="4" w:tplc="5E7E7F68">
      <w:numFmt w:val="bullet"/>
      <w:lvlText w:val="•"/>
      <w:lvlJc w:val="left"/>
      <w:pPr>
        <w:ind w:left="4550" w:hanging="126"/>
      </w:pPr>
      <w:rPr>
        <w:rFonts w:hint="default"/>
        <w:lang w:val="en-US" w:eastAsia="en-US" w:bidi="ar-SA"/>
      </w:rPr>
    </w:lvl>
    <w:lvl w:ilvl="5" w:tplc="278A1DC8">
      <w:numFmt w:val="bullet"/>
      <w:lvlText w:val="•"/>
      <w:lvlJc w:val="left"/>
      <w:pPr>
        <w:ind w:left="5577" w:hanging="126"/>
      </w:pPr>
      <w:rPr>
        <w:rFonts w:hint="default"/>
        <w:lang w:val="en-US" w:eastAsia="en-US" w:bidi="ar-SA"/>
      </w:rPr>
    </w:lvl>
    <w:lvl w:ilvl="6" w:tplc="DD8A8A06">
      <w:numFmt w:val="bullet"/>
      <w:lvlText w:val="•"/>
      <w:lvlJc w:val="left"/>
      <w:pPr>
        <w:ind w:left="6605" w:hanging="126"/>
      </w:pPr>
      <w:rPr>
        <w:rFonts w:hint="default"/>
        <w:lang w:val="en-US" w:eastAsia="en-US" w:bidi="ar-SA"/>
      </w:rPr>
    </w:lvl>
    <w:lvl w:ilvl="7" w:tplc="B05C5AF6">
      <w:numFmt w:val="bullet"/>
      <w:lvlText w:val="•"/>
      <w:lvlJc w:val="left"/>
      <w:pPr>
        <w:ind w:left="7632" w:hanging="126"/>
      </w:pPr>
      <w:rPr>
        <w:rFonts w:hint="default"/>
        <w:lang w:val="en-US" w:eastAsia="en-US" w:bidi="ar-SA"/>
      </w:rPr>
    </w:lvl>
    <w:lvl w:ilvl="8" w:tplc="FC1C70A2">
      <w:numFmt w:val="bullet"/>
      <w:lvlText w:val="•"/>
      <w:lvlJc w:val="left"/>
      <w:pPr>
        <w:ind w:left="8660" w:hanging="126"/>
      </w:pPr>
      <w:rPr>
        <w:rFonts w:hint="default"/>
        <w:lang w:val="en-US" w:eastAsia="en-US" w:bidi="ar-SA"/>
      </w:rPr>
    </w:lvl>
  </w:abstractNum>
  <w:num w:numId="1" w16cid:durableId="780223856">
    <w:abstractNumId w:val="1"/>
  </w:num>
  <w:num w:numId="2" w16cid:durableId="2134593343">
    <w:abstractNumId w:val="2"/>
  </w:num>
  <w:num w:numId="3" w16cid:durableId="1194270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53F3"/>
    <w:rsid w:val="001053F3"/>
    <w:rsid w:val="002811C7"/>
    <w:rsid w:val="00BB2724"/>
    <w:rsid w:val="00DC05A2"/>
    <w:rsid w:val="00E106E3"/>
    <w:rsid w:val="00E5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ADC25"/>
  <w15:docId w15:val="{EF95E1A5-903B-A949-AC74-193C29DB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"/>
      <w:ind w:left="16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463" w:hanging="311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ind w:left="166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63" w:hanging="31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88"/>
      <w:ind w:right="79"/>
      <w:jc w:val="right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Wolseley Group Holdings Limited - Financial Ratios &amp; Benchmark Report</dc:title>
  <cp:lastModifiedBy>Sanket Pandya</cp:lastModifiedBy>
  <cp:revision>5</cp:revision>
  <dcterms:created xsi:type="dcterms:W3CDTF">2026-08-11T15:12:00Z</dcterms:created>
  <dcterms:modified xsi:type="dcterms:W3CDTF">2026-08-11T15:15:00Z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2026-08-11T00:00:00Z</vt:filetime>
  </property>
  <property fmtid="{D5CDD505-2E9C-101B-9397-08002B2CF9AE}" pid="4" name="Producer">
    <vt:lpwstr>WeasyPrint 62.3</vt:lpwstr>
  </property>
  <property fmtid="{D5CDD505-2E9C-101B-9397-08002B2CF9AE}" pid="5" name="LastSaved">
    <vt:filetime>2026-08-11T00:00:00Z</vt:filetime>
  </property>
</Properties>
</file>