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867330295"/>
        <w:docPartObj>
          <w:docPartGallery w:val="Cover Pages"/>
          <w:docPartUnique/>
        </w:docPartObj>
        <w:rPr>
          <w:rFonts w:eastAsia="" w:eastAsiaTheme="minorEastAsia"/>
          <w:color w:val="E97132" w:themeColor="accent2"/>
          <w:kern w:val="0"/>
          <w:sz w:val="26"/>
          <w:szCs w:val="26"/>
          <w:lang w:eastAsia="en-GB"/>
          <w14:ligatures w14:val="none"/>
        </w:rPr>
      </w:sdtPr>
      <w:sdtEndPr>
        <w:rPr>
          <w:rFonts w:eastAsia="" w:eastAsiaTheme="minorEastAsia"/>
          <w:color w:val="E97132" w:themeColor="accent2" w:themeTint="FF" w:themeShade="FF"/>
          <w:sz w:val="26"/>
          <w:szCs w:val="26"/>
          <w:lang w:eastAsia="en-GB"/>
        </w:rPr>
      </w:sdtEndPr>
      <w:sdtContent>
        <w:p w:rsidRPr="00E31D25" w:rsidR="00E31D25" w:rsidRDefault="00E31D25" w14:paraId="7F08B93B" w14:textId="069EA0DC">
          <w:pPr>
            <w:rPr>
              <w:rFonts w:ascii="Arial" w:hAnsi="Arial" w:cs="Arial" w:eastAsiaTheme="minorEastAsia"/>
              <w:b/>
              <w:bCs/>
              <w:color w:val="000000" w:themeColor="text1"/>
              <w:kern w:val="0"/>
              <w:sz w:val="40"/>
              <w:szCs w:val="40"/>
              <w:lang w:eastAsia="en-GB"/>
              <w14:ligatures w14:val="none"/>
            </w:rPr>
          </w:pPr>
          <w:r w:rsidRPr="00E31D25">
            <w:rPr>
              <w:rFonts w:ascii="Arial" w:hAnsi="Arial" w:cs="Arial" w:eastAsiaTheme="minorEastAsia"/>
              <w:b/>
              <w:bCs/>
              <w:color w:val="000000" w:themeColor="text1"/>
              <w:kern w:val="0"/>
              <w:sz w:val="40"/>
              <w:szCs w:val="40"/>
              <w:lang w:eastAsia="en-GB"/>
              <w14:ligatures w14:val="none"/>
            </w:rPr>
            <w:t>TITLE PAGE</w:t>
          </w:r>
        </w:p>
        <w:p w:rsidR="00E31D25" w:rsidRDefault="00E31D25" w14:paraId="6455C794" w14:textId="77777777">
          <w:pPr>
            <w:rPr>
              <w:rFonts w:eastAsiaTheme="minorEastAsia"/>
              <w:color w:val="E97132" w:themeColor="accent2"/>
              <w:kern w:val="0"/>
              <w:sz w:val="26"/>
              <w:szCs w:val="26"/>
              <w:lang w:eastAsia="en-GB"/>
              <w14:ligatures w14:val="none"/>
            </w:rPr>
          </w:pPr>
        </w:p>
        <w:p w:rsidRPr="00E31D25" w:rsidR="00645434" w:rsidRDefault="00645434" w14:paraId="730D8A42" w14:textId="0CB7055F">
          <w:pPr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</w:pPr>
          <w:r w:rsidRPr="00E31D25"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  <w:t>Student Name</w:t>
          </w:r>
          <w:r w:rsidRPr="00E31D25" w:rsidR="00E31D25"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  <w:t xml:space="preserve">……………… Kingsley Adu </w:t>
          </w:r>
          <w:proofErr w:type="spellStart"/>
          <w:r w:rsidRPr="00E31D25" w:rsidR="00E31D25"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  <w:t>Brefo</w:t>
          </w:r>
          <w:proofErr w:type="spellEnd"/>
        </w:p>
        <w:p w:rsidRPr="00E31D25" w:rsidR="00645434" w:rsidP="04755472" w:rsidRDefault="00645434" w14:paraId="0A77CAA2" w14:textId="1F82378F">
          <w:pPr>
            <w:rPr>
              <w:rFonts w:eastAsia="" w:eastAsiaTheme="minorEastAsia"/>
              <w:b w:val="1"/>
              <w:bCs w:val="1"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</w:pPr>
          <w:r w:rsidRPr="04755472" w:rsidR="00645434">
            <w:rPr>
              <w:rFonts w:eastAsia="" w:eastAsiaTheme="minorEastAsia"/>
              <w:b w:val="1"/>
              <w:bCs w:val="1"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  <w:t>Student ID number</w:t>
          </w:r>
          <w:r w:rsidRPr="04755472" w:rsidR="00E31D25">
            <w:rPr>
              <w:rFonts w:eastAsia="" w:eastAsiaTheme="minorEastAsia"/>
              <w:b w:val="1"/>
              <w:bCs w:val="1"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  <w:t>…</w:t>
          </w:r>
          <w:r w:rsidRPr="04755472" w:rsidR="00E31D25">
            <w:rPr>
              <w:rFonts w:eastAsia="" w:eastAsiaTheme="minorEastAsia"/>
              <w:b w:val="1"/>
              <w:bCs w:val="1"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  <w:t>…..</w:t>
          </w:r>
          <w:r w:rsidRPr="04755472" w:rsidR="7A5FDFB9">
            <w:rPr>
              <w:rFonts w:eastAsia="" w:eastAsiaTheme="minorEastAsia"/>
              <w:b w:val="1"/>
              <w:bCs w:val="1"/>
              <w:color w:val="000000" w:themeColor="text1" w:themeTint="FF" w:themeShade="FF"/>
              <w:sz w:val="26"/>
              <w:szCs w:val="26"/>
              <w:lang w:eastAsia="en-GB"/>
            </w:rPr>
            <w:t xml:space="preserve">     </w:t>
          </w:r>
          <w:r w:rsidRPr="04755472" w:rsidR="00E31D25">
            <w:rPr>
              <w:rFonts w:eastAsia="" w:eastAsiaTheme="minorEastAsia"/>
              <w:b w:val="1"/>
              <w:bCs w:val="1"/>
              <w:color w:val="000000" w:themeColor="text1" w:themeTint="FF" w:themeShade="FF"/>
              <w:sz w:val="26"/>
              <w:szCs w:val="26"/>
              <w:lang w:eastAsia="en-GB"/>
            </w:rPr>
            <w:t>2424521</w:t>
          </w:r>
        </w:p>
        <w:p w:rsidRPr="00E31D25" w:rsidR="00E31D25" w:rsidRDefault="00E31D25" w14:paraId="1F836091" w14:textId="7B49E356">
          <w:pPr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</w:pPr>
          <w:r w:rsidRPr="00E31D25"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  <w:t>Module……………………</w:t>
          </w:r>
          <w:r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  <w:t>.</w:t>
          </w:r>
          <w:r w:rsidRPr="00E31D25"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  <w:t>Protecting and supporting families in health and care</w:t>
          </w:r>
        </w:p>
        <w:p w:rsidRPr="00E31D25" w:rsidR="00645434" w:rsidRDefault="00645434" w14:paraId="0CD74763" w14:textId="2F690486">
          <w:pPr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</w:pPr>
          <w:r w:rsidRPr="00E31D25"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  <w:t xml:space="preserve">Module </w:t>
          </w:r>
          <w:r w:rsidRPr="00E31D25" w:rsidR="00E31D25"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  <w:t>code…………………. BMHP5021</w:t>
          </w:r>
        </w:p>
        <w:p w:rsidRPr="00E31D25" w:rsidR="00E31D25" w:rsidRDefault="00E31D25" w14:paraId="3DBAECC4" w14:textId="42C4F3D5">
          <w:pPr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</w:pPr>
          <w:r w:rsidRPr="00E31D25"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  <w:t>Lecturer name…………………Robert Nartowski</w:t>
          </w:r>
        </w:p>
        <w:p w:rsidR="00E31D25" w:rsidRDefault="00E31D25" w14:paraId="7A6B6B95" w14:textId="5229F688">
          <w:pPr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</w:pPr>
          <w:r w:rsidRPr="00E31D25"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  <w:t xml:space="preserve">Assignment title………………Group presentation </w:t>
          </w:r>
        </w:p>
        <w:p w:rsidR="0090187E" w:rsidRDefault="0090187E" w14:paraId="709FDE5D" w14:textId="77777777">
          <w:pPr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</w:pPr>
        </w:p>
        <w:p w:rsidR="0090187E" w:rsidRDefault="0090187E" w14:paraId="0A98D462" w14:textId="77777777">
          <w:pPr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</w:pPr>
        </w:p>
        <w:p w:rsidR="0090187E" w:rsidRDefault="0090187E" w14:paraId="58E94868" w14:textId="77777777">
          <w:pPr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</w:pPr>
        </w:p>
        <w:p w:rsidR="00E31D25" w:rsidRDefault="00E31D25" w14:paraId="6F5CD44F" w14:textId="65C78611">
          <w:pPr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</w:pPr>
          <w:r w:rsidRPr="00E31D25"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  <w:t>NAMES OF GROUP PRESENTATION</w:t>
          </w:r>
        </w:p>
        <w:p w:rsidRPr="0090187E" w:rsidR="00E31D25" w:rsidRDefault="00E31D25" w14:paraId="2AC60CDC" w14:textId="640D9F5F">
          <w:pPr>
            <w:rPr>
              <w:rFonts w:eastAsiaTheme="minorEastAsia"/>
              <w:b/>
              <w:bCs/>
              <w:color w:val="EE0000"/>
              <w:kern w:val="0"/>
              <w:sz w:val="28"/>
              <w:szCs w:val="28"/>
              <w:u w:val="single"/>
              <w:lang w:eastAsia="en-GB"/>
              <w14:ligatures w14:val="none"/>
            </w:rPr>
          </w:pPr>
          <w:r w:rsidRPr="0090187E">
            <w:rPr>
              <w:rFonts w:eastAsiaTheme="minorEastAsia"/>
              <w:b/>
              <w:bCs/>
              <w:color w:val="EE0000"/>
              <w:kern w:val="0"/>
              <w:sz w:val="28"/>
              <w:szCs w:val="28"/>
              <w:u w:val="single"/>
              <w:lang w:eastAsia="en-GB"/>
              <w14:ligatures w14:val="none"/>
            </w:rPr>
            <w:t xml:space="preserve"> Name and sur</w:t>
          </w:r>
          <w:r w:rsidRPr="0090187E" w:rsidR="0090187E">
            <w:rPr>
              <w:rFonts w:eastAsiaTheme="minorEastAsia"/>
              <w:b/>
              <w:bCs/>
              <w:color w:val="EE0000"/>
              <w:kern w:val="0"/>
              <w:sz w:val="28"/>
              <w:szCs w:val="28"/>
              <w:u w:val="single"/>
              <w:lang w:eastAsia="en-GB"/>
              <w14:ligatures w14:val="none"/>
            </w:rPr>
            <w:t>name                                   Role</w:t>
          </w:r>
        </w:p>
        <w:p w:rsidR="00E31D25" w:rsidRDefault="00E31D25" w14:paraId="5F59FD84" w14:textId="575075B4">
          <w:pPr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</w:pPr>
          <w:proofErr w:type="spellStart"/>
          <w:r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  <w:t>Latimah</w:t>
          </w:r>
          <w:proofErr w:type="spellEnd"/>
          <w:r w:rsidR="0090187E"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  <w:t xml:space="preserve"> </w:t>
          </w:r>
          <w:r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  <w:t xml:space="preserve"> </w:t>
          </w:r>
          <w:proofErr w:type="spellStart"/>
          <w:r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  <w:t>Shoukat</w:t>
          </w:r>
          <w:proofErr w:type="spellEnd"/>
          <w:r w:rsidR="0090187E"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  <w:t xml:space="preserve">                                    police officer</w:t>
          </w:r>
        </w:p>
        <w:p w:rsidR="0090187E" w:rsidRDefault="0090187E" w14:paraId="74092C0D" w14:textId="3C67AA24">
          <w:pPr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</w:pPr>
          <w:r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  <w:t xml:space="preserve">Labeeqa  </w:t>
          </w:r>
          <w:proofErr w:type="spellStart"/>
          <w:r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  <w:t>Shoukat</w:t>
          </w:r>
          <w:proofErr w:type="spellEnd"/>
          <w:r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  <w:t xml:space="preserve">                           family  support worker</w:t>
          </w:r>
        </w:p>
        <w:p w:rsidR="0090187E" w:rsidRDefault="0090187E" w14:paraId="23CAB1D2" w14:textId="29EAB7B8">
          <w:pPr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</w:pPr>
          <w:proofErr w:type="spellStart"/>
          <w:r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  <w:t>Mgid</w:t>
          </w:r>
          <w:proofErr w:type="spellEnd"/>
          <w:r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  <w:t xml:space="preserve">  </w:t>
          </w:r>
          <w:proofErr w:type="spellStart"/>
          <w:r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  <w:t>Glal</w:t>
          </w:r>
          <w:proofErr w:type="spellEnd"/>
          <w:r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  <w:t xml:space="preserve">                                              Social worker</w:t>
          </w:r>
        </w:p>
        <w:p w:rsidRPr="00E31D25" w:rsidR="0090187E" w:rsidRDefault="0090187E" w14:paraId="2F2FB0B4" w14:textId="77777777">
          <w:pPr>
            <w:rPr>
              <w:rFonts w:eastAsiaTheme="minorEastAsia"/>
              <w:b/>
              <w:bCs/>
              <w:color w:val="EE0000"/>
              <w:kern w:val="0"/>
              <w:sz w:val="26"/>
              <w:szCs w:val="26"/>
              <w:lang w:eastAsia="en-GB"/>
              <w14:ligatures w14:val="none"/>
            </w:rPr>
          </w:pPr>
        </w:p>
        <w:p w:rsidR="00645434" w:rsidRDefault="00645434" w14:paraId="23669CF5" w14:textId="77777777">
          <w:pPr>
            <w:rPr>
              <w:rFonts w:eastAsiaTheme="minorEastAsia"/>
              <w:color w:val="E97132" w:themeColor="accent2"/>
              <w:kern w:val="0"/>
              <w:sz w:val="26"/>
              <w:szCs w:val="26"/>
              <w:lang w:eastAsia="en-GB"/>
              <w14:ligatures w14:val="none"/>
            </w:rPr>
          </w:pPr>
          <w:r w:rsidRPr="00E31D25">
            <w:rPr>
              <w:rFonts w:eastAsiaTheme="minorEastAsia"/>
              <w:b/>
              <w:bCs/>
              <w:color w:val="000000" w:themeColor="text1"/>
              <w:kern w:val="0"/>
              <w:sz w:val="26"/>
              <w:szCs w:val="26"/>
              <w:lang w:eastAsia="en-GB"/>
              <w14:ligatures w14:val="none"/>
            </w:rPr>
            <w:br w:type="page"/>
          </w:r>
        </w:p>
        <w:p w:rsidR="00EA0752" w:rsidRDefault="00E57D9A" w14:paraId="0B327F66" w14:textId="697E0A86">
          <w:pPr>
            <w:rPr>
              <w:rFonts w:eastAsiaTheme="minorEastAsia"/>
              <w:color w:val="E97132" w:themeColor="accent2"/>
              <w:kern w:val="0"/>
              <w:sz w:val="26"/>
              <w:szCs w:val="26"/>
              <w:lang w:eastAsia="en-GB"/>
              <w14:ligatures w14:val="none"/>
            </w:rPr>
          </w:pPr>
        </w:p>
      </w:sdtContent>
    </w:sdt>
    <w:p w:rsidRPr="004E34D2" w:rsidR="004E34D2" w:rsidP="04755472" w:rsidRDefault="004E34D2" w14:paraId="3BCEC42D" w14:textId="779E33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4755472" w:rsidR="004E34D2">
        <w:rPr>
          <w:rFonts w:ascii="Arial" w:hAnsi="Arial" w:cs="Arial"/>
          <w:b w:val="1"/>
          <w:bCs w:val="1"/>
          <w:sz w:val="22"/>
          <w:szCs w:val="22"/>
        </w:rPr>
        <w:t>References:</w:t>
      </w:r>
      <w:r>
        <w:br/>
      </w:r>
      <w:r w:rsidRPr="04755472" w:rsidR="004E34D2">
        <w:rPr>
          <w:rFonts w:ascii="Arial" w:hAnsi="Arial" w:cs="Arial"/>
          <w:sz w:val="22"/>
          <w:szCs w:val="22"/>
        </w:rPr>
        <w:t xml:space="preserve">Barnet Safeguarding Children Partnership (2026) </w:t>
      </w:r>
      <w:r w:rsidRPr="04755472" w:rsidR="004E34D2">
        <w:rPr>
          <w:rFonts w:ascii="Arial" w:hAnsi="Arial" w:cs="Arial"/>
          <w:i w:val="1"/>
          <w:iCs w:val="1"/>
          <w:sz w:val="22"/>
          <w:szCs w:val="22"/>
        </w:rPr>
        <w:t>Local Learning Review: Anna and David</w:t>
      </w:r>
      <w:r w:rsidRPr="04755472" w:rsidR="004E34D2">
        <w:rPr>
          <w:rFonts w:ascii="Arial" w:hAnsi="Arial" w:cs="Arial"/>
          <w:sz w:val="22"/>
          <w:szCs w:val="22"/>
        </w:rPr>
        <w:t>. London: Barnet Safeguarding Children Partnership. Available at: Local Learning Review PDF provided by module tutor (Accessed: 21 June 2026).</w:t>
      </w:r>
    </w:p>
    <w:p w:rsidRPr="004E34D2" w:rsidR="004E34D2" w:rsidP="04755472" w:rsidRDefault="004E34D2" w14:paraId="0648BEEE" w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4755472" w:rsidR="004E34D2">
        <w:rPr>
          <w:rFonts w:ascii="Arial" w:hAnsi="Arial" w:cs="Arial"/>
          <w:sz w:val="22"/>
          <w:szCs w:val="22"/>
        </w:rPr>
        <w:t xml:space="preserve">Cassidy, S., Bradley, L., Shaw, R. and Baron-Cohen, S. (2024) ‘Risk markers for suicidality in autistic people: A systematic review’, </w:t>
      </w:r>
      <w:r w:rsidRPr="04755472" w:rsidR="004E34D2">
        <w:rPr>
          <w:rFonts w:ascii="Arial" w:hAnsi="Arial" w:cs="Arial"/>
          <w:i w:val="1"/>
          <w:iCs w:val="1"/>
          <w:sz w:val="22"/>
          <w:szCs w:val="22"/>
        </w:rPr>
        <w:t>Autism Research</w:t>
      </w:r>
      <w:r w:rsidRPr="04755472" w:rsidR="004E34D2">
        <w:rPr>
          <w:rFonts w:ascii="Arial" w:hAnsi="Arial" w:cs="Arial"/>
          <w:sz w:val="22"/>
          <w:szCs w:val="22"/>
        </w:rPr>
        <w:t xml:space="preserve">, 17(2), pp. 145–161. Available at: </w:t>
      </w:r>
      <w:hyperlink r:id="Rbf59c14a1c754350">
        <w:r w:rsidRPr="04755472" w:rsidR="004E34D2">
          <w:rPr>
            <w:rStyle w:val="Hyperlink"/>
            <w:rFonts w:ascii="Arial" w:hAnsi="Arial" w:cs="Arial"/>
            <w:sz w:val="22"/>
            <w:szCs w:val="22"/>
          </w:rPr>
          <w:t>https://doi.org/10.1002/aur.3240</w:t>
        </w:r>
      </w:hyperlink>
      <w:r w:rsidRPr="04755472" w:rsidR="004E34D2">
        <w:rPr>
          <w:rFonts w:ascii="Arial" w:hAnsi="Arial" w:cs="Arial"/>
          <w:sz w:val="22"/>
          <w:szCs w:val="22"/>
        </w:rPr>
        <w:t xml:space="preserve"> (Accessed: 21 June 2026).</w:t>
      </w:r>
    </w:p>
    <w:p w:rsidRPr="004E34D2" w:rsidR="004E34D2" w:rsidP="04755472" w:rsidRDefault="004E34D2" w14:paraId="2FD15600" w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4755472" w:rsidR="004E34D2">
        <w:rPr>
          <w:rFonts w:ascii="Arial" w:hAnsi="Arial" w:cs="Arial"/>
          <w:sz w:val="22"/>
          <w:szCs w:val="22"/>
        </w:rPr>
        <w:t xml:space="preserve">Department for Education (2023) </w:t>
      </w:r>
      <w:r w:rsidRPr="04755472" w:rsidR="004E34D2">
        <w:rPr>
          <w:rFonts w:ascii="Arial" w:hAnsi="Arial" w:cs="Arial"/>
          <w:i w:val="1"/>
          <w:iCs w:val="1"/>
          <w:sz w:val="22"/>
          <w:szCs w:val="22"/>
        </w:rPr>
        <w:t>Working Together to Safeguard Children</w:t>
      </w:r>
      <w:r w:rsidRPr="04755472" w:rsidR="004E34D2">
        <w:rPr>
          <w:rFonts w:ascii="Arial" w:hAnsi="Arial" w:cs="Arial"/>
          <w:sz w:val="22"/>
          <w:szCs w:val="22"/>
        </w:rPr>
        <w:t xml:space="preserve">. London: HMSO. Available at: </w:t>
      </w:r>
      <w:hyperlink r:id="R3f07489788474654">
        <w:r w:rsidRPr="04755472" w:rsidR="004E34D2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https://www.gov.uk/government/publications/working-together-to-safeguard-children--2</w:t>
        </w:r>
      </w:hyperlink>
      <w:r w:rsidRPr="04755472" w:rsidR="004E34D2">
        <w:rPr>
          <w:rFonts w:ascii="Arial" w:hAnsi="Arial" w:cs="Arial"/>
          <w:sz w:val="22"/>
          <w:szCs w:val="22"/>
        </w:rPr>
        <w:t xml:space="preserve"> (Accessed: 21 June 2026).</w:t>
      </w:r>
    </w:p>
    <w:p w:rsidRPr="004E34D2" w:rsidR="004E34D2" w:rsidP="04755472" w:rsidRDefault="004E34D2" w14:paraId="0CDD17EB" w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4755472" w:rsidR="004E34D2">
        <w:rPr>
          <w:rFonts w:ascii="Arial" w:hAnsi="Arial" w:cs="Arial"/>
          <w:sz w:val="22"/>
          <w:szCs w:val="22"/>
        </w:rPr>
        <w:t xml:space="preserve">Hawton, K., Witt, K.G., Salisbury, T.L.T., Arensman, E., Gunnell, D., Hazell, P. and Townsend, E. (2022) ‘Psychosocial interventions following self-harm in adults and young people’, </w:t>
      </w:r>
      <w:r w:rsidRPr="04755472" w:rsidR="004E34D2">
        <w:rPr>
          <w:rFonts w:ascii="Arial" w:hAnsi="Arial" w:cs="Arial"/>
          <w:i w:val="1"/>
          <w:iCs w:val="1"/>
          <w:sz w:val="22"/>
          <w:szCs w:val="22"/>
        </w:rPr>
        <w:t>The Lancet Psychiatry</w:t>
      </w:r>
      <w:r w:rsidRPr="04755472" w:rsidR="004E34D2">
        <w:rPr>
          <w:rFonts w:ascii="Arial" w:hAnsi="Arial" w:cs="Arial"/>
          <w:sz w:val="22"/>
          <w:szCs w:val="22"/>
        </w:rPr>
        <w:t xml:space="preserve">, 9(8), pp. 661–674. Available at: </w:t>
      </w:r>
      <w:hyperlink r:id="Ra9d7085c38c74ef2">
        <w:r w:rsidRPr="04755472" w:rsidR="004E34D2">
          <w:rPr>
            <w:rStyle w:val="Hyperlink"/>
            <w:rFonts w:ascii="Arial" w:hAnsi="Arial" w:cs="Arial"/>
            <w:sz w:val="22"/>
            <w:szCs w:val="22"/>
          </w:rPr>
          <w:t>https://doi.org/10.1016/S2215-0366(22)00176-4</w:t>
        </w:r>
      </w:hyperlink>
      <w:r w:rsidRPr="04755472" w:rsidR="004E34D2">
        <w:rPr>
          <w:rFonts w:ascii="Arial" w:hAnsi="Arial" w:cs="Arial"/>
          <w:sz w:val="22"/>
          <w:szCs w:val="22"/>
        </w:rPr>
        <w:t xml:space="preserve"> (Accessed: 21 June 2026).</w:t>
      </w:r>
    </w:p>
    <w:p w:rsidRPr="004E34D2" w:rsidR="004E34D2" w:rsidP="04755472" w:rsidRDefault="004E34D2" w14:paraId="18EB44A7" w14:textId="77777777">
      <w:pPr>
        <w:spacing w:line="360" w:lineRule="auto"/>
        <w:rPr>
          <w:rFonts w:ascii="Arial" w:hAnsi="Arial" w:cs="Arial"/>
          <w:sz w:val="22"/>
          <w:szCs w:val="22"/>
        </w:rPr>
      </w:pPr>
      <w:r w:rsidRPr="04755472" w:rsidR="004E34D2">
        <w:rPr>
          <w:rFonts w:ascii="Arial" w:hAnsi="Arial" w:cs="Arial"/>
          <w:sz w:val="22"/>
          <w:szCs w:val="22"/>
        </w:rPr>
        <w:t xml:space="preserve">Marchant, A., Hawton, K., Stewart, A., Montgomery, P. and John, A. (2024) ‘The relationship between internet use, self-harm and suicidal behaviour in young people’, </w:t>
      </w:r>
      <w:r w:rsidRPr="04755472" w:rsidR="004E34D2">
        <w:rPr>
          <w:rFonts w:ascii="Arial" w:hAnsi="Arial" w:cs="Arial"/>
          <w:i w:val="1"/>
          <w:iCs w:val="1"/>
          <w:sz w:val="22"/>
          <w:szCs w:val="22"/>
        </w:rPr>
        <w:t>Child and Adolescent Mental Health</w:t>
      </w:r>
      <w:r w:rsidRPr="04755472" w:rsidR="004E34D2">
        <w:rPr>
          <w:rFonts w:ascii="Arial" w:hAnsi="Arial" w:cs="Arial"/>
          <w:sz w:val="22"/>
          <w:szCs w:val="22"/>
        </w:rPr>
        <w:t xml:space="preserve">, 29(1), pp. 12–22. Available at: </w:t>
      </w:r>
      <w:hyperlink r:id="R5bef9d81761c43d8">
        <w:r w:rsidRPr="04755472" w:rsidR="004E34D2">
          <w:rPr>
            <w:rStyle w:val="Hyperlink"/>
            <w:rFonts w:ascii="Arial" w:hAnsi="Arial" w:cs="Arial"/>
            <w:sz w:val="22"/>
            <w:szCs w:val="22"/>
          </w:rPr>
          <w:t>https://acamh.onlinelibrary.wiley.com/journal/14753588</w:t>
        </w:r>
      </w:hyperlink>
      <w:r w:rsidRPr="04755472" w:rsidR="004E34D2">
        <w:rPr>
          <w:rFonts w:ascii="Arial" w:hAnsi="Arial" w:cs="Arial"/>
          <w:sz w:val="22"/>
          <w:szCs w:val="22"/>
        </w:rPr>
        <w:t xml:space="preserve"> (Accessed: 21 June 2026).</w:t>
      </w:r>
    </w:p>
    <w:p w:rsidRPr="004E34D2" w:rsidR="004E34D2" w:rsidP="04755472" w:rsidRDefault="004E34D2" w14:paraId="14B56993" w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4755472" w:rsidR="004E34D2">
        <w:rPr>
          <w:rFonts w:ascii="Arial" w:hAnsi="Arial" w:cs="Arial"/>
          <w:sz w:val="22"/>
          <w:szCs w:val="22"/>
        </w:rPr>
        <w:t xml:space="preserve">McDermott, E., Hughes, E. and Rawlings, V. (2023) ‘LGBTQ+ youth mental health and suicide prevention: Emerging evidence and implications for practice’, </w:t>
      </w:r>
      <w:r w:rsidRPr="04755472" w:rsidR="004E34D2">
        <w:rPr>
          <w:rFonts w:ascii="Arial" w:hAnsi="Arial" w:cs="Arial"/>
          <w:i w:val="1"/>
          <w:iCs w:val="1"/>
          <w:sz w:val="22"/>
          <w:szCs w:val="22"/>
        </w:rPr>
        <w:t>Journal of LGBT Youth</w:t>
      </w:r>
      <w:r w:rsidRPr="04755472" w:rsidR="004E34D2">
        <w:rPr>
          <w:rFonts w:ascii="Arial" w:hAnsi="Arial" w:cs="Arial"/>
          <w:sz w:val="22"/>
          <w:szCs w:val="22"/>
        </w:rPr>
        <w:t xml:space="preserve">, 20(4), pp. 521–538. Available at: </w:t>
      </w:r>
      <w:hyperlink r:id="R88352222e7eb4d82">
        <w:r w:rsidRPr="04755472" w:rsidR="004E34D2">
          <w:rPr>
            <w:rStyle w:val="Hyperlink"/>
            <w:rFonts w:ascii="Arial" w:hAnsi="Arial" w:cs="Arial"/>
            <w:sz w:val="22"/>
            <w:szCs w:val="22"/>
          </w:rPr>
          <w:t>https://doi.org/10.1080/19361653.2023</w:t>
        </w:r>
      </w:hyperlink>
      <w:r w:rsidRPr="04755472" w:rsidR="004E34D2">
        <w:rPr>
          <w:rFonts w:ascii="Arial" w:hAnsi="Arial" w:cs="Arial"/>
          <w:sz w:val="22"/>
          <w:szCs w:val="22"/>
        </w:rPr>
        <w:t xml:space="preserve"> (Accessed: 21 June 2026).</w:t>
      </w:r>
    </w:p>
    <w:p w:rsidRPr="004E34D2" w:rsidR="004E34D2" w:rsidP="04755472" w:rsidRDefault="004E34D2" w14:paraId="0E9FFB01" w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4755472" w:rsidR="004E34D2">
        <w:rPr>
          <w:rFonts w:ascii="Arial" w:hAnsi="Arial" w:cs="Arial"/>
          <w:sz w:val="22"/>
          <w:szCs w:val="22"/>
        </w:rPr>
        <w:t xml:space="preserve">National Institute for Health and Care Excellence (2021) </w:t>
      </w:r>
      <w:r w:rsidRPr="04755472" w:rsidR="004E34D2">
        <w:rPr>
          <w:rFonts w:ascii="Arial" w:hAnsi="Arial" w:cs="Arial"/>
          <w:i w:val="1"/>
          <w:iCs w:val="1"/>
          <w:sz w:val="22"/>
          <w:szCs w:val="22"/>
        </w:rPr>
        <w:t>Transition from Children’s to Adults’ Services for Young People Using Health or Social Care Services (NG43)</w:t>
      </w:r>
      <w:r w:rsidRPr="04755472" w:rsidR="004E34D2">
        <w:rPr>
          <w:rFonts w:ascii="Arial" w:hAnsi="Arial" w:cs="Arial"/>
          <w:sz w:val="22"/>
          <w:szCs w:val="22"/>
        </w:rPr>
        <w:t xml:space="preserve">. London: NICE. Available at: </w:t>
      </w:r>
      <w:hyperlink r:id="R7a36c253dd8e4e85">
        <w:r w:rsidRPr="04755472" w:rsidR="004E34D2">
          <w:rPr>
            <w:rStyle w:val="Hyperlink"/>
            <w:rFonts w:ascii="Arial" w:hAnsi="Arial" w:cs="Arial"/>
            <w:sz w:val="22"/>
            <w:szCs w:val="22"/>
          </w:rPr>
          <w:t>https://www.nice.org.uk/guidance/ng43</w:t>
        </w:r>
      </w:hyperlink>
      <w:r w:rsidRPr="04755472" w:rsidR="004E34D2">
        <w:rPr>
          <w:rFonts w:ascii="Arial" w:hAnsi="Arial" w:cs="Arial"/>
          <w:sz w:val="22"/>
          <w:szCs w:val="22"/>
        </w:rPr>
        <w:t xml:space="preserve"> (Accessed: 21 June 2026).</w:t>
      </w:r>
    </w:p>
    <w:p w:rsidRPr="004E34D2" w:rsidR="004E34D2" w:rsidP="04755472" w:rsidRDefault="004E34D2" w14:paraId="2A6D1D99" w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4755472" w:rsidR="004E34D2">
        <w:rPr>
          <w:rFonts w:ascii="Arial" w:hAnsi="Arial" w:cs="Arial"/>
          <w:sz w:val="22"/>
          <w:szCs w:val="22"/>
        </w:rPr>
        <w:t xml:space="preserve">Royal College of General Practitioners (2024) </w:t>
      </w:r>
      <w:r w:rsidRPr="04755472" w:rsidR="004E34D2">
        <w:rPr>
          <w:rFonts w:ascii="Arial" w:hAnsi="Arial" w:cs="Arial"/>
          <w:i w:val="1"/>
          <w:iCs w:val="1"/>
          <w:sz w:val="22"/>
          <w:szCs w:val="22"/>
        </w:rPr>
        <w:t>Supporting Transgender and Gender Diverse Patients in General Practice</w:t>
      </w:r>
      <w:r w:rsidRPr="04755472" w:rsidR="004E34D2">
        <w:rPr>
          <w:rFonts w:ascii="Arial" w:hAnsi="Arial" w:cs="Arial"/>
          <w:sz w:val="22"/>
          <w:szCs w:val="22"/>
        </w:rPr>
        <w:t xml:space="preserve">. London: RCGP. Available at: </w:t>
      </w:r>
      <w:hyperlink r:id="Rcd586c8737e34666">
        <w:r w:rsidRPr="04755472" w:rsidR="004E34D2">
          <w:rPr>
            <w:rStyle w:val="Hyperlink"/>
            <w:rFonts w:ascii="Arial" w:hAnsi="Arial" w:cs="Arial"/>
            <w:sz w:val="22"/>
            <w:szCs w:val="22"/>
          </w:rPr>
          <w:t>https://www.rcgp.org.uk/representing-you/policy-areas/transgender-care</w:t>
        </w:r>
      </w:hyperlink>
      <w:r w:rsidRPr="04755472" w:rsidR="004E34D2">
        <w:rPr>
          <w:rFonts w:ascii="Arial" w:hAnsi="Arial" w:cs="Arial"/>
          <w:sz w:val="22"/>
          <w:szCs w:val="22"/>
        </w:rPr>
        <w:t xml:space="preserve"> (Accessed: 21 June 2026).</w:t>
      </w:r>
    </w:p>
    <w:p w:rsidRPr="004E34D2" w:rsidR="004E34D2" w:rsidP="04755472" w:rsidRDefault="004E34D2" w14:paraId="37152DF4" w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4755472" w:rsidR="004E34D2">
        <w:rPr>
          <w:rFonts w:ascii="Arial" w:hAnsi="Arial" w:cs="Arial"/>
          <w:sz w:val="22"/>
          <w:szCs w:val="22"/>
        </w:rPr>
        <w:t xml:space="preserve">Russell, S.T. and Fish, J.N. (2023) ‘Mental health in LGBTQ+ youth’, </w:t>
      </w:r>
      <w:r w:rsidRPr="04755472" w:rsidR="004E34D2">
        <w:rPr>
          <w:rFonts w:ascii="Arial" w:hAnsi="Arial" w:cs="Arial"/>
          <w:i w:val="1"/>
          <w:iCs w:val="1"/>
          <w:sz w:val="22"/>
          <w:szCs w:val="22"/>
        </w:rPr>
        <w:t>Annual Review of Clinical Psychology</w:t>
      </w:r>
      <w:r w:rsidRPr="04755472" w:rsidR="004E34D2">
        <w:rPr>
          <w:rFonts w:ascii="Arial" w:hAnsi="Arial" w:cs="Arial"/>
          <w:sz w:val="22"/>
          <w:szCs w:val="22"/>
        </w:rPr>
        <w:t xml:space="preserve">, 19, pp. 127–152. Available at: </w:t>
      </w:r>
      <w:hyperlink r:id="R01dd8d707a8d45d3">
        <w:r w:rsidRPr="04755472" w:rsidR="004E34D2">
          <w:rPr>
            <w:rStyle w:val="Hyperlink"/>
            <w:rFonts w:ascii="Arial" w:hAnsi="Arial" w:cs="Arial"/>
            <w:sz w:val="22"/>
            <w:szCs w:val="22"/>
          </w:rPr>
          <w:t>https://doi.org/10.1146/annurev-clinpsy-072220-014808</w:t>
        </w:r>
      </w:hyperlink>
      <w:r w:rsidRPr="04755472" w:rsidR="004E34D2">
        <w:rPr>
          <w:rFonts w:ascii="Arial" w:hAnsi="Arial" w:cs="Arial"/>
          <w:sz w:val="22"/>
          <w:szCs w:val="22"/>
        </w:rPr>
        <w:t xml:space="preserve"> (Accessed: 21 June 2026).</w:t>
      </w:r>
    </w:p>
    <w:p w:rsidRPr="004E34D2" w:rsidR="004E34D2" w:rsidP="04755472" w:rsidRDefault="004E34D2" w14:paraId="4290CC65" w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4755472" w:rsidR="004E34D2">
        <w:rPr>
          <w:rFonts w:ascii="Arial" w:hAnsi="Arial" w:cs="Arial"/>
          <w:sz w:val="22"/>
          <w:szCs w:val="22"/>
        </w:rPr>
        <w:t xml:space="preserve">World Health Organization (2023) </w:t>
      </w:r>
      <w:r w:rsidRPr="04755472" w:rsidR="004E34D2">
        <w:rPr>
          <w:rFonts w:ascii="Arial" w:hAnsi="Arial" w:cs="Arial"/>
          <w:i w:val="1"/>
          <w:iCs w:val="1"/>
          <w:sz w:val="22"/>
          <w:szCs w:val="22"/>
        </w:rPr>
        <w:t>Suicide</w:t>
      </w:r>
      <w:r w:rsidRPr="04755472" w:rsidR="004E34D2">
        <w:rPr>
          <w:rFonts w:ascii="Arial" w:hAnsi="Arial" w:cs="Arial"/>
          <w:sz w:val="22"/>
          <w:szCs w:val="22"/>
        </w:rPr>
        <w:t xml:space="preserve">. Geneva: World Health Organization. Available at: </w:t>
      </w:r>
      <w:hyperlink r:id="R260ceb367b044fe0">
        <w:r w:rsidRPr="04755472" w:rsidR="004E34D2">
          <w:rPr>
            <w:rStyle w:val="Hyperlink"/>
            <w:rFonts w:ascii="Arial" w:hAnsi="Arial" w:cs="Arial"/>
            <w:sz w:val="22"/>
            <w:szCs w:val="22"/>
          </w:rPr>
          <w:t>https://www.who.int/news-room/fact-sheets/detail/suicide</w:t>
        </w:r>
      </w:hyperlink>
      <w:r w:rsidRPr="04755472" w:rsidR="004E34D2">
        <w:rPr>
          <w:rFonts w:ascii="Arial" w:hAnsi="Arial" w:cs="Arial"/>
          <w:sz w:val="22"/>
          <w:szCs w:val="22"/>
        </w:rPr>
        <w:t xml:space="preserve"> (Accessed: 21 June 2026).</w:t>
      </w:r>
    </w:p>
    <w:p w:rsidRPr="004E34D2" w:rsidR="004E34D2" w:rsidP="04755472" w:rsidRDefault="004E34D2" w14:paraId="47FE27F7" w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4755472" w:rsidR="004E34D2">
        <w:rPr>
          <w:rFonts w:ascii="Arial" w:hAnsi="Arial" w:cs="Arial"/>
          <w:sz w:val="22"/>
          <w:szCs w:val="22"/>
        </w:rPr>
        <w:t xml:space="preserve">Willis, E.R. and McDonagh, J.E. (2018) ‘Transition from children’s to adults’ services for young people using health or social care services’, </w:t>
      </w:r>
      <w:r w:rsidRPr="04755472" w:rsidR="004E34D2">
        <w:rPr>
          <w:rFonts w:ascii="Arial" w:hAnsi="Arial" w:cs="Arial"/>
          <w:i w:val="1"/>
          <w:iCs w:val="1"/>
          <w:sz w:val="22"/>
          <w:szCs w:val="22"/>
        </w:rPr>
        <w:t>Archives of Disease in Childhood - Education and Practice</w:t>
      </w:r>
      <w:r w:rsidRPr="04755472" w:rsidR="004E34D2">
        <w:rPr>
          <w:rFonts w:ascii="Arial" w:hAnsi="Arial" w:cs="Arial"/>
          <w:sz w:val="22"/>
          <w:szCs w:val="22"/>
        </w:rPr>
        <w:t xml:space="preserve">, 103(5), pp. 253–256. Available at: </w:t>
      </w:r>
      <w:hyperlink r:id="Rc9ad25ed8f734004">
        <w:r w:rsidRPr="04755472" w:rsidR="004E34D2">
          <w:rPr>
            <w:rStyle w:val="Hyperlink"/>
            <w:rFonts w:ascii="Arial" w:hAnsi="Arial" w:cs="Arial"/>
            <w:sz w:val="22"/>
            <w:szCs w:val="22"/>
          </w:rPr>
          <w:t>https://pubmed.ncbi.nlm.nih.gov/29269436/</w:t>
        </w:r>
      </w:hyperlink>
      <w:r w:rsidRPr="04755472" w:rsidR="004E34D2">
        <w:rPr>
          <w:rFonts w:ascii="Arial" w:hAnsi="Arial" w:cs="Arial"/>
          <w:sz w:val="22"/>
          <w:szCs w:val="22"/>
        </w:rPr>
        <w:t xml:space="preserve"> (Accessed: 21 June 2026).</w:t>
      </w:r>
    </w:p>
    <w:p w:rsidRPr="004E34D2" w:rsidR="004E34D2" w:rsidP="04755472" w:rsidRDefault="004E34D2" w14:paraId="7C50106F" w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4755472" w:rsidR="004E34D2">
        <w:rPr>
          <w:rFonts w:ascii="Arial" w:hAnsi="Arial" w:cs="Arial"/>
          <w:sz w:val="22"/>
          <w:szCs w:val="22"/>
        </w:rPr>
        <w:t xml:space="preserve">NHS England (2024) </w:t>
      </w:r>
      <w:r w:rsidRPr="04755472" w:rsidR="004E34D2">
        <w:rPr>
          <w:rFonts w:ascii="Arial" w:hAnsi="Arial" w:cs="Arial"/>
          <w:i w:val="1"/>
          <w:iCs w:val="1"/>
          <w:sz w:val="22"/>
          <w:szCs w:val="22"/>
        </w:rPr>
        <w:t>Supporting Young People to Transition into Adolescent and Adult Services</w:t>
      </w:r>
      <w:r w:rsidRPr="04755472" w:rsidR="004E34D2">
        <w:rPr>
          <w:rFonts w:ascii="Arial" w:hAnsi="Arial" w:cs="Arial"/>
          <w:sz w:val="22"/>
          <w:szCs w:val="22"/>
        </w:rPr>
        <w:t xml:space="preserve">. London: NHS England. Available at: </w:t>
      </w:r>
      <w:hyperlink r:id="Rca5fc6c3016a47a8">
        <w:r w:rsidRPr="04755472" w:rsidR="004E34D2">
          <w:rPr>
            <w:rStyle w:val="Hyperlink"/>
            <w:rFonts w:ascii="Arial" w:hAnsi="Arial" w:cs="Arial"/>
            <w:sz w:val="22"/>
            <w:szCs w:val="22"/>
          </w:rPr>
          <w:t>https://www.england.nhs.uk/long-read/supporting-young-people-to-transition-into-adolescent-and-adult-services/</w:t>
        </w:r>
      </w:hyperlink>
      <w:r w:rsidRPr="04755472" w:rsidR="004E34D2">
        <w:rPr>
          <w:rFonts w:ascii="Arial" w:hAnsi="Arial" w:cs="Arial"/>
          <w:sz w:val="22"/>
          <w:szCs w:val="22"/>
        </w:rPr>
        <w:t xml:space="preserve"> (Accessed: 21 June 2026).</w:t>
      </w:r>
    </w:p>
    <w:p w:rsidRPr="004E34D2" w:rsidR="004E34D2" w:rsidP="04755472" w:rsidRDefault="004E34D2" w14:paraId="0E3D0D27" w14:textId="26936D2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Pr="004E34D2" w:rsidR="004E34D2" w:rsidSect="00EA0752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81CBF" w:rsidP="00EF7480" w:rsidRDefault="00381CBF" w14:paraId="5971FB8D" w14:textId="77777777">
      <w:pPr>
        <w:spacing w:after="0" w:line="240" w:lineRule="auto"/>
      </w:pPr>
      <w:r>
        <w:separator/>
      </w:r>
    </w:p>
  </w:endnote>
  <w:endnote w:type="continuationSeparator" w:id="0">
    <w:p w:rsidR="00381CBF" w:rsidP="00EF7480" w:rsidRDefault="00381CBF" w14:paraId="2B9849E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81CBF" w:rsidP="00EF7480" w:rsidRDefault="00381CBF" w14:paraId="01059942" w14:textId="77777777">
      <w:pPr>
        <w:spacing w:after="0" w:line="240" w:lineRule="auto"/>
      </w:pPr>
      <w:r>
        <w:separator/>
      </w:r>
    </w:p>
  </w:footnote>
  <w:footnote w:type="continuationSeparator" w:id="0">
    <w:p w:rsidR="00381CBF" w:rsidP="00EF7480" w:rsidRDefault="00381CBF" w14:paraId="6364CC5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view w:val="web"/>
  <w:zoom w:percent="53"/>
  <w:proofState w:spelling="clean" w:grammar="dirty"/>
  <w:revisionView w:inkAnnotation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4D2"/>
    <w:rsid w:val="00205B37"/>
    <w:rsid w:val="00211B0E"/>
    <w:rsid w:val="00326C3C"/>
    <w:rsid w:val="00381CBF"/>
    <w:rsid w:val="003C0E85"/>
    <w:rsid w:val="004322E2"/>
    <w:rsid w:val="00460E88"/>
    <w:rsid w:val="004E34D2"/>
    <w:rsid w:val="005259EA"/>
    <w:rsid w:val="005B4E8E"/>
    <w:rsid w:val="00633CFD"/>
    <w:rsid w:val="00645434"/>
    <w:rsid w:val="006A797C"/>
    <w:rsid w:val="0080030B"/>
    <w:rsid w:val="0090187E"/>
    <w:rsid w:val="009D0214"/>
    <w:rsid w:val="00BA5D1A"/>
    <w:rsid w:val="00DB1986"/>
    <w:rsid w:val="00E31D25"/>
    <w:rsid w:val="00E432A4"/>
    <w:rsid w:val="00E57D9A"/>
    <w:rsid w:val="00EA0752"/>
    <w:rsid w:val="00EF7480"/>
    <w:rsid w:val="00F16B6C"/>
    <w:rsid w:val="00F46400"/>
    <w:rsid w:val="04755472"/>
    <w:rsid w:val="1A6F68A3"/>
    <w:rsid w:val="7A5FD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A1728"/>
  <w15:chartTrackingRefBased/>
  <w15:docId w15:val="{F9F440D7-426E-324E-A17A-2B173509EA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34D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4D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4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4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4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4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4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4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4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4E34D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E34D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E34D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4E34D2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4E34D2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4E34D2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4E34D2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4E34D2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4E34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34D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E34D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34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E34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34D2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4E34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34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34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34D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E34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34D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E34D2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4E34D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34D2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EA0752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EA0752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F748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F7480"/>
  </w:style>
  <w:style w:type="paragraph" w:styleId="Footer">
    <w:name w:val="footer"/>
    <w:basedOn w:val="Normal"/>
    <w:link w:val="FooterChar"/>
    <w:uiPriority w:val="99"/>
    <w:unhideWhenUsed/>
    <w:rsid w:val="00EF748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F74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yperlink" Target="https://doi.org/10.1002/aur.3240" TargetMode="External" Id="Rbf59c14a1c754350" /><Relationship Type="http://schemas.openxmlformats.org/officeDocument/2006/relationships/hyperlink" Target="https://www.gov.uk/government/publications/working-together-to-safeguard-children--2" TargetMode="External" Id="R3f07489788474654" /><Relationship Type="http://schemas.openxmlformats.org/officeDocument/2006/relationships/hyperlink" Target="https://doi.org/10.1016/S2215-0366(22)00176-4" TargetMode="External" Id="Ra9d7085c38c74ef2" /><Relationship Type="http://schemas.openxmlformats.org/officeDocument/2006/relationships/hyperlink" Target="https://acamh.onlinelibrary.wiley.com/journal/14753588" TargetMode="External" Id="R5bef9d81761c43d8" /><Relationship Type="http://schemas.openxmlformats.org/officeDocument/2006/relationships/hyperlink" Target="https://doi.org/10.1080/19361653.2023" TargetMode="External" Id="R88352222e7eb4d82" /><Relationship Type="http://schemas.openxmlformats.org/officeDocument/2006/relationships/hyperlink" Target="https://www.nice.org.uk/guidance/ng43" TargetMode="External" Id="R7a36c253dd8e4e85" /><Relationship Type="http://schemas.openxmlformats.org/officeDocument/2006/relationships/hyperlink" Target="https://www.rcgp.org.uk/representing-you/policy-areas/transgender-care" TargetMode="External" Id="Rcd586c8737e34666" /><Relationship Type="http://schemas.openxmlformats.org/officeDocument/2006/relationships/hyperlink" Target="https://doi.org/10.1146/annurev-clinpsy-072220-014808" TargetMode="External" Id="R01dd8d707a8d45d3" /><Relationship Type="http://schemas.openxmlformats.org/officeDocument/2006/relationships/hyperlink" Target="https://www.who.int/news-room/fact-sheets/detail/suicide" TargetMode="External" Id="R260ceb367b044fe0" /><Relationship Type="http://schemas.openxmlformats.org/officeDocument/2006/relationships/hyperlink" Target="https://pubmed.ncbi.nlm.nih.gov/29269436/" TargetMode="External" Id="Rc9ad25ed8f734004" /><Relationship Type="http://schemas.openxmlformats.org/officeDocument/2006/relationships/hyperlink" Target="https://www.england.nhs.uk/long-read/supporting-young-people-to-transition-into-adolescent-and-adult-services/" TargetMode="External" Id="Rca5fc6c3016a47a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REFERENCE ONLY</dc:title>
  <dc:subject/>
  <dc:creator>aaron addo</dc:creator>
  <keywords/>
  <dc:description/>
  <lastModifiedBy>Kingsley Brefo (2424521)</lastModifiedBy>
  <revision>3</revision>
  <dcterms:created xsi:type="dcterms:W3CDTF">2026-06-28T14:44:00.0000000Z</dcterms:created>
  <dcterms:modified xsi:type="dcterms:W3CDTF">2026-06-28T14:49:13.0254644Z</dcterms:modified>
</coreProperties>
</file>