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7967C" w14:textId="77777777" w:rsidR="004F482C" w:rsidRPr="002D55B2" w:rsidRDefault="004F482C" w:rsidP="002D55B2">
      <w:pPr>
        <w:spacing w:after="0" w:line="480" w:lineRule="auto"/>
        <w:contextualSpacing/>
        <w:rPr>
          <w:rFonts w:ascii="Times New Roman" w:hAnsi="Times New Roman" w:cs="Times New Roman"/>
          <w:sz w:val="24"/>
          <w:szCs w:val="24"/>
        </w:rPr>
      </w:pPr>
    </w:p>
    <w:p w14:paraId="06C4C481" w14:textId="77777777" w:rsidR="004F482C" w:rsidRDefault="004F482C" w:rsidP="002D55B2">
      <w:pPr>
        <w:spacing w:after="0" w:line="480" w:lineRule="auto"/>
        <w:contextualSpacing/>
        <w:rPr>
          <w:rFonts w:ascii="Times New Roman" w:hAnsi="Times New Roman" w:cs="Times New Roman"/>
          <w:sz w:val="24"/>
          <w:szCs w:val="24"/>
        </w:rPr>
      </w:pPr>
    </w:p>
    <w:p w14:paraId="3BD850B6" w14:textId="77777777" w:rsidR="00FA7A21" w:rsidRPr="002D55B2" w:rsidRDefault="00FA7A21" w:rsidP="002D55B2">
      <w:pPr>
        <w:spacing w:after="0" w:line="480" w:lineRule="auto"/>
        <w:contextualSpacing/>
        <w:rPr>
          <w:rFonts w:ascii="Times New Roman" w:hAnsi="Times New Roman" w:cs="Times New Roman"/>
          <w:sz w:val="24"/>
          <w:szCs w:val="24"/>
        </w:rPr>
      </w:pPr>
    </w:p>
    <w:p w14:paraId="633F84C6" w14:textId="403848B9" w:rsidR="00F33E7F" w:rsidRDefault="00FE491B" w:rsidP="00FA7A21">
      <w:pPr>
        <w:spacing w:after="0" w:line="480" w:lineRule="auto"/>
        <w:contextualSpacing/>
        <w:jc w:val="center"/>
        <w:rPr>
          <w:rFonts w:ascii="Times New Roman" w:hAnsi="Times New Roman" w:cs="Times New Roman"/>
          <w:b/>
          <w:bCs/>
          <w:sz w:val="36"/>
          <w:szCs w:val="36"/>
        </w:rPr>
      </w:pPr>
      <w:r w:rsidRPr="00D36049">
        <w:rPr>
          <w:rFonts w:ascii="Times New Roman" w:hAnsi="Times New Roman" w:cs="Times New Roman"/>
          <w:b/>
          <w:bCs/>
          <w:sz w:val="36"/>
          <w:szCs w:val="36"/>
        </w:rPr>
        <w:t xml:space="preserve">BSc Health and Social Care </w:t>
      </w:r>
    </w:p>
    <w:p w14:paraId="438F62ED" w14:textId="77777777" w:rsidR="00D36049" w:rsidRPr="00D36049" w:rsidRDefault="00D36049" w:rsidP="00FA7A21">
      <w:pPr>
        <w:spacing w:after="0" w:line="480" w:lineRule="auto"/>
        <w:contextualSpacing/>
        <w:jc w:val="center"/>
        <w:rPr>
          <w:rFonts w:ascii="Times New Roman" w:hAnsi="Times New Roman" w:cs="Times New Roman"/>
          <w:b/>
          <w:bCs/>
          <w:sz w:val="36"/>
          <w:szCs w:val="36"/>
        </w:rPr>
      </w:pPr>
    </w:p>
    <w:p w14:paraId="1C5717C1" w14:textId="54DB0C98" w:rsidR="00C23C91" w:rsidRPr="00D36049" w:rsidRDefault="009B50C3" w:rsidP="00FA7A21">
      <w:pPr>
        <w:spacing w:after="0" w:line="480" w:lineRule="auto"/>
        <w:contextualSpacing/>
        <w:jc w:val="center"/>
        <w:rPr>
          <w:rFonts w:ascii="Times New Roman" w:hAnsi="Times New Roman" w:cs="Times New Roman"/>
          <w:b/>
          <w:bCs/>
          <w:sz w:val="36"/>
          <w:szCs w:val="36"/>
          <w:u w:val="single"/>
        </w:rPr>
      </w:pPr>
      <w:r w:rsidRPr="00D36049">
        <w:rPr>
          <w:rFonts w:ascii="Times New Roman" w:hAnsi="Times New Roman" w:cs="Times New Roman"/>
          <w:b/>
          <w:bCs/>
          <w:sz w:val="36"/>
          <w:szCs w:val="36"/>
          <w:u w:val="single"/>
        </w:rPr>
        <w:t xml:space="preserve">Module: </w:t>
      </w:r>
      <w:r w:rsidR="00C14F9A" w:rsidRPr="00D36049">
        <w:rPr>
          <w:rFonts w:ascii="Times New Roman" w:hAnsi="Times New Roman" w:cs="Times New Roman"/>
          <w:b/>
          <w:bCs/>
          <w:sz w:val="36"/>
          <w:szCs w:val="36"/>
          <w:u w:val="single"/>
        </w:rPr>
        <w:t>Introduction to Physiology</w:t>
      </w:r>
    </w:p>
    <w:p w14:paraId="2CC6D743" w14:textId="77F5D94A" w:rsidR="00733158" w:rsidRPr="00D36049" w:rsidRDefault="00733158" w:rsidP="00733158">
      <w:pPr>
        <w:spacing w:after="0" w:line="480" w:lineRule="auto"/>
        <w:contextualSpacing/>
        <w:jc w:val="center"/>
        <w:rPr>
          <w:rFonts w:ascii="Times New Roman" w:hAnsi="Times New Roman" w:cs="Times New Roman"/>
          <w:sz w:val="36"/>
          <w:szCs w:val="36"/>
        </w:rPr>
      </w:pPr>
      <w:r w:rsidRPr="00D36049">
        <w:rPr>
          <w:rFonts w:ascii="Times New Roman" w:hAnsi="Times New Roman" w:cs="Times New Roman"/>
          <w:sz w:val="36"/>
          <w:szCs w:val="36"/>
        </w:rPr>
        <w:t>Assignment title: Component 1</w:t>
      </w:r>
      <w:r w:rsidRPr="00D36049">
        <w:rPr>
          <w:rFonts w:ascii="Times New Roman" w:hAnsi="Times New Roman" w:cs="Times New Roman"/>
          <w:sz w:val="36"/>
          <w:szCs w:val="36"/>
        </w:rPr>
        <w:t>:</w:t>
      </w:r>
      <w:r w:rsidRPr="00D36049">
        <w:rPr>
          <w:rFonts w:ascii="Times New Roman" w:hAnsi="Times New Roman" w:cs="Times New Roman"/>
          <w:sz w:val="36"/>
          <w:szCs w:val="36"/>
        </w:rPr>
        <w:t xml:space="preserve"> Written assignment</w:t>
      </w:r>
      <w:r w:rsidR="00632C3C" w:rsidRPr="00D36049">
        <w:rPr>
          <w:rFonts w:ascii="Times New Roman" w:hAnsi="Times New Roman" w:cs="Times New Roman"/>
          <w:sz w:val="36"/>
          <w:szCs w:val="36"/>
        </w:rPr>
        <w:t xml:space="preserve"> (Case study report)</w:t>
      </w:r>
    </w:p>
    <w:p w14:paraId="5EE5B50E" w14:textId="1A18EBB2" w:rsidR="00A03134" w:rsidRPr="00D36049" w:rsidRDefault="00A03134" w:rsidP="00FA7A21">
      <w:pPr>
        <w:spacing w:after="0" w:line="480" w:lineRule="auto"/>
        <w:contextualSpacing/>
        <w:jc w:val="center"/>
        <w:rPr>
          <w:rFonts w:ascii="Times New Roman" w:hAnsi="Times New Roman" w:cs="Times New Roman"/>
          <w:sz w:val="36"/>
          <w:szCs w:val="36"/>
        </w:rPr>
      </w:pPr>
      <w:r w:rsidRPr="00D36049">
        <w:rPr>
          <w:rFonts w:ascii="Times New Roman" w:hAnsi="Times New Roman" w:cs="Times New Roman"/>
          <w:sz w:val="36"/>
          <w:szCs w:val="36"/>
        </w:rPr>
        <w:t>Name: Shabhana Tariq</w:t>
      </w:r>
    </w:p>
    <w:p w14:paraId="0FAA5880" w14:textId="201FFBEA" w:rsidR="009B50C3" w:rsidRPr="00D36049" w:rsidRDefault="009B50C3" w:rsidP="00FA7A21">
      <w:pPr>
        <w:spacing w:after="0" w:line="480" w:lineRule="auto"/>
        <w:contextualSpacing/>
        <w:jc w:val="center"/>
        <w:rPr>
          <w:rFonts w:ascii="Times New Roman" w:hAnsi="Times New Roman" w:cs="Times New Roman"/>
          <w:sz w:val="36"/>
          <w:szCs w:val="36"/>
        </w:rPr>
      </w:pPr>
      <w:r w:rsidRPr="00D36049">
        <w:rPr>
          <w:rFonts w:ascii="Times New Roman" w:hAnsi="Times New Roman" w:cs="Times New Roman"/>
          <w:sz w:val="36"/>
          <w:szCs w:val="36"/>
        </w:rPr>
        <w:t>Student ID: 2412763</w:t>
      </w:r>
    </w:p>
    <w:p w14:paraId="0A5626BE" w14:textId="6E639080" w:rsidR="00A03134" w:rsidRPr="00D36049" w:rsidRDefault="00A03134" w:rsidP="00FA7A21">
      <w:pPr>
        <w:spacing w:after="0" w:line="480" w:lineRule="auto"/>
        <w:contextualSpacing/>
        <w:jc w:val="center"/>
        <w:rPr>
          <w:rFonts w:ascii="Times New Roman" w:hAnsi="Times New Roman" w:cs="Times New Roman"/>
          <w:sz w:val="36"/>
          <w:szCs w:val="36"/>
        </w:rPr>
      </w:pPr>
      <w:r w:rsidRPr="00D36049">
        <w:rPr>
          <w:rFonts w:ascii="Times New Roman" w:hAnsi="Times New Roman" w:cs="Times New Roman"/>
          <w:sz w:val="36"/>
          <w:szCs w:val="36"/>
        </w:rPr>
        <w:t xml:space="preserve">Lecturer: Robert </w:t>
      </w:r>
      <w:r w:rsidR="00632C3C" w:rsidRPr="00D36049">
        <w:rPr>
          <w:rFonts w:ascii="Times New Roman" w:hAnsi="Times New Roman" w:cs="Times New Roman"/>
          <w:sz w:val="36"/>
          <w:szCs w:val="36"/>
        </w:rPr>
        <w:t>Nartow</w:t>
      </w:r>
      <w:r w:rsidR="00E44AE5">
        <w:rPr>
          <w:rFonts w:ascii="Times New Roman" w:hAnsi="Times New Roman" w:cs="Times New Roman"/>
          <w:sz w:val="36"/>
          <w:szCs w:val="36"/>
        </w:rPr>
        <w:t>sk</w:t>
      </w:r>
      <w:r w:rsidR="00632C3C" w:rsidRPr="00D36049">
        <w:rPr>
          <w:rFonts w:ascii="Times New Roman" w:hAnsi="Times New Roman" w:cs="Times New Roman"/>
          <w:sz w:val="36"/>
          <w:szCs w:val="36"/>
        </w:rPr>
        <w:t>i</w:t>
      </w:r>
    </w:p>
    <w:p w14:paraId="3D6D280F" w14:textId="3AFB81FF" w:rsidR="002A0B80" w:rsidRPr="00D36049" w:rsidRDefault="000417F4" w:rsidP="002D55B2">
      <w:pPr>
        <w:spacing w:after="0" w:line="480" w:lineRule="auto"/>
        <w:contextualSpacing/>
        <w:jc w:val="center"/>
        <w:rPr>
          <w:rFonts w:ascii="Times New Roman" w:hAnsi="Times New Roman" w:cs="Times New Roman"/>
          <w:sz w:val="36"/>
          <w:szCs w:val="36"/>
        </w:rPr>
      </w:pPr>
      <w:r w:rsidRPr="00D36049">
        <w:rPr>
          <w:rFonts w:ascii="Times New Roman" w:hAnsi="Times New Roman" w:cs="Times New Roman"/>
          <w:sz w:val="36"/>
          <w:szCs w:val="36"/>
        </w:rPr>
        <w:t xml:space="preserve">Module Code: </w:t>
      </w:r>
      <w:r w:rsidR="00CB59BF" w:rsidRPr="00D36049">
        <w:rPr>
          <w:rFonts w:ascii="Times New Roman" w:hAnsi="Times New Roman" w:cs="Times New Roman"/>
          <w:sz w:val="36"/>
          <w:szCs w:val="36"/>
        </w:rPr>
        <w:t>BMHP5023</w:t>
      </w:r>
    </w:p>
    <w:p w14:paraId="2EA33AB6" w14:textId="339090E3" w:rsidR="009B50C3" w:rsidRPr="00D36049" w:rsidRDefault="009B50C3" w:rsidP="002D55B2">
      <w:pPr>
        <w:spacing w:after="0" w:line="480" w:lineRule="auto"/>
        <w:contextualSpacing/>
        <w:jc w:val="center"/>
        <w:rPr>
          <w:rFonts w:ascii="Times New Roman" w:hAnsi="Times New Roman" w:cs="Times New Roman"/>
          <w:sz w:val="36"/>
          <w:szCs w:val="36"/>
        </w:rPr>
      </w:pPr>
      <w:r w:rsidRPr="00D36049">
        <w:rPr>
          <w:rFonts w:ascii="Times New Roman" w:hAnsi="Times New Roman" w:cs="Times New Roman"/>
          <w:sz w:val="36"/>
          <w:szCs w:val="36"/>
        </w:rPr>
        <w:t>Submission date: Monday 23</w:t>
      </w:r>
      <w:r w:rsidRPr="00D36049">
        <w:rPr>
          <w:rFonts w:ascii="Times New Roman" w:hAnsi="Times New Roman" w:cs="Times New Roman"/>
          <w:sz w:val="36"/>
          <w:szCs w:val="36"/>
          <w:vertAlign w:val="superscript"/>
        </w:rPr>
        <w:t>rd</w:t>
      </w:r>
      <w:r w:rsidRPr="00D36049">
        <w:rPr>
          <w:rFonts w:ascii="Times New Roman" w:hAnsi="Times New Roman" w:cs="Times New Roman"/>
          <w:sz w:val="36"/>
          <w:szCs w:val="36"/>
        </w:rPr>
        <w:t xml:space="preserve"> February</w:t>
      </w:r>
      <w:r w:rsidR="00487792" w:rsidRPr="00D36049">
        <w:rPr>
          <w:rFonts w:ascii="Times New Roman" w:hAnsi="Times New Roman" w:cs="Times New Roman"/>
          <w:sz w:val="36"/>
          <w:szCs w:val="36"/>
        </w:rPr>
        <w:t xml:space="preserve"> 2026</w:t>
      </w:r>
    </w:p>
    <w:p w14:paraId="5349394E" w14:textId="77777777" w:rsidR="00EC2C45" w:rsidRDefault="00EC2C45" w:rsidP="002D55B2">
      <w:pPr>
        <w:spacing w:after="0" w:line="480" w:lineRule="auto"/>
        <w:contextualSpacing/>
        <w:jc w:val="center"/>
        <w:rPr>
          <w:rFonts w:ascii="Times New Roman" w:hAnsi="Times New Roman" w:cs="Times New Roman"/>
          <w:sz w:val="24"/>
          <w:szCs w:val="24"/>
        </w:rPr>
      </w:pPr>
    </w:p>
    <w:p w14:paraId="1459B883" w14:textId="77777777" w:rsidR="00EC2C45" w:rsidRDefault="00EC2C45" w:rsidP="002D55B2">
      <w:pPr>
        <w:spacing w:after="0" w:line="480" w:lineRule="auto"/>
        <w:contextualSpacing/>
        <w:jc w:val="center"/>
        <w:rPr>
          <w:rFonts w:ascii="Times New Roman" w:hAnsi="Times New Roman" w:cs="Times New Roman"/>
          <w:sz w:val="24"/>
          <w:szCs w:val="24"/>
        </w:rPr>
      </w:pPr>
    </w:p>
    <w:p w14:paraId="077D117D" w14:textId="77777777" w:rsidR="00EC2C45" w:rsidRDefault="00EC2C45" w:rsidP="002D55B2">
      <w:pPr>
        <w:spacing w:after="0" w:line="480" w:lineRule="auto"/>
        <w:contextualSpacing/>
        <w:jc w:val="center"/>
        <w:rPr>
          <w:rFonts w:ascii="Times New Roman" w:hAnsi="Times New Roman" w:cs="Times New Roman"/>
          <w:sz w:val="24"/>
          <w:szCs w:val="24"/>
        </w:rPr>
      </w:pPr>
    </w:p>
    <w:p w14:paraId="06C9B856" w14:textId="77777777" w:rsidR="00EC2C45" w:rsidRDefault="00EC2C45" w:rsidP="002D55B2">
      <w:pPr>
        <w:spacing w:after="0" w:line="480" w:lineRule="auto"/>
        <w:contextualSpacing/>
        <w:jc w:val="center"/>
        <w:rPr>
          <w:rFonts w:ascii="Times New Roman" w:hAnsi="Times New Roman" w:cs="Times New Roman"/>
          <w:sz w:val="24"/>
          <w:szCs w:val="24"/>
        </w:rPr>
      </w:pPr>
    </w:p>
    <w:p w14:paraId="6504346D" w14:textId="77777777" w:rsidR="007F6C10" w:rsidRDefault="007F6C10" w:rsidP="002D55B2">
      <w:pPr>
        <w:spacing w:after="0" w:line="480" w:lineRule="auto"/>
        <w:contextualSpacing/>
        <w:jc w:val="center"/>
        <w:rPr>
          <w:rFonts w:ascii="Times New Roman" w:hAnsi="Times New Roman" w:cs="Times New Roman"/>
          <w:sz w:val="24"/>
          <w:szCs w:val="24"/>
        </w:rPr>
      </w:pPr>
    </w:p>
    <w:p w14:paraId="057B86A6" w14:textId="77777777" w:rsidR="007F6C10" w:rsidRDefault="007F6C10" w:rsidP="002D55B2">
      <w:pPr>
        <w:spacing w:after="0" w:line="480" w:lineRule="auto"/>
        <w:contextualSpacing/>
        <w:jc w:val="center"/>
        <w:rPr>
          <w:rFonts w:ascii="Times New Roman" w:hAnsi="Times New Roman" w:cs="Times New Roman"/>
          <w:sz w:val="24"/>
          <w:szCs w:val="24"/>
        </w:rPr>
      </w:pPr>
    </w:p>
    <w:p w14:paraId="06CF58D9" w14:textId="77777777" w:rsidR="007F6C10" w:rsidRDefault="007F6C10" w:rsidP="002D55B2">
      <w:pPr>
        <w:spacing w:after="0" w:line="480" w:lineRule="auto"/>
        <w:contextualSpacing/>
        <w:jc w:val="center"/>
        <w:rPr>
          <w:rFonts w:ascii="Times New Roman" w:hAnsi="Times New Roman" w:cs="Times New Roman"/>
          <w:sz w:val="24"/>
          <w:szCs w:val="24"/>
        </w:rPr>
      </w:pPr>
    </w:p>
    <w:p w14:paraId="45609AF5" w14:textId="77777777" w:rsidR="007F6C10" w:rsidRDefault="007F6C10" w:rsidP="002D55B2">
      <w:pPr>
        <w:spacing w:after="0" w:line="480" w:lineRule="auto"/>
        <w:contextualSpacing/>
        <w:jc w:val="center"/>
        <w:rPr>
          <w:rFonts w:ascii="Times New Roman" w:hAnsi="Times New Roman" w:cs="Times New Roman"/>
          <w:sz w:val="24"/>
          <w:szCs w:val="24"/>
        </w:rPr>
      </w:pPr>
    </w:p>
    <w:p w14:paraId="08E2A117" w14:textId="4FF2C5DA" w:rsidR="007F6C10" w:rsidRPr="00D3723E" w:rsidRDefault="007F6C10" w:rsidP="007F6C10">
      <w:pPr>
        <w:spacing w:after="0" w:line="480" w:lineRule="auto"/>
        <w:contextualSpacing/>
        <w:rPr>
          <w:rFonts w:ascii="Times New Roman" w:hAnsi="Times New Roman" w:cs="Times New Roman"/>
          <w:sz w:val="32"/>
          <w:szCs w:val="32"/>
        </w:rPr>
      </w:pPr>
      <w:r w:rsidRPr="00D3723E">
        <w:rPr>
          <w:rFonts w:ascii="Times New Roman" w:hAnsi="Times New Roman" w:cs="Times New Roman"/>
          <w:sz w:val="32"/>
          <w:szCs w:val="32"/>
        </w:rPr>
        <w:t>Contents</w:t>
      </w:r>
    </w:p>
    <w:p w14:paraId="0BD6EC76" w14:textId="53C859DD" w:rsidR="009B4D74" w:rsidRPr="00D3723E" w:rsidRDefault="009B4D74" w:rsidP="009B4D74">
      <w:pPr>
        <w:pStyle w:val="ListParagraph"/>
        <w:numPr>
          <w:ilvl w:val="0"/>
          <w:numId w:val="1"/>
        </w:numPr>
        <w:spacing w:after="0" w:line="480" w:lineRule="auto"/>
        <w:rPr>
          <w:rFonts w:ascii="Times New Roman" w:hAnsi="Times New Roman" w:cs="Times New Roman"/>
          <w:sz w:val="32"/>
          <w:szCs w:val="32"/>
        </w:rPr>
      </w:pPr>
      <w:r w:rsidRPr="00D3723E">
        <w:rPr>
          <w:rFonts w:ascii="Times New Roman" w:hAnsi="Times New Roman" w:cs="Times New Roman"/>
          <w:sz w:val="32"/>
          <w:szCs w:val="32"/>
        </w:rPr>
        <w:t>Title page – Page 1</w:t>
      </w:r>
    </w:p>
    <w:p w14:paraId="67CB2875" w14:textId="5748E4CD" w:rsidR="009B4D74" w:rsidRPr="00D3723E" w:rsidRDefault="009B4D74" w:rsidP="009B4D74">
      <w:pPr>
        <w:pStyle w:val="ListParagraph"/>
        <w:numPr>
          <w:ilvl w:val="0"/>
          <w:numId w:val="1"/>
        </w:numPr>
        <w:spacing w:after="0" w:line="480" w:lineRule="auto"/>
        <w:rPr>
          <w:rFonts w:ascii="Times New Roman" w:hAnsi="Times New Roman" w:cs="Times New Roman"/>
          <w:sz w:val="32"/>
          <w:szCs w:val="32"/>
        </w:rPr>
      </w:pPr>
      <w:r w:rsidRPr="00D3723E">
        <w:rPr>
          <w:rFonts w:ascii="Times New Roman" w:hAnsi="Times New Roman" w:cs="Times New Roman"/>
          <w:sz w:val="32"/>
          <w:szCs w:val="32"/>
        </w:rPr>
        <w:t>Contents page – Page 2</w:t>
      </w:r>
    </w:p>
    <w:p w14:paraId="3885A764" w14:textId="696CBE8C" w:rsidR="007F6C10" w:rsidRPr="00D3723E" w:rsidRDefault="009B4D74" w:rsidP="009B4D74">
      <w:pPr>
        <w:pStyle w:val="ListParagraph"/>
        <w:numPr>
          <w:ilvl w:val="0"/>
          <w:numId w:val="1"/>
        </w:numPr>
        <w:spacing w:after="0" w:line="480" w:lineRule="auto"/>
        <w:rPr>
          <w:rFonts w:ascii="Times New Roman" w:hAnsi="Times New Roman" w:cs="Times New Roman"/>
          <w:sz w:val="32"/>
          <w:szCs w:val="32"/>
        </w:rPr>
      </w:pPr>
      <w:r w:rsidRPr="00D3723E">
        <w:rPr>
          <w:rFonts w:ascii="Times New Roman" w:hAnsi="Times New Roman" w:cs="Times New Roman"/>
          <w:sz w:val="32"/>
          <w:szCs w:val="32"/>
        </w:rPr>
        <w:t>Introduction – Page 3</w:t>
      </w:r>
    </w:p>
    <w:p w14:paraId="68610320" w14:textId="44009F8C" w:rsidR="009B4D74" w:rsidRPr="00D3723E" w:rsidRDefault="009B4D74" w:rsidP="00547AB5">
      <w:pPr>
        <w:pStyle w:val="ListParagraph"/>
        <w:numPr>
          <w:ilvl w:val="0"/>
          <w:numId w:val="1"/>
        </w:numPr>
        <w:spacing w:after="0" w:line="480" w:lineRule="auto"/>
        <w:rPr>
          <w:rFonts w:ascii="Times New Roman" w:hAnsi="Times New Roman" w:cs="Times New Roman"/>
          <w:sz w:val="32"/>
          <w:szCs w:val="32"/>
        </w:rPr>
      </w:pPr>
      <w:r w:rsidRPr="00D3723E">
        <w:rPr>
          <w:rFonts w:ascii="Times New Roman" w:hAnsi="Times New Roman" w:cs="Times New Roman"/>
          <w:sz w:val="32"/>
          <w:szCs w:val="32"/>
        </w:rPr>
        <w:t>The Physiology of Blood Glucose Homeostasis</w:t>
      </w:r>
      <w:r w:rsidR="00547AB5" w:rsidRPr="00D3723E">
        <w:rPr>
          <w:rFonts w:ascii="Times New Roman" w:hAnsi="Times New Roman" w:cs="Times New Roman"/>
          <w:sz w:val="32"/>
          <w:szCs w:val="32"/>
        </w:rPr>
        <w:t xml:space="preserve"> – Page 4</w:t>
      </w:r>
    </w:p>
    <w:p w14:paraId="0F2610D1" w14:textId="628963AD" w:rsidR="00547AB5" w:rsidRPr="00D3723E" w:rsidRDefault="00547AB5" w:rsidP="00547AB5">
      <w:pPr>
        <w:pStyle w:val="ListParagraph"/>
        <w:numPr>
          <w:ilvl w:val="0"/>
          <w:numId w:val="1"/>
        </w:numPr>
        <w:spacing w:after="0" w:line="480" w:lineRule="auto"/>
        <w:rPr>
          <w:rFonts w:ascii="Times New Roman" w:hAnsi="Times New Roman" w:cs="Times New Roman"/>
          <w:sz w:val="32"/>
          <w:szCs w:val="32"/>
        </w:rPr>
      </w:pPr>
      <w:r w:rsidRPr="00D3723E">
        <w:rPr>
          <w:rFonts w:ascii="Times New Roman" w:hAnsi="Times New Roman" w:cs="Times New Roman"/>
          <w:sz w:val="32"/>
          <w:szCs w:val="32"/>
        </w:rPr>
        <w:t>Cellular Respiration: The Production of ATP</w:t>
      </w:r>
      <w:r w:rsidRPr="00D3723E">
        <w:rPr>
          <w:rFonts w:ascii="Times New Roman" w:hAnsi="Times New Roman" w:cs="Times New Roman"/>
          <w:sz w:val="32"/>
          <w:szCs w:val="32"/>
        </w:rPr>
        <w:t xml:space="preserve"> – Page 5</w:t>
      </w:r>
      <w:r w:rsidR="00D3723E" w:rsidRPr="00D3723E">
        <w:rPr>
          <w:rFonts w:ascii="Times New Roman" w:hAnsi="Times New Roman" w:cs="Times New Roman"/>
          <w:sz w:val="32"/>
          <w:szCs w:val="32"/>
        </w:rPr>
        <w:t xml:space="preserve"> &amp; 6</w:t>
      </w:r>
    </w:p>
    <w:p w14:paraId="4BC1C57B" w14:textId="34DFF17A" w:rsidR="00D3723E" w:rsidRPr="00D3723E" w:rsidRDefault="00D3723E" w:rsidP="00D3723E">
      <w:pPr>
        <w:pStyle w:val="ListParagraph"/>
        <w:numPr>
          <w:ilvl w:val="0"/>
          <w:numId w:val="1"/>
        </w:numPr>
        <w:spacing w:after="0" w:line="480" w:lineRule="auto"/>
        <w:rPr>
          <w:rFonts w:ascii="Times New Roman" w:hAnsi="Times New Roman" w:cs="Times New Roman"/>
          <w:sz w:val="32"/>
          <w:szCs w:val="32"/>
        </w:rPr>
      </w:pPr>
      <w:r w:rsidRPr="00D3723E">
        <w:rPr>
          <w:rFonts w:ascii="Times New Roman" w:hAnsi="Times New Roman" w:cs="Times New Roman"/>
          <w:sz w:val="32"/>
          <w:szCs w:val="32"/>
        </w:rPr>
        <w:t>The Importance of Self-Monitoring of Blood Glucose</w:t>
      </w:r>
      <w:r w:rsidRPr="00D3723E">
        <w:rPr>
          <w:rFonts w:ascii="Times New Roman" w:hAnsi="Times New Roman" w:cs="Times New Roman"/>
          <w:sz w:val="32"/>
          <w:szCs w:val="32"/>
        </w:rPr>
        <w:t xml:space="preserve"> – Page 6 &amp; 7</w:t>
      </w:r>
    </w:p>
    <w:p w14:paraId="7A6D4D50" w14:textId="111273AE" w:rsidR="00D3723E" w:rsidRPr="00D3723E" w:rsidRDefault="00D3723E" w:rsidP="00D3723E">
      <w:pPr>
        <w:pStyle w:val="ListParagraph"/>
        <w:numPr>
          <w:ilvl w:val="0"/>
          <w:numId w:val="1"/>
        </w:numPr>
        <w:spacing w:after="0" w:line="480" w:lineRule="auto"/>
        <w:rPr>
          <w:rFonts w:ascii="Times New Roman" w:hAnsi="Times New Roman" w:cs="Times New Roman"/>
          <w:sz w:val="32"/>
          <w:szCs w:val="32"/>
        </w:rPr>
      </w:pPr>
      <w:r w:rsidRPr="00D3723E">
        <w:rPr>
          <w:rFonts w:ascii="Times New Roman" w:hAnsi="Times New Roman" w:cs="Times New Roman"/>
          <w:sz w:val="32"/>
          <w:szCs w:val="32"/>
        </w:rPr>
        <w:t>Evidence-Based Lifestyle Recommendations</w:t>
      </w:r>
      <w:r w:rsidRPr="00D3723E">
        <w:rPr>
          <w:rFonts w:ascii="Times New Roman" w:hAnsi="Times New Roman" w:cs="Times New Roman"/>
          <w:sz w:val="32"/>
          <w:szCs w:val="32"/>
        </w:rPr>
        <w:t xml:space="preserve"> – Pag 7 &amp; 8</w:t>
      </w:r>
    </w:p>
    <w:p w14:paraId="0C71D135" w14:textId="32FF138C" w:rsidR="00D3723E" w:rsidRPr="00D3723E" w:rsidRDefault="00D3723E" w:rsidP="00D3723E">
      <w:pPr>
        <w:pStyle w:val="ListParagraph"/>
        <w:numPr>
          <w:ilvl w:val="0"/>
          <w:numId w:val="1"/>
        </w:numPr>
        <w:spacing w:after="0" w:line="480" w:lineRule="auto"/>
        <w:rPr>
          <w:rFonts w:ascii="Times New Roman" w:hAnsi="Times New Roman" w:cs="Times New Roman"/>
          <w:sz w:val="32"/>
          <w:szCs w:val="32"/>
        </w:rPr>
      </w:pPr>
      <w:r w:rsidRPr="00D3723E">
        <w:rPr>
          <w:rFonts w:ascii="Times New Roman" w:hAnsi="Times New Roman" w:cs="Times New Roman"/>
          <w:sz w:val="32"/>
          <w:szCs w:val="32"/>
        </w:rPr>
        <w:t>Conclusion – Page 8 &amp; 9</w:t>
      </w:r>
    </w:p>
    <w:p w14:paraId="041CB4DE" w14:textId="581BEBA3" w:rsidR="00D3723E" w:rsidRPr="00D3723E" w:rsidRDefault="00D3723E" w:rsidP="00D3723E">
      <w:pPr>
        <w:pStyle w:val="ListParagraph"/>
        <w:numPr>
          <w:ilvl w:val="0"/>
          <w:numId w:val="1"/>
        </w:numPr>
        <w:spacing w:after="0" w:line="480" w:lineRule="auto"/>
        <w:rPr>
          <w:rFonts w:ascii="Times New Roman" w:hAnsi="Times New Roman" w:cs="Times New Roman"/>
          <w:sz w:val="32"/>
          <w:szCs w:val="32"/>
        </w:rPr>
      </w:pPr>
      <w:r w:rsidRPr="00D3723E">
        <w:rPr>
          <w:rFonts w:ascii="Times New Roman" w:hAnsi="Times New Roman" w:cs="Times New Roman"/>
          <w:sz w:val="32"/>
          <w:szCs w:val="32"/>
        </w:rPr>
        <w:t>References – Page 10 &amp; 11</w:t>
      </w:r>
    </w:p>
    <w:p w14:paraId="39698983" w14:textId="77777777" w:rsidR="00D3723E" w:rsidRPr="000C1247" w:rsidRDefault="00D3723E" w:rsidP="00D3723E">
      <w:pPr>
        <w:pStyle w:val="ListParagraph"/>
        <w:spacing w:after="0" w:line="480" w:lineRule="auto"/>
        <w:rPr>
          <w:rFonts w:ascii="Times New Roman" w:hAnsi="Times New Roman" w:cs="Times New Roman"/>
          <w:b/>
          <w:sz w:val="28"/>
          <w:szCs w:val="28"/>
        </w:rPr>
      </w:pPr>
    </w:p>
    <w:p w14:paraId="517FF6D0" w14:textId="77777777" w:rsidR="00547AB5" w:rsidRPr="000C1247" w:rsidRDefault="00547AB5" w:rsidP="00D3723E">
      <w:pPr>
        <w:spacing w:after="0" w:line="480" w:lineRule="auto"/>
        <w:ind w:left="360"/>
        <w:rPr>
          <w:rFonts w:ascii="Times New Roman" w:hAnsi="Times New Roman" w:cs="Times New Roman"/>
          <w:b/>
          <w:sz w:val="28"/>
          <w:szCs w:val="28"/>
        </w:rPr>
      </w:pPr>
    </w:p>
    <w:p w14:paraId="77FFF1BB" w14:textId="77777777" w:rsidR="00547AB5" w:rsidRPr="000C1247" w:rsidRDefault="00547AB5" w:rsidP="00547AB5">
      <w:pPr>
        <w:spacing w:after="0" w:line="480" w:lineRule="auto"/>
        <w:ind w:left="360"/>
        <w:rPr>
          <w:rFonts w:ascii="Times New Roman" w:hAnsi="Times New Roman" w:cs="Times New Roman"/>
          <w:b/>
          <w:sz w:val="28"/>
          <w:szCs w:val="28"/>
        </w:rPr>
      </w:pPr>
    </w:p>
    <w:p w14:paraId="02FAC539" w14:textId="77777777" w:rsidR="009B4D74" w:rsidRPr="000C1247" w:rsidRDefault="009B4D74" w:rsidP="00547AB5">
      <w:pPr>
        <w:spacing w:after="0" w:line="480" w:lineRule="auto"/>
        <w:ind w:left="360"/>
        <w:rPr>
          <w:rFonts w:ascii="Times New Roman" w:hAnsi="Times New Roman" w:cs="Times New Roman"/>
          <w:sz w:val="28"/>
          <w:szCs w:val="28"/>
        </w:rPr>
      </w:pPr>
    </w:p>
    <w:p w14:paraId="42077803" w14:textId="77777777" w:rsidR="007F6C10" w:rsidRPr="000C1247" w:rsidRDefault="007F6C10" w:rsidP="002D55B2">
      <w:pPr>
        <w:spacing w:after="0" w:line="480" w:lineRule="auto"/>
        <w:contextualSpacing/>
        <w:jc w:val="center"/>
        <w:rPr>
          <w:rFonts w:ascii="Times New Roman" w:hAnsi="Times New Roman" w:cs="Times New Roman"/>
          <w:sz w:val="28"/>
          <w:szCs w:val="28"/>
        </w:rPr>
      </w:pPr>
    </w:p>
    <w:p w14:paraId="4CF8C22A" w14:textId="77777777" w:rsidR="007F6C10" w:rsidRPr="000C1247" w:rsidRDefault="007F6C10" w:rsidP="002D55B2">
      <w:pPr>
        <w:spacing w:after="0" w:line="480" w:lineRule="auto"/>
        <w:contextualSpacing/>
        <w:jc w:val="center"/>
        <w:rPr>
          <w:rFonts w:ascii="Times New Roman" w:hAnsi="Times New Roman" w:cs="Times New Roman"/>
          <w:sz w:val="28"/>
          <w:szCs w:val="28"/>
        </w:rPr>
      </w:pPr>
    </w:p>
    <w:p w14:paraId="1F467A26" w14:textId="77777777" w:rsidR="007F6C10" w:rsidRPr="000C1247" w:rsidRDefault="007F6C10" w:rsidP="002D55B2">
      <w:pPr>
        <w:spacing w:after="0" w:line="480" w:lineRule="auto"/>
        <w:contextualSpacing/>
        <w:jc w:val="center"/>
        <w:rPr>
          <w:rFonts w:ascii="Times New Roman" w:hAnsi="Times New Roman" w:cs="Times New Roman"/>
          <w:sz w:val="28"/>
          <w:szCs w:val="28"/>
        </w:rPr>
      </w:pPr>
    </w:p>
    <w:p w14:paraId="4C4DE73C" w14:textId="77777777" w:rsidR="007F6C10" w:rsidRPr="000C1247" w:rsidRDefault="007F6C10" w:rsidP="002D55B2">
      <w:pPr>
        <w:spacing w:after="0" w:line="480" w:lineRule="auto"/>
        <w:contextualSpacing/>
        <w:jc w:val="center"/>
        <w:rPr>
          <w:rFonts w:ascii="Times New Roman" w:hAnsi="Times New Roman" w:cs="Times New Roman"/>
          <w:sz w:val="28"/>
          <w:szCs w:val="28"/>
        </w:rPr>
      </w:pPr>
    </w:p>
    <w:p w14:paraId="07722F0A" w14:textId="5FE178E2" w:rsidR="00204AC2" w:rsidRPr="000C1247" w:rsidRDefault="00A137F2"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lastRenderedPageBreak/>
        <w:t>CASE STUDY 1: TYPE 2 DIABETES MANAGEMENT AND PATIENT EDUCATION</w:t>
      </w:r>
    </w:p>
    <w:p w14:paraId="596BE2A5" w14:textId="77777777" w:rsidR="00152F11" w:rsidRPr="000C1247" w:rsidRDefault="00152F11" w:rsidP="00530B00">
      <w:pPr>
        <w:spacing w:after="0" w:line="360" w:lineRule="auto"/>
        <w:contextualSpacing/>
        <w:jc w:val="center"/>
        <w:rPr>
          <w:rFonts w:ascii="Times New Roman" w:hAnsi="Times New Roman" w:cs="Times New Roman"/>
          <w:b/>
          <w:sz w:val="28"/>
          <w:szCs w:val="28"/>
        </w:rPr>
      </w:pPr>
      <w:r w:rsidRPr="000C1247">
        <w:rPr>
          <w:rFonts w:ascii="Times New Roman" w:hAnsi="Times New Roman" w:cs="Times New Roman"/>
          <w:b/>
          <w:sz w:val="28"/>
          <w:szCs w:val="28"/>
        </w:rPr>
        <w:t>Introduction</w:t>
      </w:r>
    </w:p>
    <w:p w14:paraId="3111D064" w14:textId="77777777" w:rsidR="00C63719" w:rsidRDefault="00914EE1"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Diabetes mellitus is a long-lasting metabolism disorder that is typified by chronic hyperglycaemia. It happens either due to the inability of the pancreas to produce insulin sufficiently (Type 1), or due to the inability of the body cells to act appropriately towards the insulin generated (Type 2) (WHO, 2023). The type 2 diabetes (T2D), which represents about 90 percent of all the diabetes cases in UK, is closely related to the lifestyle risk factors that can be modified. These are obesity and overweight, lack of exercise, unhealthy eating habits, and smoking (Diabetes UK, 2024). Among the non-modifiable risk factors, there are advancing age, familial history, and ethnicity, and people of South Asian, African-Caribbean, and Black African origin are at a considerably elevated risk (NICE, 2022).</w:t>
      </w:r>
      <w:r w:rsidR="00B451C9" w:rsidRPr="000C1247">
        <w:rPr>
          <w:rFonts w:ascii="Times New Roman" w:hAnsi="Times New Roman" w:cs="Times New Roman"/>
          <w:sz w:val="28"/>
          <w:szCs w:val="28"/>
        </w:rPr>
        <w:t xml:space="preserve"> </w:t>
      </w:r>
      <w:r w:rsidRPr="000C1247">
        <w:rPr>
          <w:rFonts w:ascii="Times New Roman" w:hAnsi="Times New Roman" w:cs="Times New Roman"/>
          <w:sz w:val="28"/>
          <w:szCs w:val="28"/>
        </w:rPr>
        <w:t xml:space="preserve">The growing number of T2DM cases is a challenge to practice nurses in the field of primary care. There is a clinical evidence in regular diabetic clinics that a large number of diabetics have a hard time interacting effectively with their care plans. This non-connectiveness is usually due to poor knowledge of physiological mechanisms of their condition. </w:t>
      </w:r>
    </w:p>
    <w:p w14:paraId="73131634" w14:textId="77777777" w:rsidR="00C63719" w:rsidRDefault="00C63719" w:rsidP="00530B00">
      <w:pPr>
        <w:spacing w:after="0" w:line="360" w:lineRule="auto"/>
        <w:contextualSpacing/>
        <w:rPr>
          <w:rFonts w:ascii="Times New Roman" w:hAnsi="Times New Roman" w:cs="Times New Roman"/>
          <w:sz w:val="28"/>
          <w:szCs w:val="28"/>
        </w:rPr>
      </w:pPr>
    </w:p>
    <w:p w14:paraId="1AE2B2A7" w14:textId="13746353" w:rsidR="00152F11" w:rsidRPr="000C1247" w:rsidRDefault="00914EE1"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In the absence of this background knowledge, patients will experience blood glucose monitoring as a futile administrative burden instead of an important safety mechanism and lifestyle education as a tool of restraint instead of empowerment. The objective of this report is to equip the practice nurse with evidence-based learning content on how to consult with the patient. It will discuss the pathophysiology of diabetes, glucose regulation and energy production in the body, self-monitoring clinical value, and supported lifestyle modifications that can greatly enhance patients</w:t>
      </w:r>
      <w:r w:rsidR="00152F11" w:rsidRPr="000C1247">
        <w:rPr>
          <w:rFonts w:ascii="Times New Roman" w:hAnsi="Times New Roman" w:cs="Times New Roman"/>
          <w:sz w:val="28"/>
          <w:szCs w:val="28"/>
        </w:rPr>
        <w:t>.</w:t>
      </w:r>
    </w:p>
    <w:p w14:paraId="15172D31" w14:textId="77777777" w:rsidR="00547AB5" w:rsidRDefault="00547AB5" w:rsidP="00530B00">
      <w:pPr>
        <w:spacing w:after="0" w:line="360" w:lineRule="auto"/>
        <w:contextualSpacing/>
        <w:rPr>
          <w:rFonts w:ascii="Times New Roman" w:hAnsi="Times New Roman" w:cs="Times New Roman"/>
          <w:sz w:val="28"/>
          <w:szCs w:val="28"/>
        </w:rPr>
      </w:pPr>
    </w:p>
    <w:p w14:paraId="56288E7A" w14:textId="77777777" w:rsidR="000C1247" w:rsidRPr="000C1247" w:rsidRDefault="000C1247" w:rsidP="00530B00">
      <w:pPr>
        <w:spacing w:after="0" w:line="360" w:lineRule="auto"/>
        <w:contextualSpacing/>
        <w:rPr>
          <w:rFonts w:ascii="Times New Roman" w:hAnsi="Times New Roman" w:cs="Times New Roman"/>
          <w:sz w:val="28"/>
          <w:szCs w:val="28"/>
        </w:rPr>
      </w:pPr>
    </w:p>
    <w:p w14:paraId="3AEBAEB8" w14:textId="77777777" w:rsidR="00547AB5" w:rsidRPr="000C1247" w:rsidRDefault="00547AB5" w:rsidP="00530B00">
      <w:pPr>
        <w:spacing w:after="0" w:line="360" w:lineRule="auto"/>
        <w:contextualSpacing/>
        <w:rPr>
          <w:rFonts w:ascii="Times New Roman" w:hAnsi="Times New Roman" w:cs="Times New Roman"/>
          <w:sz w:val="28"/>
          <w:szCs w:val="28"/>
        </w:rPr>
      </w:pPr>
    </w:p>
    <w:p w14:paraId="05EC7AED" w14:textId="77777777" w:rsidR="00152F11" w:rsidRPr="000C1247" w:rsidRDefault="00152F11" w:rsidP="00530B00">
      <w:pPr>
        <w:spacing w:after="0" w:line="360" w:lineRule="auto"/>
        <w:contextualSpacing/>
        <w:jc w:val="center"/>
        <w:rPr>
          <w:rFonts w:ascii="Times New Roman" w:hAnsi="Times New Roman" w:cs="Times New Roman"/>
          <w:b/>
          <w:sz w:val="28"/>
          <w:szCs w:val="28"/>
        </w:rPr>
      </w:pPr>
      <w:r w:rsidRPr="000C1247">
        <w:rPr>
          <w:rFonts w:ascii="Times New Roman" w:hAnsi="Times New Roman" w:cs="Times New Roman"/>
          <w:b/>
          <w:sz w:val="28"/>
          <w:szCs w:val="28"/>
        </w:rPr>
        <w:t>The Physiology of Blood Glucose Homeostasis</w:t>
      </w:r>
    </w:p>
    <w:p w14:paraId="5C3489CC" w14:textId="77777777" w:rsidR="00C971E1" w:rsidRPr="000C1247" w:rsidRDefault="00C971E1"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To be aware of the pathological condition of diabetes, patients need to be aware of the way that a normal body regulates the level of blood sugar. Homeostasis is a very complex process of how the body of a person maintains blood glucose levels in a close, safe range (4.0 to 7.8 mmol/L) (Tortora and Derrickson, 2020). This is determined majorly by two antagonistic hormones released by the pancreas.</w:t>
      </w:r>
    </w:p>
    <w:p w14:paraId="66973DAF" w14:textId="77777777" w:rsidR="00D97E26" w:rsidRPr="000C1247" w:rsidRDefault="00C971E1"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After one eats a meal, carbohydrates in the diet are disintegrated into monosaccharides, mostly glucose, which is introduced into the blood. The specialised beta cells in the endocrine pancreas detect this increase in the circulating blood glucose and generate insulin, which is secreted to counteract the rise in blood glucose. These beta cells in turn react by secretion of the insulin hormone. Insulin is a biochemical key, which attaches to distinct receptor position on the cell membrane of certain target cells and specifically in liver, skeletal muscle and fat</w:t>
      </w:r>
      <w:r w:rsidR="00B451C9" w:rsidRPr="000C1247">
        <w:rPr>
          <w:rFonts w:ascii="Times New Roman" w:hAnsi="Times New Roman" w:cs="Times New Roman"/>
          <w:sz w:val="28"/>
          <w:szCs w:val="28"/>
        </w:rPr>
        <w:t xml:space="preserve"> (Hall and Hall, 2021)</w:t>
      </w:r>
      <w:r w:rsidRPr="000C1247">
        <w:rPr>
          <w:rFonts w:ascii="Times New Roman" w:hAnsi="Times New Roman" w:cs="Times New Roman"/>
          <w:sz w:val="28"/>
          <w:szCs w:val="28"/>
        </w:rPr>
        <w:t>. This binding triggers a signal transduction cascade that helps to translocate GLUT4 glucose transporters to the cell membrane, which allows absorbing the glu</w:t>
      </w:r>
      <w:r w:rsidR="00B451C9" w:rsidRPr="000C1247">
        <w:rPr>
          <w:rFonts w:ascii="Times New Roman" w:hAnsi="Times New Roman" w:cs="Times New Roman"/>
          <w:sz w:val="28"/>
          <w:szCs w:val="28"/>
        </w:rPr>
        <w:t>cose in the blood into the cell</w:t>
      </w:r>
      <w:r w:rsidRPr="000C1247">
        <w:rPr>
          <w:rFonts w:ascii="Times New Roman" w:hAnsi="Times New Roman" w:cs="Times New Roman"/>
          <w:sz w:val="28"/>
          <w:szCs w:val="28"/>
        </w:rPr>
        <w:t>.</w:t>
      </w:r>
    </w:p>
    <w:p w14:paraId="532655F7" w14:textId="77777777" w:rsidR="00D97E26" w:rsidRPr="000C1247" w:rsidRDefault="00D97E26"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Once</w:t>
      </w:r>
      <w:r w:rsidR="00C971E1" w:rsidRPr="000C1247">
        <w:rPr>
          <w:rFonts w:ascii="Times New Roman" w:hAnsi="Times New Roman" w:cs="Times New Roman"/>
          <w:sz w:val="28"/>
          <w:szCs w:val="28"/>
        </w:rPr>
        <w:t xml:space="preserve"> glucose gets into the cell, the glucose is immediately phosphorylated locking it in the cell and the can further be used to generate instant energy through the process of glycolysis. In other cases, insulin enhances anabolic storage effects in cases where energy is in excess. Insulin also increases the breakdown of glucose to glycogen in hepatocytes and myocytes, involving the process known as glycogenesis, to form an easily accessible fuel store. It increases lipogenesis in adipocytes which is the transformation of glucose into triglycerides to store energy in the long run (Marieb and Hoehn, 2019). On the other hand, when levels of blood glucose are low (out of meal times) insulin secretion is inhibited and glucagon is released by the alpha cells of the pancreas. </w:t>
      </w:r>
      <w:r w:rsidR="00C971E1" w:rsidRPr="000C1247">
        <w:rPr>
          <w:rFonts w:ascii="Times New Roman" w:hAnsi="Times New Roman" w:cs="Times New Roman"/>
          <w:sz w:val="28"/>
          <w:szCs w:val="28"/>
        </w:rPr>
        <w:lastRenderedPageBreak/>
        <w:t>The action of glucagon mainly concerns the liver, which activates glycogenolysis, or breaking of glycogen down to glucose, and gluconeogenesis, or the production of glucose out of non carbohydrate substrates, like lactate and amino acids</w:t>
      </w:r>
      <w:r w:rsidR="00B451C9" w:rsidRPr="000C1247">
        <w:rPr>
          <w:rFonts w:ascii="Times New Roman" w:hAnsi="Times New Roman" w:cs="Times New Roman"/>
          <w:sz w:val="28"/>
          <w:szCs w:val="28"/>
        </w:rPr>
        <w:t xml:space="preserve"> (Tortora and Derrickson, 2018)</w:t>
      </w:r>
      <w:r w:rsidR="00C971E1" w:rsidRPr="000C1247">
        <w:rPr>
          <w:rFonts w:ascii="Times New Roman" w:hAnsi="Times New Roman" w:cs="Times New Roman"/>
          <w:sz w:val="28"/>
          <w:szCs w:val="28"/>
        </w:rPr>
        <w:t>. This is a feedback mechanism between insulin and glucagon that maintains a continuous and stable level of glucose among obligate users like the brain and erythrocytes r</w:t>
      </w:r>
      <w:r w:rsidR="00B451C9" w:rsidRPr="000C1247">
        <w:rPr>
          <w:rFonts w:ascii="Times New Roman" w:hAnsi="Times New Roman" w:cs="Times New Roman"/>
          <w:sz w:val="28"/>
          <w:szCs w:val="28"/>
        </w:rPr>
        <w:t>egardless of nutritional status</w:t>
      </w:r>
      <w:r w:rsidRPr="000C1247">
        <w:rPr>
          <w:rFonts w:ascii="Times New Roman" w:hAnsi="Times New Roman" w:cs="Times New Roman"/>
          <w:sz w:val="28"/>
          <w:szCs w:val="28"/>
        </w:rPr>
        <w:t>.</w:t>
      </w:r>
    </w:p>
    <w:p w14:paraId="00BCB415" w14:textId="77777777" w:rsidR="00461E9D" w:rsidRDefault="00D97E26"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In Type 2 diabetes this fine system</w:t>
      </w:r>
      <w:r w:rsidR="00C971E1" w:rsidRPr="000C1247">
        <w:rPr>
          <w:rFonts w:ascii="Times New Roman" w:hAnsi="Times New Roman" w:cs="Times New Roman"/>
          <w:sz w:val="28"/>
          <w:szCs w:val="28"/>
        </w:rPr>
        <w:t xml:space="preserve"> fails </w:t>
      </w:r>
      <w:r w:rsidRPr="000C1247">
        <w:rPr>
          <w:rFonts w:ascii="Times New Roman" w:hAnsi="Times New Roman" w:cs="Times New Roman"/>
          <w:sz w:val="28"/>
          <w:szCs w:val="28"/>
        </w:rPr>
        <w:t>to perform appropriately</w:t>
      </w:r>
      <w:r w:rsidR="00C971E1" w:rsidRPr="000C1247">
        <w:rPr>
          <w:rFonts w:ascii="Times New Roman" w:hAnsi="Times New Roman" w:cs="Times New Roman"/>
          <w:sz w:val="28"/>
          <w:szCs w:val="28"/>
        </w:rPr>
        <w:t>. The insulin resistance of cells develops and cells in spite of the presence of normal or even increased levels of insulin in the blood stream, glucose cannot get into the cell</w:t>
      </w:r>
      <w:r w:rsidR="00B8130E" w:rsidRPr="000C1247">
        <w:rPr>
          <w:rFonts w:ascii="Times New Roman" w:hAnsi="Times New Roman" w:cs="Times New Roman"/>
          <w:sz w:val="28"/>
          <w:szCs w:val="28"/>
        </w:rPr>
        <w:t xml:space="preserve"> (Hall and Hall, 2021)</w:t>
      </w:r>
      <w:r w:rsidR="00C971E1" w:rsidRPr="000C1247">
        <w:rPr>
          <w:rFonts w:ascii="Times New Roman" w:hAnsi="Times New Roman" w:cs="Times New Roman"/>
          <w:sz w:val="28"/>
          <w:szCs w:val="28"/>
        </w:rPr>
        <w:t>. The pancreas responds initially by secretion of increased insulin, but in the long run, there is dysfunction and apoptosis of beta-cells, which result in relative insulin deficienc</w:t>
      </w:r>
      <w:r w:rsidR="00B8130E" w:rsidRPr="000C1247">
        <w:rPr>
          <w:rFonts w:ascii="Times New Roman" w:hAnsi="Times New Roman" w:cs="Times New Roman"/>
          <w:sz w:val="28"/>
          <w:szCs w:val="28"/>
        </w:rPr>
        <w:t>y and increasing hyperglycaemia</w:t>
      </w:r>
      <w:r w:rsidR="00C971E1" w:rsidRPr="000C1247">
        <w:rPr>
          <w:rFonts w:ascii="Times New Roman" w:hAnsi="Times New Roman" w:cs="Times New Roman"/>
          <w:sz w:val="28"/>
          <w:szCs w:val="28"/>
        </w:rPr>
        <w:t>.</w:t>
      </w:r>
    </w:p>
    <w:p w14:paraId="1DA8A83B" w14:textId="77777777" w:rsidR="000C1247" w:rsidRPr="000C1247" w:rsidRDefault="000C1247" w:rsidP="00530B00">
      <w:pPr>
        <w:spacing w:after="0" w:line="360" w:lineRule="auto"/>
        <w:contextualSpacing/>
        <w:rPr>
          <w:rFonts w:ascii="Times New Roman" w:hAnsi="Times New Roman" w:cs="Times New Roman"/>
          <w:sz w:val="28"/>
          <w:szCs w:val="28"/>
        </w:rPr>
      </w:pPr>
    </w:p>
    <w:p w14:paraId="62554AD1" w14:textId="77777777" w:rsidR="00461E9D" w:rsidRPr="000C1247" w:rsidRDefault="00152F11" w:rsidP="00530B00">
      <w:pPr>
        <w:spacing w:after="0" w:line="360" w:lineRule="auto"/>
        <w:contextualSpacing/>
        <w:jc w:val="center"/>
        <w:rPr>
          <w:rFonts w:ascii="Times New Roman" w:hAnsi="Times New Roman" w:cs="Times New Roman"/>
          <w:b/>
          <w:sz w:val="28"/>
          <w:szCs w:val="28"/>
        </w:rPr>
      </w:pPr>
      <w:r w:rsidRPr="000C1247">
        <w:rPr>
          <w:rFonts w:ascii="Times New Roman" w:hAnsi="Times New Roman" w:cs="Times New Roman"/>
          <w:b/>
          <w:sz w:val="28"/>
          <w:szCs w:val="28"/>
        </w:rPr>
        <w:t>Cellular Respiration: The Production of ATP</w:t>
      </w:r>
    </w:p>
    <w:p w14:paraId="7D240ED0" w14:textId="68EB77B2" w:rsidR="00BB5D4C" w:rsidRPr="000C1247" w:rsidRDefault="007258A2"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The patients often ask themselves why glucose matters. It is necessary to clarify that glucose is not a figure that has to be monitored, but it is the main molecular carrier of energy in the body. Glucose metabolism is aimed at the production of adenosine triphosphate (ATP), the universal currency of energy of the cell. Aerobic cellular respiration is the process through which cells use glucose and oxygen to form ATP (Alberts et al., 2022). This is a complicated metabolic pathway that takes place mainly in the mitochondria. The simplified chemical equation is as follows: Glucose + Oxygen - Carbon Dioxide + Water + ATP. This process can be subdivided into four major steps. The initial phase, glycolysis stage, takes place in the cytoplasm and is anaerobic. In this case, twenty-one m</w:t>
      </w:r>
      <w:r w:rsidR="00475984">
        <w:rPr>
          <w:rFonts w:ascii="Times New Roman" w:hAnsi="Times New Roman" w:cs="Times New Roman"/>
          <w:sz w:val="28"/>
          <w:szCs w:val="28"/>
        </w:rPr>
        <w:t>o</w:t>
      </w:r>
      <w:r w:rsidRPr="000C1247">
        <w:rPr>
          <w:rFonts w:ascii="Times New Roman" w:hAnsi="Times New Roman" w:cs="Times New Roman"/>
          <w:sz w:val="28"/>
          <w:szCs w:val="28"/>
        </w:rPr>
        <w:t>l</w:t>
      </w:r>
      <w:r w:rsidR="00475984">
        <w:rPr>
          <w:rFonts w:ascii="Times New Roman" w:hAnsi="Times New Roman" w:cs="Times New Roman"/>
          <w:sz w:val="28"/>
          <w:szCs w:val="28"/>
        </w:rPr>
        <w:t>e</w:t>
      </w:r>
      <w:r w:rsidRPr="000C1247">
        <w:rPr>
          <w:rFonts w:ascii="Times New Roman" w:hAnsi="Times New Roman" w:cs="Times New Roman"/>
          <w:sz w:val="28"/>
          <w:szCs w:val="28"/>
        </w:rPr>
        <w:t xml:space="preserve"> of glucose is decomposed to two molecules of pyruvate (three-carbon molecules). This phase is not oxygen dependent. In the presence of oxygen, pyruvate is ferried into the mitochondrial matrix and transformed into acetyl-CoA and it is sent to the Krebs cyc</w:t>
      </w:r>
      <w:r w:rsidR="0037796B" w:rsidRPr="000C1247">
        <w:rPr>
          <w:rFonts w:ascii="Times New Roman" w:hAnsi="Times New Roman" w:cs="Times New Roman"/>
          <w:sz w:val="28"/>
          <w:szCs w:val="28"/>
        </w:rPr>
        <w:t>le (Tortora and Derrickson, 2018</w:t>
      </w:r>
      <w:r w:rsidRPr="000C1247">
        <w:rPr>
          <w:rFonts w:ascii="Times New Roman" w:hAnsi="Times New Roman" w:cs="Times New Roman"/>
          <w:sz w:val="28"/>
          <w:szCs w:val="28"/>
        </w:rPr>
        <w:t>).</w:t>
      </w:r>
    </w:p>
    <w:p w14:paraId="6B593387" w14:textId="77777777" w:rsidR="00BB5D4C" w:rsidRPr="000C1247" w:rsidRDefault="007258A2"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lastRenderedPageBreak/>
        <w:t>Citric acid cycle or Krebs cycle is a sequence of enzymatic reactions that oxidise acetyl-CoA. This reaction gives out carbon dioxide as a waste product- which is moved through the blood to the lungs and exhaled and forms high-energy electron carriers (NADH and FADH2). The last and most prolific phase is the electron transport chain that is found on the inner mitochondrial membrane. In this case, the electrons in the NADH and FADH2 are transferred in a cascade of protein complexes. The transfer emits energy, which is utilized to pump protons across the membrane generating an electrochemical gradient. When the protons are returned down their gradient by using the enzyme ATP synthase, the kinetic energy is used to phosphorylate ADP, resulting in the formation of the tremendous majority of ATP, about 32 to 34 molecules per mole of</w:t>
      </w:r>
      <w:r w:rsidR="00BB5D4C" w:rsidRPr="000C1247">
        <w:rPr>
          <w:rFonts w:ascii="Times New Roman" w:hAnsi="Times New Roman" w:cs="Times New Roman"/>
          <w:sz w:val="28"/>
          <w:szCs w:val="28"/>
        </w:rPr>
        <w:t xml:space="preserve"> glucose (Hall and Hall, 2021).</w:t>
      </w:r>
    </w:p>
    <w:p w14:paraId="581AA685" w14:textId="26DB3ED5" w:rsidR="00BB5D4C" w:rsidRPr="000C1247" w:rsidRDefault="007258A2"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When considering insulin resistance, glucose lacks the ability to enter the cell which effectively starves the mitochondria of fuel. This causes energy deficiency and exhaustion of the cells and compensatory hunger which is actually counterproductive as it leads to a further exaggeration of hyperglycaemia when patients excessively consume carbohydrates to combat their fatigue</w:t>
      </w:r>
      <w:r w:rsidR="00BB5D4C" w:rsidRPr="000C1247">
        <w:rPr>
          <w:rFonts w:ascii="Times New Roman" w:hAnsi="Times New Roman" w:cs="Times New Roman"/>
          <w:sz w:val="28"/>
          <w:szCs w:val="28"/>
        </w:rPr>
        <w:t>.</w:t>
      </w:r>
    </w:p>
    <w:p w14:paraId="409A53DA" w14:textId="77777777" w:rsidR="00701CE2" w:rsidRPr="000C1247" w:rsidRDefault="00701CE2" w:rsidP="00530B00">
      <w:pPr>
        <w:spacing w:after="0" w:line="360" w:lineRule="auto"/>
        <w:contextualSpacing/>
        <w:rPr>
          <w:rFonts w:ascii="Times New Roman" w:hAnsi="Times New Roman" w:cs="Times New Roman"/>
          <w:sz w:val="28"/>
          <w:szCs w:val="28"/>
        </w:rPr>
      </w:pPr>
    </w:p>
    <w:p w14:paraId="11732C7D" w14:textId="77777777" w:rsidR="00152F11" w:rsidRPr="000C1247" w:rsidRDefault="00152F11" w:rsidP="00530B00">
      <w:pPr>
        <w:spacing w:after="0" w:line="360" w:lineRule="auto"/>
        <w:contextualSpacing/>
        <w:jc w:val="center"/>
        <w:rPr>
          <w:rFonts w:ascii="Times New Roman" w:hAnsi="Times New Roman" w:cs="Times New Roman"/>
          <w:b/>
          <w:sz w:val="28"/>
          <w:szCs w:val="28"/>
        </w:rPr>
      </w:pPr>
      <w:r w:rsidRPr="000C1247">
        <w:rPr>
          <w:rFonts w:ascii="Times New Roman" w:hAnsi="Times New Roman" w:cs="Times New Roman"/>
          <w:b/>
          <w:sz w:val="28"/>
          <w:szCs w:val="28"/>
        </w:rPr>
        <w:t>The Importance of Self-Monitoring of Blood Glucose</w:t>
      </w:r>
    </w:p>
    <w:p w14:paraId="2E5BBDB3" w14:textId="77777777" w:rsidR="00BD07ED" w:rsidRPr="000C1247" w:rsidRDefault="00BD07ED"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 xml:space="preserve">Self-management of blood glucose (SMBG) is one of the pillars of modern managing diabetes. In patients with T2D, especially those who do not need insulin treatment, SMBG has two major purposes feedback and safety. The daily information gathered with the help of capillary glucose testing gives direct, physical information about the physiological effect of lifestyle decisions (NICE, 2022). When a patient experiences a postprandial glucose spike of 12.0 mmol/L following a sugary soft drink, and 7.5 mmol/L following a balanced meal, he or she has been provided with a very potent, tailor-made educational intervention. This factual observation can be much more useful as the motivator </w:t>
      </w:r>
      <w:r w:rsidRPr="000C1247">
        <w:rPr>
          <w:rFonts w:ascii="Times New Roman" w:hAnsi="Times New Roman" w:cs="Times New Roman"/>
          <w:sz w:val="28"/>
          <w:szCs w:val="28"/>
        </w:rPr>
        <w:lastRenderedPageBreak/>
        <w:t>of behaviour change than a general dietary prescription given in a consultation room</w:t>
      </w:r>
      <w:r w:rsidR="00B8130E" w:rsidRPr="000C1247">
        <w:rPr>
          <w:rFonts w:ascii="Times New Roman" w:hAnsi="Times New Roman" w:cs="Times New Roman"/>
          <w:sz w:val="28"/>
          <w:szCs w:val="28"/>
        </w:rPr>
        <w:t xml:space="preserve"> (Powers et al., 2020)</w:t>
      </w:r>
      <w:r w:rsidRPr="000C1247">
        <w:rPr>
          <w:rFonts w:ascii="Times New Roman" w:hAnsi="Times New Roman" w:cs="Times New Roman"/>
          <w:sz w:val="28"/>
          <w:szCs w:val="28"/>
        </w:rPr>
        <w:t>. It allows patients to be experimental about their own health, trying out different foods, varying portion sizes, and physical activity patterns</w:t>
      </w:r>
      <w:r w:rsidR="00B8130E" w:rsidRPr="000C1247">
        <w:rPr>
          <w:rFonts w:ascii="Times New Roman" w:hAnsi="Times New Roman" w:cs="Times New Roman"/>
          <w:sz w:val="28"/>
          <w:szCs w:val="28"/>
        </w:rPr>
        <w:t xml:space="preserve"> on their own unique physiology</w:t>
      </w:r>
      <w:r w:rsidRPr="000C1247">
        <w:rPr>
          <w:rFonts w:ascii="Times New Roman" w:hAnsi="Times New Roman" w:cs="Times New Roman"/>
          <w:sz w:val="28"/>
          <w:szCs w:val="28"/>
        </w:rPr>
        <w:t>.</w:t>
      </w:r>
    </w:p>
    <w:p w14:paraId="108946CF" w14:textId="77777777" w:rsidR="00BD07ED" w:rsidRPr="000C1247" w:rsidRDefault="00BD07ED"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In addition, patient safety depends on SMBG. The detection and prevention of the hypoglycaemia in patients on sulfonylureas, or insulin treatment is necessitated. It also offers vital information in the acute illness when stress hormones like cortisol and adrenaline may lead to serious and life-threatening hyperglycaemia (Diabetes UK, 2024). Monitoring their data throughout their lives enables patients not only to become active participants in their own health process but also to be informed, active, and not a passive recipient of care. They come to appointments with data, which makes collaborative clinical conversations, as opposed to prescriptive discussions.</w:t>
      </w:r>
    </w:p>
    <w:p w14:paraId="4982544C" w14:textId="77777777" w:rsidR="000C1247" w:rsidRPr="000C1247" w:rsidRDefault="000C1247" w:rsidP="00530B00">
      <w:pPr>
        <w:spacing w:after="0" w:line="360" w:lineRule="auto"/>
        <w:contextualSpacing/>
        <w:rPr>
          <w:rFonts w:ascii="Times New Roman" w:hAnsi="Times New Roman" w:cs="Times New Roman"/>
          <w:sz w:val="28"/>
          <w:szCs w:val="28"/>
        </w:rPr>
      </w:pPr>
    </w:p>
    <w:p w14:paraId="7D6E3150" w14:textId="77777777" w:rsidR="00152F11" w:rsidRPr="000C1247" w:rsidRDefault="00152F11" w:rsidP="00530B00">
      <w:pPr>
        <w:spacing w:after="0" w:line="360" w:lineRule="auto"/>
        <w:contextualSpacing/>
        <w:jc w:val="center"/>
        <w:rPr>
          <w:rFonts w:ascii="Times New Roman" w:hAnsi="Times New Roman" w:cs="Times New Roman"/>
          <w:b/>
          <w:sz w:val="28"/>
          <w:szCs w:val="28"/>
        </w:rPr>
      </w:pPr>
      <w:r w:rsidRPr="000C1247">
        <w:rPr>
          <w:rFonts w:ascii="Times New Roman" w:hAnsi="Times New Roman" w:cs="Times New Roman"/>
          <w:b/>
          <w:sz w:val="28"/>
          <w:szCs w:val="28"/>
        </w:rPr>
        <w:t>Evidence-Based Lifestyle Recommendations</w:t>
      </w:r>
    </w:p>
    <w:p w14:paraId="0766BA29" w14:textId="77777777" w:rsidR="00BD07ED" w:rsidRPr="000C1247" w:rsidRDefault="00BD07ED"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Pharmacological therapy can be required in T2D, however, it is most effective when supported by a properly structured lifestyle change.</w:t>
      </w:r>
    </w:p>
    <w:p w14:paraId="0B00602F" w14:textId="77777777" w:rsidR="00BD07ED" w:rsidRPr="000C1247" w:rsidRDefault="00BD07ED" w:rsidP="00530B00">
      <w:pPr>
        <w:spacing w:after="0" w:line="360" w:lineRule="auto"/>
        <w:contextualSpacing/>
        <w:rPr>
          <w:rFonts w:ascii="Times New Roman" w:hAnsi="Times New Roman" w:cs="Times New Roman"/>
          <w:b/>
          <w:sz w:val="28"/>
          <w:szCs w:val="28"/>
        </w:rPr>
      </w:pPr>
      <w:r w:rsidRPr="000C1247">
        <w:rPr>
          <w:rFonts w:ascii="Times New Roman" w:hAnsi="Times New Roman" w:cs="Times New Roman"/>
          <w:b/>
          <w:sz w:val="28"/>
          <w:szCs w:val="28"/>
        </w:rPr>
        <w:t>a) Diet and Nutrition</w:t>
      </w:r>
    </w:p>
    <w:p w14:paraId="2876A1C6" w14:textId="77777777" w:rsidR="00BD07ED" w:rsidRPr="000C1247" w:rsidRDefault="00BD07ED"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The dietary intervention must be aimed at the quality of macronutrients and energy restriction. Patients are encouraged to vastly decrease their intake of refined carbohydrates with a high GI, that are absorbed fast and trigger sharp postprandial glucose swings</w:t>
      </w:r>
      <w:r w:rsidR="00B8130E" w:rsidRPr="000C1247">
        <w:rPr>
          <w:rFonts w:ascii="Times New Roman" w:hAnsi="Times New Roman" w:cs="Times New Roman"/>
          <w:sz w:val="28"/>
          <w:szCs w:val="28"/>
        </w:rPr>
        <w:t xml:space="preserve"> (Esposito and Giugliano 2014)</w:t>
      </w:r>
      <w:r w:rsidRPr="000C1247">
        <w:rPr>
          <w:rFonts w:ascii="Times New Roman" w:hAnsi="Times New Roman" w:cs="Times New Roman"/>
          <w:sz w:val="28"/>
          <w:szCs w:val="28"/>
        </w:rPr>
        <w:t>. It is necessary to focus on the consumption of dietary fibre, whole grains, lean proteins, as well as unsaturated fats (American Diabetes Association, 2024). Mediterranean diet also has a solid ground as to why it helps to enhance glycaemic control and cardiovascular mortalit</w:t>
      </w:r>
      <w:r w:rsidR="00B8130E" w:rsidRPr="000C1247">
        <w:rPr>
          <w:rFonts w:ascii="Times New Roman" w:hAnsi="Times New Roman" w:cs="Times New Roman"/>
          <w:sz w:val="28"/>
          <w:szCs w:val="28"/>
        </w:rPr>
        <w:t>y in this population</w:t>
      </w:r>
      <w:r w:rsidRPr="000C1247">
        <w:rPr>
          <w:rFonts w:ascii="Times New Roman" w:hAnsi="Times New Roman" w:cs="Times New Roman"/>
          <w:sz w:val="28"/>
          <w:szCs w:val="28"/>
        </w:rPr>
        <w:t>.</w:t>
      </w:r>
    </w:p>
    <w:p w14:paraId="6A28F355" w14:textId="77777777" w:rsidR="00BD07ED" w:rsidRPr="000C1247" w:rsidRDefault="00BD07ED" w:rsidP="00530B00">
      <w:pPr>
        <w:spacing w:after="0" w:line="360" w:lineRule="auto"/>
        <w:contextualSpacing/>
        <w:rPr>
          <w:rFonts w:ascii="Times New Roman" w:hAnsi="Times New Roman" w:cs="Times New Roman"/>
          <w:b/>
          <w:sz w:val="28"/>
          <w:szCs w:val="28"/>
        </w:rPr>
      </w:pPr>
      <w:r w:rsidRPr="000C1247">
        <w:rPr>
          <w:rFonts w:ascii="Times New Roman" w:hAnsi="Times New Roman" w:cs="Times New Roman"/>
          <w:b/>
          <w:sz w:val="28"/>
          <w:szCs w:val="28"/>
        </w:rPr>
        <w:t>b) Physical Activity</w:t>
      </w:r>
    </w:p>
    <w:p w14:paraId="400BEBE1" w14:textId="77777777" w:rsidR="00BD07ED" w:rsidRPr="000C1247" w:rsidRDefault="00BD07ED"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 xml:space="preserve">Physiological intervention is exercise. Skeletal muscle contraction also induces the translocation of GLUT4 transporters to the cellular membrane via an </w:t>
      </w:r>
      <w:r w:rsidRPr="000C1247">
        <w:rPr>
          <w:rFonts w:ascii="Times New Roman" w:hAnsi="Times New Roman" w:cs="Times New Roman"/>
          <w:sz w:val="28"/>
          <w:szCs w:val="28"/>
        </w:rPr>
        <w:lastRenderedPageBreak/>
        <w:t>insulin-independent route, which indicates that exercise is capable of reducing blood glucose levels in the severely insulin-resistant pati</w:t>
      </w:r>
      <w:r w:rsidR="0036137B" w:rsidRPr="000C1247">
        <w:rPr>
          <w:rFonts w:ascii="Times New Roman" w:hAnsi="Times New Roman" w:cs="Times New Roman"/>
          <w:sz w:val="28"/>
          <w:szCs w:val="28"/>
        </w:rPr>
        <w:t>ent (Richter and Hargreaves, 201</w:t>
      </w:r>
      <w:r w:rsidRPr="000C1247">
        <w:rPr>
          <w:rFonts w:ascii="Times New Roman" w:hAnsi="Times New Roman" w:cs="Times New Roman"/>
          <w:sz w:val="28"/>
          <w:szCs w:val="28"/>
        </w:rPr>
        <w:t>3). The patients are to have 150 minutes of moderate-intensity aerobic exercises with resistance training every week to gain more metabolically active muscle mass (NICE, 2022).</w:t>
      </w:r>
    </w:p>
    <w:p w14:paraId="2464F513" w14:textId="77777777" w:rsidR="00BD07ED" w:rsidRPr="000C1247" w:rsidRDefault="00BD07ED" w:rsidP="00530B00">
      <w:pPr>
        <w:spacing w:after="0" w:line="360" w:lineRule="auto"/>
        <w:contextualSpacing/>
        <w:rPr>
          <w:rFonts w:ascii="Times New Roman" w:hAnsi="Times New Roman" w:cs="Times New Roman"/>
          <w:b/>
          <w:sz w:val="28"/>
          <w:szCs w:val="28"/>
        </w:rPr>
      </w:pPr>
      <w:r w:rsidRPr="000C1247">
        <w:rPr>
          <w:rFonts w:ascii="Times New Roman" w:hAnsi="Times New Roman" w:cs="Times New Roman"/>
          <w:b/>
          <w:sz w:val="28"/>
          <w:szCs w:val="28"/>
        </w:rPr>
        <w:t>c) Smoking Cessation</w:t>
      </w:r>
    </w:p>
    <w:p w14:paraId="501AA7AD" w14:textId="77777777" w:rsidR="00BD07ED" w:rsidRPr="000C1247" w:rsidRDefault="00BD07ED"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 xml:space="preserve">Smoking brings about insulin resistance and oxidative stress. It has a great risk factor in the development of T2D as well as the microvascular and macrovascular complications </w:t>
      </w:r>
      <w:r w:rsidR="006B5972" w:rsidRPr="000C1247">
        <w:rPr>
          <w:rFonts w:ascii="Times New Roman" w:hAnsi="Times New Roman" w:cs="Times New Roman"/>
          <w:sz w:val="28"/>
          <w:szCs w:val="28"/>
        </w:rPr>
        <w:t>of the disease (Pan et al., 2015</w:t>
      </w:r>
      <w:r w:rsidRPr="000C1247">
        <w:rPr>
          <w:rFonts w:ascii="Times New Roman" w:hAnsi="Times New Roman" w:cs="Times New Roman"/>
          <w:sz w:val="28"/>
          <w:szCs w:val="28"/>
        </w:rPr>
        <w:t>). Stopping is thus a condition that cannot be negotiated upon and should be vigorously encouraged by use of behavioural support and pharmacotherapy (Sliwinska</w:t>
      </w:r>
      <w:r w:rsidR="0036137B" w:rsidRPr="000C1247">
        <w:rPr>
          <w:rFonts w:ascii="Times New Roman" w:hAnsi="Times New Roman" w:cs="Times New Roman"/>
          <w:sz w:val="28"/>
          <w:szCs w:val="28"/>
        </w:rPr>
        <w:t>-Mosson and Milnerowicz, 2017</w:t>
      </w:r>
      <w:r w:rsidRPr="000C1247">
        <w:rPr>
          <w:rFonts w:ascii="Times New Roman" w:hAnsi="Times New Roman" w:cs="Times New Roman"/>
          <w:sz w:val="28"/>
          <w:szCs w:val="28"/>
        </w:rPr>
        <w:t>).</w:t>
      </w:r>
    </w:p>
    <w:p w14:paraId="299F8685" w14:textId="77777777" w:rsidR="00BD07ED" w:rsidRPr="000C1247" w:rsidRDefault="00BD07ED" w:rsidP="00530B00">
      <w:pPr>
        <w:spacing w:after="0" w:line="360" w:lineRule="auto"/>
        <w:contextualSpacing/>
        <w:rPr>
          <w:rFonts w:ascii="Times New Roman" w:hAnsi="Times New Roman" w:cs="Times New Roman"/>
          <w:b/>
          <w:sz w:val="28"/>
          <w:szCs w:val="28"/>
        </w:rPr>
      </w:pPr>
      <w:r w:rsidRPr="000C1247">
        <w:rPr>
          <w:rFonts w:ascii="Times New Roman" w:hAnsi="Times New Roman" w:cs="Times New Roman"/>
          <w:b/>
          <w:sz w:val="28"/>
          <w:szCs w:val="28"/>
        </w:rPr>
        <w:t>d) Weight Management</w:t>
      </w:r>
    </w:p>
    <w:p w14:paraId="67F85AA8" w14:textId="77777777" w:rsidR="00F93886" w:rsidRPr="000C1247" w:rsidRDefault="00BD07ED"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The leading cause of insulin resistance is Visceral adiposity. The DiRECT trial offered strong evidence that a substantial weight loss (10-15kg) is able to decrease the amount of intra-pancreatic, as well as intra-hepatic fat, which in turn results in the remission of T2D in a significant percentage of the patients (Lean et al., 2019). The loss of 5-10% is a therapeutic goal rather than an aesthetic one that should be proposed.</w:t>
      </w:r>
    </w:p>
    <w:p w14:paraId="26C9B728" w14:textId="77777777" w:rsidR="00530B00" w:rsidRPr="000C1247" w:rsidRDefault="00530B00" w:rsidP="00530B00">
      <w:pPr>
        <w:spacing w:after="0" w:line="360" w:lineRule="auto"/>
        <w:contextualSpacing/>
        <w:rPr>
          <w:rFonts w:ascii="Times New Roman" w:hAnsi="Times New Roman" w:cs="Times New Roman"/>
          <w:sz w:val="28"/>
          <w:szCs w:val="28"/>
        </w:rPr>
      </w:pPr>
    </w:p>
    <w:p w14:paraId="3DBABDAB" w14:textId="77777777" w:rsidR="00F93886" w:rsidRPr="000C1247" w:rsidRDefault="00152F11" w:rsidP="00530B00">
      <w:pPr>
        <w:spacing w:after="0" w:line="360" w:lineRule="auto"/>
        <w:contextualSpacing/>
        <w:jc w:val="center"/>
        <w:rPr>
          <w:rFonts w:ascii="Times New Roman" w:hAnsi="Times New Roman" w:cs="Times New Roman"/>
          <w:b/>
          <w:sz w:val="28"/>
          <w:szCs w:val="28"/>
        </w:rPr>
      </w:pPr>
      <w:r w:rsidRPr="000C1247">
        <w:rPr>
          <w:rFonts w:ascii="Times New Roman" w:hAnsi="Times New Roman" w:cs="Times New Roman"/>
          <w:b/>
          <w:sz w:val="28"/>
          <w:szCs w:val="28"/>
        </w:rPr>
        <w:t>Conclusion</w:t>
      </w:r>
    </w:p>
    <w:p w14:paraId="400B0C68" w14:textId="137A5FE4" w:rsidR="00152F11" w:rsidRPr="000C1247" w:rsidRDefault="00EE23F0" w:rsidP="00530B00">
      <w:pPr>
        <w:spacing w:after="0" w:line="360" w:lineRule="auto"/>
        <w:contextualSpacing/>
        <w:rPr>
          <w:rFonts w:ascii="Times New Roman" w:hAnsi="Times New Roman" w:cs="Times New Roman"/>
          <w:sz w:val="28"/>
          <w:szCs w:val="28"/>
        </w:rPr>
      </w:pPr>
      <w:r w:rsidRPr="000C1247">
        <w:rPr>
          <w:rFonts w:ascii="Times New Roman" w:hAnsi="Times New Roman" w:cs="Times New Roman"/>
          <w:sz w:val="28"/>
          <w:szCs w:val="28"/>
        </w:rPr>
        <w:t xml:space="preserve">Type 2 diabetes is a complicated yet treatable metabolical condition that ought to undergo a paradigm change in the form of care in which a paternalistic approach to care giving should be substituted with that of collaborative patient empowerment. During the course of this report, it has been revealed how knowledge of the simplest physiology processes, the way that insulin helps the transit of glucose into the cells and how the transformation of glucose and oxygen into crucial ATP energy occurs in the mitochondria, allow patients to derive sensible reasonings behind the usually cumbersome treatment </w:t>
      </w:r>
      <w:r w:rsidRPr="000C1247">
        <w:rPr>
          <w:rFonts w:ascii="Times New Roman" w:hAnsi="Times New Roman" w:cs="Times New Roman"/>
          <w:sz w:val="28"/>
          <w:szCs w:val="28"/>
        </w:rPr>
        <w:lastRenderedPageBreak/>
        <w:t>suggestions. The regular information that can be obtained via self-monitoring of blood glucose goes beyond the collection of numbers and it offers real time and personalised biofeedback that empowers the patients to make safe and independent choices on what they consume, what they do and how they keep up with their medications. Also, this report has proved that lifestyle interventions are not the peripheral recommendation but the core of therapeutic interventions. There have been evidence-based reports that smoking cessation, systematic weight control, implementation of Mediterranean nutritional rules, and physical exercise can in most instances, substitute the pharmacotherapy with better results, such as sustained remission of diabetes. In the end, the task of the practice nurse is to change complicated physiology into an easily comprehensible knowledge, and patients will be transformed not only in the passive receivers of care but also in the self-assured and active control of their own long-term care.</w:t>
      </w:r>
    </w:p>
    <w:p w14:paraId="02E7CFF8" w14:textId="77777777" w:rsidR="00F93886" w:rsidRPr="002D55B2" w:rsidRDefault="00F93886" w:rsidP="002D55B2">
      <w:pPr>
        <w:spacing w:after="0" w:line="480" w:lineRule="auto"/>
        <w:contextualSpacing/>
        <w:rPr>
          <w:rFonts w:ascii="Times New Roman" w:hAnsi="Times New Roman" w:cs="Times New Roman"/>
          <w:sz w:val="24"/>
          <w:szCs w:val="24"/>
        </w:rPr>
      </w:pPr>
      <w:r w:rsidRPr="002D55B2">
        <w:rPr>
          <w:rFonts w:ascii="Times New Roman" w:hAnsi="Times New Roman" w:cs="Times New Roman"/>
          <w:sz w:val="24"/>
          <w:szCs w:val="24"/>
        </w:rPr>
        <w:br w:type="page"/>
      </w:r>
    </w:p>
    <w:p w14:paraId="12221CF0" w14:textId="77777777" w:rsidR="00152F11" w:rsidRPr="000107A9" w:rsidRDefault="00152F11" w:rsidP="002D55B2">
      <w:pPr>
        <w:spacing w:after="0" w:line="480" w:lineRule="auto"/>
        <w:contextualSpacing/>
        <w:jc w:val="center"/>
        <w:rPr>
          <w:rFonts w:ascii="Times New Roman" w:hAnsi="Times New Roman" w:cs="Times New Roman"/>
          <w:b/>
          <w:bCs/>
          <w:sz w:val="28"/>
          <w:szCs w:val="28"/>
        </w:rPr>
      </w:pPr>
      <w:r w:rsidRPr="000107A9">
        <w:rPr>
          <w:rFonts w:ascii="Times New Roman" w:hAnsi="Times New Roman" w:cs="Times New Roman"/>
          <w:b/>
          <w:bCs/>
          <w:sz w:val="28"/>
          <w:szCs w:val="28"/>
        </w:rPr>
        <w:lastRenderedPageBreak/>
        <w:t>Reference</w:t>
      </w:r>
      <w:r w:rsidR="00F93886" w:rsidRPr="000107A9">
        <w:rPr>
          <w:rFonts w:ascii="Times New Roman" w:hAnsi="Times New Roman" w:cs="Times New Roman"/>
          <w:b/>
          <w:bCs/>
          <w:sz w:val="28"/>
          <w:szCs w:val="28"/>
        </w:rPr>
        <w:t>s</w:t>
      </w:r>
    </w:p>
    <w:p w14:paraId="41BCCD60" w14:textId="77777777" w:rsidR="00152F11" w:rsidRPr="000107A9" w:rsidRDefault="00152F11" w:rsidP="002D55B2">
      <w:pPr>
        <w:spacing w:after="0" w:line="480" w:lineRule="auto"/>
        <w:ind w:left="720" w:hanging="720"/>
        <w:contextualSpacing/>
        <w:rPr>
          <w:rFonts w:ascii="Times New Roman" w:hAnsi="Times New Roman" w:cs="Times New Roman"/>
          <w:sz w:val="28"/>
          <w:szCs w:val="28"/>
        </w:rPr>
      </w:pPr>
      <w:r w:rsidRPr="000107A9">
        <w:rPr>
          <w:rFonts w:ascii="Times New Roman" w:hAnsi="Times New Roman" w:cs="Times New Roman"/>
          <w:sz w:val="28"/>
          <w:szCs w:val="28"/>
        </w:rPr>
        <w:t>Alberts, B., Hopkin, K., Johnson, A., Morgan, D., Raff, M., Roberts, K. and Walter, P. (2022) Essential Cell Biology. 6th edn. N</w:t>
      </w:r>
      <w:r w:rsidR="00F93886" w:rsidRPr="000107A9">
        <w:rPr>
          <w:rFonts w:ascii="Times New Roman" w:hAnsi="Times New Roman" w:cs="Times New Roman"/>
          <w:sz w:val="28"/>
          <w:szCs w:val="28"/>
        </w:rPr>
        <w:t>ew York: W.W. Norton &amp; Company.</w:t>
      </w:r>
    </w:p>
    <w:p w14:paraId="031FB079" w14:textId="77777777" w:rsidR="00152F11" w:rsidRPr="000107A9" w:rsidRDefault="00152F11" w:rsidP="002D55B2">
      <w:pPr>
        <w:spacing w:after="0" w:line="480" w:lineRule="auto"/>
        <w:ind w:left="720" w:hanging="720"/>
        <w:contextualSpacing/>
        <w:rPr>
          <w:rFonts w:ascii="Times New Roman" w:hAnsi="Times New Roman" w:cs="Times New Roman"/>
          <w:sz w:val="28"/>
          <w:szCs w:val="28"/>
        </w:rPr>
      </w:pPr>
      <w:r w:rsidRPr="000107A9">
        <w:rPr>
          <w:rFonts w:ascii="Times New Roman" w:hAnsi="Times New Roman" w:cs="Times New Roman"/>
          <w:sz w:val="28"/>
          <w:szCs w:val="28"/>
        </w:rPr>
        <w:t>American Diabetes Association (2024) ‘5. Facilitating Positive Health Behaviors and Well-being to Improve Health Outcomes: Standards of Care in Diabetes—2024’, Diabetes Care, 47(Supplement 1),</w:t>
      </w:r>
      <w:r w:rsidR="00F93886" w:rsidRPr="000107A9">
        <w:rPr>
          <w:rFonts w:ascii="Times New Roman" w:hAnsi="Times New Roman" w:cs="Times New Roman"/>
          <w:sz w:val="28"/>
          <w:szCs w:val="28"/>
        </w:rPr>
        <w:t xml:space="preserve"> pp. S77–S110.</w:t>
      </w:r>
    </w:p>
    <w:p w14:paraId="71C1C834" w14:textId="77777777" w:rsidR="00152F11" w:rsidRPr="000107A9" w:rsidRDefault="00152F11" w:rsidP="002D55B2">
      <w:pPr>
        <w:spacing w:after="0" w:line="480" w:lineRule="auto"/>
        <w:ind w:left="720" w:hanging="720"/>
        <w:contextualSpacing/>
        <w:rPr>
          <w:rFonts w:ascii="Times New Roman" w:hAnsi="Times New Roman" w:cs="Times New Roman"/>
          <w:sz w:val="28"/>
          <w:szCs w:val="28"/>
        </w:rPr>
      </w:pPr>
      <w:r w:rsidRPr="000107A9">
        <w:rPr>
          <w:rFonts w:ascii="Times New Roman" w:hAnsi="Times New Roman" w:cs="Times New Roman"/>
          <w:sz w:val="28"/>
          <w:szCs w:val="28"/>
        </w:rPr>
        <w:t>Diabetes UK (2024) Type 2 diabetes: Your guide to getting started. Available at: https://www.diabetes.org.u</w:t>
      </w:r>
      <w:r w:rsidR="00F93886" w:rsidRPr="000107A9">
        <w:rPr>
          <w:rFonts w:ascii="Times New Roman" w:hAnsi="Times New Roman" w:cs="Times New Roman"/>
          <w:sz w:val="28"/>
          <w:szCs w:val="28"/>
        </w:rPr>
        <w:t>k (Accessed: 10 February 2026).</w:t>
      </w:r>
    </w:p>
    <w:p w14:paraId="322A6037" w14:textId="77777777" w:rsidR="0017296A" w:rsidRPr="000107A9" w:rsidRDefault="0017296A" w:rsidP="002D55B2">
      <w:pPr>
        <w:spacing w:after="0" w:line="480" w:lineRule="auto"/>
        <w:ind w:left="720" w:hanging="720"/>
        <w:contextualSpacing/>
        <w:rPr>
          <w:rFonts w:ascii="Times New Roman" w:eastAsia="Times New Roman" w:hAnsi="Times New Roman" w:cs="Times New Roman"/>
          <w:sz w:val="28"/>
          <w:szCs w:val="28"/>
          <w:lang w:val="en-US"/>
        </w:rPr>
      </w:pPr>
      <w:r w:rsidRPr="000107A9">
        <w:rPr>
          <w:rFonts w:ascii="Times New Roman" w:eastAsia="Times New Roman" w:hAnsi="Times New Roman" w:cs="Times New Roman"/>
          <w:sz w:val="28"/>
          <w:szCs w:val="28"/>
          <w:lang w:val="en-US"/>
        </w:rPr>
        <w:t xml:space="preserve">Esposito, K. and Giugliano, D. 2014. Mediterranean diet and type 2 diabetes. </w:t>
      </w:r>
      <w:r w:rsidRPr="000107A9">
        <w:rPr>
          <w:rFonts w:ascii="Times New Roman" w:eastAsia="Times New Roman" w:hAnsi="Times New Roman" w:cs="Times New Roman"/>
          <w:i/>
          <w:iCs/>
          <w:sz w:val="28"/>
          <w:szCs w:val="28"/>
          <w:lang w:val="en-US"/>
        </w:rPr>
        <w:t>Diabetes/Metabolism Research and Reviews</w:t>
      </w:r>
      <w:r w:rsidRPr="000107A9">
        <w:rPr>
          <w:rFonts w:ascii="Times New Roman" w:eastAsia="Times New Roman" w:hAnsi="Times New Roman" w:cs="Times New Roman"/>
          <w:sz w:val="28"/>
          <w:szCs w:val="28"/>
          <w:lang w:val="en-US"/>
        </w:rPr>
        <w:t xml:space="preserve"> 30(S1), pp. 34–40. Available at: https://onlinelibrary.wiley.com/doi/10.1002/dmrr.2516</w:t>
      </w:r>
    </w:p>
    <w:p w14:paraId="1EB9E8FC" w14:textId="77777777" w:rsidR="0017296A" w:rsidRPr="000107A9" w:rsidRDefault="0017296A" w:rsidP="002D55B2">
      <w:pPr>
        <w:spacing w:after="0" w:line="480" w:lineRule="auto"/>
        <w:ind w:left="720" w:hanging="720"/>
        <w:contextualSpacing/>
        <w:rPr>
          <w:rFonts w:ascii="Times New Roman" w:eastAsia="Times New Roman" w:hAnsi="Times New Roman" w:cs="Times New Roman"/>
          <w:sz w:val="28"/>
          <w:szCs w:val="28"/>
          <w:lang w:val="en-US"/>
        </w:rPr>
      </w:pPr>
    </w:p>
    <w:p w14:paraId="5D2BDE91" w14:textId="77777777" w:rsidR="00152F11" w:rsidRPr="000107A9" w:rsidRDefault="00152F11" w:rsidP="002D55B2">
      <w:pPr>
        <w:spacing w:after="0" w:line="480" w:lineRule="auto"/>
        <w:ind w:left="720" w:hanging="720"/>
        <w:contextualSpacing/>
        <w:rPr>
          <w:rFonts w:ascii="Times New Roman" w:hAnsi="Times New Roman" w:cs="Times New Roman"/>
          <w:sz w:val="28"/>
          <w:szCs w:val="28"/>
        </w:rPr>
      </w:pPr>
      <w:r w:rsidRPr="000107A9">
        <w:rPr>
          <w:rFonts w:ascii="Times New Roman" w:hAnsi="Times New Roman" w:cs="Times New Roman"/>
          <w:sz w:val="28"/>
          <w:szCs w:val="28"/>
        </w:rPr>
        <w:t>Hall, J.E. and Hall, M.E. (2021) Guyton and Hall Textbook of Medical Physiology. 14</w:t>
      </w:r>
      <w:r w:rsidR="00F93886" w:rsidRPr="000107A9">
        <w:rPr>
          <w:rFonts w:ascii="Times New Roman" w:hAnsi="Times New Roman" w:cs="Times New Roman"/>
          <w:sz w:val="28"/>
          <w:szCs w:val="28"/>
        </w:rPr>
        <w:t>th edn. Philadelphia: Elsevier.</w:t>
      </w:r>
    </w:p>
    <w:p w14:paraId="77064467" w14:textId="77777777" w:rsidR="00152F11" w:rsidRPr="000107A9" w:rsidRDefault="00152F11" w:rsidP="002D55B2">
      <w:pPr>
        <w:spacing w:after="0" w:line="480" w:lineRule="auto"/>
        <w:ind w:left="720" w:hanging="720"/>
        <w:contextualSpacing/>
        <w:rPr>
          <w:rFonts w:ascii="Times New Roman" w:hAnsi="Times New Roman" w:cs="Times New Roman"/>
          <w:sz w:val="28"/>
          <w:szCs w:val="28"/>
        </w:rPr>
      </w:pPr>
      <w:r w:rsidRPr="000107A9">
        <w:rPr>
          <w:rFonts w:ascii="Times New Roman" w:hAnsi="Times New Roman" w:cs="Times New Roman"/>
          <w:sz w:val="28"/>
          <w:szCs w:val="28"/>
        </w:rPr>
        <w:t>Lean, M.E.J., Leslie, W.S., Barnes, A.C., Brosnahan, N., Thom, G., McCombie, L., Peters, C., Zhyzhneuskaya, S., Al-Mrabeh, A., Hollingsworth, K.G. and Rodrigues, A.M. (2019) ‘Durability of a primary care-led weight-management intervention for remission of type 2 diabetes: 2-year results of the DiRECT open-label, cluster-randomised trial’, The Lancet Diabetes &amp; Endocrinology</w:t>
      </w:r>
      <w:r w:rsidR="00F93886" w:rsidRPr="000107A9">
        <w:rPr>
          <w:rFonts w:ascii="Times New Roman" w:hAnsi="Times New Roman" w:cs="Times New Roman"/>
          <w:sz w:val="28"/>
          <w:szCs w:val="28"/>
        </w:rPr>
        <w:t>, 7(5), pp. 344-355.</w:t>
      </w:r>
    </w:p>
    <w:p w14:paraId="467B1A8E" w14:textId="77777777" w:rsidR="00152F11" w:rsidRPr="000107A9" w:rsidRDefault="00152F11" w:rsidP="002D55B2">
      <w:pPr>
        <w:spacing w:after="0" w:line="480" w:lineRule="auto"/>
        <w:ind w:left="720" w:hanging="720"/>
        <w:contextualSpacing/>
        <w:rPr>
          <w:rFonts w:ascii="Times New Roman" w:hAnsi="Times New Roman" w:cs="Times New Roman"/>
          <w:sz w:val="28"/>
          <w:szCs w:val="28"/>
        </w:rPr>
      </w:pPr>
      <w:r w:rsidRPr="000107A9">
        <w:rPr>
          <w:rFonts w:ascii="Times New Roman" w:hAnsi="Times New Roman" w:cs="Times New Roman"/>
          <w:sz w:val="28"/>
          <w:szCs w:val="28"/>
        </w:rPr>
        <w:lastRenderedPageBreak/>
        <w:t xml:space="preserve">Marieb, E.N. and Hoehn, K. (2019) Human Anatomy &amp; Physiology. 11th </w:t>
      </w:r>
      <w:r w:rsidR="003D2320" w:rsidRPr="000107A9">
        <w:rPr>
          <w:rFonts w:ascii="Times New Roman" w:hAnsi="Times New Roman" w:cs="Times New Roman"/>
          <w:sz w:val="28"/>
          <w:szCs w:val="28"/>
        </w:rPr>
        <w:t>edn. Harlow: Pearson Education.</w:t>
      </w:r>
    </w:p>
    <w:p w14:paraId="7BB68C14" w14:textId="77777777" w:rsidR="00FF15F9" w:rsidRPr="000107A9" w:rsidRDefault="00152F11" w:rsidP="002D55B2">
      <w:pPr>
        <w:spacing w:after="0" w:line="480" w:lineRule="auto"/>
        <w:ind w:left="720" w:hanging="720"/>
        <w:contextualSpacing/>
        <w:rPr>
          <w:rFonts w:ascii="Times New Roman" w:hAnsi="Times New Roman" w:cs="Times New Roman"/>
          <w:sz w:val="28"/>
          <w:szCs w:val="28"/>
        </w:rPr>
      </w:pPr>
      <w:r w:rsidRPr="000107A9">
        <w:rPr>
          <w:rFonts w:ascii="Times New Roman" w:hAnsi="Times New Roman" w:cs="Times New Roman"/>
          <w:sz w:val="28"/>
          <w:szCs w:val="28"/>
        </w:rPr>
        <w:t>NICE (2022) Type 2 diabetes in adults: management (NG28). London: National Institute for Health and Care Excellence. Available at: https://www.nice.org.uk/guidance/ng2</w:t>
      </w:r>
      <w:r w:rsidR="00FF15F9" w:rsidRPr="000107A9">
        <w:rPr>
          <w:rFonts w:ascii="Times New Roman" w:hAnsi="Times New Roman" w:cs="Times New Roman"/>
          <w:sz w:val="28"/>
          <w:szCs w:val="28"/>
        </w:rPr>
        <w:t>8 (Accessed: 10 February 2026).</w:t>
      </w:r>
    </w:p>
    <w:p w14:paraId="2528DAF2" w14:textId="77777777" w:rsidR="00152F11" w:rsidRPr="000107A9" w:rsidRDefault="00FF15F9" w:rsidP="002D55B2">
      <w:pPr>
        <w:spacing w:after="0" w:line="480" w:lineRule="auto"/>
        <w:ind w:left="720" w:hanging="720"/>
        <w:contextualSpacing/>
        <w:rPr>
          <w:rFonts w:ascii="Times New Roman" w:hAnsi="Times New Roman" w:cs="Times New Roman"/>
          <w:sz w:val="28"/>
          <w:szCs w:val="28"/>
        </w:rPr>
      </w:pPr>
      <w:r w:rsidRPr="000107A9">
        <w:rPr>
          <w:rFonts w:ascii="Times New Roman" w:hAnsi="Times New Roman" w:cs="Times New Roman"/>
          <w:color w:val="222222"/>
          <w:sz w:val="28"/>
          <w:szCs w:val="28"/>
          <w:shd w:val="clear" w:color="auto" w:fill="FFFFFF"/>
        </w:rPr>
        <w:t>Pan, A., Wang, Y., Talaei, M. and Hu, F.B., 2015. Relation of smoking with total mortality and cardiovascular events among patients with diabetes mellitus: a meta-analysis and systematic review. </w:t>
      </w:r>
      <w:r w:rsidRPr="000107A9">
        <w:rPr>
          <w:rFonts w:ascii="Times New Roman" w:hAnsi="Times New Roman" w:cs="Times New Roman"/>
          <w:i/>
          <w:iCs/>
          <w:color w:val="222222"/>
          <w:sz w:val="28"/>
          <w:szCs w:val="28"/>
          <w:shd w:val="clear" w:color="auto" w:fill="FFFFFF"/>
        </w:rPr>
        <w:t>Circulation</w:t>
      </w:r>
      <w:r w:rsidRPr="000107A9">
        <w:rPr>
          <w:rFonts w:ascii="Times New Roman" w:hAnsi="Times New Roman" w:cs="Times New Roman"/>
          <w:color w:val="222222"/>
          <w:sz w:val="28"/>
          <w:szCs w:val="28"/>
          <w:shd w:val="clear" w:color="auto" w:fill="FFFFFF"/>
        </w:rPr>
        <w:t>, </w:t>
      </w:r>
      <w:r w:rsidRPr="000107A9">
        <w:rPr>
          <w:rFonts w:ascii="Times New Roman" w:hAnsi="Times New Roman" w:cs="Times New Roman"/>
          <w:i/>
          <w:iCs/>
          <w:color w:val="222222"/>
          <w:sz w:val="28"/>
          <w:szCs w:val="28"/>
          <w:shd w:val="clear" w:color="auto" w:fill="FFFFFF"/>
        </w:rPr>
        <w:t>132</w:t>
      </w:r>
      <w:r w:rsidRPr="000107A9">
        <w:rPr>
          <w:rFonts w:ascii="Times New Roman" w:hAnsi="Times New Roman" w:cs="Times New Roman"/>
          <w:color w:val="222222"/>
          <w:sz w:val="28"/>
          <w:szCs w:val="28"/>
          <w:shd w:val="clear" w:color="auto" w:fill="FFFFFF"/>
        </w:rPr>
        <w:t>(19), pp.1795-1804.</w:t>
      </w:r>
    </w:p>
    <w:p w14:paraId="2B643D2C" w14:textId="77777777" w:rsidR="00152F11" w:rsidRPr="000107A9" w:rsidRDefault="00152F11" w:rsidP="002D55B2">
      <w:pPr>
        <w:spacing w:after="0" w:line="480" w:lineRule="auto"/>
        <w:ind w:left="720" w:hanging="720"/>
        <w:contextualSpacing/>
        <w:rPr>
          <w:rFonts w:ascii="Times New Roman" w:hAnsi="Times New Roman" w:cs="Times New Roman"/>
          <w:sz w:val="28"/>
          <w:szCs w:val="28"/>
        </w:rPr>
      </w:pPr>
      <w:r w:rsidRPr="000107A9">
        <w:rPr>
          <w:rFonts w:ascii="Times New Roman" w:hAnsi="Times New Roman" w:cs="Times New Roman"/>
          <w:sz w:val="28"/>
          <w:szCs w:val="28"/>
        </w:rPr>
        <w:t>Powers, M.A., Bardsley, J.K., Cypress, M., Funnell, M.M., Harms, D., Hess-Fischl, A., Hooks, S., Isaacs, D., Mandel, E.D., Maryniuk, M.D. and Norton, A. (2020) ‘Diabetes self-management education and support in adults with type 2 diabetes: a consensus report of the American Diabetes Association, the Association of Diabetes Care &amp; Education Specialists, and the Academy of Nutrition and Dietetics’, Diabetes Care</w:t>
      </w:r>
      <w:r w:rsidR="006B5972" w:rsidRPr="000107A9">
        <w:rPr>
          <w:rFonts w:ascii="Times New Roman" w:hAnsi="Times New Roman" w:cs="Times New Roman"/>
          <w:sz w:val="28"/>
          <w:szCs w:val="28"/>
        </w:rPr>
        <w:t>, 43(7), pp. 1636-1649.</w:t>
      </w:r>
    </w:p>
    <w:p w14:paraId="3F8B90DC" w14:textId="77777777" w:rsidR="00152F11" w:rsidRPr="000107A9" w:rsidRDefault="006B5972" w:rsidP="002D55B2">
      <w:pPr>
        <w:spacing w:after="0" w:line="480" w:lineRule="auto"/>
        <w:ind w:left="720" w:hanging="720"/>
        <w:contextualSpacing/>
        <w:rPr>
          <w:rFonts w:ascii="Times New Roman" w:hAnsi="Times New Roman" w:cs="Times New Roman"/>
          <w:sz w:val="28"/>
          <w:szCs w:val="28"/>
        </w:rPr>
      </w:pPr>
      <w:r w:rsidRPr="000107A9">
        <w:rPr>
          <w:rFonts w:ascii="Times New Roman" w:hAnsi="Times New Roman" w:cs="Times New Roman"/>
          <w:color w:val="222222"/>
          <w:sz w:val="28"/>
          <w:szCs w:val="28"/>
          <w:shd w:val="clear" w:color="auto" w:fill="FFFFFF"/>
        </w:rPr>
        <w:t>Richter, E.A. and Hargreaves, M., 2013. Exercise, GLUT4, and skeletal muscle glucose uptake. </w:t>
      </w:r>
      <w:r w:rsidRPr="000107A9">
        <w:rPr>
          <w:rFonts w:ascii="Times New Roman" w:hAnsi="Times New Roman" w:cs="Times New Roman"/>
          <w:i/>
          <w:iCs/>
          <w:color w:val="222222"/>
          <w:sz w:val="28"/>
          <w:szCs w:val="28"/>
          <w:shd w:val="clear" w:color="auto" w:fill="FFFFFF"/>
        </w:rPr>
        <w:t>Physiological reviews</w:t>
      </w:r>
      <w:r w:rsidRPr="000107A9">
        <w:rPr>
          <w:rFonts w:ascii="Times New Roman" w:hAnsi="Times New Roman" w:cs="Times New Roman"/>
          <w:sz w:val="28"/>
          <w:szCs w:val="28"/>
        </w:rPr>
        <w:t>.</w:t>
      </w:r>
    </w:p>
    <w:p w14:paraId="68411386" w14:textId="08729E63" w:rsidR="00152F11" w:rsidRPr="000107A9" w:rsidRDefault="0036137B" w:rsidP="002D55B2">
      <w:pPr>
        <w:spacing w:after="0" w:line="480" w:lineRule="auto"/>
        <w:ind w:left="720" w:hanging="720"/>
        <w:contextualSpacing/>
        <w:rPr>
          <w:rFonts w:ascii="Times New Roman" w:hAnsi="Times New Roman" w:cs="Times New Roman"/>
          <w:sz w:val="28"/>
          <w:szCs w:val="28"/>
        </w:rPr>
      </w:pPr>
      <w:r w:rsidRPr="000107A9">
        <w:rPr>
          <w:rFonts w:ascii="Times New Roman" w:hAnsi="Times New Roman" w:cs="Times New Roman"/>
          <w:color w:val="222222"/>
          <w:sz w:val="28"/>
          <w:szCs w:val="28"/>
          <w:shd w:val="clear" w:color="auto" w:fill="FFFFFF"/>
        </w:rPr>
        <w:t>Śliwińska-Mossoń, M. and Milnerowicz, H., 2017. The impact of smoking on</w:t>
      </w:r>
      <w:r w:rsidR="000107A9">
        <w:rPr>
          <w:rFonts w:ascii="Times New Roman" w:hAnsi="Times New Roman" w:cs="Times New Roman"/>
          <w:color w:val="222222"/>
          <w:sz w:val="28"/>
          <w:szCs w:val="28"/>
          <w:shd w:val="clear" w:color="auto" w:fill="FFFFFF"/>
        </w:rPr>
        <w:t xml:space="preserve"> </w:t>
      </w:r>
      <w:r w:rsidRPr="000107A9">
        <w:rPr>
          <w:rFonts w:ascii="Times New Roman" w:hAnsi="Times New Roman" w:cs="Times New Roman"/>
          <w:color w:val="222222"/>
          <w:sz w:val="28"/>
          <w:szCs w:val="28"/>
          <w:shd w:val="clear" w:color="auto" w:fill="FFFFFF"/>
        </w:rPr>
        <w:t>the development of diabetes and its complications. </w:t>
      </w:r>
      <w:r w:rsidRPr="000107A9">
        <w:rPr>
          <w:rFonts w:ascii="Times New Roman" w:hAnsi="Times New Roman" w:cs="Times New Roman"/>
          <w:i/>
          <w:iCs/>
          <w:color w:val="222222"/>
          <w:sz w:val="28"/>
          <w:szCs w:val="28"/>
          <w:shd w:val="clear" w:color="auto" w:fill="FFFFFF"/>
        </w:rPr>
        <w:t>Diabetes and Vascular Disease Research</w:t>
      </w:r>
      <w:r w:rsidRPr="000107A9">
        <w:rPr>
          <w:rFonts w:ascii="Times New Roman" w:hAnsi="Times New Roman" w:cs="Times New Roman"/>
          <w:color w:val="222222"/>
          <w:sz w:val="28"/>
          <w:szCs w:val="28"/>
          <w:shd w:val="clear" w:color="auto" w:fill="FFFFFF"/>
        </w:rPr>
        <w:t>, </w:t>
      </w:r>
      <w:r w:rsidRPr="000107A9">
        <w:rPr>
          <w:rFonts w:ascii="Times New Roman" w:hAnsi="Times New Roman" w:cs="Times New Roman"/>
          <w:i/>
          <w:iCs/>
          <w:color w:val="222222"/>
          <w:sz w:val="28"/>
          <w:szCs w:val="28"/>
          <w:shd w:val="clear" w:color="auto" w:fill="FFFFFF"/>
        </w:rPr>
        <w:t>14</w:t>
      </w:r>
      <w:r w:rsidRPr="000107A9">
        <w:rPr>
          <w:rFonts w:ascii="Times New Roman" w:hAnsi="Times New Roman" w:cs="Times New Roman"/>
          <w:color w:val="222222"/>
          <w:sz w:val="28"/>
          <w:szCs w:val="28"/>
          <w:shd w:val="clear" w:color="auto" w:fill="FFFFFF"/>
        </w:rPr>
        <w:t>(4), pp.265-276.</w:t>
      </w:r>
    </w:p>
    <w:p w14:paraId="2396E016" w14:textId="77777777" w:rsidR="0037796B" w:rsidRPr="000107A9" w:rsidRDefault="0037796B" w:rsidP="002D55B2">
      <w:pPr>
        <w:spacing w:after="0" w:line="480" w:lineRule="auto"/>
        <w:ind w:left="720" w:hanging="720"/>
        <w:contextualSpacing/>
        <w:rPr>
          <w:rFonts w:ascii="Times New Roman" w:hAnsi="Times New Roman" w:cs="Times New Roman"/>
          <w:sz w:val="28"/>
          <w:szCs w:val="28"/>
        </w:rPr>
      </w:pPr>
      <w:r w:rsidRPr="000107A9">
        <w:rPr>
          <w:rFonts w:ascii="Times New Roman" w:hAnsi="Times New Roman" w:cs="Times New Roman"/>
          <w:color w:val="222222"/>
          <w:sz w:val="28"/>
          <w:szCs w:val="28"/>
          <w:shd w:val="clear" w:color="auto" w:fill="FFFFFF"/>
        </w:rPr>
        <w:lastRenderedPageBreak/>
        <w:t>Tortora, G.J. and Derrickson, B.H., 2018. </w:t>
      </w:r>
      <w:r w:rsidRPr="000107A9">
        <w:rPr>
          <w:rFonts w:ascii="Times New Roman" w:hAnsi="Times New Roman" w:cs="Times New Roman"/>
          <w:i/>
          <w:iCs/>
          <w:color w:val="222222"/>
          <w:sz w:val="28"/>
          <w:szCs w:val="28"/>
          <w:shd w:val="clear" w:color="auto" w:fill="FFFFFF"/>
        </w:rPr>
        <w:t>Principles of anatomy and physiology</w:t>
      </w:r>
      <w:r w:rsidRPr="000107A9">
        <w:rPr>
          <w:rFonts w:ascii="Times New Roman" w:hAnsi="Times New Roman" w:cs="Times New Roman"/>
          <w:color w:val="222222"/>
          <w:sz w:val="28"/>
          <w:szCs w:val="28"/>
          <w:shd w:val="clear" w:color="auto" w:fill="FFFFFF"/>
        </w:rPr>
        <w:t>. John wiley &amp; sons.</w:t>
      </w:r>
    </w:p>
    <w:p w14:paraId="6E1F6EC0" w14:textId="77777777" w:rsidR="001F2CF7" w:rsidRPr="000107A9" w:rsidRDefault="00152F11" w:rsidP="002D55B2">
      <w:pPr>
        <w:spacing w:after="0" w:line="480" w:lineRule="auto"/>
        <w:ind w:left="720" w:hanging="720"/>
        <w:contextualSpacing/>
        <w:rPr>
          <w:rFonts w:ascii="Times New Roman" w:hAnsi="Times New Roman" w:cs="Times New Roman"/>
          <w:sz w:val="28"/>
          <w:szCs w:val="28"/>
        </w:rPr>
      </w:pPr>
      <w:r w:rsidRPr="000107A9">
        <w:rPr>
          <w:rFonts w:ascii="Times New Roman" w:hAnsi="Times New Roman" w:cs="Times New Roman"/>
          <w:sz w:val="28"/>
          <w:szCs w:val="28"/>
        </w:rPr>
        <w:t>WHO (2023) Diabetes: Key Facts. World Health Organization. Available at: https://www.who.int/news-room/fact-sheets/detail/diabetes (Accessed: 10 February 2026).</w:t>
      </w:r>
    </w:p>
    <w:sectPr w:rsidR="001F2CF7" w:rsidRPr="000107A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1C0F0B" w14:textId="77777777" w:rsidR="00AC5EFB" w:rsidRDefault="00AC5EFB" w:rsidP="00204AC2">
      <w:pPr>
        <w:spacing w:after="0" w:line="240" w:lineRule="auto"/>
      </w:pPr>
      <w:r>
        <w:separator/>
      </w:r>
    </w:p>
  </w:endnote>
  <w:endnote w:type="continuationSeparator" w:id="0">
    <w:p w14:paraId="56432374" w14:textId="77777777" w:rsidR="00AC5EFB" w:rsidRDefault="00AC5EFB" w:rsidP="00204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FAB112" w14:textId="77777777" w:rsidR="00D75C2D" w:rsidRDefault="00D75C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5DDE1F" w14:textId="77777777" w:rsidR="00D75C2D" w:rsidRDefault="00D75C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DC0EC9" w14:textId="77777777" w:rsidR="00D75C2D" w:rsidRDefault="00D75C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45B65" w14:textId="77777777" w:rsidR="00AC5EFB" w:rsidRDefault="00AC5EFB" w:rsidP="00204AC2">
      <w:pPr>
        <w:spacing w:after="0" w:line="240" w:lineRule="auto"/>
      </w:pPr>
      <w:r>
        <w:separator/>
      </w:r>
    </w:p>
  </w:footnote>
  <w:footnote w:type="continuationSeparator" w:id="0">
    <w:p w14:paraId="18625D7A" w14:textId="77777777" w:rsidR="00AC5EFB" w:rsidRDefault="00AC5EFB" w:rsidP="00204A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B18B37" w14:textId="77777777" w:rsidR="00D75C2D" w:rsidRDefault="00D75C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EE8BD7" w14:textId="77777777" w:rsidR="00204AC2" w:rsidRPr="00204AC2" w:rsidRDefault="00204AC2">
    <w:pPr>
      <w:pStyle w:val="Header"/>
      <w:jc w:val="right"/>
      <w:rPr>
        <w:rFonts w:ascii="Times New Roman" w:hAnsi="Times New Roman" w:cs="Times New Roman"/>
        <w:sz w:val="24"/>
        <w:szCs w:val="24"/>
      </w:rPr>
    </w:pPr>
    <w:r w:rsidRPr="00204AC2">
      <w:rPr>
        <w:rFonts w:ascii="Times New Roman" w:hAnsi="Times New Roman" w:cs="Times New Roman"/>
        <w:sz w:val="24"/>
        <w:szCs w:val="24"/>
      </w:rPr>
      <w:t xml:space="preserve">Type 2 Diabetes Management and patient Education     </w:t>
    </w:r>
    <w:sdt>
      <w:sdtPr>
        <w:rPr>
          <w:rFonts w:ascii="Times New Roman" w:hAnsi="Times New Roman" w:cs="Times New Roman"/>
          <w:sz w:val="24"/>
          <w:szCs w:val="24"/>
        </w:rPr>
        <w:id w:val="-1442451857"/>
        <w:docPartObj>
          <w:docPartGallery w:val="Page Numbers (Top of Page)"/>
          <w:docPartUnique/>
        </w:docPartObj>
      </w:sdtPr>
      <w:sdtEndPr>
        <w:rPr>
          <w:noProof/>
        </w:rPr>
      </w:sdtEndPr>
      <w:sdtContent>
        <w:r w:rsidRPr="00204AC2">
          <w:rPr>
            <w:rFonts w:ascii="Times New Roman" w:hAnsi="Times New Roman" w:cs="Times New Roman"/>
            <w:sz w:val="24"/>
            <w:szCs w:val="24"/>
          </w:rPr>
          <w:fldChar w:fldCharType="begin"/>
        </w:r>
        <w:r w:rsidRPr="00204AC2">
          <w:rPr>
            <w:rFonts w:ascii="Times New Roman" w:hAnsi="Times New Roman" w:cs="Times New Roman"/>
            <w:sz w:val="24"/>
            <w:szCs w:val="24"/>
          </w:rPr>
          <w:instrText xml:space="preserve"> PAGE   \* MERGEFORMAT </w:instrText>
        </w:r>
        <w:r w:rsidRPr="00204AC2">
          <w:rPr>
            <w:rFonts w:ascii="Times New Roman" w:hAnsi="Times New Roman" w:cs="Times New Roman"/>
            <w:sz w:val="24"/>
            <w:szCs w:val="24"/>
          </w:rPr>
          <w:fldChar w:fldCharType="separate"/>
        </w:r>
        <w:r w:rsidR="00D75C2D">
          <w:rPr>
            <w:rFonts w:ascii="Times New Roman" w:hAnsi="Times New Roman" w:cs="Times New Roman"/>
            <w:noProof/>
            <w:sz w:val="24"/>
            <w:szCs w:val="24"/>
          </w:rPr>
          <w:t>6</w:t>
        </w:r>
        <w:r w:rsidRPr="00204AC2">
          <w:rPr>
            <w:rFonts w:ascii="Times New Roman" w:hAnsi="Times New Roman" w:cs="Times New Roman"/>
            <w:noProof/>
            <w:sz w:val="24"/>
            <w:szCs w:val="24"/>
          </w:rPr>
          <w:fldChar w:fldCharType="end"/>
        </w:r>
      </w:sdtContent>
    </w:sdt>
  </w:p>
  <w:p w14:paraId="5F779909" w14:textId="77777777" w:rsidR="00204AC2" w:rsidRDefault="00204A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BFE090" w14:textId="77777777" w:rsidR="00D75C2D" w:rsidRDefault="00D75C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7428C8"/>
    <w:multiLevelType w:val="hybridMultilevel"/>
    <w:tmpl w:val="0422E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9334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2CF7"/>
    <w:rsid w:val="000107A9"/>
    <w:rsid w:val="000417F4"/>
    <w:rsid w:val="000A5738"/>
    <w:rsid w:val="000C1247"/>
    <w:rsid w:val="000E3AC9"/>
    <w:rsid w:val="00152F11"/>
    <w:rsid w:val="0017296A"/>
    <w:rsid w:val="00173761"/>
    <w:rsid w:val="00181677"/>
    <w:rsid w:val="001F2CF7"/>
    <w:rsid w:val="00204AC2"/>
    <w:rsid w:val="00253E7B"/>
    <w:rsid w:val="002A0B80"/>
    <w:rsid w:val="002D55B2"/>
    <w:rsid w:val="00350000"/>
    <w:rsid w:val="0036137B"/>
    <w:rsid w:val="0037796B"/>
    <w:rsid w:val="003B7B43"/>
    <w:rsid w:val="003D2320"/>
    <w:rsid w:val="00461E9D"/>
    <w:rsid w:val="00467EE2"/>
    <w:rsid w:val="00475984"/>
    <w:rsid w:val="00487792"/>
    <w:rsid w:val="004A0CFA"/>
    <w:rsid w:val="004F482C"/>
    <w:rsid w:val="00530B00"/>
    <w:rsid w:val="00547AB5"/>
    <w:rsid w:val="00632C3C"/>
    <w:rsid w:val="00686199"/>
    <w:rsid w:val="006B2290"/>
    <w:rsid w:val="006B5972"/>
    <w:rsid w:val="006E10CB"/>
    <w:rsid w:val="00701CE2"/>
    <w:rsid w:val="007258A2"/>
    <w:rsid w:val="00733158"/>
    <w:rsid w:val="007C2970"/>
    <w:rsid w:val="007F6C10"/>
    <w:rsid w:val="00836589"/>
    <w:rsid w:val="00874390"/>
    <w:rsid w:val="00914EE1"/>
    <w:rsid w:val="00986D45"/>
    <w:rsid w:val="009B17BA"/>
    <w:rsid w:val="009B4D74"/>
    <w:rsid w:val="009B50C3"/>
    <w:rsid w:val="009C7FC8"/>
    <w:rsid w:val="00A03134"/>
    <w:rsid w:val="00A137F2"/>
    <w:rsid w:val="00A70792"/>
    <w:rsid w:val="00AC5EFB"/>
    <w:rsid w:val="00B451C9"/>
    <w:rsid w:val="00B8130E"/>
    <w:rsid w:val="00BB5D4C"/>
    <w:rsid w:val="00BD07ED"/>
    <w:rsid w:val="00BE64FC"/>
    <w:rsid w:val="00C00397"/>
    <w:rsid w:val="00C14F9A"/>
    <w:rsid w:val="00C23C91"/>
    <w:rsid w:val="00C55950"/>
    <w:rsid w:val="00C63719"/>
    <w:rsid w:val="00C971E1"/>
    <w:rsid w:val="00CA264F"/>
    <w:rsid w:val="00CB59BF"/>
    <w:rsid w:val="00CE59F2"/>
    <w:rsid w:val="00D36049"/>
    <w:rsid w:val="00D3723E"/>
    <w:rsid w:val="00D75C2D"/>
    <w:rsid w:val="00D97E26"/>
    <w:rsid w:val="00DB6DF8"/>
    <w:rsid w:val="00DD092D"/>
    <w:rsid w:val="00E30100"/>
    <w:rsid w:val="00E44AE5"/>
    <w:rsid w:val="00E80908"/>
    <w:rsid w:val="00EA6E36"/>
    <w:rsid w:val="00EC2C45"/>
    <w:rsid w:val="00EE23F0"/>
    <w:rsid w:val="00F25028"/>
    <w:rsid w:val="00F33E7F"/>
    <w:rsid w:val="00F93886"/>
    <w:rsid w:val="00FA3DDD"/>
    <w:rsid w:val="00FA7A21"/>
    <w:rsid w:val="00FC6F5F"/>
    <w:rsid w:val="00FE491B"/>
    <w:rsid w:val="00FF15F9"/>
    <w:rsid w:val="00FF5E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AAE447"/>
  <w15:chartTrackingRefBased/>
  <w15:docId w15:val="{6AF0268C-69BA-4536-8ABA-F793D75D5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4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AC2"/>
    <w:rPr>
      <w:lang w:val="en-GB"/>
    </w:rPr>
  </w:style>
  <w:style w:type="paragraph" w:styleId="Footer">
    <w:name w:val="footer"/>
    <w:basedOn w:val="Normal"/>
    <w:link w:val="FooterChar"/>
    <w:uiPriority w:val="99"/>
    <w:unhideWhenUsed/>
    <w:rsid w:val="00204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AC2"/>
    <w:rPr>
      <w:lang w:val="en-GB"/>
    </w:rPr>
  </w:style>
  <w:style w:type="paragraph" w:styleId="ListParagraph">
    <w:name w:val="List Paragraph"/>
    <w:basedOn w:val="Normal"/>
    <w:uiPriority w:val="34"/>
    <w:qFormat/>
    <w:rsid w:val="009B4D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3385433">
      <w:bodyDiv w:val="1"/>
      <w:marLeft w:val="0"/>
      <w:marRight w:val="0"/>
      <w:marTop w:val="0"/>
      <w:marBottom w:val="0"/>
      <w:divBdr>
        <w:top w:val="none" w:sz="0" w:space="0" w:color="auto"/>
        <w:left w:val="none" w:sz="0" w:space="0" w:color="auto"/>
        <w:bottom w:val="none" w:sz="0" w:space="0" w:color="auto"/>
        <w:right w:val="none" w:sz="0" w:space="0" w:color="auto"/>
      </w:divBdr>
      <w:divsChild>
        <w:div w:id="1077358399">
          <w:marLeft w:val="0"/>
          <w:marRight w:val="0"/>
          <w:marTop w:val="0"/>
          <w:marBottom w:val="0"/>
          <w:divBdr>
            <w:top w:val="none" w:sz="0" w:space="0" w:color="auto"/>
            <w:left w:val="none" w:sz="0" w:space="0" w:color="auto"/>
            <w:bottom w:val="none" w:sz="0" w:space="0" w:color="auto"/>
            <w:right w:val="none" w:sz="0" w:space="0" w:color="auto"/>
          </w:divBdr>
          <w:divsChild>
            <w:div w:id="158965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12</Pages>
  <Words>2399</Words>
  <Characters>13680</Characters>
  <Application>Microsoft Office Word</Application>
  <DocSecurity>0</DocSecurity>
  <Lines>114</Lines>
  <Paragraphs>32</Paragraphs>
  <ScaleCrop>false</ScaleCrop>
  <Company/>
  <LinksUpToDate>false</LinksUpToDate>
  <CharactersWithSpaces>16047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Shana Tariq</cp:lastModifiedBy>
  <cp:revision>19</cp:revision>
  <dcterms:created xsi:type="dcterms:W3CDTF">2026-02-22T14:50:00Z</dcterms:created>
  <dcterms:modified xsi:type="dcterms:W3CDTF">2026-02-22T21:24:00Z</dcterms:modified>
</cp:coreProperties>
</file>