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9D68F" w14:textId="3B2C434D" w:rsidR="00057C9A" w:rsidRDefault="00057C9A" w:rsidP="00057C9A">
      <w:pPr>
        <w:rPr>
          <w:lang w:val="en-US"/>
        </w:rPr>
      </w:pPr>
      <w:r w:rsidRPr="00665BA9">
        <w:rPr>
          <w:rFonts w:ascii="Arial" w:eastAsia="Aptos" w:hAnsi="Arial" w:cs="Arial"/>
          <w:noProof/>
          <w:sz w:val="24"/>
          <w:szCs w:val="24"/>
          <w:lang w:bidi="hi-IN"/>
        </w:rPr>
        <w:drawing>
          <wp:anchor distT="0" distB="0" distL="114300" distR="114300" simplePos="0" relativeHeight="251659264" behindDoc="0" locked="0" layoutInCell="1" allowOverlap="1" wp14:anchorId="34B31ECF" wp14:editId="56B1B54D">
            <wp:simplePos x="0" y="0"/>
            <wp:positionH relativeFrom="column">
              <wp:posOffset>0</wp:posOffset>
            </wp:positionH>
            <wp:positionV relativeFrom="paragraph">
              <wp:posOffset>281940</wp:posOffset>
            </wp:positionV>
            <wp:extent cx="2411604" cy="713433"/>
            <wp:effectExtent l="0" t="0" r="8255" b="0"/>
            <wp:wrapSquare wrapText="bothSides"/>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2411604" cy="713433"/>
                    </a:xfrm>
                    <a:prstGeom prst="rect">
                      <a:avLst/>
                    </a:prstGeom>
                    <a:ln/>
                  </pic:spPr>
                </pic:pic>
              </a:graphicData>
            </a:graphic>
          </wp:anchor>
        </w:drawing>
      </w:r>
      <w:r>
        <w:rPr>
          <w:lang w:val="en-US"/>
        </w:rPr>
        <w:t xml:space="preserve">                                                                                                                                                                        </w:t>
      </w:r>
    </w:p>
    <w:p w14:paraId="0A18EECA" w14:textId="77777777" w:rsidR="00057C9A" w:rsidRDefault="00057C9A" w:rsidP="00057C9A">
      <w:pPr>
        <w:rPr>
          <w:lang w:val="en-US"/>
        </w:rPr>
      </w:pPr>
    </w:p>
    <w:p w14:paraId="798D6FC1" w14:textId="77777777" w:rsidR="00057C9A" w:rsidRDefault="00057C9A" w:rsidP="00057C9A">
      <w:pPr>
        <w:rPr>
          <w:lang w:val="en-US"/>
        </w:rPr>
      </w:pPr>
    </w:p>
    <w:p w14:paraId="42053E0B" w14:textId="77777777" w:rsidR="00057C9A" w:rsidRDefault="00057C9A" w:rsidP="00057C9A">
      <w:pPr>
        <w:rPr>
          <w:lang w:val="en-US"/>
        </w:rPr>
      </w:pPr>
    </w:p>
    <w:p w14:paraId="5E29FA72" w14:textId="77777777" w:rsidR="00057C9A" w:rsidRPr="00665BA9" w:rsidRDefault="00057C9A" w:rsidP="00057C9A">
      <w:pPr>
        <w:spacing w:after="0" w:line="360" w:lineRule="auto"/>
        <w:jc w:val="center"/>
        <w:rPr>
          <w:rFonts w:ascii="Arial" w:eastAsia="Times New Roman" w:hAnsi="Arial" w:cs="Arial"/>
          <w:b/>
          <w:sz w:val="44"/>
          <w:szCs w:val="44"/>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65BA9">
        <w:rPr>
          <w:rFonts w:ascii="Arial" w:eastAsia="Times New Roman" w:hAnsi="Arial" w:cs="Arial"/>
          <w:b/>
          <w:sz w:val="44"/>
          <w:szCs w:val="44"/>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Independent Project</w:t>
      </w:r>
    </w:p>
    <w:p w14:paraId="0B79C813" w14:textId="77777777" w:rsidR="00057C9A" w:rsidRPr="00665BA9" w:rsidRDefault="00057C9A" w:rsidP="00057C9A">
      <w:pPr>
        <w:spacing w:before="240" w:after="240" w:line="360" w:lineRule="auto"/>
        <w:jc w:val="center"/>
        <w:rPr>
          <w:rFonts w:ascii="Arial" w:eastAsia="Times New Roman" w:hAnsi="Arial" w:cs="Arial"/>
          <w:b/>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665BA9">
        <w:rPr>
          <w:rFonts w:ascii="Arial" w:eastAsia="Times New Roman" w:hAnsi="Arial" w:cs="Arial"/>
          <w:b/>
          <w:sz w:val="36"/>
          <w:szCs w:val="36"/>
          <w:lang w:val="en" w:eastAsia="en-IN"/>
        </w:rPr>
        <w:t>Programme</w:t>
      </w:r>
      <w:proofErr w:type="spellEnd"/>
      <w:r w:rsidRPr="00665BA9">
        <w:rPr>
          <w:rFonts w:ascii="Arial" w:eastAsia="Times New Roman" w:hAnsi="Arial" w:cs="Arial"/>
          <w:b/>
          <w:sz w:val="36"/>
          <w:szCs w:val="36"/>
          <w:lang w:val="en" w:eastAsia="en-IN"/>
        </w:rPr>
        <w:t>: BSc (Hons) in Health and Social Care</w:t>
      </w:r>
    </w:p>
    <w:p w14:paraId="59FD4084" w14:textId="77777777" w:rsidR="00057C9A" w:rsidRDefault="00057C9A" w:rsidP="00057C9A">
      <w:pPr>
        <w:jc w:val="center"/>
        <w:rPr>
          <w:rFonts w:ascii="Arial" w:eastAsiaTheme="majorEastAsia" w:hAnsi="Arial" w:cs="Arial"/>
          <w:b/>
          <w:sz w:val="40"/>
          <w:szCs w:val="40"/>
        </w:rPr>
      </w:pPr>
      <w:r w:rsidRPr="00665BA9">
        <w:rPr>
          <w:rFonts w:ascii="Arial" w:eastAsia="Times New Roman"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665BA9">
        <w:rPr>
          <w:rFonts w:ascii="Arial" w:eastAsia="Times New Roman"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65BA9">
        <w:rPr>
          <w:rFonts w:ascii="Arial" w:eastAsiaTheme="majorEastAsia" w:hAnsi="Arial" w:cs="Arial"/>
          <w:b/>
          <w:sz w:val="40"/>
          <w:szCs w:val="40"/>
        </w:rPr>
        <w:t>BMHP6020</w:t>
      </w:r>
    </w:p>
    <w:p w14:paraId="63A0E9F5" w14:textId="77777777" w:rsidR="00057C9A" w:rsidRPr="002D7B11" w:rsidRDefault="00057C9A" w:rsidP="00057C9A">
      <w:pPr>
        <w:spacing w:after="200" w:line="360" w:lineRule="auto"/>
        <w:rPr>
          <w:rFonts w:ascii="Arial" w:hAnsi="Arial" w:cs="Arial"/>
          <w:b/>
          <w:bCs/>
          <w:kern w:val="0"/>
          <w:sz w:val="28"/>
          <w:szCs w:val="28"/>
          <w14:ligatures w14:val="none"/>
        </w:rPr>
      </w:pPr>
      <w:r w:rsidRPr="00665BA9">
        <w:rPr>
          <w:rFonts w:ascii="Arial" w:eastAsia="Times New Roman"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Topics: </w:t>
      </w:r>
      <w:r w:rsidRPr="00665BA9">
        <w:rPr>
          <w:rFonts w:ascii="Arial" w:eastAsia="Times New Roman"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65BA9">
        <w:rPr>
          <w:rFonts w:ascii="Arial" w:eastAsia="Times New Roman" w:hAnsi="Arial" w:cs="Arial"/>
          <w:b/>
          <w:bCs/>
          <w:i/>
          <w:iCs/>
          <w:kern w:val="0"/>
          <w:sz w:val="24"/>
          <w:szCs w:val="24"/>
          <w:lang w:eastAsia="en-GB"/>
          <w14:ligatures w14:val="none"/>
        </w:rPr>
        <w:t xml:space="preserve">A Comprehensive Evaluation of Treatment Pathways and Service Delivery for Schizophrenia in the United Kingdom: Effectiveness, Accessibility, and Strategic Directions for Future Improvement. </w:t>
      </w:r>
      <w:r w:rsidRPr="00665BA9">
        <w:rPr>
          <w:rFonts w:ascii="Arial" w:eastAsia="Times New Roman"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F3C4C53" w14:textId="77777777" w:rsidR="00057C9A" w:rsidRPr="00665BA9" w:rsidRDefault="00057C9A" w:rsidP="00057C9A">
      <w:pPr>
        <w:spacing w:before="240" w:after="240" w:line="360" w:lineRule="auto"/>
        <w:jc w:val="center"/>
        <w:rPr>
          <w:rFonts w:ascii="Arial" w:eastAsia="Times New Roman" w:hAnsi="Arial" w:cs="Arial"/>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7A853D76" wp14:editId="6493C6AF">
            <wp:extent cx="5453380" cy="2496065"/>
            <wp:effectExtent l="0" t="0" r="0" b="0"/>
            <wp:docPr id="284800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505" cy="2504819"/>
                    </a:xfrm>
                    <a:prstGeom prst="rect">
                      <a:avLst/>
                    </a:prstGeom>
                    <a:noFill/>
                    <a:ln>
                      <a:noFill/>
                    </a:ln>
                  </pic:spPr>
                </pic:pic>
              </a:graphicData>
            </a:graphic>
          </wp:inline>
        </w:drawing>
      </w:r>
    </w:p>
    <w:p w14:paraId="3748CA58" w14:textId="77777777" w:rsidR="00057C9A" w:rsidRPr="00665BA9" w:rsidRDefault="00057C9A" w:rsidP="00057C9A">
      <w:pPr>
        <w:spacing w:after="0" w:line="360" w:lineRule="auto"/>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Submitted by,</w:t>
      </w: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Submitted to,</w:t>
      </w:r>
    </w:p>
    <w:p w14:paraId="7E8762AA" w14:textId="77777777" w:rsidR="00057C9A" w:rsidRPr="00665BA9" w:rsidRDefault="00057C9A" w:rsidP="00057C9A">
      <w:pPr>
        <w:spacing w:after="0" w:line="360" w:lineRule="auto"/>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Md. Arif Ullah                                                 </w:t>
      </w:r>
      <w:r w:rsidRPr="00665BA9">
        <w:rPr>
          <w:rFonts w:ascii="Arial" w:eastAsia="Times New Roman" w:hAnsi="Arial" w:cs="Arial"/>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65BA9">
        <w:rPr>
          <w:rFonts w:ascii="Arial" w:eastAsiaTheme="minorEastAsia" w:hAnsi="Arial" w:cs="Arial"/>
          <w:b/>
          <w:bCs/>
          <w:color w:val="1D2125"/>
          <w:kern w:val="0"/>
          <w:sz w:val="28"/>
          <w:szCs w:val="28"/>
          <w:shd w:val="clear" w:color="auto" w:fill="FFFFFF"/>
          <w:lang w:val="en-US"/>
          <w14:ligatures w14:val="none"/>
        </w:rPr>
        <w:t>Chloe Harries</w:t>
      </w:r>
    </w:p>
    <w:p w14:paraId="2AE105A7" w14:textId="77777777" w:rsidR="00057C9A" w:rsidRDefault="00057C9A" w:rsidP="00057C9A">
      <w:pPr>
        <w:spacing w:after="0" w:line="360" w:lineRule="auto"/>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BA9">
        <w:rPr>
          <w:rFonts w:ascii="Arial" w:eastAsia="Times New Roman" w:hAnsi="Arial" w:cs="Arial"/>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Pr="00665BA9">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2245624</w:t>
      </w:r>
    </w:p>
    <w:p w14:paraId="15A28EBE" w14:textId="77777777" w:rsidR="00057C9A" w:rsidRDefault="00057C9A" w:rsidP="00057C9A">
      <w:pPr>
        <w:spacing w:after="0" w:line="360" w:lineRule="auto"/>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4AD5E9" w14:textId="77777777" w:rsidR="00057C9A" w:rsidRDefault="00057C9A" w:rsidP="00057C9A">
      <w:pPr>
        <w:spacing w:after="0" w:line="360" w:lineRule="auto"/>
        <w:rPr>
          <w:rFonts w:ascii="Arial" w:eastAsia="Times New Roman" w:hAnsi="Arial" w:cs="Arial"/>
          <w:bCs/>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FCF8AE" w14:textId="77777777" w:rsidR="00057C9A" w:rsidRPr="00665BA9" w:rsidRDefault="00057C9A" w:rsidP="00057C9A">
      <w:pPr>
        <w:spacing w:before="100" w:beforeAutospacing="1" w:after="100" w:afterAutospacing="1" w:line="360" w:lineRule="auto"/>
        <w:jc w:val="both"/>
        <w:outlineLvl w:val="1"/>
        <w:rPr>
          <w:rFonts w:ascii="Arial" w:eastAsia="Times New Roman" w:hAnsi="Arial" w:cs="Arial"/>
          <w:b/>
          <w:bCs/>
          <w:kern w:val="0"/>
          <w:sz w:val="36"/>
          <w:szCs w:val="36"/>
          <w:lang w:eastAsia="en-GB"/>
          <w14:ligatures w14:val="none"/>
        </w:rPr>
      </w:pPr>
      <w:r w:rsidRPr="00665BA9">
        <w:rPr>
          <w:rFonts w:ascii="Arial" w:eastAsia="Times New Roman" w:hAnsi="Arial" w:cs="Arial"/>
          <w:b/>
          <w:bCs/>
          <w:kern w:val="0"/>
          <w:sz w:val="36"/>
          <w:szCs w:val="36"/>
          <w:lang w:eastAsia="en-GB"/>
          <w14:ligatures w14:val="none"/>
        </w:rPr>
        <w:lastRenderedPageBreak/>
        <w:t>Chapter One: Introduction</w:t>
      </w:r>
    </w:p>
    <w:p w14:paraId="48DCE50E" w14:textId="77777777" w:rsidR="00057C9A" w:rsidRPr="00665BA9" w:rsidRDefault="00057C9A" w:rsidP="00057C9A">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665BA9">
        <w:rPr>
          <w:rFonts w:ascii="Arial" w:eastAsia="Times New Roman" w:hAnsi="Arial" w:cs="Arial"/>
          <w:b/>
          <w:bCs/>
          <w:kern w:val="0"/>
          <w:sz w:val="28"/>
          <w:szCs w:val="28"/>
          <w:lang w:eastAsia="en-GB"/>
          <w14:ligatures w14:val="none"/>
        </w:rPr>
        <w:t>1.1 Introduction:</w:t>
      </w:r>
    </w:p>
    <w:p w14:paraId="5D4C2C9D" w14:textId="77777777" w:rsidR="00057C9A" w:rsidRPr="00553003" w:rsidRDefault="00057C9A" w:rsidP="00057C9A">
      <w:pPr>
        <w:pStyle w:val="NormalWeb"/>
        <w:spacing w:line="360" w:lineRule="auto"/>
        <w:jc w:val="both"/>
        <w:rPr>
          <w:rFonts w:ascii="Arial" w:hAnsi="Arial" w:cs="Arial"/>
          <w:sz w:val="22"/>
          <w:szCs w:val="22"/>
        </w:rPr>
      </w:pPr>
      <w:r w:rsidRPr="00553003">
        <w:rPr>
          <w:rFonts w:ascii="Arial" w:hAnsi="Arial" w:cs="Arial"/>
          <w:sz w:val="22"/>
          <w:szCs w:val="22"/>
        </w:rPr>
        <w:t xml:space="preserve">Schizophrenia is a chronic and severe mental health disorder that significantly affects an individual’s cognition, emotions, and perception of reality. It remains one of the most complex psychiatric conditions, contributing substantially to the global burden of disease </w:t>
      </w:r>
      <w:r w:rsidRPr="00553003">
        <w:rPr>
          <w:rFonts w:ascii="Arial" w:hAnsi="Arial" w:cs="Arial"/>
          <w:color w:val="4472C4" w:themeColor="accent1"/>
          <w:sz w:val="22"/>
          <w:szCs w:val="22"/>
        </w:rPr>
        <w:t>(World Health Organization, 2023).</w:t>
      </w:r>
      <w:r w:rsidRPr="00553003">
        <w:rPr>
          <w:rFonts w:ascii="Arial" w:hAnsi="Arial" w:cs="Arial"/>
          <w:sz w:val="22"/>
          <w:szCs w:val="22"/>
        </w:rPr>
        <w:t xml:space="preserve"> In the United Kingdom (UK), schizophrenia represents a major public health concern, with an estimated 220,000 individuals living with the condition and many more experiencing early psychotic symptoms that may require intervention </w:t>
      </w:r>
      <w:r w:rsidRPr="00553003">
        <w:rPr>
          <w:rFonts w:ascii="Arial" w:hAnsi="Arial" w:cs="Arial"/>
          <w:color w:val="4472C4" w:themeColor="accent1"/>
          <w:sz w:val="22"/>
          <w:szCs w:val="22"/>
        </w:rPr>
        <w:t xml:space="preserve">(NHS England, 2022). </w:t>
      </w:r>
      <w:r w:rsidRPr="00553003">
        <w:rPr>
          <w:rFonts w:ascii="Arial" w:hAnsi="Arial" w:cs="Arial"/>
          <w:sz w:val="22"/>
          <w:szCs w:val="22"/>
        </w:rPr>
        <w:t>Over recent decades, treatment approaches have evolved considerably, reflecting advancements in pharmacology, psychological therapies, community-based care, and integrated service delivery models.</w:t>
      </w:r>
    </w:p>
    <w:p w14:paraId="4E587DC4" w14:textId="77777777" w:rsidR="00057C9A" w:rsidRPr="00553003" w:rsidRDefault="00057C9A" w:rsidP="00057C9A">
      <w:pPr>
        <w:pStyle w:val="NormalWeb"/>
        <w:spacing w:line="360" w:lineRule="auto"/>
        <w:jc w:val="both"/>
        <w:rPr>
          <w:rFonts w:ascii="Arial" w:hAnsi="Arial" w:cs="Arial"/>
          <w:sz w:val="22"/>
          <w:szCs w:val="22"/>
        </w:rPr>
      </w:pPr>
      <w:r w:rsidRPr="00553003">
        <w:rPr>
          <w:rFonts w:ascii="Arial" w:hAnsi="Arial" w:cs="Arial"/>
          <w:sz w:val="22"/>
          <w:szCs w:val="22"/>
        </w:rPr>
        <w:t xml:space="preserve">Despite policy developments, significant challenges remain in ensuring timely access, continuity, and equitable delivery of schizophrenia care. Regional variation, workforce shortages, and resource pressures continue to undermine service effectiveness (Care Quality Commission, 2023). Schizophrenia affects around 1 in 100 adults in the UK and is associated with long-term service dependency (Jovanović et al., 2025). Although NHS initiatives such as Early Intervention in Psychosis, community rehabilitation, and Integrated Care Systems aim to improve coordinated care, implementation remains inconsistent (Ratcliffe, 2025; </w:t>
      </w:r>
      <w:proofErr w:type="spellStart"/>
      <w:r w:rsidRPr="00553003">
        <w:rPr>
          <w:rFonts w:ascii="Arial" w:hAnsi="Arial" w:cs="Arial"/>
          <w:sz w:val="22"/>
          <w:szCs w:val="22"/>
        </w:rPr>
        <w:t>Amanawa</w:t>
      </w:r>
      <w:proofErr w:type="spellEnd"/>
      <w:r w:rsidRPr="00553003">
        <w:rPr>
          <w:rFonts w:ascii="Arial" w:hAnsi="Arial" w:cs="Arial"/>
          <w:sz w:val="22"/>
          <w:szCs w:val="22"/>
        </w:rPr>
        <w:t xml:space="preserve"> &amp; </w:t>
      </w:r>
      <w:proofErr w:type="spellStart"/>
      <w:r w:rsidRPr="00553003">
        <w:rPr>
          <w:rFonts w:ascii="Arial" w:hAnsi="Arial" w:cs="Arial"/>
          <w:sz w:val="22"/>
          <w:szCs w:val="22"/>
        </w:rPr>
        <w:t>Amabebe</w:t>
      </w:r>
      <w:proofErr w:type="spellEnd"/>
      <w:r w:rsidRPr="00553003">
        <w:rPr>
          <w:rFonts w:ascii="Arial" w:hAnsi="Arial" w:cs="Arial"/>
          <w:sz w:val="22"/>
          <w:szCs w:val="22"/>
        </w:rPr>
        <w:t xml:space="preserve">, 2024). Persistent inequalities linked to ethnicity, socioeconomic disadvantage, and geography continue to impact outcomes and engagement with services (Phillips et al., 2025; Conneely et al., 2025; </w:t>
      </w:r>
      <w:proofErr w:type="spellStart"/>
      <w:r w:rsidRPr="00553003">
        <w:rPr>
          <w:rFonts w:ascii="Arial" w:hAnsi="Arial" w:cs="Arial"/>
          <w:sz w:val="22"/>
          <w:szCs w:val="22"/>
        </w:rPr>
        <w:t>Pagdon</w:t>
      </w:r>
      <w:proofErr w:type="spellEnd"/>
      <w:r w:rsidRPr="00553003">
        <w:rPr>
          <w:rFonts w:ascii="Arial" w:hAnsi="Arial" w:cs="Arial"/>
          <w:sz w:val="22"/>
          <w:szCs w:val="22"/>
        </w:rPr>
        <w:t>, 2025).</w:t>
      </w:r>
    </w:p>
    <w:p w14:paraId="33DDB646" w14:textId="77777777" w:rsidR="00057C9A" w:rsidRPr="00553003" w:rsidRDefault="00057C9A" w:rsidP="00057C9A">
      <w:pPr>
        <w:pStyle w:val="NormalWeb"/>
        <w:spacing w:line="360" w:lineRule="auto"/>
        <w:jc w:val="both"/>
        <w:rPr>
          <w:rFonts w:ascii="Arial" w:hAnsi="Arial" w:cs="Arial"/>
          <w:sz w:val="22"/>
          <w:szCs w:val="22"/>
        </w:rPr>
      </w:pPr>
      <w:r w:rsidRPr="00553003">
        <w:rPr>
          <w:rFonts w:ascii="Arial" w:hAnsi="Arial" w:cs="Arial"/>
          <w:sz w:val="22"/>
          <w:szCs w:val="22"/>
        </w:rPr>
        <w:t xml:space="preserve">The aim of this dissertation is to critically evaluate treatment pathways and service delivery for schizophrenia in the UK, focusing on effectiveness, accessibility, and areas for strategic improvement. This study adopts a </w:t>
      </w:r>
      <w:r w:rsidRPr="00553003">
        <w:rPr>
          <w:rStyle w:val="Strong"/>
          <w:rFonts w:ascii="Arial" w:eastAsiaTheme="majorEastAsia" w:hAnsi="Arial" w:cs="Arial"/>
          <w:sz w:val="22"/>
          <w:szCs w:val="22"/>
        </w:rPr>
        <w:t>secondary research design</w:t>
      </w:r>
      <w:r w:rsidRPr="00553003">
        <w:rPr>
          <w:rFonts w:ascii="Arial" w:hAnsi="Arial" w:cs="Arial"/>
          <w:sz w:val="22"/>
          <w:szCs w:val="22"/>
        </w:rPr>
        <w:t xml:space="preserve"> and will employ </w:t>
      </w:r>
      <w:r w:rsidRPr="00553003">
        <w:rPr>
          <w:rStyle w:val="Strong"/>
          <w:rFonts w:ascii="Arial" w:eastAsiaTheme="majorEastAsia" w:hAnsi="Arial" w:cs="Arial"/>
          <w:sz w:val="22"/>
          <w:szCs w:val="22"/>
        </w:rPr>
        <w:t>thematic analysis</w:t>
      </w:r>
      <w:r w:rsidRPr="00553003">
        <w:rPr>
          <w:rFonts w:ascii="Arial" w:hAnsi="Arial" w:cs="Arial"/>
          <w:sz w:val="22"/>
          <w:szCs w:val="22"/>
        </w:rPr>
        <w:t xml:space="preserve"> in Chapter 4 to synthesise findings from existing literature, policy documents, and service user perspectives. By examining current practices and outcomes, the research seeks to contribute to a clearer understanding of how schizophrenia care can be strengthened within the contemporary UK healthcare system.</w:t>
      </w:r>
    </w:p>
    <w:p w14:paraId="5BA66EC0" w14:textId="77777777" w:rsidR="00057C9A" w:rsidRPr="00553003" w:rsidRDefault="00057C9A" w:rsidP="00057C9A">
      <w:pPr>
        <w:pStyle w:val="NormalWeb"/>
        <w:spacing w:line="360" w:lineRule="auto"/>
        <w:jc w:val="both"/>
        <w:rPr>
          <w:rFonts w:ascii="Arial" w:hAnsi="Arial" w:cs="Arial"/>
          <w:sz w:val="22"/>
          <w:szCs w:val="22"/>
        </w:rPr>
      </w:pPr>
      <w:r w:rsidRPr="00553003">
        <w:rPr>
          <w:rFonts w:ascii="Arial" w:hAnsi="Arial" w:cs="Arial"/>
          <w:sz w:val="22"/>
          <w:szCs w:val="22"/>
        </w:rPr>
        <w:t>This chapter introduces the topic, establishes its relevance, and outlines key definitions, background context, rationale, aims, and objectives. It concludes with a signpost to the subsequent literature review.</w:t>
      </w:r>
    </w:p>
    <w:p w14:paraId="1AF394FE" w14:textId="77777777" w:rsidR="00057C9A" w:rsidRPr="00665BA9" w:rsidRDefault="00057C9A" w:rsidP="00057C9A">
      <w:pPr>
        <w:pStyle w:val="NormalWeb"/>
        <w:spacing w:line="360" w:lineRule="auto"/>
        <w:jc w:val="both"/>
        <w:rPr>
          <w:rFonts w:ascii="Arial" w:hAnsi="Arial" w:cs="Arial"/>
        </w:rPr>
      </w:pPr>
    </w:p>
    <w:p w14:paraId="0DA79491" w14:textId="77777777" w:rsidR="00057C9A" w:rsidRPr="00665BA9" w:rsidRDefault="00057C9A" w:rsidP="00057C9A">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665BA9">
        <w:rPr>
          <w:rFonts w:ascii="Arial" w:eastAsia="Times New Roman" w:hAnsi="Arial" w:cs="Arial"/>
          <w:b/>
          <w:bCs/>
          <w:kern w:val="0"/>
          <w:sz w:val="28"/>
          <w:szCs w:val="28"/>
          <w:lang w:eastAsia="en-GB"/>
          <w14:ligatures w14:val="none"/>
        </w:rPr>
        <w:lastRenderedPageBreak/>
        <w:t>1.2 Definitions and Terminology:</w:t>
      </w:r>
    </w:p>
    <w:p w14:paraId="70FB2C4E"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Schizophrenia:</w:t>
      </w:r>
      <w:r w:rsidRPr="00553003">
        <w:rPr>
          <w:rFonts w:ascii="Arial" w:eastAsia="Times New Roman" w:hAnsi="Arial" w:cs="Arial"/>
          <w:kern w:val="0"/>
          <w:lang w:eastAsia="en-GB"/>
          <w14:ligatures w14:val="none"/>
        </w:rPr>
        <w:t xml:space="preserve"> A severe and enduring mental disorder characterised by distortions in thinking, perception, emotions, language, sense of self, and behaviour. Symptoms may include hallucinations, delusions, disorganised speech, and impaired functioning </w:t>
      </w:r>
      <w:r w:rsidRPr="00553003">
        <w:rPr>
          <w:rFonts w:ascii="Arial" w:eastAsia="Times New Roman" w:hAnsi="Arial" w:cs="Arial"/>
          <w:color w:val="4472C4" w:themeColor="accent1"/>
          <w:kern w:val="0"/>
          <w:lang w:eastAsia="en-GB"/>
          <w14:ligatures w14:val="none"/>
        </w:rPr>
        <w:t>(WHO, 2023).</w:t>
      </w:r>
    </w:p>
    <w:p w14:paraId="6EDF9DED"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Treatment Pathways:</w:t>
      </w:r>
      <w:r w:rsidRPr="00553003">
        <w:rPr>
          <w:rFonts w:ascii="Arial" w:eastAsia="Times New Roman" w:hAnsi="Arial" w:cs="Arial"/>
          <w:kern w:val="0"/>
          <w:lang w:eastAsia="en-GB"/>
          <w14:ligatures w14:val="none"/>
        </w:rPr>
        <w:t xml:space="preserve"> Structured, evidence-based processes that outline the recommended stages of assessment, intervention, treatment, and follow-up for individuals with a specific condition (</w:t>
      </w:r>
      <w:r w:rsidRPr="00553003">
        <w:rPr>
          <w:rFonts w:ascii="Arial" w:eastAsia="Times New Roman" w:hAnsi="Arial" w:cs="Arial"/>
          <w:color w:val="4472C4" w:themeColor="accent1"/>
          <w:kern w:val="0"/>
          <w:lang w:eastAsia="en-GB"/>
          <w14:ligatures w14:val="none"/>
        </w:rPr>
        <w:t>NICE, 2020).</w:t>
      </w:r>
    </w:p>
    <w:p w14:paraId="13BA7507"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Service Delivery:</w:t>
      </w:r>
      <w:r w:rsidRPr="00553003">
        <w:rPr>
          <w:rFonts w:ascii="Arial" w:eastAsia="Times New Roman" w:hAnsi="Arial" w:cs="Arial"/>
          <w:kern w:val="0"/>
          <w:lang w:eastAsia="en-GB"/>
          <w14:ligatures w14:val="none"/>
        </w:rPr>
        <w:t xml:space="preserve"> The organisation, management, and provision of health and social care services, including availability of resources, staffing, accessibility, and quality of care (NHS England, 2022).</w:t>
      </w:r>
    </w:p>
    <w:p w14:paraId="73283E9E"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Effectiveness:</w:t>
      </w:r>
      <w:r w:rsidRPr="00553003">
        <w:rPr>
          <w:rFonts w:ascii="Arial" w:eastAsia="Times New Roman" w:hAnsi="Arial" w:cs="Arial"/>
          <w:kern w:val="0"/>
          <w:lang w:eastAsia="en-GB"/>
          <w14:ligatures w14:val="none"/>
        </w:rPr>
        <w:t xml:space="preserve"> The extent to which an intervention or service achieves its intended outcomes in real-world settings, including clinical improvement and enhanced quality of life (Thornicroft et al., 2022).</w:t>
      </w:r>
    </w:p>
    <w:p w14:paraId="69F732A0"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Accessibility:</w:t>
      </w:r>
      <w:r w:rsidRPr="00553003">
        <w:rPr>
          <w:rFonts w:ascii="Arial" w:eastAsia="Times New Roman" w:hAnsi="Arial" w:cs="Arial"/>
          <w:kern w:val="0"/>
          <w:lang w:eastAsia="en-GB"/>
          <w14:ligatures w14:val="none"/>
        </w:rPr>
        <w:t xml:space="preserve"> The ease with which individuals can obtain appropriate healthcare services at the right time and without undue barriers, such as geographical, financial, or cultural obstacles (CQC, 2023).</w:t>
      </w:r>
    </w:p>
    <w:p w14:paraId="4B5E0E73"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National Health Service (NHS):</w:t>
      </w:r>
      <w:r w:rsidRPr="00553003">
        <w:rPr>
          <w:rFonts w:ascii="Arial" w:eastAsia="Times New Roman" w:hAnsi="Arial" w:cs="Arial"/>
          <w:kern w:val="0"/>
          <w:lang w:eastAsia="en-GB"/>
          <w14:ligatures w14:val="none"/>
        </w:rPr>
        <w:t xml:space="preserve"> The publicly funded healthcare system in the United Kingdom, responsible for commissioning and delivering health services including mental health care (NHS England, 2023).</w:t>
      </w:r>
    </w:p>
    <w:p w14:paraId="725D21F3"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Early Intervention in Psychosis (EIP):</w:t>
      </w:r>
      <w:r w:rsidRPr="00553003">
        <w:rPr>
          <w:rFonts w:ascii="Arial" w:eastAsia="Times New Roman" w:hAnsi="Arial" w:cs="Arial"/>
          <w:kern w:val="0"/>
          <w:lang w:eastAsia="en-GB"/>
          <w14:ligatures w14:val="none"/>
        </w:rPr>
        <w:t xml:space="preserve"> A specialised NHS service providing rapid assessment and intensive treatment for individuals experiencing a first episode of psychosis, aimed at improving long-term outcomes (NICE, 2020).</w:t>
      </w:r>
    </w:p>
    <w:p w14:paraId="7996161B" w14:textId="7955D71A"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Integrated Care Systems (ICS):</w:t>
      </w:r>
      <w:r w:rsidRPr="00553003">
        <w:rPr>
          <w:rFonts w:ascii="Arial" w:eastAsia="Times New Roman" w:hAnsi="Arial" w:cs="Arial"/>
          <w:kern w:val="0"/>
          <w:lang w:eastAsia="en-GB"/>
          <w14:ligatures w14:val="none"/>
        </w:rPr>
        <w:t xml:space="preserve"> Collaborative partnerships between NHS organisations, local authorities, and voluntary sectors that work together to plan and deliver coordinated health and social care services (NHS England, 2023).</w:t>
      </w:r>
    </w:p>
    <w:p w14:paraId="0DDAFB7A"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Acronyms and Abbreviations:</w:t>
      </w:r>
    </w:p>
    <w:p w14:paraId="24EE3FEE" w14:textId="77777777" w:rsidR="00057C9A" w:rsidRPr="00553003" w:rsidRDefault="00057C9A" w:rsidP="00057C9A">
      <w:pPr>
        <w:numPr>
          <w:ilvl w:val="0"/>
          <w:numId w:val="1"/>
        </w:numPr>
        <w:spacing w:before="100" w:beforeAutospacing="1" w:after="100" w:afterAutospacing="1" w:line="360" w:lineRule="auto"/>
        <w:ind w:left="0"/>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NHS</w:t>
      </w:r>
      <w:r w:rsidRPr="00553003">
        <w:rPr>
          <w:rFonts w:ascii="Arial" w:eastAsia="Times New Roman" w:hAnsi="Arial" w:cs="Arial"/>
          <w:kern w:val="0"/>
          <w:lang w:eastAsia="en-GB"/>
          <w14:ligatures w14:val="none"/>
        </w:rPr>
        <w:t>: National Health Service</w:t>
      </w:r>
    </w:p>
    <w:p w14:paraId="6317414F" w14:textId="77777777" w:rsidR="00057C9A" w:rsidRPr="00553003" w:rsidRDefault="00057C9A" w:rsidP="00057C9A">
      <w:pPr>
        <w:numPr>
          <w:ilvl w:val="0"/>
          <w:numId w:val="1"/>
        </w:numPr>
        <w:spacing w:before="100" w:beforeAutospacing="1" w:after="100" w:afterAutospacing="1" w:line="360" w:lineRule="auto"/>
        <w:ind w:left="0"/>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EIP</w:t>
      </w:r>
      <w:r w:rsidRPr="00553003">
        <w:rPr>
          <w:rFonts w:ascii="Arial" w:eastAsia="Times New Roman" w:hAnsi="Arial" w:cs="Arial"/>
          <w:kern w:val="0"/>
          <w:lang w:eastAsia="en-GB"/>
          <w14:ligatures w14:val="none"/>
        </w:rPr>
        <w:t>: Early Intervention in Psychosis</w:t>
      </w:r>
    </w:p>
    <w:p w14:paraId="0E316837" w14:textId="77777777" w:rsidR="00057C9A" w:rsidRPr="00553003" w:rsidRDefault="00057C9A" w:rsidP="00057C9A">
      <w:pPr>
        <w:numPr>
          <w:ilvl w:val="0"/>
          <w:numId w:val="1"/>
        </w:numPr>
        <w:spacing w:before="100" w:beforeAutospacing="1" w:after="100" w:afterAutospacing="1" w:line="360" w:lineRule="auto"/>
        <w:ind w:left="0"/>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ICS</w:t>
      </w:r>
      <w:r w:rsidRPr="00553003">
        <w:rPr>
          <w:rFonts w:ascii="Arial" w:eastAsia="Times New Roman" w:hAnsi="Arial" w:cs="Arial"/>
          <w:kern w:val="0"/>
          <w:lang w:eastAsia="en-GB"/>
          <w14:ligatures w14:val="none"/>
        </w:rPr>
        <w:t>: Integrated Care Systems</w:t>
      </w:r>
    </w:p>
    <w:p w14:paraId="1877CAC4" w14:textId="77777777" w:rsidR="00057C9A" w:rsidRPr="00553003" w:rsidRDefault="00057C9A" w:rsidP="00057C9A">
      <w:pPr>
        <w:numPr>
          <w:ilvl w:val="0"/>
          <w:numId w:val="1"/>
        </w:numPr>
        <w:spacing w:before="100" w:beforeAutospacing="1" w:after="100" w:afterAutospacing="1" w:line="360" w:lineRule="auto"/>
        <w:ind w:left="0"/>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CBT</w:t>
      </w:r>
      <w:r w:rsidRPr="00553003">
        <w:rPr>
          <w:rFonts w:ascii="Arial" w:eastAsia="Times New Roman" w:hAnsi="Arial" w:cs="Arial"/>
          <w:kern w:val="0"/>
          <w:lang w:eastAsia="en-GB"/>
          <w14:ligatures w14:val="none"/>
        </w:rPr>
        <w:t>: Cognitive Behavioural Therapy</w:t>
      </w:r>
    </w:p>
    <w:p w14:paraId="46AA914D" w14:textId="77777777" w:rsidR="00057C9A" w:rsidRPr="00553003" w:rsidRDefault="00057C9A" w:rsidP="00057C9A">
      <w:pPr>
        <w:numPr>
          <w:ilvl w:val="0"/>
          <w:numId w:val="1"/>
        </w:numPr>
        <w:spacing w:before="100" w:beforeAutospacing="1" w:after="100" w:afterAutospacing="1" w:line="360" w:lineRule="auto"/>
        <w:ind w:left="0"/>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SMI</w:t>
      </w:r>
      <w:r w:rsidRPr="00553003">
        <w:rPr>
          <w:rFonts w:ascii="Arial" w:eastAsia="Times New Roman" w:hAnsi="Arial" w:cs="Arial"/>
          <w:kern w:val="0"/>
          <w:lang w:eastAsia="en-GB"/>
          <w14:ligatures w14:val="none"/>
        </w:rPr>
        <w:t>: Severe Mental Illness</w:t>
      </w:r>
    </w:p>
    <w:p w14:paraId="1895177C" w14:textId="77777777" w:rsidR="00057C9A" w:rsidRPr="00553003" w:rsidRDefault="00057C9A" w:rsidP="00057C9A">
      <w:pPr>
        <w:numPr>
          <w:ilvl w:val="0"/>
          <w:numId w:val="1"/>
        </w:numPr>
        <w:spacing w:before="100" w:beforeAutospacing="1" w:after="100" w:afterAutospacing="1" w:line="360" w:lineRule="auto"/>
        <w:ind w:left="0"/>
        <w:jc w:val="both"/>
        <w:rPr>
          <w:rFonts w:ascii="Arial" w:eastAsia="Times New Roman" w:hAnsi="Arial" w:cs="Arial"/>
          <w:kern w:val="0"/>
          <w:lang w:eastAsia="en-GB"/>
          <w14:ligatures w14:val="none"/>
        </w:rPr>
      </w:pPr>
      <w:r w:rsidRPr="00553003">
        <w:rPr>
          <w:rFonts w:ascii="Arial" w:eastAsia="Times New Roman" w:hAnsi="Arial" w:cs="Arial"/>
          <w:b/>
          <w:bCs/>
          <w:kern w:val="0"/>
          <w:lang w:eastAsia="en-GB"/>
          <w14:ligatures w14:val="none"/>
        </w:rPr>
        <w:t>NIHR</w:t>
      </w:r>
      <w:r w:rsidRPr="00553003">
        <w:rPr>
          <w:rFonts w:ascii="Arial" w:eastAsia="Times New Roman" w:hAnsi="Arial" w:cs="Arial"/>
          <w:kern w:val="0"/>
          <w:lang w:eastAsia="en-GB"/>
          <w14:ligatures w14:val="none"/>
        </w:rPr>
        <w:t>: National Institute for Health and Care Research</w:t>
      </w:r>
    </w:p>
    <w:p w14:paraId="2AB2A1BA" w14:textId="77777777" w:rsidR="00057C9A"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kern w:val="0"/>
          <w:lang w:eastAsia="en-GB"/>
          <w14:ligatures w14:val="none"/>
        </w:rPr>
        <w:lastRenderedPageBreak/>
        <w:t>The proper understanding of these terms is essential for evaluating care models, comparing studies, and critically interpreting outcomes.</w:t>
      </w:r>
    </w:p>
    <w:p w14:paraId="21F32075"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p>
    <w:p w14:paraId="0730F1B6" w14:textId="77777777" w:rsidR="00057C9A" w:rsidRPr="00DB7007" w:rsidRDefault="00057C9A" w:rsidP="00057C9A">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DB7007">
        <w:rPr>
          <w:rFonts w:ascii="Arial" w:eastAsia="Times New Roman" w:hAnsi="Arial" w:cs="Arial"/>
          <w:b/>
          <w:bCs/>
          <w:kern w:val="0"/>
          <w:sz w:val="32"/>
          <w:szCs w:val="32"/>
          <w:lang w:eastAsia="en-GB"/>
          <w14:ligatures w14:val="none"/>
        </w:rPr>
        <w:t>1.3 Background and Current Context:</w:t>
      </w:r>
    </w:p>
    <w:p w14:paraId="7BB59859" w14:textId="77777777" w:rsidR="00057C9A" w:rsidRPr="00665BA9"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65BA9">
        <w:rPr>
          <w:rFonts w:ascii="Arial" w:eastAsia="Times New Roman" w:hAnsi="Arial" w:cs="Arial"/>
          <w:b/>
          <w:bCs/>
          <w:kern w:val="0"/>
          <w:sz w:val="27"/>
          <w:szCs w:val="27"/>
          <w:lang w:eastAsia="en-GB"/>
          <w14:ligatures w14:val="none"/>
        </w:rPr>
        <w:t>1.3.1 Background</w:t>
      </w:r>
    </w:p>
    <w:p w14:paraId="00A2883F" w14:textId="77777777"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kern w:val="0"/>
          <w:lang w:eastAsia="en-GB"/>
          <w14:ligatures w14:val="none"/>
        </w:rPr>
        <w:t>Understanding of schizophrenia has progressed significantly since the early 20th century when Kraepelin and Bleuler first characterised the disorder. Historically, treatment was dominated by institutionalisation; however, deinstitutionalisation in the UK during the 1960s–1980s shifted care towards community-based services (Rogers and Pilgrim, 2020). The introduction of antipsychotic medication, particularly atypical antipsychotics in the 1990s, further transformed management by reducing hospitalisation rates and improving symptom control (Leucht et al., 2019). Policy initiatives such as the National Service Framework for Mental Health (1999) and the development of EIP services have shaped modern care pathways.</w:t>
      </w:r>
    </w:p>
    <w:p w14:paraId="76517A60" w14:textId="77777777" w:rsidR="00057C9A" w:rsidRPr="00665BA9"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65BA9">
        <w:rPr>
          <w:rFonts w:ascii="Arial" w:eastAsia="Times New Roman" w:hAnsi="Arial" w:cs="Arial"/>
          <w:b/>
          <w:bCs/>
          <w:kern w:val="0"/>
          <w:sz w:val="27"/>
          <w:szCs w:val="27"/>
          <w:lang w:eastAsia="en-GB"/>
          <w14:ligatures w14:val="none"/>
        </w:rPr>
        <w:t>1.3.2 Current Context</w:t>
      </w:r>
    </w:p>
    <w:p w14:paraId="18DC30AD" w14:textId="6D29E7C5" w:rsidR="00057C9A" w:rsidRPr="0055300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553003">
        <w:rPr>
          <w:rFonts w:ascii="Arial" w:eastAsia="Times New Roman" w:hAnsi="Arial" w:cs="Arial"/>
          <w:kern w:val="0"/>
          <w:lang w:eastAsia="en-GB"/>
          <w14:ligatures w14:val="none"/>
        </w:rPr>
        <w:t>Today, schizophrenia treatment in the UK includes pharmacological interventions, psychological therapies, social support, and community mental health services. However, significant pressures affect service delivery. Recent reports highlight rising demand, workforce shortages, and variability in mental health provision across regions (CQC, 2023). While EIP services have improved early outcomes, continued concerns exist regarding long waiting times, inconsistent implementation of NICE guidelines, and limited access to high-quality psychosocial interventions (NHS England, 2022). Additionally, socioeconomic inequalities and stigma continue to influence help-seeking behaviours and engagement with services. These factors underscore the urgent    for a comprehensive evaluation of current treatment pathways to identify strengths, limitations, and opportunities for improvement.</w:t>
      </w:r>
    </w:p>
    <w:p w14:paraId="52441CD6" w14:textId="77777777" w:rsidR="00057C9A" w:rsidRPr="00665BA9" w:rsidRDefault="00057C9A" w:rsidP="00057C9A">
      <w:pPr>
        <w:spacing w:line="360" w:lineRule="auto"/>
        <w:jc w:val="both"/>
        <w:rPr>
          <w:rFonts w:ascii="Arial" w:hAnsi="Arial" w:cs="Arial"/>
          <w:b/>
          <w:bCs/>
          <w:sz w:val="28"/>
          <w:szCs w:val="28"/>
        </w:rPr>
      </w:pPr>
      <w:r w:rsidRPr="00665BA9">
        <w:rPr>
          <w:rFonts w:ascii="Arial" w:hAnsi="Arial" w:cs="Arial"/>
          <w:b/>
          <w:bCs/>
          <w:sz w:val="28"/>
          <w:szCs w:val="28"/>
        </w:rPr>
        <w:t>1.4 Rationale for Research:</w:t>
      </w:r>
    </w:p>
    <w:p w14:paraId="1A131C3B" w14:textId="77777777" w:rsidR="00057C9A" w:rsidRPr="00553003" w:rsidRDefault="00057C9A" w:rsidP="00057C9A">
      <w:pPr>
        <w:pStyle w:val="NormalWeb"/>
        <w:spacing w:line="360" w:lineRule="auto"/>
        <w:jc w:val="both"/>
        <w:rPr>
          <w:rFonts w:ascii="Arial" w:hAnsi="Arial" w:cs="Arial"/>
          <w:sz w:val="22"/>
          <w:szCs w:val="22"/>
        </w:rPr>
      </w:pPr>
      <w:r w:rsidRPr="00553003">
        <w:rPr>
          <w:rFonts w:ascii="Arial" w:hAnsi="Arial" w:cs="Arial"/>
          <w:sz w:val="22"/>
          <w:szCs w:val="22"/>
        </w:rPr>
        <w:t xml:space="preserve">Despite sustained policy commitments and service innovation, significant limitations remain in how schizophrenia care is delivered across the UK. Recent NIHR evaluations highlight disparities in access and treatment quality, particularly among ethnic minority groups, individuals living in deprived areas, and women during the perinatal period (Jovanović et al., 2025). While interventions such as EIP services demonstrate short-term benefits, they have been less effective in addressing long-term </w:t>
      </w:r>
      <w:r w:rsidRPr="00553003">
        <w:rPr>
          <w:rFonts w:ascii="Arial" w:hAnsi="Arial" w:cs="Arial"/>
          <w:sz w:val="22"/>
          <w:szCs w:val="22"/>
        </w:rPr>
        <w:lastRenderedPageBreak/>
        <w:t>social exclusion, unemployment, housing instability, and physical health inequalities commonly experienced by individuals with schizophrenia.</w:t>
      </w:r>
    </w:p>
    <w:p w14:paraId="6A2EB8C8" w14:textId="77777777" w:rsidR="00057C9A" w:rsidRPr="00553003" w:rsidRDefault="00057C9A" w:rsidP="00057C9A">
      <w:pPr>
        <w:pStyle w:val="NormalWeb"/>
        <w:spacing w:line="360" w:lineRule="auto"/>
        <w:jc w:val="both"/>
        <w:rPr>
          <w:rFonts w:ascii="Arial" w:hAnsi="Arial" w:cs="Arial"/>
          <w:sz w:val="22"/>
          <w:szCs w:val="22"/>
        </w:rPr>
      </w:pPr>
      <w:r w:rsidRPr="00553003">
        <w:rPr>
          <w:rFonts w:ascii="Arial" w:hAnsi="Arial" w:cs="Arial"/>
          <w:sz w:val="22"/>
          <w:szCs w:val="22"/>
        </w:rPr>
        <w:t>Demand for mental health services has increased since COVID-19, putting extra pressure on already overstretched systems (Phillips et al., 2025). Differences in commissioning and uneven use of NICE guidance mean that psychological and social treatments are not consistently available across the country. This often leads to gaps in care after people leave early intervention or specialist services. There is also a lack of up-to-date research examining how schizophrenia treatment pathways work across NHS Trusts. Different definitions of recovery and limited outcome data make it difficult to assess service effectiveness beyond symptom control (</w:t>
      </w:r>
      <w:proofErr w:type="spellStart"/>
      <w:r w:rsidRPr="00553003">
        <w:rPr>
          <w:rFonts w:ascii="Arial" w:hAnsi="Arial" w:cs="Arial"/>
          <w:sz w:val="22"/>
          <w:szCs w:val="22"/>
        </w:rPr>
        <w:t>Pagdon</w:t>
      </w:r>
      <w:proofErr w:type="spellEnd"/>
      <w:r w:rsidRPr="00553003">
        <w:rPr>
          <w:rFonts w:ascii="Arial" w:hAnsi="Arial" w:cs="Arial"/>
          <w:sz w:val="22"/>
          <w:szCs w:val="22"/>
        </w:rPr>
        <w:t>, 2025). Many service users report that clinical priorities do not reflect their personal recovery goals, which can reduce engagement and long-term outcomes (Uehling, 2025).</w:t>
      </w:r>
    </w:p>
    <w:p w14:paraId="6B646A38" w14:textId="7BAD5CFC" w:rsidR="00057C9A" w:rsidRPr="00B173CF" w:rsidRDefault="00057C9A" w:rsidP="00B173CF">
      <w:pPr>
        <w:pStyle w:val="NormalWeb"/>
        <w:spacing w:line="360" w:lineRule="auto"/>
        <w:jc w:val="both"/>
        <w:rPr>
          <w:rFonts w:ascii="Arial" w:hAnsi="Arial" w:cs="Arial"/>
          <w:sz w:val="22"/>
          <w:szCs w:val="22"/>
        </w:rPr>
      </w:pPr>
      <w:r w:rsidRPr="00DB7007">
        <w:rPr>
          <w:rFonts w:ascii="Arial" w:hAnsi="Arial" w:cs="Arial"/>
          <w:sz w:val="22"/>
          <w:szCs w:val="22"/>
        </w:rPr>
        <w:t>This dissertation responds to these gaps by synthesising contemporary evidence across clinical, policy, and service user domains. By critically evaluating why current models have not fully reduced inequalities or delivered sustained recovery, the study aims to identify both systemic limitations and opportunities for improvement. The findings may inform future policy development, service redesign, and resource allocation, supporting the delivery of more equitable and effective schizophrenia care.</w:t>
      </w:r>
    </w:p>
    <w:p w14:paraId="064BCF3F" w14:textId="77777777" w:rsidR="00057C9A" w:rsidRPr="00DB7007" w:rsidRDefault="00057C9A" w:rsidP="00057C9A">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DB7007">
        <w:rPr>
          <w:rFonts w:ascii="Arial" w:eastAsia="Times New Roman" w:hAnsi="Arial" w:cs="Arial"/>
          <w:b/>
          <w:bCs/>
          <w:kern w:val="0"/>
          <w:sz w:val="32"/>
          <w:szCs w:val="32"/>
          <w:lang w:eastAsia="en-GB"/>
          <w14:ligatures w14:val="none"/>
        </w:rPr>
        <w:t>1.5 Aim and Objectives:</w:t>
      </w:r>
    </w:p>
    <w:p w14:paraId="255A62C1" w14:textId="77777777" w:rsidR="00057C9A" w:rsidRPr="00665BA9"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65BA9">
        <w:rPr>
          <w:rFonts w:ascii="Arial" w:eastAsia="Times New Roman" w:hAnsi="Arial" w:cs="Arial"/>
          <w:b/>
          <w:bCs/>
          <w:kern w:val="0"/>
          <w:sz w:val="27"/>
          <w:szCs w:val="27"/>
          <w:lang w:eastAsia="en-GB"/>
          <w14:ligatures w14:val="none"/>
        </w:rPr>
        <w:t>1.5.1 Research Aim</w:t>
      </w:r>
    </w:p>
    <w:p w14:paraId="178B48CD" w14:textId="77777777" w:rsidR="00057C9A" w:rsidRPr="00DB7007"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DB7007">
        <w:rPr>
          <w:rFonts w:ascii="Arial" w:eastAsia="Times New Roman" w:hAnsi="Arial" w:cs="Arial"/>
          <w:kern w:val="0"/>
          <w:lang w:eastAsia="en-GB"/>
          <w14:ligatures w14:val="none"/>
        </w:rPr>
        <w:t>The aim of this dissertation is to conduct a comprehensive evaluation of treatment pathways and service delivery for schizophrenia in the United Kingdom, with a focus on their effectiveness, accessibility, and potential strategic directions for future improvement.</w:t>
      </w:r>
    </w:p>
    <w:p w14:paraId="5574AD46" w14:textId="77777777" w:rsidR="00057C9A" w:rsidRPr="00665BA9"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65BA9">
        <w:rPr>
          <w:rFonts w:ascii="Arial" w:eastAsia="Times New Roman" w:hAnsi="Arial" w:cs="Arial"/>
          <w:b/>
          <w:bCs/>
          <w:kern w:val="0"/>
          <w:sz w:val="27"/>
          <w:szCs w:val="27"/>
          <w:lang w:eastAsia="en-GB"/>
          <w14:ligatures w14:val="none"/>
        </w:rPr>
        <w:t>1.5.2 Research Objectives</w:t>
      </w:r>
    </w:p>
    <w:p w14:paraId="7828373C" w14:textId="77777777" w:rsidR="00057C9A" w:rsidRPr="00DB7007" w:rsidRDefault="00057C9A" w:rsidP="00057C9A">
      <w:pPr>
        <w:pStyle w:val="ListParagraph"/>
        <w:numPr>
          <w:ilvl w:val="0"/>
          <w:numId w:val="2"/>
        </w:numPr>
        <w:spacing w:before="100" w:beforeAutospacing="1" w:after="100" w:afterAutospacing="1" w:line="360" w:lineRule="auto"/>
        <w:ind w:left="0"/>
        <w:jc w:val="both"/>
        <w:rPr>
          <w:rFonts w:ascii="Arial" w:eastAsia="Times New Roman" w:hAnsi="Arial" w:cs="Arial"/>
          <w:kern w:val="0"/>
          <w:lang w:eastAsia="en-GB"/>
          <w14:ligatures w14:val="none"/>
        </w:rPr>
      </w:pPr>
      <w:r w:rsidRPr="00DB7007">
        <w:rPr>
          <w:rFonts w:ascii="Arial" w:eastAsia="Times New Roman" w:hAnsi="Arial" w:cs="Arial"/>
          <w:kern w:val="0"/>
          <w:lang w:eastAsia="en-GB"/>
          <w14:ligatures w14:val="none"/>
        </w:rPr>
        <w:t>To examine current treatment pathways for schizophrenia within the UK, including pharmacological, psychological, and community-based interventions.</w:t>
      </w:r>
    </w:p>
    <w:p w14:paraId="39DBECB6" w14:textId="77777777" w:rsidR="00057C9A" w:rsidRPr="00DB7007" w:rsidRDefault="00057C9A" w:rsidP="00057C9A">
      <w:pPr>
        <w:pStyle w:val="ListParagraph"/>
        <w:numPr>
          <w:ilvl w:val="0"/>
          <w:numId w:val="2"/>
        </w:numPr>
        <w:spacing w:before="100" w:beforeAutospacing="1" w:after="100" w:afterAutospacing="1" w:line="360" w:lineRule="auto"/>
        <w:ind w:left="0"/>
        <w:jc w:val="both"/>
        <w:rPr>
          <w:rFonts w:ascii="Arial" w:eastAsia="Times New Roman" w:hAnsi="Arial" w:cs="Arial"/>
          <w:kern w:val="0"/>
          <w:lang w:eastAsia="en-GB"/>
          <w14:ligatures w14:val="none"/>
        </w:rPr>
      </w:pPr>
      <w:r w:rsidRPr="00DB7007">
        <w:rPr>
          <w:rFonts w:ascii="Arial" w:eastAsia="Times New Roman" w:hAnsi="Arial" w:cs="Arial"/>
          <w:kern w:val="0"/>
          <w:lang w:eastAsia="en-GB"/>
          <w14:ligatures w14:val="none"/>
        </w:rPr>
        <w:t>To assess the accessibility and quality of schizophrenia services across different regions of the UK.</w:t>
      </w:r>
    </w:p>
    <w:p w14:paraId="4514DBF5" w14:textId="77777777" w:rsidR="00057C9A" w:rsidRPr="00DB7007" w:rsidRDefault="00057C9A" w:rsidP="00057C9A">
      <w:pPr>
        <w:pStyle w:val="ListParagraph"/>
        <w:numPr>
          <w:ilvl w:val="0"/>
          <w:numId w:val="2"/>
        </w:numPr>
        <w:spacing w:before="100" w:beforeAutospacing="1" w:after="100" w:afterAutospacing="1" w:line="360" w:lineRule="auto"/>
        <w:ind w:left="0"/>
        <w:jc w:val="both"/>
        <w:rPr>
          <w:rFonts w:ascii="Arial" w:eastAsia="Times New Roman" w:hAnsi="Arial" w:cs="Arial"/>
          <w:kern w:val="0"/>
          <w:lang w:eastAsia="en-GB"/>
          <w14:ligatures w14:val="none"/>
        </w:rPr>
      </w:pPr>
      <w:r w:rsidRPr="00DB7007">
        <w:rPr>
          <w:rFonts w:ascii="Arial" w:eastAsia="Times New Roman" w:hAnsi="Arial" w:cs="Arial"/>
          <w:kern w:val="0"/>
          <w:lang w:eastAsia="en-GB"/>
          <w14:ligatures w14:val="none"/>
        </w:rPr>
        <w:t>To evaluate the effectiveness of current service delivery models, including early intervention and integrated care approaches.</w:t>
      </w:r>
    </w:p>
    <w:p w14:paraId="4C4717AD" w14:textId="77777777" w:rsidR="00057C9A" w:rsidRPr="00DB7007" w:rsidRDefault="00057C9A" w:rsidP="00057C9A">
      <w:pPr>
        <w:pStyle w:val="ListParagraph"/>
        <w:numPr>
          <w:ilvl w:val="0"/>
          <w:numId w:val="2"/>
        </w:numPr>
        <w:spacing w:before="100" w:beforeAutospacing="1" w:after="100" w:afterAutospacing="1" w:line="360" w:lineRule="auto"/>
        <w:ind w:left="0"/>
        <w:jc w:val="both"/>
        <w:rPr>
          <w:rFonts w:ascii="Arial" w:eastAsia="Times New Roman" w:hAnsi="Arial" w:cs="Arial"/>
          <w:kern w:val="0"/>
          <w:lang w:eastAsia="en-GB"/>
          <w14:ligatures w14:val="none"/>
        </w:rPr>
      </w:pPr>
      <w:r w:rsidRPr="00DB7007">
        <w:rPr>
          <w:rFonts w:ascii="Arial" w:eastAsia="Times New Roman" w:hAnsi="Arial" w:cs="Arial"/>
          <w:kern w:val="0"/>
          <w:lang w:eastAsia="en-GB"/>
          <w14:ligatures w14:val="none"/>
        </w:rPr>
        <w:t>To identify gaps, challenges, and opportunities for enhancing future schizophrenia treatment and service provision.</w:t>
      </w:r>
    </w:p>
    <w:p w14:paraId="5E64213C" w14:textId="77777777" w:rsidR="00057C9A" w:rsidRPr="00665BA9" w:rsidRDefault="00057C9A" w:rsidP="00057C9A">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25BEF63" w14:textId="77777777" w:rsidR="00057C9A" w:rsidRPr="00665BA9"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65BA9">
        <w:rPr>
          <w:rFonts w:ascii="Arial" w:eastAsia="Times New Roman" w:hAnsi="Arial" w:cs="Arial"/>
          <w:b/>
          <w:bCs/>
          <w:kern w:val="0"/>
          <w:sz w:val="27"/>
          <w:szCs w:val="27"/>
          <w:lang w:eastAsia="en-GB"/>
          <w14:ligatures w14:val="none"/>
        </w:rPr>
        <w:lastRenderedPageBreak/>
        <w:t>1.6 Conclusion:</w:t>
      </w:r>
    </w:p>
    <w:p w14:paraId="5BFB74B7" w14:textId="77777777" w:rsidR="00057C9A" w:rsidRPr="00DB7007" w:rsidRDefault="00057C9A" w:rsidP="00057C9A">
      <w:pPr>
        <w:pStyle w:val="NormalWeb"/>
        <w:spacing w:line="360" w:lineRule="auto"/>
        <w:jc w:val="both"/>
        <w:rPr>
          <w:rFonts w:ascii="Arial" w:hAnsi="Arial" w:cs="Arial"/>
          <w:sz w:val="22"/>
          <w:szCs w:val="22"/>
        </w:rPr>
      </w:pPr>
      <w:r w:rsidRPr="00DB7007">
        <w:rPr>
          <w:rFonts w:ascii="Arial" w:hAnsi="Arial" w:cs="Arial"/>
          <w:sz w:val="22"/>
          <w:szCs w:val="22"/>
        </w:rPr>
        <w:t>This chapter has outlined the significance, aims, and foundational structure of the dissertation. It has defined key terminology and justified the need for a critical evaluation of schizophrenia treatment pathways and service delivery in the UK, particularly in the context of ongoing systemic pressures and persistent inequalities in care (Care Quality Commission, 2023; NHS England, 2022). The four research objectives provide a clear framework for examining both the effectiveness and accessibility of current services.</w:t>
      </w:r>
    </w:p>
    <w:p w14:paraId="58B982D2" w14:textId="77777777" w:rsidR="00057C9A" w:rsidRDefault="00057C9A" w:rsidP="00057C9A">
      <w:pPr>
        <w:pStyle w:val="NormalWeb"/>
        <w:spacing w:line="360" w:lineRule="auto"/>
        <w:jc w:val="both"/>
        <w:rPr>
          <w:rFonts w:ascii="Arial" w:hAnsi="Arial" w:cs="Arial"/>
          <w:sz w:val="22"/>
          <w:szCs w:val="22"/>
        </w:rPr>
      </w:pPr>
      <w:r w:rsidRPr="00DB7007">
        <w:rPr>
          <w:rFonts w:ascii="Arial" w:hAnsi="Arial" w:cs="Arial"/>
          <w:sz w:val="22"/>
          <w:szCs w:val="22"/>
        </w:rPr>
        <w:t>The next chapter will present a critical review of the literature, exploring the historical development of schizophrenia care, theoretical perspectives, and relevant national and international policy frameworks. This will establish the conceptual and empirical foundation for the analysis presented in subsequent chapters.</w:t>
      </w:r>
    </w:p>
    <w:p w14:paraId="40A4355C" w14:textId="77777777" w:rsidR="00B173CF" w:rsidRDefault="00B173CF" w:rsidP="00057C9A">
      <w:pPr>
        <w:pStyle w:val="NormalWeb"/>
        <w:spacing w:line="360" w:lineRule="auto"/>
        <w:jc w:val="both"/>
        <w:rPr>
          <w:rFonts w:ascii="Arial" w:hAnsi="Arial" w:cs="Arial"/>
          <w:b/>
          <w:bCs/>
          <w:sz w:val="36"/>
          <w:szCs w:val="36"/>
        </w:rPr>
      </w:pPr>
    </w:p>
    <w:p w14:paraId="70214335" w14:textId="77777777" w:rsidR="00B173CF" w:rsidRDefault="00B173CF" w:rsidP="00057C9A">
      <w:pPr>
        <w:pStyle w:val="NormalWeb"/>
        <w:spacing w:line="360" w:lineRule="auto"/>
        <w:jc w:val="both"/>
        <w:rPr>
          <w:rFonts w:ascii="Arial" w:hAnsi="Arial" w:cs="Arial"/>
          <w:b/>
          <w:bCs/>
          <w:sz w:val="36"/>
          <w:szCs w:val="36"/>
        </w:rPr>
      </w:pPr>
    </w:p>
    <w:p w14:paraId="1F5FECEE" w14:textId="77777777" w:rsidR="00B173CF" w:rsidRDefault="00B173CF" w:rsidP="00057C9A">
      <w:pPr>
        <w:pStyle w:val="NormalWeb"/>
        <w:spacing w:line="360" w:lineRule="auto"/>
        <w:jc w:val="both"/>
        <w:rPr>
          <w:rFonts w:ascii="Arial" w:hAnsi="Arial" w:cs="Arial"/>
          <w:b/>
          <w:bCs/>
          <w:sz w:val="36"/>
          <w:szCs w:val="36"/>
        </w:rPr>
      </w:pPr>
    </w:p>
    <w:p w14:paraId="34AC14DD" w14:textId="77777777" w:rsidR="00B173CF" w:rsidRDefault="00B173CF" w:rsidP="00057C9A">
      <w:pPr>
        <w:pStyle w:val="NormalWeb"/>
        <w:spacing w:line="360" w:lineRule="auto"/>
        <w:jc w:val="both"/>
        <w:rPr>
          <w:rFonts w:ascii="Arial" w:hAnsi="Arial" w:cs="Arial"/>
          <w:b/>
          <w:bCs/>
          <w:sz w:val="36"/>
          <w:szCs w:val="36"/>
        </w:rPr>
      </w:pPr>
    </w:p>
    <w:p w14:paraId="1F158D91" w14:textId="77777777" w:rsidR="00B173CF" w:rsidRDefault="00B173CF" w:rsidP="00057C9A">
      <w:pPr>
        <w:pStyle w:val="NormalWeb"/>
        <w:spacing w:line="360" w:lineRule="auto"/>
        <w:jc w:val="both"/>
        <w:rPr>
          <w:rFonts w:ascii="Arial" w:hAnsi="Arial" w:cs="Arial"/>
          <w:b/>
          <w:bCs/>
          <w:sz w:val="36"/>
          <w:szCs w:val="36"/>
        </w:rPr>
      </w:pPr>
    </w:p>
    <w:p w14:paraId="19FE1189" w14:textId="77777777" w:rsidR="00B173CF" w:rsidRDefault="00B173CF" w:rsidP="00057C9A">
      <w:pPr>
        <w:pStyle w:val="NormalWeb"/>
        <w:spacing w:line="360" w:lineRule="auto"/>
        <w:jc w:val="both"/>
        <w:rPr>
          <w:rFonts w:ascii="Arial" w:hAnsi="Arial" w:cs="Arial"/>
          <w:b/>
          <w:bCs/>
          <w:sz w:val="36"/>
          <w:szCs w:val="36"/>
        </w:rPr>
      </w:pPr>
    </w:p>
    <w:p w14:paraId="12C17EB8" w14:textId="77777777" w:rsidR="00B173CF" w:rsidRDefault="00B173CF" w:rsidP="00057C9A">
      <w:pPr>
        <w:pStyle w:val="NormalWeb"/>
        <w:spacing w:line="360" w:lineRule="auto"/>
        <w:jc w:val="both"/>
        <w:rPr>
          <w:rFonts w:ascii="Arial" w:hAnsi="Arial" w:cs="Arial"/>
          <w:b/>
          <w:bCs/>
          <w:sz w:val="36"/>
          <w:szCs w:val="36"/>
        </w:rPr>
      </w:pPr>
    </w:p>
    <w:p w14:paraId="0C5AB192" w14:textId="77777777" w:rsidR="00B173CF" w:rsidRDefault="00B173CF" w:rsidP="00057C9A">
      <w:pPr>
        <w:pStyle w:val="NormalWeb"/>
        <w:spacing w:line="360" w:lineRule="auto"/>
        <w:jc w:val="both"/>
        <w:rPr>
          <w:rFonts w:ascii="Arial" w:hAnsi="Arial" w:cs="Arial"/>
          <w:b/>
          <w:bCs/>
          <w:sz w:val="36"/>
          <w:szCs w:val="36"/>
        </w:rPr>
      </w:pPr>
    </w:p>
    <w:p w14:paraId="527E549D" w14:textId="77777777" w:rsidR="00B173CF" w:rsidRDefault="00B173CF" w:rsidP="00057C9A">
      <w:pPr>
        <w:pStyle w:val="NormalWeb"/>
        <w:spacing w:line="360" w:lineRule="auto"/>
        <w:jc w:val="both"/>
        <w:rPr>
          <w:rFonts w:ascii="Arial" w:hAnsi="Arial" w:cs="Arial"/>
          <w:b/>
          <w:bCs/>
          <w:sz w:val="36"/>
          <w:szCs w:val="36"/>
        </w:rPr>
      </w:pPr>
    </w:p>
    <w:p w14:paraId="11552882" w14:textId="77777777" w:rsidR="00B173CF" w:rsidRDefault="00B173CF" w:rsidP="00057C9A">
      <w:pPr>
        <w:pStyle w:val="NormalWeb"/>
        <w:spacing w:line="360" w:lineRule="auto"/>
        <w:jc w:val="both"/>
        <w:rPr>
          <w:rFonts w:ascii="Arial" w:hAnsi="Arial" w:cs="Arial"/>
          <w:b/>
          <w:bCs/>
          <w:sz w:val="36"/>
          <w:szCs w:val="36"/>
        </w:rPr>
      </w:pPr>
    </w:p>
    <w:p w14:paraId="5FDC932B" w14:textId="5380DAC2" w:rsidR="00057C9A" w:rsidRPr="00DB7007" w:rsidRDefault="00057C9A" w:rsidP="00057C9A">
      <w:pPr>
        <w:pStyle w:val="NormalWeb"/>
        <w:spacing w:line="360" w:lineRule="auto"/>
        <w:jc w:val="both"/>
        <w:rPr>
          <w:rFonts w:ascii="Arial" w:hAnsi="Arial" w:cs="Arial"/>
          <w:sz w:val="22"/>
          <w:szCs w:val="22"/>
        </w:rPr>
      </w:pPr>
      <w:r w:rsidRPr="00610101">
        <w:rPr>
          <w:rFonts w:ascii="Arial" w:hAnsi="Arial" w:cs="Arial"/>
          <w:b/>
          <w:bCs/>
          <w:sz w:val="36"/>
          <w:szCs w:val="36"/>
        </w:rPr>
        <w:lastRenderedPageBreak/>
        <w:t>Chapter 2 – Background Information and Analysis</w:t>
      </w:r>
    </w:p>
    <w:p w14:paraId="2C06D381"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610101">
        <w:rPr>
          <w:rFonts w:ascii="Arial" w:eastAsia="Times New Roman" w:hAnsi="Arial" w:cs="Arial"/>
          <w:b/>
          <w:bCs/>
          <w:kern w:val="0"/>
          <w:sz w:val="28"/>
          <w:szCs w:val="28"/>
          <w:lang w:eastAsia="en-GB"/>
          <w14:ligatures w14:val="none"/>
        </w:rPr>
        <w:t>2.1 Introduction:</w:t>
      </w:r>
    </w:p>
    <w:p w14:paraId="1CECD182"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The treatment and service delivery for schizophrenia in the United Kingdom have undergone significant transformation, developing from asylum-based institutionalisation to modern, community-oriented and recovery-led models of care. Schizophrenia, a severe and chronic psychiatric disorder affecting cognition, perception, and social functioning, poses one of the most complex challenges for mental health systems globally. In the UK, schizophrenia treatment has become a focal point for NHS reform, policy innovation, and academic research due to its economic burden, social consequences, and links with health inequalities.</w:t>
      </w:r>
    </w:p>
    <w:p w14:paraId="442E334E"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This chapter provides the contextual foundation for the dissertation by critically analysing the historical development, theoretical frameworks, and both global and national policy approaches shaping schizophrenia care. Drawing on recent peer-reviewed literature, NHS policies, and global health data, the chapter examines key structural changes, particularly post-2015 reforms. It also highlights persisting barriers in service access, cultural appropriateness, and equitable outcomes.</w:t>
      </w:r>
    </w:p>
    <w:p w14:paraId="368EC5F3" w14:textId="0AFFC983" w:rsidR="00057C9A"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Understanding this complex background is essential for assessing treatment effectiveness and service delivery, which are central to this dissertation. The following sections explore the evolution of treatment approaches, theoretical influences on policy, and contemporary challenges within both international and UK-specific contexts.</w:t>
      </w:r>
    </w:p>
    <w:p w14:paraId="7EB2E60A"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4086A5EF"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5F06580B"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0C9F577E"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19070FD1"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1078B8F7"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333F5DD1" w14:textId="77777777" w:rsidR="00B173CF" w:rsidRP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1E4CD2F2" w14:textId="77777777" w:rsidR="00057C9A" w:rsidRDefault="00057C9A" w:rsidP="00057C9A">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04455553" w14:textId="77777777" w:rsidR="00057C9A" w:rsidRPr="003F454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b/>
          <w:bCs/>
          <w:kern w:val="0"/>
          <w:sz w:val="24"/>
          <w:szCs w:val="24"/>
          <w:lang w:eastAsia="en-GB"/>
          <w14:ligatures w14:val="none"/>
        </w:rPr>
        <w:lastRenderedPageBreak/>
        <w:t xml:space="preserve">2.2 </w:t>
      </w:r>
      <w:r>
        <w:rPr>
          <w:rFonts w:ascii="Arial" w:eastAsia="Times New Roman" w:hAnsi="Arial" w:cs="Arial"/>
          <w:b/>
          <w:bCs/>
          <w:kern w:val="0"/>
          <w:sz w:val="24"/>
          <w:szCs w:val="24"/>
          <w:lang w:eastAsia="en-GB"/>
          <w14:ligatures w14:val="none"/>
        </w:rPr>
        <w:t>Understanding</w:t>
      </w:r>
      <w:r w:rsidRPr="00610101">
        <w:rPr>
          <w:rFonts w:ascii="Arial" w:eastAsia="Times New Roman" w:hAnsi="Arial" w:cs="Arial"/>
          <w:b/>
          <w:bCs/>
          <w:kern w:val="0"/>
          <w:sz w:val="24"/>
          <w:szCs w:val="24"/>
          <w:lang w:eastAsia="en-GB"/>
          <w14:ligatures w14:val="none"/>
        </w:rPr>
        <w:t xml:space="preserve"> Schizophrenia</w:t>
      </w:r>
      <w:r>
        <w:rPr>
          <w:rFonts w:ascii="Arial" w:eastAsia="Times New Roman" w:hAnsi="Arial" w:cs="Arial"/>
          <w:b/>
          <w:bCs/>
          <w:kern w:val="0"/>
          <w:sz w:val="24"/>
          <w:szCs w:val="24"/>
          <w:lang w:eastAsia="en-GB"/>
          <w14:ligatures w14:val="none"/>
        </w:rPr>
        <w:t xml:space="preserve"> at a glance</w:t>
      </w:r>
      <w:r w:rsidRPr="00610101">
        <w:rPr>
          <w:rFonts w:ascii="Arial" w:eastAsia="Times New Roman" w:hAnsi="Arial" w:cs="Arial"/>
          <w:b/>
          <w:bCs/>
          <w:kern w:val="0"/>
          <w:sz w:val="24"/>
          <w:szCs w:val="24"/>
          <w:lang w:eastAsia="en-GB"/>
          <w14:ligatures w14:val="none"/>
        </w:rPr>
        <w:t>:</w:t>
      </w:r>
    </w:p>
    <w:p w14:paraId="72E70899" w14:textId="77777777" w:rsidR="00057C9A" w:rsidRPr="00610101" w:rsidRDefault="00057C9A" w:rsidP="00057C9A">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Pr>
          <w:noProof/>
        </w:rPr>
        <w:drawing>
          <wp:inline distT="0" distB="0" distL="0" distR="0" wp14:anchorId="143A1A4B" wp14:editId="140F663F">
            <wp:extent cx="5613621" cy="4356735"/>
            <wp:effectExtent l="0" t="0" r="6350" b="5715"/>
            <wp:docPr id="632951411" name="Picture 63295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_infographic_titled_&quot;Understanding_Schizophrenia.png"/>
                    <pic:cNvPicPr/>
                  </pic:nvPicPr>
                  <pic:blipFill>
                    <a:blip r:embed="rId9"/>
                    <a:stretch>
                      <a:fillRect/>
                    </a:stretch>
                  </pic:blipFill>
                  <pic:spPr>
                    <a:xfrm>
                      <a:off x="0" y="0"/>
                      <a:ext cx="5623774" cy="4364615"/>
                    </a:xfrm>
                    <a:prstGeom prst="rect">
                      <a:avLst/>
                    </a:prstGeom>
                  </pic:spPr>
                </pic:pic>
              </a:graphicData>
            </a:graphic>
          </wp:inline>
        </w:drawing>
      </w:r>
    </w:p>
    <w:p w14:paraId="46041664" w14:textId="4076A53F" w:rsidR="000D4511" w:rsidRPr="000D4511" w:rsidRDefault="000D4511" w:rsidP="000D4511">
      <w:pPr>
        <w:spacing w:before="100" w:beforeAutospacing="1" w:after="100" w:afterAutospacing="1" w:line="360" w:lineRule="auto"/>
        <w:jc w:val="both"/>
        <w:rPr>
          <w:rFonts w:ascii="Arial" w:eastAsia="Times New Roman" w:hAnsi="Arial" w:cs="Arial"/>
          <w:color w:val="000000" w:themeColor="text1"/>
          <w:kern w:val="0"/>
          <w:sz w:val="18"/>
          <w:szCs w:val="18"/>
          <w:lang w:eastAsia="en-GB"/>
          <w14:ligatures w14:val="none"/>
        </w:rPr>
      </w:pPr>
      <w:r w:rsidRPr="000D4511">
        <w:rPr>
          <w:rFonts w:ascii="Arial" w:eastAsia="Times New Roman" w:hAnsi="Arial" w:cs="Arial"/>
          <w:color w:val="000000" w:themeColor="text1"/>
          <w:kern w:val="0"/>
          <w:sz w:val="18"/>
          <w:szCs w:val="18"/>
          <w:lang w:eastAsia="en-GB"/>
          <w14:ligatures w14:val="none"/>
        </w:rPr>
        <w:t xml:space="preserve">(Sources gathered from: </w:t>
      </w:r>
      <w:r w:rsidRPr="00553003">
        <w:rPr>
          <w:rFonts w:ascii="Arial" w:hAnsi="Arial" w:cs="Arial"/>
        </w:rPr>
        <w:t>(</w:t>
      </w:r>
      <w:proofErr w:type="spellStart"/>
      <w:r w:rsidRPr="000D4511">
        <w:rPr>
          <w:rFonts w:ascii="Arial" w:hAnsi="Arial" w:cs="Arial"/>
          <w:sz w:val="18"/>
          <w:szCs w:val="18"/>
        </w:rPr>
        <w:t>Pagdon</w:t>
      </w:r>
      <w:proofErr w:type="spellEnd"/>
      <w:r w:rsidRPr="000D4511">
        <w:rPr>
          <w:rFonts w:ascii="Arial" w:hAnsi="Arial" w:cs="Arial"/>
          <w:sz w:val="18"/>
          <w:szCs w:val="18"/>
        </w:rPr>
        <w:t>, 2025;</w:t>
      </w:r>
      <w:r>
        <w:rPr>
          <w:rFonts w:ascii="Arial" w:hAnsi="Arial" w:cs="Arial"/>
        </w:rPr>
        <w:t xml:space="preserve"> </w:t>
      </w:r>
      <w:r w:rsidRPr="000D4511">
        <w:rPr>
          <w:rFonts w:ascii="Arial" w:eastAsia="Times New Roman" w:hAnsi="Arial" w:cs="Arial"/>
          <w:color w:val="000000" w:themeColor="text1"/>
          <w:kern w:val="0"/>
          <w:sz w:val="18"/>
          <w:szCs w:val="18"/>
          <w:lang w:eastAsia="en-GB"/>
          <w14:ligatures w14:val="none"/>
        </w:rPr>
        <w:t xml:space="preserve">Scull, 2015; Bartlett &amp; Wright, 2018; WHO, 2023; </w:t>
      </w:r>
      <w:r w:rsidRPr="000D4511">
        <w:rPr>
          <w:rFonts w:ascii="Arial" w:hAnsi="Arial" w:cs="Arial"/>
          <w:color w:val="000000" w:themeColor="text1"/>
          <w:sz w:val="18"/>
          <w:szCs w:val="18"/>
        </w:rPr>
        <w:t>Care Quality Commission, 2023; NHS England, 2022).</w:t>
      </w:r>
    </w:p>
    <w:p w14:paraId="2441BF4F" w14:textId="25DBE780"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p>
    <w:p w14:paraId="0954F891" w14:textId="77777777" w:rsidR="00057C9A" w:rsidRPr="00610101" w:rsidRDefault="00057C9A" w:rsidP="00057C9A">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2.3 Historical Background:</w:t>
      </w:r>
    </w:p>
    <w:p w14:paraId="1BD0955D"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b/>
          <w:bCs/>
          <w:kern w:val="0"/>
          <w:lang w:eastAsia="en-GB"/>
          <w14:ligatures w14:val="none"/>
        </w:rPr>
        <w:t>2.3.1 The Evolution of Schizophrenia Treatment and Mental Health Service Development in the UK:</w:t>
      </w:r>
    </w:p>
    <w:p w14:paraId="2BFEDD97" w14:textId="77777777" w:rsidR="00057C9A"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The historical journey of schizophrenia treatment in the United Kingdom is one of significant transformation — from institutionalised care rooted in social exclusion to a more holistic, person-centred, and rights-based approach within community settings. This evolution reflects broader shifts in societal values, political priorities, medical understanding, and civil rights movements.</w:t>
      </w:r>
    </w:p>
    <w:p w14:paraId="2A3D3FC7" w14:textId="77777777" w:rsidR="000D4511" w:rsidRPr="00610101" w:rsidRDefault="000D4511" w:rsidP="00057C9A">
      <w:pPr>
        <w:spacing w:before="100" w:beforeAutospacing="1" w:after="100" w:afterAutospacing="1" w:line="360" w:lineRule="auto"/>
        <w:jc w:val="both"/>
        <w:rPr>
          <w:rFonts w:ascii="Arial" w:eastAsia="Times New Roman" w:hAnsi="Arial" w:cs="Arial"/>
          <w:kern w:val="0"/>
          <w:lang w:eastAsia="en-GB"/>
          <w14:ligatures w14:val="none"/>
        </w:rPr>
      </w:pPr>
    </w:p>
    <w:p w14:paraId="6B87A44C"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610101">
        <w:rPr>
          <w:rFonts w:ascii="Arial" w:eastAsia="Times New Roman" w:hAnsi="Arial" w:cs="Arial"/>
          <w:b/>
          <w:bCs/>
          <w:kern w:val="0"/>
          <w:lang w:eastAsia="en-GB"/>
          <w14:ligatures w14:val="none"/>
        </w:rPr>
        <w:lastRenderedPageBreak/>
        <w:t>2.3.2 Asylum-Based Care and the Early Legislative Framework (1800s–1950s):</w:t>
      </w:r>
    </w:p>
    <w:p w14:paraId="4DB6EB86"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 xml:space="preserve">The 19th and early 20th centuries were characterised by the widespread institutionalisation of individuals with mental illness. Under the </w:t>
      </w:r>
      <w:r w:rsidRPr="00610101">
        <w:rPr>
          <w:rFonts w:ascii="Arial" w:eastAsia="Times New Roman" w:hAnsi="Arial" w:cs="Arial"/>
          <w:i/>
          <w:iCs/>
          <w:kern w:val="0"/>
          <w:lang w:eastAsia="en-GB"/>
          <w14:ligatures w14:val="none"/>
        </w:rPr>
        <w:t>Lunacy Act 1845</w:t>
      </w:r>
      <w:r w:rsidRPr="00610101">
        <w:rPr>
          <w:rFonts w:ascii="Arial" w:eastAsia="Times New Roman" w:hAnsi="Arial" w:cs="Arial"/>
          <w:kern w:val="0"/>
          <w:lang w:eastAsia="en-GB"/>
          <w14:ligatures w14:val="none"/>
        </w:rPr>
        <w:t xml:space="preserve"> and later the </w:t>
      </w:r>
      <w:r w:rsidRPr="00610101">
        <w:rPr>
          <w:rFonts w:ascii="Arial" w:eastAsia="Times New Roman" w:hAnsi="Arial" w:cs="Arial"/>
          <w:i/>
          <w:iCs/>
          <w:kern w:val="0"/>
          <w:lang w:eastAsia="en-GB"/>
          <w14:ligatures w14:val="none"/>
        </w:rPr>
        <w:t>Lunacy Act 1890</w:t>
      </w:r>
      <w:r w:rsidRPr="00610101">
        <w:rPr>
          <w:rFonts w:ascii="Arial" w:eastAsia="Times New Roman" w:hAnsi="Arial" w:cs="Arial"/>
          <w:kern w:val="0"/>
          <w:lang w:eastAsia="en-GB"/>
          <w14:ligatures w14:val="none"/>
        </w:rPr>
        <w:t>, large county asylums were established to house individuals deemed “insane” — many of whom were diagnosed with what would now be classified as schizophrenia. Care in these institutions was largely custodial and often involved inhumane conditions, with minimal focus on therapeutic intervention (Scull, 2015; Bartlett &amp; Wright, 2018). By the 1950s, over 150,000 people were institutionalised in asylums across England and Wales. Public opinion began to shift as reports of neglect and abuse surfaced, prompting political pressure for reform.</w:t>
      </w:r>
    </w:p>
    <w:p w14:paraId="7D764D84" w14:textId="77777777" w:rsidR="00057C9A" w:rsidRPr="000D6CBB"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D6CBB">
        <w:rPr>
          <w:rFonts w:ascii="Arial" w:eastAsia="Times New Roman" w:hAnsi="Arial" w:cs="Arial"/>
          <w:b/>
          <w:bCs/>
          <w:kern w:val="0"/>
          <w:lang w:eastAsia="en-GB"/>
          <w14:ligatures w14:val="none"/>
        </w:rPr>
        <w:t>2.3.3 The Beginnings of Deinstitutionalisation (1959–1980s)</w:t>
      </w:r>
    </w:p>
    <w:p w14:paraId="3E88B8FD" w14:textId="77777777" w:rsidR="00057C9A" w:rsidRPr="000D6CBB"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0D6CBB">
        <w:rPr>
          <w:rFonts w:ascii="Arial" w:eastAsia="Times New Roman" w:hAnsi="Arial" w:cs="Arial"/>
          <w:kern w:val="0"/>
          <w:lang w:eastAsia="en-GB"/>
          <w14:ligatures w14:val="none"/>
        </w:rPr>
        <w:t>The Mental Health Act 1959 removed the legal separation between mental and physical illness and encouraged voluntary treatment in hospitals and community settings. This aimed to improve patient dignity and support social inclusion (Jones, 2010). Deinstitutionalisation increased in the 1980s due to policy changes, criticism of asylums, and the use of antipsychotic medication (Rogers &amp; Pilgrim, 2014). The Mental Health Act 1983 strengthened patient rights, including the right to appeal detention.</w:t>
      </w:r>
    </w:p>
    <w:p w14:paraId="1E2D9B74" w14:textId="77777777" w:rsidR="00057C9A" w:rsidRPr="000D6CBB"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D6CBB">
        <w:rPr>
          <w:rFonts w:ascii="Arial" w:eastAsia="Times New Roman" w:hAnsi="Arial" w:cs="Arial"/>
          <w:b/>
          <w:bCs/>
          <w:kern w:val="0"/>
          <w:lang w:eastAsia="en-GB"/>
          <w14:ligatures w14:val="none"/>
        </w:rPr>
        <w:t>2.3.4 The Community Care Era and the Care Programme Approach (1990s)</w:t>
      </w:r>
    </w:p>
    <w:p w14:paraId="56B166F0" w14:textId="77777777" w:rsidR="00057C9A" w:rsidRPr="000D6CBB"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0D6CBB">
        <w:rPr>
          <w:rFonts w:ascii="Arial" w:eastAsia="Times New Roman" w:hAnsi="Arial" w:cs="Arial"/>
          <w:kern w:val="0"/>
          <w:lang w:eastAsia="en-GB"/>
          <w14:ligatures w14:val="none"/>
        </w:rPr>
        <w:t>The NHS and Community Care Act 1990 supported the move from institutions to community-based care. While intended to improve independence, services were unevenly delivered, leaving some people without adequate support (Godin, 2006). The Care Programme Approach (CPA) aimed to improve care coordination for people with complex needs, but was criticised for being too bureaucratic and not always person-centred (Department of Health, 1999).</w:t>
      </w:r>
    </w:p>
    <w:p w14:paraId="6EC6EF0F" w14:textId="77777777" w:rsidR="00057C9A" w:rsidRPr="000D6CBB"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D6CBB">
        <w:rPr>
          <w:rFonts w:ascii="Arial" w:eastAsia="Times New Roman" w:hAnsi="Arial" w:cs="Arial"/>
          <w:b/>
          <w:bCs/>
          <w:kern w:val="0"/>
          <w:lang w:eastAsia="en-GB"/>
          <w14:ligatures w14:val="none"/>
        </w:rPr>
        <w:t>2.3.5 Modernisation and the Rise of Early Intervention (2000s–2015)</w:t>
      </w:r>
    </w:p>
    <w:p w14:paraId="60CE058A" w14:textId="77777777" w:rsidR="00057C9A"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0D6CBB">
        <w:rPr>
          <w:rFonts w:ascii="Arial" w:eastAsia="Times New Roman" w:hAnsi="Arial" w:cs="Arial"/>
          <w:kern w:val="0"/>
          <w:lang w:eastAsia="en-GB"/>
          <w14:ligatures w14:val="none"/>
        </w:rPr>
        <w:t>Policies such as the National Service Framework (1999) and NHS Plan (2000) aimed to modernise mental health care. Early Intervention in Psychosis (EIP) services were introduced to provide early support and improve outcomes (Birchwood et al., 2000; McGorry et al., 2002). However, funding cuts after 2008 reduced specialist services and increased pressure on community teams (Mental Health Foundation, 2020).</w:t>
      </w:r>
    </w:p>
    <w:p w14:paraId="5AB758F8" w14:textId="77777777" w:rsidR="00057C9A" w:rsidRPr="000D6CBB"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D6CBB">
        <w:rPr>
          <w:rFonts w:ascii="Arial" w:eastAsia="Times New Roman" w:hAnsi="Arial" w:cs="Arial"/>
          <w:b/>
          <w:bCs/>
          <w:kern w:val="0"/>
          <w:lang w:eastAsia="en-GB"/>
          <w14:ligatures w14:val="none"/>
        </w:rPr>
        <w:t>2.3.6 Towards Integrated and Person-Centred Systems (2015–Present)</w:t>
      </w:r>
    </w:p>
    <w:p w14:paraId="46DD1A21" w14:textId="77777777" w:rsidR="00057C9A"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0D6CBB">
        <w:rPr>
          <w:rFonts w:ascii="Arial" w:eastAsia="Times New Roman" w:hAnsi="Arial" w:cs="Arial"/>
          <w:kern w:val="0"/>
          <w:lang w:eastAsia="en-GB"/>
          <w14:ligatures w14:val="none"/>
        </w:rPr>
        <w:t xml:space="preserve">Recent policies focus on personalised, joined-up care through community services. Priorities include faster access to EIP, shared care planning, and links with housing and employment support. Despite </w:t>
      </w:r>
      <w:r w:rsidRPr="000D6CBB">
        <w:rPr>
          <w:rFonts w:ascii="Arial" w:eastAsia="Times New Roman" w:hAnsi="Arial" w:cs="Arial"/>
          <w:kern w:val="0"/>
          <w:lang w:eastAsia="en-GB"/>
          <w14:ligatures w14:val="none"/>
        </w:rPr>
        <w:lastRenderedPageBreak/>
        <w:t>progress, service delivery remains uneven, particularly for deprived areas and ethnic minority groups (</w:t>
      </w:r>
      <w:proofErr w:type="spellStart"/>
      <w:r w:rsidRPr="000D6CBB">
        <w:rPr>
          <w:rFonts w:ascii="Arial" w:eastAsia="Times New Roman" w:hAnsi="Arial" w:cs="Arial"/>
          <w:kern w:val="0"/>
          <w:lang w:eastAsia="en-GB"/>
          <w14:ligatures w14:val="none"/>
        </w:rPr>
        <w:t>RCPsych</w:t>
      </w:r>
      <w:proofErr w:type="spellEnd"/>
      <w:r w:rsidRPr="000D6CBB">
        <w:rPr>
          <w:rFonts w:ascii="Arial" w:eastAsia="Times New Roman" w:hAnsi="Arial" w:cs="Arial"/>
          <w:kern w:val="0"/>
          <w:lang w:eastAsia="en-GB"/>
          <w14:ligatures w14:val="none"/>
        </w:rPr>
        <w:t xml:space="preserve">, 2024; </w:t>
      </w:r>
      <w:proofErr w:type="spellStart"/>
      <w:r w:rsidRPr="000D6CBB">
        <w:rPr>
          <w:rFonts w:ascii="Arial" w:eastAsia="Times New Roman" w:hAnsi="Arial" w:cs="Arial"/>
          <w:kern w:val="0"/>
          <w:lang w:eastAsia="en-GB"/>
          <w14:ligatures w14:val="none"/>
        </w:rPr>
        <w:t>DoHSC</w:t>
      </w:r>
      <w:proofErr w:type="spellEnd"/>
      <w:r w:rsidRPr="000D6CBB">
        <w:rPr>
          <w:rFonts w:ascii="Arial" w:eastAsia="Times New Roman" w:hAnsi="Arial" w:cs="Arial"/>
          <w:kern w:val="0"/>
          <w:lang w:eastAsia="en-GB"/>
          <w14:ligatures w14:val="none"/>
        </w:rPr>
        <w:t>, 2023). Staff shortages and crisis-led care continue to limit service quality (CQC, 2023).</w:t>
      </w:r>
    </w:p>
    <w:p w14:paraId="6D5D6A44"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2B403D61" w14:textId="77777777" w:rsidR="00057C9A" w:rsidRPr="00157E5F" w:rsidRDefault="00057C9A" w:rsidP="00057C9A">
      <w:pPr>
        <w:spacing w:line="360" w:lineRule="auto"/>
        <w:jc w:val="both"/>
        <w:rPr>
          <w:rFonts w:ascii="Arial" w:hAnsi="Arial" w:cs="Arial"/>
        </w:rPr>
      </w:pPr>
      <w:r w:rsidRPr="009A405C">
        <w:rPr>
          <w:rFonts w:ascii="Arial" w:hAnsi="Arial" w:cs="Arial"/>
        </w:rPr>
        <w:t>This diagram illustrates the key historical phases in the development of schizophrenia treatment in the UK, from asylum-based care to modern integrated and person-centred systems.</w:t>
      </w:r>
    </w:p>
    <w:p w14:paraId="2599E750" w14:textId="77777777" w:rsidR="00B173CF" w:rsidRDefault="00057C9A" w:rsidP="00B173CF">
      <w:pPr>
        <w:spacing w:before="100" w:beforeAutospacing="1" w:after="100" w:afterAutospacing="1" w:line="360" w:lineRule="auto"/>
        <w:jc w:val="both"/>
        <w:rPr>
          <w:rFonts w:ascii="Arial" w:eastAsia="Times New Roman" w:hAnsi="Arial" w:cs="Arial"/>
          <w:kern w:val="0"/>
          <w:lang w:eastAsia="en-GB"/>
          <w14:ligatures w14:val="none"/>
        </w:rPr>
      </w:pPr>
      <w:r>
        <w:rPr>
          <w:noProof/>
        </w:rPr>
        <w:drawing>
          <wp:inline distT="0" distB="0" distL="0" distR="0" wp14:anchorId="2DD23ECD" wp14:editId="16262AD5">
            <wp:extent cx="5857875" cy="4714875"/>
            <wp:effectExtent l="0" t="0" r="9525" b="9525"/>
            <wp:docPr id="2016941592" name="Picture 201694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_infographic-style_circular_diagram_illustrates_.png"/>
                    <pic:cNvPicPr/>
                  </pic:nvPicPr>
                  <pic:blipFill>
                    <a:blip r:embed="rId10"/>
                    <a:stretch>
                      <a:fillRect/>
                    </a:stretch>
                  </pic:blipFill>
                  <pic:spPr>
                    <a:xfrm>
                      <a:off x="0" y="0"/>
                      <a:ext cx="5857875" cy="4714875"/>
                    </a:xfrm>
                    <a:prstGeom prst="rect">
                      <a:avLst/>
                    </a:prstGeom>
                  </pic:spPr>
                </pic:pic>
              </a:graphicData>
            </a:graphic>
          </wp:inline>
        </w:drawing>
      </w:r>
      <w:r w:rsidR="000D4511" w:rsidRPr="000D4511">
        <w:rPr>
          <w:rFonts w:ascii="Arial" w:eastAsia="Times New Roman" w:hAnsi="Arial" w:cs="Arial"/>
          <w:kern w:val="0"/>
          <w:sz w:val="18"/>
          <w:szCs w:val="18"/>
          <w:lang w:eastAsia="en-GB"/>
          <w14:ligatures w14:val="none"/>
        </w:rPr>
        <w:t xml:space="preserve">(Sources gathered from: </w:t>
      </w:r>
      <w:proofErr w:type="spellStart"/>
      <w:r w:rsidR="000D4511" w:rsidRPr="000D4511">
        <w:rPr>
          <w:rFonts w:ascii="Arial" w:eastAsia="Times New Roman" w:hAnsi="Arial" w:cs="Arial"/>
          <w:kern w:val="0"/>
          <w:sz w:val="18"/>
          <w:szCs w:val="18"/>
          <w:lang w:eastAsia="en-GB"/>
          <w14:ligatures w14:val="none"/>
        </w:rPr>
        <w:t>RCPsych</w:t>
      </w:r>
      <w:proofErr w:type="spellEnd"/>
      <w:r w:rsidR="000D4511" w:rsidRPr="000D4511">
        <w:rPr>
          <w:rFonts w:ascii="Arial" w:eastAsia="Times New Roman" w:hAnsi="Arial" w:cs="Arial"/>
          <w:kern w:val="0"/>
          <w:sz w:val="18"/>
          <w:szCs w:val="18"/>
          <w:lang w:eastAsia="en-GB"/>
          <w14:ligatures w14:val="none"/>
        </w:rPr>
        <w:t xml:space="preserve">, 2024; </w:t>
      </w:r>
      <w:proofErr w:type="spellStart"/>
      <w:r w:rsidR="000D4511" w:rsidRPr="000D4511">
        <w:rPr>
          <w:rFonts w:ascii="Arial" w:eastAsia="Times New Roman" w:hAnsi="Arial" w:cs="Arial"/>
          <w:kern w:val="0"/>
          <w:sz w:val="18"/>
          <w:szCs w:val="18"/>
          <w:lang w:eastAsia="en-GB"/>
          <w14:ligatures w14:val="none"/>
        </w:rPr>
        <w:t>DoHSC</w:t>
      </w:r>
      <w:proofErr w:type="spellEnd"/>
      <w:r w:rsidR="000D4511" w:rsidRPr="000D4511">
        <w:rPr>
          <w:rFonts w:ascii="Arial" w:eastAsia="Times New Roman" w:hAnsi="Arial" w:cs="Arial"/>
          <w:kern w:val="0"/>
          <w:sz w:val="18"/>
          <w:szCs w:val="18"/>
          <w:lang w:eastAsia="en-GB"/>
          <w14:ligatures w14:val="none"/>
        </w:rPr>
        <w:t>, 2023; Birchwood et al., 2000; McGorry et al., 2002; Rogers &amp; Pilgrim, 2014)</w:t>
      </w:r>
    </w:p>
    <w:p w14:paraId="1CDCC053" w14:textId="77777777" w:rsidR="00B173CF" w:rsidRDefault="00B173CF" w:rsidP="00B173CF">
      <w:pPr>
        <w:spacing w:before="100" w:beforeAutospacing="1" w:after="100" w:afterAutospacing="1" w:line="360" w:lineRule="auto"/>
        <w:jc w:val="both"/>
        <w:rPr>
          <w:rFonts w:ascii="Arial" w:eastAsia="Times New Roman" w:hAnsi="Arial" w:cs="Arial"/>
          <w:kern w:val="0"/>
          <w:lang w:eastAsia="en-GB"/>
          <w14:ligatures w14:val="none"/>
        </w:rPr>
      </w:pPr>
    </w:p>
    <w:p w14:paraId="114C2C02" w14:textId="77777777" w:rsidR="00B173CF" w:rsidRDefault="00B173CF" w:rsidP="00B173CF">
      <w:pPr>
        <w:spacing w:before="100" w:beforeAutospacing="1" w:after="100" w:afterAutospacing="1" w:line="360" w:lineRule="auto"/>
        <w:jc w:val="both"/>
        <w:rPr>
          <w:rFonts w:ascii="Arial" w:eastAsia="Times New Roman" w:hAnsi="Arial" w:cs="Arial"/>
          <w:kern w:val="0"/>
          <w:lang w:eastAsia="en-GB"/>
          <w14:ligatures w14:val="none"/>
        </w:rPr>
      </w:pPr>
    </w:p>
    <w:p w14:paraId="041D914A" w14:textId="77777777" w:rsidR="00B173CF" w:rsidRDefault="00B173CF" w:rsidP="00B173CF">
      <w:pPr>
        <w:spacing w:before="100" w:beforeAutospacing="1" w:after="100" w:afterAutospacing="1" w:line="360" w:lineRule="auto"/>
        <w:jc w:val="both"/>
        <w:rPr>
          <w:rFonts w:ascii="Arial" w:eastAsia="Times New Roman" w:hAnsi="Arial" w:cs="Arial"/>
          <w:kern w:val="0"/>
          <w:lang w:eastAsia="en-GB"/>
          <w14:ligatures w14:val="none"/>
        </w:rPr>
      </w:pPr>
    </w:p>
    <w:p w14:paraId="36FF2D1D" w14:textId="77777777" w:rsidR="00B173CF" w:rsidRDefault="00B173CF" w:rsidP="00B173CF">
      <w:pPr>
        <w:spacing w:before="100" w:beforeAutospacing="1" w:after="100" w:afterAutospacing="1" w:line="360" w:lineRule="auto"/>
        <w:jc w:val="both"/>
        <w:rPr>
          <w:rFonts w:ascii="Arial" w:eastAsia="Times New Roman" w:hAnsi="Arial" w:cs="Arial"/>
          <w:kern w:val="0"/>
          <w:lang w:eastAsia="en-GB"/>
          <w14:ligatures w14:val="none"/>
        </w:rPr>
      </w:pPr>
    </w:p>
    <w:p w14:paraId="687020FB" w14:textId="7D5B6A05" w:rsidR="00057C9A" w:rsidRPr="00B173CF" w:rsidRDefault="00057C9A" w:rsidP="00B173CF">
      <w:pPr>
        <w:spacing w:before="100" w:beforeAutospacing="1" w:after="100" w:afterAutospacing="1" w:line="360" w:lineRule="auto"/>
        <w:jc w:val="both"/>
        <w:rPr>
          <w:rFonts w:ascii="Arial" w:eastAsia="Times New Roman" w:hAnsi="Arial" w:cs="Arial"/>
          <w:kern w:val="0"/>
          <w:lang w:eastAsia="en-GB"/>
          <w14:ligatures w14:val="none"/>
        </w:rPr>
      </w:pPr>
      <w:r w:rsidRPr="000D6CBB">
        <w:rPr>
          <w:rFonts w:ascii="Arial" w:eastAsiaTheme="majorEastAsia" w:hAnsi="Arial" w:cs="Arial"/>
          <w:b/>
          <w:bCs/>
        </w:rPr>
        <w:lastRenderedPageBreak/>
        <w:t>Table: Historical Comparison of Schizophrenia Care in the UK</w:t>
      </w:r>
    </w:p>
    <w:p w14:paraId="30AE2F87" w14:textId="77777777" w:rsidR="00057C9A" w:rsidRPr="000D6CBB" w:rsidRDefault="00057C9A" w:rsidP="00057C9A">
      <w:pPr>
        <w:spacing w:line="360" w:lineRule="auto"/>
        <w:jc w:val="both"/>
        <w:rPr>
          <w:rFonts w:ascii="Arial" w:hAnsi="Arial" w:cs="Arial"/>
        </w:rPr>
      </w:pPr>
      <w:r w:rsidRPr="000D6CBB">
        <w:rPr>
          <w:rFonts w:ascii="Arial" w:hAnsi="Arial" w:cs="Arial"/>
        </w:rPr>
        <w:t>The table below presents a structured comparison of the major historical periods in the development of schizophrenia treatment and mental health services in the United Kingdom.</w:t>
      </w:r>
    </w:p>
    <w:tbl>
      <w:tblPr>
        <w:tblStyle w:val="TableGrid"/>
        <w:tblW w:w="0" w:type="auto"/>
        <w:tblInd w:w="-113" w:type="dxa"/>
        <w:tblLook w:val="04A0" w:firstRow="1" w:lastRow="0" w:firstColumn="1" w:lastColumn="0" w:noHBand="0" w:noVBand="1"/>
      </w:tblPr>
      <w:tblGrid>
        <w:gridCol w:w="1440"/>
        <w:gridCol w:w="1440"/>
        <w:gridCol w:w="2047"/>
        <w:gridCol w:w="1440"/>
        <w:gridCol w:w="1447"/>
        <w:gridCol w:w="1447"/>
      </w:tblGrid>
      <w:tr w:rsidR="00057C9A" w:rsidRPr="00610101" w14:paraId="6B58CCC0" w14:textId="77777777" w:rsidTr="006D24C3">
        <w:tc>
          <w:tcPr>
            <w:tcW w:w="1440" w:type="dxa"/>
            <w:shd w:val="clear" w:color="auto" w:fill="BDD6EE" w:themeFill="accent5" w:themeFillTint="66"/>
          </w:tcPr>
          <w:p w14:paraId="25620890"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Comparison Criteria</w:t>
            </w:r>
          </w:p>
        </w:tc>
        <w:tc>
          <w:tcPr>
            <w:tcW w:w="1440" w:type="dxa"/>
            <w:shd w:val="clear" w:color="auto" w:fill="BDD6EE" w:themeFill="accent5" w:themeFillTint="66"/>
          </w:tcPr>
          <w:p w14:paraId="3CEF50D5"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Asylum Era</w:t>
            </w:r>
            <w:r w:rsidRPr="00610101">
              <w:rPr>
                <w:rFonts w:ascii="Arial" w:hAnsi="Arial" w:cs="Arial"/>
                <w:b/>
                <w:bCs/>
                <w:sz w:val="18"/>
                <w:szCs w:val="18"/>
              </w:rPr>
              <w:br/>
              <w:t>(1800s–1950s)</w:t>
            </w:r>
          </w:p>
        </w:tc>
        <w:tc>
          <w:tcPr>
            <w:tcW w:w="1440" w:type="dxa"/>
            <w:shd w:val="clear" w:color="auto" w:fill="BDD6EE" w:themeFill="accent5" w:themeFillTint="66"/>
          </w:tcPr>
          <w:p w14:paraId="43FCD106"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 xml:space="preserve">Early </w:t>
            </w:r>
            <w:proofErr w:type="spellStart"/>
            <w:r w:rsidRPr="00610101">
              <w:rPr>
                <w:rFonts w:ascii="Arial" w:hAnsi="Arial" w:cs="Arial"/>
                <w:b/>
                <w:bCs/>
                <w:sz w:val="18"/>
                <w:szCs w:val="18"/>
              </w:rPr>
              <w:t>Deinstitutionalisation</w:t>
            </w:r>
            <w:proofErr w:type="spellEnd"/>
            <w:r w:rsidRPr="00610101">
              <w:rPr>
                <w:rFonts w:ascii="Arial" w:hAnsi="Arial" w:cs="Arial"/>
                <w:b/>
                <w:bCs/>
                <w:sz w:val="18"/>
                <w:szCs w:val="18"/>
              </w:rPr>
              <w:br/>
              <w:t>(1959–1980s)</w:t>
            </w:r>
          </w:p>
        </w:tc>
        <w:tc>
          <w:tcPr>
            <w:tcW w:w="1440" w:type="dxa"/>
            <w:shd w:val="clear" w:color="auto" w:fill="BDD6EE" w:themeFill="accent5" w:themeFillTint="66"/>
          </w:tcPr>
          <w:p w14:paraId="54EB9E42"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Community Care Era</w:t>
            </w:r>
            <w:r w:rsidRPr="00610101">
              <w:rPr>
                <w:rFonts w:ascii="Arial" w:hAnsi="Arial" w:cs="Arial"/>
                <w:b/>
                <w:bCs/>
                <w:sz w:val="18"/>
                <w:szCs w:val="18"/>
              </w:rPr>
              <w:br/>
              <w:t>(1990s)</w:t>
            </w:r>
          </w:p>
        </w:tc>
        <w:tc>
          <w:tcPr>
            <w:tcW w:w="1440" w:type="dxa"/>
            <w:shd w:val="clear" w:color="auto" w:fill="BDD6EE" w:themeFill="accent5" w:themeFillTint="66"/>
          </w:tcPr>
          <w:p w14:paraId="6E2323F7" w14:textId="77777777" w:rsidR="00057C9A" w:rsidRPr="00610101" w:rsidRDefault="00057C9A" w:rsidP="006D24C3">
            <w:pPr>
              <w:rPr>
                <w:rFonts w:ascii="Arial" w:hAnsi="Arial" w:cs="Arial"/>
                <w:b/>
                <w:bCs/>
                <w:sz w:val="18"/>
                <w:szCs w:val="18"/>
              </w:rPr>
            </w:pPr>
            <w:proofErr w:type="spellStart"/>
            <w:r w:rsidRPr="00610101">
              <w:rPr>
                <w:rFonts w:ascii="Arial" w:hAnsi="Arial" w:cs="Arial"/>
                <w:b/>
                <w:bCs/>
                <w:sz w:val="18"/>
                <w:szCs w:val="18"/>
              </w:rPr>
              <w:t>Modernisation</w:t>
            </w:r>
            <w:proofErr w:type="spellEnd"/>
            <w:r w:rsidRPr="00610101">
              <w:rPr>
                <w:rFonts w:ascii="Arial" w:hAnsi="Arial" w:cs="Arial"/>
                <w:b/>
                <w:bCs/>
                <w:sz w:val="18"/>
                <w:szCs w:val="18"/>
              </w:rPr>
              <w:t xml:space="preserve"> &amp; EIP</w:t>
            </w:r>
            <w:r w:rsidRPr="00610101">
              <w:rPr>
                <w:rFonts w:ascii="Arial" w:hAnsi="Arial" w:cs="Arial"/>
                <w:b/>
                <w:bCs/>
                <w:sz w:val="18"/>
                <w:szCs w:val="18"/>
              </w:rPr>
              <w:br/>
              <w:t>(2000s–2015)</w:t>
            </w:r>
          </w:p>
        </w:tc>
        <w:tc>
          <w:tcPr>
            <w:tcW w:w="1440" w:type="dxa"/>
            <w:shd w:val="clear" w:color="auto" w:fill="BDD6EE" w:themeFill="accent5" w:themeFillTint="66"/>
          </w:tcPr>
          <w:p w14:paraId="55279A57"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Integrated Care Era</w:t>
            </w:r>
            <w:r w:rsidRPr="00610101">
              <w:rPr>
                <w:rFonts w:ascii="Arial" w:hAnsi="Arial" w:cs="Arial"/>
                <w:b/>
                <w:bCs/>
                <w:sz w:val="18"/>
                <w:szCs w:val="18"/>
              </w:rPr>
              <w:br/>
              <w:t>(2015–Present)</w:t>
            </w:r>
          </w:p>
        </w:tc>
      </w:tr>
      <w:tr w:rsidR="00057C9A" w:rsidRPr="00610101" w14:paraId="1ACA087E" w14:textId="77777777" w:rsidTr="006D24C3">
        <w:tc>
          <w:tcPr>
            <w:tcW w:w="1440" w:type="dxa"/>
            <w:shd w:val="clear" w:color="auto" w:fill="BDD6EE" w:themeFill="accent5" w:themeFillTint="66"/>
          </w:tcPr>
          <w:p w14:paraId="48B3D716"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Care Setting</w:t>
            </w:r>
          </w:p>
        </w:tc>
        <w:tc>
          <w:tcPr>
            <w:tcW w:w="1440" w:type="dxa"/>
            <w:shd w:val="clear" w:color="auto" w:fill="DEEAF6" w:themeFill="accent5" w:themeFillTint="33"/>
          </w:tcPr>
          <w:p w14:paraId="364F5237" w14:textId="77777777" w:rsidR="00057C9A" w:rsidRPr="00610101" w:rsidRDefault="00057C9A" w:rsidP="006D24C3">
            <w:pPr>
              <w:rPr>
                <w:rFonts w:ascii="Arial" w:hAnsi="Arial" w:cs="Arial"/>
                <w:sz w:val="18"/>
                <w:szCs w:val="18"/>
              </w:rPr>
            </w:pPr>
            <w:r w:rsidRPr="00610101">
              <w:rPr>
                <w:rFonts w:ascii="Arial" w:hAnsi="Arial" w:cs="Arial"/>
                <w:sz w:val="18"/>
                <w:szCs w:val="18"/>
              </w:rPr>
              <w:t>Large county asylums</w:t>
            </w:r>
          </w:p>
        </w:tc>
        <w:tc>
          <w:tcPr>
            <w:tcW w:w="1440" w:type="dxa"/>
            <w:shd w:val="clear" w:color="auto" w:fill="DEEAF6" w:themeFill="accent5" w:themeFillTint="33"/>
          </w:tcPr>
          <w:p w14:paraId="1C11DF0D" w14:textId="77777777" w:rsidR="00057C9A" w:rsidRPr="00610101" w:rsidRDefault="00057C9A" w:rsidP="006D24C3">
            <w:pPr>
              <w:rPr>
                <w:rFonts w:ascii="Arial" w:hAnsi="Arial" w:cs="Arial"/>
                <w:sz w:val="18"/>
                <w:szCs w:val="18"/>
              </w:rPr>
            </w:pPr>
            <w:r w:rsidRPr="00610101">
              <w:rPr>
                <w:rFonts w:ascii="Arial" w:hAnsi="Arial" w:cs="Arial"/>
                <w:sz w:val="18"/>
                <w:szCs w:val="18"/>
              </w:rPr>
              <w:t>General hospitals &amp; outpatient care</w:t>
            </w:r>
          </w:p>
        </w:tc>
        <w:tc>
          <w:tcPr>
            <w:tcW w:w="1440" w:type="dxa"/>
            <w:shd w:val="clear" w:color="auto" w:fill="DEEAF6" w:themeFill="accent5" w:themeFillTint="33"/>
          </w:tcPr>
          <w:p w14:paraId="74A6ABBE" w14:textId="77777777" w:rsidR="00057C9A" w:rsidRPr="00610101" w:rsidRDefault="00057C9A" w:rsidP="006D24C3">
            <w:pPr>
              <w:rPr>
                <w:rFonts w:ascii="Arial" w:hAnsi="Arial" w:cs="Arial"/>
                <w:sz w:val="18"/>
                <w:szCs w:val="18"/>
              </w:rPr>
            </w:pPr>
            <w:r w:rsidRPr="00610101">
              <w:rPr>
                <w:rFonts w:ascii="Arial" w:hAnsi="Arial" w:cs="Arial"/>
                <w:sz w:val="18"/>
                <w:szCs w:val="18"/>
              </w:rPr>
              <w:t>Community-based services</w:t>
            </w:r>
          </w:p>
        </w:tc>
        <w:tc>
          <w:tcPr>
            <w:tcW w:w="1440" w:type="dxa"/>
            <w:shd w:val="clear" w:color="auto" w:fill="DEEAF6" w:themeFill="accent5" w:themeFillTint="33"/>
          </w:tcPr>
          <w:p w14:paraId="391796CE" w14:textId="77777777" w:rsidR="00057C9A" w:rsidRPr="00610101" w:rsidRDefault="00057C9A" w:rsidP="006D24C3">
            <w:pPr>
              <w:rPr>
                <w:rFonts w:ascii="Arial" w:hAnsi="Arial" w:cs="Arial"/>
                <w:sz w:val="18"/>
                <w:szCs w:val="18"/>
              </w:rPr>
            </w:pPr>
            <w:r w:rsidRPr="00610101">
              <w:rPr>
                <w:rFonts w:ascii="Arial" w:hAnsi="Arial" w:cs="Arial"/>
                <w:sz w:val="18"/>
                <w:szCs w:val="18"/>
              </w:rPr>
              <w:t>Specialist community teams</w:t>
            </w:r>
          </w:p>
        </w:tc>
        <w:tc>
          <w:tcPr>
            <w:tcW w:w="1440" w:type="dxa"/>
            <w:shd w:val="clear" w:color="auto" w:fill="DEEAF6" w:themeFill="accent5" w:themeFillTint="33"/>
          </w:tcPr>
          <w:p w14:paraId="59011D33" w14:textId="77777777" w:rsidR="00057C9A" w:rsidRPr="00610101" w:rsidRDefault="00057C9A" w:rsidP="006D24C3">
            <w:pPr>
              <w:rPr>
                <w:rFonts w:ascii="Arial" w:hAnsi="Arial" w:cs="Arial"/>
                <w:sz w:val="18"/>
                <w:szCs w:val="18"/>
              </w:rPr>
            </w:pPr>
            <w:r w:rsidRPr="00610101">
              <w:rPr>
                <w:rFonts w:ascii="Arial" w:hAnsi="Arial" w:cs="Arial"/>
                <w:sz w:val="18"/>
                <w:szCs w:val="18"/>
              </w:rPr>
              <w:t>Integrated community systems</w:t>
            </w:r>
          </w:p>
        </w:tc>
      </w:tr>
      <w:tr w:rsidR="00057C9A" w:rsidRPr="00610101" w14:paraId="07B3EBF8" w14:textId="77777777" w:rsidTr="006D24C3">
        <w:tc>
          <w:tcPr>
            <w:tcW w:w="1440" w:type="dxa"/>
            <w:shd w:val="clear" w:color="auto" w:fill="BDD6EE" w:themeFill="accent5" w:themeFillTint="66"/>
          </w:tcPr>
          <w:p w14:paraId="53B490E1"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Care Philosophy</w:t>
            </w:r>
          </w:p>
        </w:tc>
        <w:tc>
          <w:tcPr>
            <w:tcW w:w="1440" w:type="dxa"/>
            <w:shd w:val="clear" w:color="auto" w:fill="DEEAF6" w:themeFill="accent5" w:themeFillTint="33"/>
          </w:tcPr>
          <w:p w14:paraId="5126F00A" w14:textId="77777777" w:rsidR="00057C9A" w:rsidRPr="00610101" w:rsidRDefault="00057C9A" w:rsidP="006D24C3">
            <w:pPr>
              <w:rPr>
                <w:rFonts w:ascii="Arial" w:hAnsi="Arial" w:cs="Arial"/>
                <w:sz w:val="18"/>
                <w:szCs w:val="18"/>
              </w:rPr>
            </w:pPr>
            <w:r w:rsidRPr="00610101">
              <w:rPr>
                <w:rFonts w:ascii="Arial" w:hAnsi="Arial" w:cs="Arial"/>
                <w:sz w:val="18"/>
                <w:szCs w:val="18"/>
              </w:rPr>
              <w:t>Custodial and containment-focused</w:t>
            </w:r>
          </w:p>
        </w:tc>
        <w:tc>
          <w:tcPr>
            <w:tcW w:w="1440" w:type="dxa"/>
            <w:shd w:val="clear" w:color="auto" w:fill="DEEAF6" w:themeFill="accent5" w:themeFillTint="33"/>
          </w:tcPr>
          <w:p w14:paraId="5DD3837A" w14:textId="77777777" w:rsidR="00057C9A" w:rsidRPr="00610101" w:rsidRDefault="00057C9A" w:rsidP="006D24C3">
            <w:pPr>
              <w:rPr>
                <w:rFonts w:ascii="Arial" w:hAnsi="Arial" w:cs="Arial"/>
                <w:sz w:val="18"/>
                <w:szCs w:val="18"/>
              </w:rPr>
            </w:pPr>
            <w:r w:rsidRPr="00610101">
              <w:rPr>
                <w:rFonts w:ascii="Arial" w:hAnsi="Arial" w:cs="Arial"/>
                <w:sz w:val="18"/>
                <w:szCs w:val="18"/>
              </w:rPr>
              <w:t>Medical treatment and legal reform</w:t>
            </w:r>
          </w:p>
        </w:tc>
        <w:tc>
          <w:tcPr>
            <w:tcW w:w="1440" w:type="dxa"/>
            <w:shd w:val="clear" w:color="auto" w:fill="DEEAF6" w:themeFill="accent5" w:themeFillTint="33"/>
          </w:tcPr>
          <w:p w14:paraId="1667C2FA" w14:textId="77777777" w:rsidR="00057C9A" w:rsidRPr="00610101" w:rsidRDefault="00057C9A" w:rsidP="006D24C3">
            <w:pPr>
              <w:rPr>
                <w:rFonts w:ascii="Arial" w:hAnsi="Arial" w:cs="Arial"/>
                <w:sz w:val="18"/>
                <w:szCs w:val="18"/>
              </w:rPr>
            </w:pPr>
            <w:r w:rsidRPr="00610101">
              <w:rPr>
                <w:rFonts w:ascii="Arial" w:hAnsi="Arial" w:cs="Arial"/>
                <w:sz w:val="18"/>
                <w:szCs w:val="18"/>
              </w:rPr>
              <w:t>Independence and risk management</w:t>
            </w:r>
          </w:p>
        </w:tc>
        <w:tc>
          <w:tcPr>
            <w:tcW w:w="1440" w:type="dxa"/>
            <w:shd w:val="clear" w:color="auto" w:fill="DEEAF6" w:themeFill="accent5" w:themeFillTint="33"/>
          </w:tcPr>
          <w:p w14:paraId="25AFBAA0" w14:textId="77777777" w:rsidR="00057C9A" w:rsidRPr="00610101" w:rsidRDefault="00057C9A" w:rsidP="006D24C3">
            <w:pPr>
              <w:rPr>
                <w:rFonts w:ascii="Arial" w:hAnsi="Arial" w:cs="Arial"/>
                <w:sz w:val="18"/>
                <w:szCs w:val="18"/>
              </w:rPr>
            </w:pPr>
            <w:r w:rsidRPr="00610101">
              <w:rPr>
                <w:rFonts w:ascii="Arial" w:hAnsi="Arial" w:cs="Arial"/>
                <w:sz w:val="18"/>
                <w:szCs w:val="18"/>
              </w:rPr>
              <w:t>Early intervention and recovery</w:t>
            </w:r>
          </w:p>
        </w:tc>
        <w:tc>
          <w:tcPr>
            <w:tcW w:w="1440" w:type="dxa"/>
            <w:shd w:val="clear" w:color="auto" w:fill="DEEAF6" w:themeFill="accent5" w:themeFillTint="33"/>
          </w:tcPr>
          <w:p w14:paraId="619762BE" w14:textId="77777777" w:rsidR="00057C9A" w:rsidRPr="00610101" w:rsidRDefault="00057C9A" w:rsidP="006D24C3">
            <w:pPr>
              <w:rPr>
                <w:rFonts w:ascii="Arial" w:hAnsi="Arial" w:cs="Arial"/>
                <w:sz w:val="18"/>
                <w:szCs w:val="18"/>
              </w:rPr>
            </w:pPr>
            <w:r w:rsidRPr="00610101">
              <w:rPr>
                <w:rFonts w:ascii="Arial" w:hAnsi="Arial" w:cs="Arial"/>
                <w:sz w:val="18"/>
                <w:szCs w:val="18"/>
              </w:rPr>
              <w:t>Person-</w:t>
            </w:r>
            <w:proofErr w:type="spellStart"/>
            <w:r w:rsidRPr="00610101">
              <w:rPr>
                <w:rFonts w:ascii="Arial" w:hAnsi="Arial" w:cs="Arial"/>
                <w:sz w:val="18"/>
                <w:szCs w:val="18"/>
              </w:rPr>
              <w:t>centred</w:t>
            </w:r>
            <w:proofErr w:type="spellEnd"/>
            <w:r w:rsidRPr="00610101">
              <w:rPr>
                <w:rFonts w:ascii="Arial" w:hAnsi="Arial" w:cs="Arial"/>
                <w:sz w:val="18"/>
                <w:szCs w:val="18"/>
              </w:rPr>
              <w:t xml:space="preserve"> and holistic care</w:t>
            </w:r>
          </w:p>
        </w:tc>
      </w:tr>
      <w:tr w:rsidR="00057C9A" w:rsidRPr="00610101" w14:paraId="3ED51D59" w14:textId="77777777" w:rsidTr="006D24C3">
        <w:tc>
          <w:tcPr>
            <w:tcW w:w="1440" w:type="dxa"/>
            <w:shd w:val="clear" w:color="auto" w:fill="BDD6EE" w:themeFill="accent5" w:themeFillTint="66"/>
          </w:tcPr>
          <w:p w14:paraId="1C702D83"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Key Legislation / Policy</w:t>
            </w:r>
          </w:p>
        </w:tc>
        <w:tc>
          <w:tcPr>
            <w:tcW w:w="1440" w:type="dxa"/>
            <w:shd w:val="clear" w:color="auto" w:fill="DEEAF6" w:themeFill="accent5" w:themeFillTint="33"/>
          </w:tcPr>
          <w:p w14:paraId="168EB8B5" w14:textId="77777777" w:rsidR="00057C9A" w:rsidRPr="00610101" w:rsidRDefault="00057C9A" w:rsidP="006D24C3">
            <w:pPr>
              <w:rPr>
                <w:rFonts w:ascii="Arial" w:hAnsi="Arial" w:cs="Arial"/>
                <w:sz w:val="18"/>
                <w:szCs w:val="18"/>
              </w:rPr>
            </w:pPr>
            <w:r w:rsidRPr="00610101">
              <w:rPr>
                <w:rFonts w:ascii="Arial" w:hAnsi="Arial" w:cs="Arial"/>
                <w:sz w:val="18"/>
                <w:szCs w:val="18"/>
              </w:rPr>
              <w:t>Lunacy Acts 1845 &amp; 1890</w:t>
            </w:r>
          </w:p>
        </w:tc>
        <w:tc>
          <w:tcPr>
            <w:tcW w:w="1440" w:type="dxa"/>
            <w:shd w:val="clear" w:color="auto" w:fill="DEEAF6" w:themeFill="accent5" w:themeFillTint="33"/>
          </w:tcPr>
          <w:p w14:paraId="7C50C17B" w14:textId="77777777" w:rsidR="00057C9A" w:rsidRPr="00610101" w:rsidRDefault="00057C9A" w:rsidP="006D24C3">
            <w:pPr>
              <w:rPr>
                <w:rFonts w:ascii="Arial" w:hAnsi="Arial" w:cs="Arial"/>
                <w:sz w:val="18"/>
                <w:szCs w:val="18"/>
              </w:rPr>
            </w:pPr>
            <w:r w:rsidRPr="00610101">
              <w:rPr>
                <w:rFonts w:ascii="Arial" w:hAnsi="Arial" w:cs="Arial"/>
                <w:sz w:val="18"/>
                <w:szCs w:val="18"/>
              </w:rPr>
              <w:t>Mental Health Act 1959 &amp; 1983</w:t>
            </w:r>
          </w:p>
        </w:tc>
        <w:tc>
          <w:tcPr>
            <w:tcW w:w="1440" w:type="dxa"/>
            <w:shd w:val="clear" w:color="auto" w:fill="DEEAF6" w:themeFill="accent5" w:themeFillTint="33"/>
          </w:tcPr>
          <w:p w14:paraId="411B81B2" w14:textId="77777777" w:rsidR="00057C9A" w:rsidRPr="00610101" w:rsidRDefault="00057C9A" w:rsidP="006D24C3">
            <w:pPr>
              <w:rPr>
                <w:rFonts w:ascii="Arial" w:hAnsi="Arial" w:cs="Arial"/>
                <w:sz w:val="18"/>
                <w:szCs w:val="18"/>
              </w:rPr>
            </w:pPr>
            <w:r w:rsidRPr="00610101">
              <w:rPr>
                <w:rFonts w:ascii="Arial" w:hAnsi="Arial" w:cs="Arial"/>
                <w:sz w:val="18"/>
                <w:szCs w:val="18"/>
              </w:rPr>
              <w:t>NHS &amp; Community Care Act 1990; CPA</w:t>
            </w:r>
          </w:p>
        </w:tc>
        <w:tc>
          <w:tcPr>
            <w:tcW w:w="1440" w:type="dxa"/>
            <w:shd w:val="clear" w:color="auto" w:fill="DEEAF6" w:themeFill="accent5" w:themeFillTint="33"/>
          </w:tcPr>
          <w:p w14:paraId="574B66CD" w14:textId="77777777" w:rsidR="00057C9A" w:rsidRPr="00610101" w:rsidRDefault="00057C9A" w:rsidP="006D24C3">
            <w:pPr>
              <w:rPr>
                <w:rFonts w:ascii="Arial" w:hAnsi="Arial" w:cs="Arial"/>
                <w:sz w:val="18"/>
                <w:szCs w:val="18"/>
              </w:rPr>
            </w:pPr>
            <w:r w:rsidRPr="00610101">
              <w:rPr>
                <w:rFonts w:ascii="Arial" w:hAnsi="Arial" w:cs="Arial"/>
                <w:sz w:val="18"/>
                <w:szCs w:val="18"/>
              </w:rPr>
              <w:t>NSF for Mental Health; NHS Plan</w:t>
            </w:r>
          </w:p>
        </w:tc>
        <w:tc>
          <w:tcPr>
            <w:tcW w:w="1440" w:type="dxa"/>
            <w:shd w:val="clear" w:color="auto" w:fill="DEEAF6" w:themeFill="accent5" w:themeFillTint="33"/>
          </w:tcPr>
          <w:p w14:paraId="02B397D9" w14:textId="77777777" w:rsidR="00057C9A" w:rsidRPr="00610101" w:rsidRDefault="00057C9A" w:rsidP="006D24C3">
            <w:pPr>
              <w:rPr>
                <w:rFonts w:ascii="Arial" w:hAnsi="Arial" w:cs="Arial"/>
                <w:sz w:val="18"/>
                <w:szCs w:val="18"/>
              </w:rPr>
            </w:pPr>
            <w:r w:rsidRPr="00610101">
              <w:rPr>
                <w:rFonts w:ascii="Arial" w:hAnsi="Arial" w:cs="Arial"/>
                <w:sz w:val="18"/>
                <w:szCs w:val="18"/>
              </w:rPr>
              <w:t>NHS Long Term Plan; CMH Framework</w:t>
            </w:r>
          </w:p>
        </w:tc>
      </w:tr>
      <w:tr w:rsidR="00057C9A" w:rsidRPr="00610101" w14:paraId="2DB6E3DC" w14:textId="77777777" w:rsidTr="006D24C3">
        <w:tc>
          <w:tcPr>
            <w:tcW w:w="1440" w:type="dxa"/>
            <w:shd w:val="clear" w:color="auto" w:fill="BDD6EE" w:themeFill="accent5" w:themeFillTint="66"/>
          </w:tcPr>
          <w:p w14:paraId="10D3BE0C"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Treatment Approach</w:t>
            </w:r>
          </w:p>
        </w:tc>
        <w:tc>
          <w:tcPr>
            <w:tcW w:w="1440" w:type="dxa"/>
            <w:shd w:val="clear" w:color="auto" w:fill="DEEAF6" w:themeFill="accent5" w:themeFillTint="33"/>
          </w:tcPr>
          <w:p w14:paraId="262E8D41" w14:textId="77777777" w:rsidR="00057C9A" w:rsidRPr="00610101" w:rsidRDefault="00057C9A" w:rsidP="006D24C3">
            <w:pPr>
              <w:rPr>
                <w:rFonts w:ascii="Arial" w:hAnsi="Arial" w:cs="Arial"/>
                <w:sz w:val="18"/>
                <w:szCs w:val="18"/>
              </w:rPr>
            </w:pPr>
            <w:r w:rsidRPr="00610101">
              <w:rPr>
                <w:rFonts w:ascii="Arial" w:hAnsi="Arial" w:cs="Arial"/>
                <w:sz w:val="18"/>
                <w:szCs w:val="18"/>
              </w:rPr>
              <w:t>Minimal therapeutic input</w:t>
            </w:r>
          </w:p>
        </w:tc>
        <w:tc>
          <w:tcPr>
            <w:tcW w:w="1440" w:type="dxa"/>
            <w:shd w:val="clear" w:color="auto" w:fill="DEEAF6" w:themeFill="accent5" w:themeFillTint="33"/>
          </w:tcPr>
          <w:p w14:paraId="62EDC79C" w14:textId="77777777" w:rsidR="00057C9A" w:rsidRPr="00610101" w:rsidRDefault="00057C9A" w:rsidP="006D24C3">
            <w:pPr>
              <w:rPr>
                <w:rFonts w:ascii="Arial" w:hAnsi="Arial" w:cs="Arial"/>
                <w:sz w:val="18"/>
                <w:szCs w:val="18"/>
              </w:rPr>
            </w:pPr>
            <w:r w:rsidRPr="00610101">
              <w:rPr>
                <w:rFonts w:ascii="Arial" w:hAnsi="Arial" w:cs="Arial"/>
                <w:sz w:val="18"/>
                <w:szCs w:val="18"/>
              </w:rPr>
              <w:t>Introduction of antipsychotics</w:t>
            </w:r>
          </w:p>
        </w:tc>
        <w:tc>
          <w:tcPr>
            <w:tcW w:w="1440" w:type="dxa"/>
            <w:shd w:val="clear" w:color="auto" w:fill="DEEAF6" w:themeFill="accent5" w:themeFillTint="33"/>
          </w:tcPr>
          <w:p w14:paraId="570F9312" w14:textId="77777777" w:rsidR="00057C9A" w:rsidRPr="00610101" w:rsidRDefault="00057C9A" w:rsidP="006D24C3">
            <w:pPr>
              <w:rPr>
                <w:rFonts w:ascii="Arial" w:hAnsi="Arial" w:cs="Arial"/>
                <w:sz w:val="18"/>
                <w:szCs w:val="18"/>
              </w:rPr>
            </w:pPr>
            <w:r w:rsidRPr="00610101">
              <w:rPr>
                <w:rFonts w:ascii="Arial" w:hAnsi="Arial" w:cs="Arial"/>
                <w:sz w:val="18"/>
                <w:szCs w:val="18"/>
              </w:rPr>
              <w:t>Medication plus social support</w:t>
            </w:r>
          </w:p>
        </w:tc>
        <w:tc>
          <w:tcPr>
            <w:tcW w:w="1440" w:type="dxa"/>
            <w:shd w:val="clear" w:color="auto" w:fill="DEEAF6" w:themeFill="accent5" w:themeFillTint="33"/>
          </w:tcPr>
          <w:p w14:paraId="0B8A0CDB" w14:textId="77777777" w:rsidR="00057C9A" w:rsidRPr="00610101" w:rsidRDefault="00057C9A" w:rsidP="006D24C3">
            <w:pPr>
              <w:rPr>
                <w:rFonts w:ascii="Arial" w:hAnsi="Arial" w:cs="Arial"/>
                <w:sz w:val="18"/>
                <w:szCs w:val="18"/>
              </w:rPr>
            </w:pPr>
            <w:r w:rsidRPr="00610101">
              <w:rPr>
                <w:rFonts w:ascii="Arial" w:hAnsi="Arial" w:cs="Arial"/>
                <w:sz w:val="18"/>
                <w:szCs w:val="18"/>
              </w:rPr>
              <w:t>Evidence-based early intervention</w:t>
            </w:r>
          </w:p>
        </w:tc>
        <w:tc>
          <w:tcPr>
            <w:tcW w:w="1440" w:type="dxa"/>
            <w:shd w:val="clear" w:color="auto" w:fill="DEEAF6" w:themeFill="accent5" w:themeFillTint="33"/>
          </w:tcPr>
          <w:p w14:paraId="4A1BF5F0" w14:textId="77777777" w:rsidR="00057C9A" w:rsidRPr="00610101" w:rsidRDefault="00057C9A" w:rsidP="006D24C3">
            <w:pPr>
              <w:rPr>
                <w:rFonts w:ascii="Arial" w:hAnsi="Arial" w:cs="Arial"/>
                <w:sz w:val="18"/>
                <w:szCs w:val="18"/>
              </w:rPr>
            </w:pPr>
            <w:r w:rsidRPr="00610101">
              <w:rPr>
                <w:rFonts w:ascii="Arial" w:hAnsi="Arial" w:cs="Arial"/>
                <w:sz w:val="18"/>
                <w:szCs w:val="18"/>
              </w:rPr>
              <w:t>Integrated mental, physical &amp; social care</w:t>
            </w:r>
          </w:p>
        </w:tc>
      </w:tr>
      <w:tr w:rsidR="00057C9A" w:rsidRPr="00610101" w14:paraId="6FD254AD" w14:textId="77777777" w:rsidTr="006D24C3">
        <w:tc>
          <w:tcPr>
            <w:tcW w:w="1440" w:type="dxa"/>
            <w:shd w:val="clear" w:color="auto" w:fill="BDD6EE" w:themeFill="accent5" w:themeFillTint="66"/>
          </w:tcPr>
          <w:p w14:paraId="5C50496F"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Service Strengths</w:t>
            </w:r>
          </w:p>
        </w:tc>
        <w:tc>
          <w:tcPr>
            <w:tcW w:w="1440" w:type="dxa"/>
            <w:shd w:val="clear" w:color="auto" w:fill="DEEAF6" w:themeFill="accent5" w:themeFillTint="33"/>
          </w:tcPr>
          <w:p w14:paraId="0F1E115A" w14:textId="77777777" w:rsidR="00057C9A" w:rsidRPr="00610101" w:rsidRDefault="00057C9A" w:rsidP="006D24C3">
            <w:pPr>
              <w:rPr>
                <w:rFonts w:ascii="Arial" w:hAnsi="Arial" w:cs="Arial"/>
                <w:sz w:val="18"/>
                <w:szCs w:val="18"/>
              </w:rPr>
            </w:pPr>
            <w:r w:rsidRPr="00610101">
              <w:rPr>
                <w:rFonts w:ascii="Arial" w:hAnsi="Arial" w:cs="Arial"/>
                <w:sz w:val="18"/>
                <w:szCs w:val="18"/>
              </w:rPr>
              <w:t>Provided shelter and supervision</w:t>
            </w:r>
          </w:p>
        </w:tc>
        <w:tc>
          <w:tcPr>
            <w:tcW w:w="1440" w:type="dxa"/>
            <w:shd w:val="clear" w:color="auto" w:fill="DEEAF6" w:themeFill="accent5" w:themeFillTint="33"/>
          </w:tcPr>
          <w:p w14:paraId="0F8C5E00" w14:textId="77777777" w:rsidR="00057C9A" w:rsidRPr="00610101" w:rsidRDefault="00057C9A" w:rsidP="006D24C3">
            <w:pPr>
              <w:rPr>
                <w:rFonts w:ascii="Arial" w:hAnsi="Arial" w:cs="Arial"/>
                <w:sz w:val="18"/>
                <w:szCs w:val="18"/>
              </w:rPr>
            </w:pPr>
            <w:r w:rsidRPr="00610101">
              <w:rPr>
                <w:rFonts w:ascii="Arial" w:hAnsi="Arial" w:cs="Arial"/>
                <w:sz w:val="18"/>
                <w:szCs w:val="18"/>
              </w:rPr>
              <w:t>Improved patient rights</w:t>
            </w:r>
          </w:p>
        </w:tc>
        <w:tc>
          <w:tcPr>
            <w:tcW w:w="1440" w:type="dxa"/>
            <w:shd w:val="clear" w:color="auto" w:fill="DEEAF6" w:themeFill="accent5" w:themeFillTint="33"/>
          </w:tcPr>
          <w:p w14:paraId="16FED13D" w14:textId="77777777" w:rsidR="00057C9A" w:rsidRPr="00610101" w:rsidRDefault="00057C9A" w:rsidP="006D24C3">
            <w:pPr>
              <w:rPr>
                <w:rFonts w:ascii="Arial" w:hAnsi="Arial" w:cs="Arial"/>
                <w:sz w:val="18"/>
                <w:szCs w:val="18"/>
              </w:rPr>
            </w:pPr>
            <w:r w:rsidRPr="00610101">
              <w:rPr>
                <w:rFonts w:ascii="Arial" w:hAnsi="Arial" w:cs="Arial"/>
                <w:sz w:val="18"/>
                <w:szCs w:val="18"/>
              </w:rPr>
              <w:t>Promoted social inclusion</w:t>
            </w:r>
          </w:p>
        </w:tc>
        <w:tc>
          <w:tcPr>
            <w:tcW w:w="1440" w:type="dxa"/>
            <w:shd w:val="clear" w:color="auto" w:fill="DEEAF6" w:themeFill="accent5" w:themeFillTint="33"/>
          </w:tcPr>
          <w:p w14:paraId="48ADBD38" w14:textId="77777777" w:rsidR="00057C9A" w:rsidRPr="00610101" w:rsidRDefault="00057C9A" w:rsidP="006D24C3">
            <w:pPr>
              <w:rPr>
                <w:rFonts w:ascii="Arial" w:hAnsi="Arial" w:cs="Arial"/>
                <w:sz w:val="18"/>
                <w:szCs w:val="18"/>
              </w:rPr>
            </w:pPr>
            <w:r w:rsidRPr="00610101">
              <w:rPr>
                <w:rFonts w:ascii="Arial" w:hAnsi="Arial" w:cs="Arial"/>
                <w:sz w:val="18"/>
                <w:szCs w:val="18"/>
              </w:rPr>
              <w:t>Improved outcomes and relapse prevention</w:t>
            </w:r>
          </w:p>
        </w:tc>
        <w:tc>
          <w:tcPr>
            <w:tcW w:w="1440" w:type="dxa"/>
            <w:shd w:val="clear" w:color="auto" w:fill="DEEAF6" w:themeFill="accent5" w:themeFillTint="33"/>
          </w:tcPr>
          <w:p w14:paraId="4C40DFB1" w14:textId="77777777" w:rsidR="00057C9A" w:rsidRPr="00610101" w:rsidRDefault="00057C9A" w:rsidP="006D24C3">
            <w:pPr>
              <w:rPr>
                <w:rFonts w:ascii="Arial" w:hAnsi="Arial" w:cs="Arial"/>
                <w:sz w:val="18"/>
                <w:szCs w:val="18"/>
              </w:rPr>
            </w:pPr>
            <w:proofErr w:type="spellStart"/>
            <w:r w:rsidRPr="00610101">
              <w:rPr>
                <w:rFonts w:ascii="Arial" w:hAnsi="Arial" w:cs="Arial"/>
                <w:sz w:val="18"/>
                <w:szCs w:val="18"/>
              </w:rPr>
              <w:t>Personalisation</w:t>
            </w:r>
            <w:proofErr w:type="spellEnd"/>
            <w:r w:rsidRPr="00610101">
              <w:rPr>
                <w:rFonts w:ascii="Arial" w:hAnsi="Arial" w:cs="Arial"/>
                <w:sz w:val="18"/>
                <w:szCs w:val="18"/>
              </w:rPr>
              <w:t xml:space="preserve"> and continuity of care</w:t>
            </w:r>
          </w:p>
        </w:tc>
      </w:tr>
      <w:tr w:rsidR="00057C9A" w:rsidRPr="00610101" w14:paraId="044C77AF" w14:textId="77777777" w:rsidTr="006D24C3">
        <w:trPr>
          <w:trHeight w:val="1054"/>
        </w:trPr>
        <w:tc>
          <w:tcPr>
            <w:tcW w:w="1440" w:type="dxa"/>
            <w:shd w:val="clear" w:color="auto" w:fill="BDD6EE" w:themeFill="accent5" w:themeFillTint="66"/>
          </w:tcPr>
          <w:p w14:paraId="730766B5"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Key Limitations</w:t>
            </w:r>
          </w:p>
        </w:tc>
        <w:tc>
          <w:tcPr>
            <w:tcW w:w="1440" w:type="dxa"/>
            <w:shd w:val="clear" w:color="auto" w:fill="DEEAF6" w:themeFill="accent5" w:themeFillTint="33"/>
          </w:tcPr>
          <w:p w14:paraId="7DFC2350" w14:textId="77777777" w:rsidR="00057C9A" w:rsidRPr="00610101" w:rsidRDefault="00057C9A" w:rsidP="006D24C3">
            <w:pPr>
              <w:rPr>
                <w:rFonts w:ascii="Arial" w:hAnsi="Arial" w:cs="Arial"/>
                <w:sz w:val="18"/>
                <w:szCs w:val="18"/>
              </w:rPr>
            </w:pPr>
            <w:r w:rsidRPr="00610101">
              <w:rPr>
                <w:rFonts w:ascii="Arial" w:hAnsi="Arial" w:cs="Arial"/>
                <w:sz w:val="18"/>
                <w:szCs w:val="18"/>
              </w:rPr>
              <w:t>Overcrowding, abuse, neglect</w:t>
            </w:r>
          </w:p>
        </w:tc>
        <w:tc>
          <w:tcPr>
            <w:tcW w:w="1440" w:type="dxa"/>
            <w:shd w:val="clear" w:color="auto" w:fill="DEEAF6" w:themeFill="accent5" w:themeFillTint="33"/>
          </w:tcPr>
          <w:p w14:paraId="4CE3B41D" w14:textId="77777777" w:rsidR="00057C9A" w:rsidRPr="00610101" w:rsidRDefault="00057C9A" w:rsidP="006D24C3">
            <w:pPr>
              <w:rPr>
                <w:rFonts w:ascii="Arial" w:hAnsi="Arial" w:cs="Arial"/>
                <w:sz w:val="18"/>
                <w:szCs w:val="18"/>
              </w:rPr>
            </w:pPr>
            <w:r w:rsidRPr="00610101">
              <w:rPr>
                <w:rFonts w:ascii="Arial" w:hAnsi="Arial" w:cs="Arial"/>
                <w:sz w:val="18"/>
                <w:szCs w:val="18"/>
              </w:rPr>
              <w:t>Insufficient community infrastructure</w:t>
            </w:r>
          </w:p>
        </w:tc>
        <w:tc>
          <w:tcPr>
            <w:tcW w:w="1440" w:type="dxa"/>
            <w:shd w:val="clear" w:color="auto" w:fill="DEEAF6" w:themeFill="accent5" w:themeFillTint="33"/>
          </w:tcPr>
          <w:p w14:paraId="5681A6B5" w14:textId="77777777" w:rsidR="00057C9A" w:rsidRPr="00610101" w:rsidRDefault="00057C9A" w:rsidP="006D24C3">
            <w:pPr>
              <w:rPr>
                <w:rFonts w:ascii="Arial" w:hAnsi="Arial" w:cs="Arial"/>
                <w:sz w:val="18"/>
                <w:szCs w:val="18"/>
              </w:rPr>
            </w:pPr>
            <w:r w:rsidRPr="00610101">
              <w:rPr>
                <w:rFonts w:ascii="Arial" w:hAnsi="Arial" w:cs="Arial"/>
                <w:sz w:val="18"/>
                <w:szCs w:val="18"/>
              </w:rPr>
              <w:t>Fragmented and underfunded services</w:t>
            </w:r>
          </w:p>
        </w:tc>
        <w:tc>
          <w:tcPr>
            <w:tcW w:w="1440" w:type="dxa"/>
            <w:shd w:val="clear" w:color="auto" w:fill="DEEAF6" w:themeFill="accent5" w:themeFillTint="33"/>
          </w:tcPr>
          <w:p w14:paraId="46E5565B" w14:textId="77777777" w:rsidR="00057C9A" w:rsidRPr="00610101" w:rsidRDefault="00057C9A" w:rsidP="006D24C3">
            <w:pPr>
              <w:rPr>
                <w:rFonts w:ascii="Arial" w:hAnsi="Arial" w:cs="Arial"/>
                <w:sz w:val="18"/>
                <w:szCs w:val="18"/>
              </w:rPr>
            </w:pPr>
            <w:r w:rsidRPr="00610101">
              <w:rPr>
                <w:rFonts w:ascii="Arial" w:hAnsi="Arial" w:cs="Arial"/>
                <w:sz w:val="18"/>
                <w:szCs w:val="18"/>
              </w:rPr>
              <w:t>Austerity-led service erosion</w:t>
            </w:r>
          </w:p>
        </w:tc>
        <w:tc>
          <w:tcPr>
            <w:tcW w:w="1440" w:type="dxa"/>
            <w:shd w:val="clear" w:color="auto" w:fill="DEEAF6" w:themeFill="accent5" w:themeFillTint="33"/>
          </w:tcPr>
          <w:p w14:paraId="672EAA69" w14:textId="77777777" w:rsidR="00057C9A" w:rsidRPr="00610101" w:rsidRDefault="00057C9A" w:rsidP="006D24C3">
            <w:pPr>
              <w:rPr>
                <w:rFonts w:ascii="Arial" w:hAnsi="Arial" w:cs="Arial"/>
                <w:sz w:val="18"/>
                <w:szCs w:val="18"/>
              </w:rPr>
            </w:pPr>
            <w:r w:rsidRPr="00610101">
              <w:rPr>
                <w:rFonts w:ascii="Arial" w:hAnsi="Arial" w:cs="Arial"/>
                <w:sz w:val="18"/>
                <w:szCs w:val="18"/>
              </w:rPr>
              <w:t>Workforce shortages and inequality</w:t>
            </w:r>
          </w:p>
        </w:tc>
      </w:tr>
    </w:tbl>
    <w:p w14:paraId="04981985"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A17A57C"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610101">
        <w:rPr>
          <w:rFonts w:ascii="Arial" w:eastAsia="Times New Roman" w:hAnsi="Arial" w:cs="Arial"/>
          <w:b/>
          <w:bCs/>
          <w:kern w:val="0"/>
          <w:sz w:val="27"/>
          <w:szCs w:val="27"/>
          <w:lang w:eastAsia="en-GB"/>
          <w14:ligatures w14:val="none"/>
        </w:rPr>
        <w:t>2.</w:t>
      </w:r>
      <w:r w:rsidRPr="00610101">
        <w:rPr>
          <w:rFonts w:ascii="Arial" w:eastAsia="Times New Roman" w:hAnsi="Arial" w:cs="Arial"/>
          <w:b/>
          <w:bCs/>
          <w:kern w:val="0"/>
          <w:sz w:val="28"/>
          <w:szCs w:val="28"/>
          <w:lang w:eastAsia="en-GB"/>
          <w14:ligatures w14:val="none"/>
        </w:rPr>
        <w:t>4 Theoretical Background:</w:t>
      </w:r>
    </w:p>
    <w:p w14:paraId="5834594B" w14:textId="77777777" w:rsidR="00057C9A" w:rsidRPr="00610101" w:rsidRDefault="00057C9A" w:rsidP="00057C9A">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2.4.1 Biopsychosocial Model:</w:t>
      </w:r>
    </w:p>
    <w:p w14:paraId="6B526484" w14:textId="77777777" w:rsidR="00057C9A" w:rsidRDefault="00057C9A" w:rsidP="00057C9A">
      <w:pPr>
        <w:pStyle w:val="NormalWeb"/>
        <w:spacing w:line="360" w:lineRule="auto"/>
        <w:jc w:val="both"/>
        <w:rPr>
          <w:rFonts w:ascii="Arial" w:hAnsi="Arial" w:cs="Arial"/>
          <w:sz w:val="22"/>
          <w:szCs w:val="22"/>
        </w:rPr>
      </w:pPr>
      <w:r w:rsidRPr="00AF053F">
        <w:rPr>
          <w:rFonts w:ascii="Arial" w:hAnsi="Arial" w:cs="Arial"/>
          <w:sz w:val="22"/>
          <w:szCs w:val="22"/>
        </w:rPr>
        <w:t xml:space="preserve">The biopsychosocial model, developed by Engel (1977), explains schizophrenia as the result of biological, psychological, and social factors. This approach underpins UK guidance, with NICE (2020) recommending medication alongside psychological and family-based interventions. However, critics argue that in practice care remains heavily focused on medication, particularly in acute settings (Moncrieff &amp; </w:t>
      </w:r>
      <w:proofErr w:type="spellStart"/>
      <w:r w:rsidRPr="00AF053F">
        <w:rPr>
          <w:rFonts w:ascii="Arial" w:hAnsi="Arial" w:cs="Arial"/>
          <w:sz w:val="22"/>
          <w:szCs w:val="22"/>
        </w:rPr>
        <w:t>Timimi</w:t>
      </w:r>
      <w:proofErr w:type="spellEnd"/>
      <w:r w:rsidRPr="00AF053F">
        <w:rPr>
          <w:rFonts w:ascii="Arial" w:hAnsi="Arial" w:cs="Arial"/>
          <w:sz w:val="22"/>
          <w:szCs w:val="22"/>
        </w:rPr>
        <w:t>, 2020). The model supports a wider approach to care that includes psychological support, relapse prevention, and help with community reintegration.</w:t>
      </w:r>
    </w:p>
    <w:p w14:paraId="23FAAC4F" w14:textId="77777777" w:rsidR="00B173CF" w:rsidRPr="00497FD0" w:rsidRDefault="00B173CF" w:rsidP="00057C9A">
      <w:pPr>
        <w:pStyle w:val="NormalWeb"/>
        <w:spacing w:line="360" w:lineRule="auto"/>
        <w:jc w:val="both"/>
        <w:rPr>
          <w:rFonts w:ascii="Arial" w:hAnsi="Arial" w:cs="Arial"/>
          <w:sz w:val="22"/>
          <w:szCs w:val="22"/>
        </w:rPr>
      </w:pPr>
    </w:p>
    <w:p w14:paraId="2443C36C" w14:textId="77777777" w:rsidR="00057C9A" w:rsidRDefault="00057C9A" w:rsidP="00057C9A">
      <w:pPr>
        <w:pStyle w:val="NormalWeb"/>
        <w:spacing w:line="360" w:lineRule="auto"/>
        <w:jc w:val="both"/>
        <w:rPr>
          <w:rFonts w:ascii="Arial" w:eastAsiaTheme="majorEastAsia" w:hAnsi="Arial" w:cs="Arial"/>
          <w:b/>
          <w:bCs/>
          <w:color w:val="000000" w:themeColor="text1"/>
          <w:sz w:val="22"/>
          <w:szCs w:val="22"/>
        </w:rPr>
      </w:pPr>
    </w:p>
    <w:p w14:paraId="7B905D2F" w14:textId="77777777" w:rsidR="00BC5857" w:rsidRDefault="00BC5857" w:rsidP="00057C9A">
      <w:pPr>
        <w:pStyle w:val="NormalWeb"/>
        <w:spacing w:line="360" w:lineRule="auto"/>
        <w:jc w:val="both"/>
        <w:rPr>
          <w:rFonts w:ascii="Arial" w:eastAsiaTheme="majorEastAsia" w:hAnsi="Arial" w:cs="Arial"/>
          <w:b/>
          <w:bCs/>
          <w:color w:val="000000" w:themeColor="text1"/>
          <w:sz w:val="22"/>
          <w:szCs w:val="22"/>
        </w:rPr>
      </w:pPr>
    </w:p>
    <w:p w14:paraId="56ACD848" w14:textId="77777777" w:rsidR="00057C9A" w:rsidRPr="00AF053F" w:rsidRDefault="00057C9A" w:rsidP="00057C9A">
      <w:pPr>
        <w:pStyle w:val="NormalWeb"/>
        <w:spacing w:line="360" w:lineRule="auto"/>
        <w:jc w:val="both"/>
        <w:rPr>
          <w:rFonts w:ascii="Arial" w:hAnsi="Arial" w:cs="Arial"/>
          <w:sz w:val="22"/>
          <w:szCs w:val="22"/>
        </w:rPr>
      </w:pPr>
      <w:r w:rsidRPr="00AF053F">
        <w:rPr>
          <w:rFonts w:ascii="Arial" w:eastAsiaTheme="majorEastAsia" w:hAnsi="Arial" w:cs="Arial"/>
          <w:b/>
          <w:bCs/>
          <w:color w:val="000000" w:themeColor="text1"/>
          <w:sz w:val="22"/>
          <w:szCs w:val="22"/>
        </w:rPr>
        <w:lastRenderedPageBreak/>
        <w:t>Table 2.2 Biopsychosocial Model Applied to Schizophrenia</w:t>
      </w:r>
    </w:p>
    <w:tbl>
      <w:tblPr>
        <w:tblStyle w:val="TableGrid"/>
        <w:tblW w:w="0" w:type="auto"/>
        <w:tblInd w:w="-113" w:type="dxa"/>
        <w:tblLook w:val="04A0" w:firstRow="1" w:lastRow="0" w:firstColumn="1" w:lastColumn="0" w:noHBand="0" w:noVBand="1"/>
      </w:tblPr>
      <w:tblGrid>
        <w:gridCol w:w="4320"/>
        <w:gridCol w:w="4320"/>
      </w:tblGrid>
      <w:tr w:rsidR="00057C9A" w:rsidRPr="00610101" w14:paraId="5344DEE2" w14:textId="77777777" w:rsidTr="006D24C3">
        <w:tc>
          <w:tcPr>
            <w:tcW w:w="4320" w:type="dxa"/>
            <w:shd w:val="clear" w:color="auto" w:fill="BDD6EE" w:themeFill="accent5" w:themeFillTint="66"/>
          </w:tcPr>
          <w:p w14:paraId="3FF21806" w14:textId="77777777" w:rsidR="00057C9A" w:rsidRPr="00AF053F" w:rsidRDefault="00057C9A" w:rsidP="006D24C3">
            <w:pPr>
              <w:rPr>
                <w:rFonts w:ascii="Arial" w:hAnsi="Arial" w:cs="Arial"/>
                <w:sz w:val="20"/>
                <w:szCs w:val="20"/>
              </w:rPr>
            </w:pPr>
            <w:r w:rsidRPr="00AF053F">
              <w:rPr>
                <w:rFonts w:ascii="Arial" w:hAnsi="Arial" w:cs="Arial"/>
                <w:sz w:val="20"/>
                <w:szCs w:val="20"/>
              </w:rPr>
              <w:t>Component</w:t>
            </w:r>
          </w:p>
        </w:tc>
        <w:tc>
          <w:tcPr>
            <w:tcW w:w="4320" w:type="dxa"/>
            <w:shd w:val="clear" w:color="auto" w:fill="BDD6EE" w:themeFill="accent5" w:themeFillTint="66"/>
          </w:tcPr>
          <w:p w14:paraId="45907E2A" w14:textId="77777777" w:rsidR="00057C9A" w:rsidRPr="00AF053F" w:rsidRDefault="00057C9A" w:rsidP="006D24C3">
            <w:pPr>
              <w:rPr>
                <w:rFonts w:ascii="Arial" w:hAnsi="Arial" w:cs="Arial"/>
                <w:sz w:val="20"/>
                <w:szCs w:val="20"/>
              </w:rPr>
            </w:pPr>
            <w:r w:rsidRPr="00AF053F">
              <w:rPr>
                <w:rFonts w:ascii="Arial" w:hAnsi="Arial" w:cs="Arial"/>
                <w:sz w:val="20"/>
                <w:szCs w:val="20"/>
              </w:rPr>
              <w:t>Application</w:t>
            </w:r>
          </w:p>
        </w:tc>
      </w:tr>
      <w:tr w:rsidR="00057C9A" w:rsidRPr="00610101" w14:paraId="26354A0A" w14:textId="77777777" w:rsidTr="006D24C3">
        <w:tc>
          <w:tcPr>
            <w:tcW w:w="4320" w:type="dxa"/>
            <w:shd w:val="clear" w:color="auto" w:fill="DEEAF6" w:themeFill="accent5" w:themeFillTint="33"/>
          </w:tcPr>
          <w:p w14:paraId="142764D6" w14:textId="77777777" w:rsidR="00057C9A" w:rsidRPr="00AF053F" w:rsidRDefault="00057C9A" w:rsidP="006D24C3">
            <w:pPr>
              <w:rPr>
                <w:rFonts w:ascii="Arial" w:hAnsi="Arial" w:cs="Arial"/>
                <w:sz w:val="20"/>
                <w:szCs w:val="20"/>
              </w:rPr>
            </w:pPr>
            <w:r w:rsidRPr="00AF053F">
              <w:rPr>
                <w:rFonts w:ascii="Arial" w:hAnsi="Arial" w:cs="Arial"/>
                <w:sz w:val="20"/>
                <w:szCs w:val="20"/>
              </w:rPr>
              <w:t>Biological</w:t>
            </w:r>
          </w:p>
        </w:tc>
        <w:tc>
          <w:tcPr>
            <w:tcW w:w="4320" w:type="dxa"/>
            <w:shd w:val="clear" w:color="auto" w:fill="DEEAF6" w:themeFill="accent5" w:themeFillTint="33"/>
          </w:tcPr>
          <w:p w14:paraId="46542C53" w14:textId="77777777" w:rsidR="00057C9A" w:rsidRPr="00AF053F" w:rsidRDefault="00057C9A" w:rsidP="006D24C3">
            <w:pPr>
              <w:rPr>
                <w:rFonts w:ascii="Arial" w:hAnsi="Arial" w:cs="Arial"/>
                <w:sz w:val="20"/>
                <w:szCs w:val="20"/>
              </w:rPr>
            </w:pPr>
            <w:r w:rsidRPr="00AF053F">
              <w:rPr>
                <w:rFonts w:ascii="Arial" w:hAnsi="Arial" w:cs="Arial"/>
                <w:sz w:val="20"/>
                <w:szCs w:val="20"/>
              </w:rPr>
              <w:t>Medication use, genetic risk, neurochemical factors</w:t>
            </w:r>
          </w:p>
        </w:tc>
      </w:tr>
      <w:tr w:rsidR="00057C9A" w:rsidRPr="00610101" w14:paraId="7E58F482" w14:textId="77777777" w:rsidTr="006D24C3">
        <w:tc>
          <w:tcPr>
            <w:tcW w:w="4320" w:type="dxa"/>
            <w:shd w:val="clear" w:color="auto" w:fill="DEEAF6" w:themeFill="accent5" w:themeFillTint="33"/>
          </w:tcPr>
          <w:p w14:paraId="65662BF6" w14:textId="77777777" w:rsidR="00057C9A" w:rsidRPr="00AF053F" w:rsidRDefault="00057C9A" w:rsidP="006D24C3">
            <w:pPr>
              <w:rPr>
                <w:rFonts w:ascii="Arial" w:hAnsi="Arial" w:cs="Arial"/>
                <w:sz w:val="20"/>
                <w:szCs w:val="20"/>
              </w:rPr>
            </w:pPr>
            <w:r w:rsidRPr="00AF053F">
              <w:rPr>
                <w:rFonts w:ascii="Arial" w:hAnsi="Arial" w:cs="Arial"/>
                <w:sz w:val="20"/>
                <w:szCs w:val="20"/>
              </w:rPr>
              <w:t>Psychological</w:t>
            </w:r>
          </w:p>
        </w:tc>
        <w:tc>
          <w:tcPr>
            <w:tcW w:w="4320" w:type="dxa"/>
            <w:shd w:val="clear" w:color="auto" w:fill="DEEAF6" w:themeFill="accent5" w:themeFillTint="33"/>
          </w:tcPr>
          <w:p w14:paraId="1BB15D67" w14:textId="77777777" w:rsidR="00057C9A" w:rsidRPr="00AF053F" w:rsidRDefault="00057C9A" w:rsidP="006D24C3">
            <w:pPr>
              <w:rPr>
                <w:rFonts w:ascii="Arial" w:hAnsi="Arial" w:cs="Arial"/>
                <w:sz w:val="20"/>
                <w:szCs w:val="20"/>
              </w:rPr>
            </w:pPr>
            <w:r w:rsidRPr="00AF053F">
              <w:rPr>
                <w:rFonts w:ascii="Arial" w:hAnsi="Arial" w:cs="Arial"/>
                <w:sz w:val="20"/>
                <w:szCs w:val="20"/>
              </w:rPr>
              <w:t>CBT, trauma-informed therapy, coping skills</w:t>
            </w:r>
          </w:p>
        </w:tc>
      </w:tr>
      <w:tr w:rsidR="00057C9A" w:rsidRPr="00610101" w14:paraId="6B3EA642" w14:textId="77777777" w:rsidTr="006D24C3">
        <w:tc>
          <w:tcPr>
            <w:tcW w:w="4320" w:type="dxa"/>
            <w:shd w:val="clear" w:color="auto" w:fill="DEEAF6" w:themeFill="accent5" w:themeFillTint="33"/>
          </w:tcPr>
          <w:p w14:paraId="35A912FE" w14:textId="77777777" w:rsidR="00057C9A" w:rsidRPr="00AF053F" w:rsidRDefault="00057C9A" w:rsidP="006D24C3">
            <w:pPr>
              <w:rPr>
                <w:rFonts w:ascii="Arial" w:hAnsi="Arial" w:cs="Arial"/>
                <w:sz w:val="20"/>
                <w:szCs w:val="20"/>
              </w:rPr>
            </w:pPr>
            <w:r w:rsidRPr="00AF053F">
              <w:rPr>
                <w:rFonts w:ascii="Arial" w:hAnsi="Arial" w:cs="Arial"/>
                <w:sz w:val="20"/>
                <w:szCs w:val="20"/>
              </w:rPr>
              <w:t>Social</w:t>
            </w:r>
          </w:p>
        </w:tc>
        <w:tc>
          <w:tcPr>
            <w:tcW w:w="4320" w:type="dxa"/>
            <w:shd w:val="clear" w:color="auto" w:fill="DEEAF6" w:themeFill="accent5" w:themeFillTint="33"/>
          </w:tcPr>
          <w:p w14:paraId="324A662D" w14:textId="77777777" w:rsidR="00057C9A" w:rsidRPr="00AF053F" w:rsidRDefault="00057C9A" w:rsidP="006D24C3">
            <w:pPr>
              <w:rPr>
                <w:rFonts w:ascii="Arial" w:hAnsi="Arial" w:cs="Arial"/>
                <w:sz w:val="20"/>
                <w:szCs w:val="20"/>
              </w:rPr>
            </w:pPr>
            <w:r w:rsidRPr="00AF053F">
              <w:rPr>
                <w:rFonts w:ascii="Arial" w:hAnsi="Arial" w:cs="Arial"/>
                <w:sz w:val="20"/>
                <w:szCs w:val="20"/>
              </w:rPr>
              <w:t>Housing, employment, family and community support</w:t>
            </w:r>
          </w:p>
        </w:tc>
      </w:tr>
      <w:tr w:rsidR="00057C9A" w:rsidRPr="00610101" w14:paraId="1D1B2A9D" w14:textId="77777777" w:rsidTr="006D24C3">
        <w:tc>
          <w:tcPr>
            <w:tcW w:w="4320" w:type="dxa"/>
            <w:shd w:val="clear" w:color="auto" w:fill="DEEAF6" w:themeFill="accent5" w:themeFillTint="33"/>
          </w:tcPr>
          <w:p w14:paraId="5D7D30FB" w14:textId="77777777" w:rsidR="00057C9A" w:rsidRPr="00AF053F" w:rsidRDefault="00057C9A" w:rsidP="006D24C3">
            <w:pPr>
              <w:rPr>
                <w:rFonts w:ascii="Arial" w:hAnsi="Arial" w:cs="Arial"/>
                <w:sz w:val="20"/>
                <w:szCs w:val="20"/>
              </w:rPr>
            </w:pPr>
            <w:r w:rsidRPr="00AF053F">
              <w:rPr>
                <w:rFonts w:ascii="Arial" w:hAnsi="Arial" w:cs="Arial"/>
                <w:sz w:val="20"/>
                <w:szCs w:val="20"/>
              </w:rPr>
              <w:t>Service Delivery</w:t>
            </w:r>
          </w:p>
        </w:tc>
        <w:tc>
          <w:tcPr>
            <w:tcW w:w="4320" w:type="dxa"/>
            <w:shd w:val="clear" w:color="auto" w:fill="DEEAF6" w:themeFill="accent5" w:themeFillTint="33"/>
          </w:tcPr>
          <w:p w14:paraId="26CCE287" w14:textId="77777777" w:rsidR="00057C9A" w:rsidRPr="00AF053F" w:rsidRDefault="00057C9A" w:rsidP="006D24C3">
            <w:pPr>
              <w:rPr>
                <w:rFonts w:ascii="Arial" w:hAnsi="Arial" w:cs="Arial"/>
                <w:sz w:val="20"/>
                <w:szCs w:val="20"/>
              </w:rPr>
            </w:pPr>
            <w:r w:rsidRPr="00AF053F">
              <w:rPr>
                <w:rFonts w:ascii="Arial" w:hAnsi="Arial" w:cs="Arial"/>
                <w:sz w:val="20"/>
                <w:szCs w:val="20"/>
              </w:rPr>
              <w:t>Multidisciplinary and holistic care</w:t>
            </w:r>
          </w:p>
        </w:tc>
      </w:tr>
      <w:tr w:rsidR="00057C9A" w:rsidRPr="00AF053F" w14:paraId="249DDA75" w14:textId="77777777" w:rsidTr="006D24C3">
        <w:tc>
          <w:tcPr>
            <w:tcW w:w="4320" w:type="dxa"/>
            <w:shd w:val="clear" w:color="auto" w:fill="DEEAF6" w:themeFill="accent5" w:themeFillTint="33"/>
          </w:tcPr>
          <w:p w14:paraId="363E8D25" w14:textId="77777777" w:rsidR="00057C9A" w:rsidRPr="00AF053F" w:rsidRDefault="00057C9A" w:rsidP="006D24C3">
            <w:pPr>
              <w:rPr>
                <w:rFonts w:ascii="Arial" w:hAnsi="Arial" w:cs="Arial"/>
                <w:sz w:val="20"/>
                <w:szCs w:val="20"/>
              </w:rPr>
            </w:pPr>
            <w:r w:rsidRPr="00AF053F">
              <w:rPr>
                <w:rFonts w:ascii="Arial" w:hAnsi="Arial" w:cs="Arial"/>
                <w:sz w:val="20"/>
                <w:szCs w:val="20"/>
              </w:rPr>
              <w:t>Policy Link</w:t>
            </w:r>
          </w:p>
        </w:tc>
        <w:tc>
          <w:tcPr>
            <w:tcW w:w="4320" w:type="dxa"/>
            <w:shd w:val="clear" w:color="auto" w:fill="DEEAF6" w:themeFill="accent5" w:themeFillTint="33"/>
          </w:tcPr>
          <w:p w14:paraId="18B9A28E" w14:textId="77777777" w:rsidR="00057C9A" w:rsidRPr="00AF053F" w:rsidRDefault="00057C9A" w:rsidP="006D24C3">
            <w:pPr>
              <w:rPr>
                <w:rFonts w:ascii="Arial" w:hAnsi="Arial" w:cs="Arial"/>
                <w:sz w:val="20"/>
                <w:szCs w:val="20"/>
              </w:rPr>
            </w:pPr>
            <w:r w:rsidRPr="00AF053F">
              <w:rPr>
                <w:rFonts w:ascii="Arial" w:hAnsi="Arial" w:cs="Arial"/>
                <w:sz w:val="20"/>
                <w:szCs w:val="20"/>
              </w:rPr>
              <w:t>NICE guidance on integrated treatment</w:t>
            </w:r>
          </w:p>
        </w:tc>
      </w:tr>
    </w:tbl>
    <w:p w14:paraId="255D7384" w14:textId="62B10546" w:rsidR="00057C9A" w:rsidRPr="00B173CF" w:rsidRDefault="00057C9A" w:rsidP="00057C9A">
      <w:pPr>
        <w:spacing w:before="100" w:beforeAutospacing="1" w:after="100" w:afterAutospacing="1" w:line="360" w:lineRule="auto"/>
        <w:jc w:val="both"/>
        <w:rPr>
          <w:rFonts w:ascii="Arial" w:hAnsi="Arial" w:cs="Arial"/>
          <w:sz w:val="20"/>
          <w:szCs w:val="20"/>
        </w:rPr>
      </w:pPr>
      <w:r w:rsidRPr="00AF053F">
        <w:rPr>
          <w:rFonts w:ascii="Arial" w:hAnsi="Arial" w:cs="Arial"/>
          <w:sz w:val="20"/>
          <w:szCs w:val="20"/>
        </w:rPr>
        <w:t>(Adapted from Engel, 1977; NICE, 2020; Moncrieff and Timimi, 2020)</w:t>
      </w:r>
    </w:p>
    <w:p w14:paraId="0D254355" w14:textId="77777777" w:rsidR="00057C9A" w:rsidRPr="00610101" w:rsidRDefault="00057C9A" w:rsidP="00057C9A">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2.4.2 Recovery-Oriented Framework:</w:t>
      </w:r>
    </w:p>
    <w:p w14:paraId="6994C614" w14:textId="77777777" w:rsidR="00057C9A" w:rsidRPr="00AF053F" w:rsidRDefault="00057C9A" w:rsidP="00057C9A">
      <w:pPr>
        <w:keepNext/>
        <w:keepLines/>
        <w:spacing w:before="160" w:after="80" w:line="360" w:lineRule="auto"/>
        <w:jc w:val="both"/>
        <w:outlineLvl w:val="1"/>
        <w:rPr>
          <w:rFonts w:ascii="Arial" w:hAnsi="Arial" w:cs="Arial"/>
        </w:rPr>
      </w:pPr>
      <w:r w:rsidRPr="00AF053F">
        <w:rPr>
          <w:rFonts w:ascii="Arial" w:hAnsi="Arial" w:cs="Arial"/>
        </w:rPr>
        <w:t>In mental health care, recovery now focuses on personal meaning, independence, and social inclusion, not just symptom control (Burbach, 2018). This approach encourages services to support individual goals such as housing, work, and relationships (Slade, 2009). The recovery model shapes current policy, including the Community Mental Health Framework, which promotes shared decision-making and peer support (NHS England, 2019). Research shows that recovery-focused care improves engagement and satisfaction (Leamy et al., 2011; Lester and Glasby, 2022). However, it is not consistently applied across NHS Trusts (Repper and Perkins, 2021).</w:t>
      </w:r>
    </w:p>
    <w:p w14:paraId="0B7FE1EF" w14:textId="77777777" w:rsidR="00057C9A" w:rsidRPr="00AF053F" w:rsidRDefault="00057C9A" w:rsidP="00057C9A">
      <w:pPr>
        <w:keepNext/>
        <w:keepLines/>
        <w:spacing w:before="160" w:after="80"/>
        <w:outlineLvl w:val="1"/>
        <w:rPr>
          <w:rFonts w:ascii="Arial" w:eastAsiaTheme="majorEastAsia" w:hAnsi="Arial" w:cs="Arial"/>
          <w:b/>
          <w:bCs/>
          <w:color w:val="000000" w:themeColor="text1"/>
        </w:rPr>
      </w:pPr>
      <w:r w:rsidRPr="00AF053F">
        <w:rPr>
          <w:rFonts w:ascii="Arial" w:eastAsiaTheme="majorEastAsia" w:hAnsi="Arial" w:cs="Arial"/>
          <w:b/>
          <w:bCs/>
          <w:color w:val="000000" w:themeColor="text1"/>
        </w:rPr>
        <w:t>Table 2.3 Recovery-Oriented Framework Applied to Schizophrenia</w:t>
      </w:r>
    </w:p>
    <w:tbl>
      <w:tblPr>
        <w:tblStyle w:val="TableGrid"/>
        <w:tblW w:w="0" w:type="auto"/>
        <w:tblInd w:w="-113" w:type="dxa"/>
        <w:tblLook w:val="04A0" w:firstRow="1" w:lastRow="0" w:firstColumn="1" w:lastColumn="0" w:noHBand="0" w:noVBand="1"/>
      </w:tblPr>
      <w:tblGrid>
        <w:gridCol w:w="4320"/>
        <w:gridCol w:w="4320"/>
      </w:tblGrid>
      <w:tr w:rsidR="00057C9A" w:rsidRPr="00AF053F" w14:paraId="5F325FB7" w14:textId="77777777" w:rsidTr="006D24C3">
        <w:tc>
          <w:tcPr>
            <w:tcW w:w="4320" w:type="dxa"/>
            <w:shd w:val="clear" w:color="auto" w:fill="BDD6EE" w:themeFill="accent5" w:themeFillTint="66"/>
          </w:tcPr>
          <w:p w14:paraId="440B3A2F"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Element</w:t>
            </w:r>
          </w:p>
        </w:tc>
        <w:tc>
          <w:tcPr>
            <w:tcW w:w="4320" w:type="dxa"/>
            <w:shd w:val="clear" w:color="auto" w:fill="BDD6EE" w:themeFill="accent5" w:themeFillTint="66"/>
          </w:tcPr>
          <w:p w14:paraId="7DC3E4ED"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Application</w:t>
            </w:r>
          </w:p>
        </w:tc>
      </w:tr>
      <w:tr w:rsidR="00057C9A" w:rsidRPr="00AF053F" w14:paraId="0DABF4F6" w14:textId="77777777" w:rsidTr="006D24C3">
        <w:tc>
          <w:tcPr>
            <w:tcW w:w="4320" w:type="dxa"/>
            <w:shd w:val="clear" w:color="auto" w:fill="DEEAF6" w:themeFill="accent5" w:themeFillTint="33"/>
          </w:tcPr>
          <w:p w14:paraId="2A8EE6FE"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Recovery Concept</w:t>
            </w:r>
          </w:p>
        </w:tc>
        <w:tc>
          <w:tcPr>
            <w:tcW w:w="4320" w:type="dxa"/>
            <w:shd w:val="clear" w:color="auto" w:fill="DEEAF6" w:themeFill="accent5" w:themeFillTint="33"/>
          </w:tcPr>
          <w:p w14:paraId="47406D3F"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Meaningful life beyond symptom control</w:t>
            </w:r>
          </w:p>
        </w:tc>
      </w:tr>
      <w:tr w:rsidR="00057C9A" w:rsidRPr="00AF053F" w14:paraId="45500CDF" w14:textId="77777777" w:rsidTr="006D24C3">
        <w:tc>
          <w:tcPr>
            <w:tcW w:w="4320" w:type="dxa"/>
            <w:shd w:val="clear" w:color="auto" w:fill="DEEAF6" w:themeFill="accent5" w:themeFillTint="33"/>
          </w:tcPr>
          <w:p w14:paraId="18E14A80"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Service User Role</w:t>
            </w:r>
          </w:p>
        </w:tc>
        <w:tc>
          <w:tcPr>
            <w:tcW w:w="4320" w:type="dxa"/>
            <w:shd w:val="clear" w:color="auto" w:fill="DEEAF6" w:themeFill="accent5" w:themeFillTint="33"/>
          </w:tcPr>
          <w:p w14:paraId="15F3CEC5"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Shared decision-making and co-production</w:t>
            </w:r>
          </w:p>
        </w:tc>
      </w:tr>
      <w:tr w:rsidR="00057C9A" w:rsidRPr="00AF053F" w14:paraId="46EA08EF" w14:textId="77777777" w:rsidTr="006D24C3">
        <w:tc>
          <w:tcPr>
            <w:tcW w:w="4320" w:type="dxa"/>
            <w:shd w:val="clear" w:color="auto" w:fill="DEEAF6" w:themeFill="accent5" w:themeFillTint="33"/>
          </w:tcPr>
          <w:p w14:paraId="2B0A8E6C"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Key Practices</w:t>
            </w:r>
          </w:p>
        </w:tc>
        <w:tc>
          <w:tcPr>
            <w:tcW w:w="4320" w:type="dxa"/>
            <w:shd w:val="clear" w:color="auto" w:fill="DEEAF6" w:themeFill="accent5" w:themeFillTint="33"/>
          </w:tcPr>
          <w:p w14:paraId="4F067CAE"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Peer support and strengths-based care</w:t>
            </w:r>
          </w:p>
        </w:tc>
      </w:tr>
      <w:tr w:rsidR="00057C9A" w:rsidRPr="00AF053F" w14:paraId="203AABD8" w14:textId="77777777" w:rsidTr="006D24C3">
        <w:tc>
          <w:tcPr>
            <w:tcW w:w="4320" w:type="dxa"/>
            <w:shd w:val="clear" w:color="auto" w:fill="DEEAF6" w:themeFill="accent5" w:themeFillTint="33"/>
          </w:tcPr>
          <w:p w14:paraId="1B659DFB"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Desired Outcomes</w:t>
            </w:r>
          </w:p>
        </w:tc>
        <w:tc>
          <w:tcPr>
            <w:tcW w:w="4320" w:type="dxa"/>
            <w:shd w:val="clear" w:color="auto" w:fill="DEEAF6" w:themeFill="accent5" w:themeFillTint="33"/>
          </w:tcPr>
          <w:p w14:paraId="246A61E7"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Hope, empowerment, inclusion</w:t>
            </w:r>
          </w:p>
        </w:tc>
      </w:tr>
      <w:tr w:rsidR="00057C9A" w:rsidRPr="00AF053F" w14:paraId="5FF70B42" w14:textId="77777777" w:rsidTr="006D24C3">
        <w:tc>
          <w:tcPr>
            <w:tcW w:w="4320" w:type="dxa"/>
            <w:shd w:val="clear" w:color="auto" w:fill="DEEAF6" w:themeFill="accent5" w:themeFillTint="33"/>
          </w:tcPr>
          <w:p w14:paraId="05DF378B"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Policy Link</w:t>
            </w:r>
          </w:p>
        </w:tc>
        <w:tc>
          <w:tcPr>
            <w:tcW w:w="4320" w:type="dxa"/>
            <w:shd w:val="clear" w:color="auto" w:fill="DEEAF6" w:themeFill="accent5" w:themeFillTint="33"/>
          </w:tcPr>
          <w:p w14:paraId="5F627A34"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Community Mental Health Framework</w:t>
            </w:r>
          </w:p>
        </w:tc>
      </w:tr>
    </w:tbl>
    <w:p w14:paraId="2377D22C" w14:textId="77777777" w:rsidR="00057C9A" w:rsidRPr="00AF053F" w:rsidRDefault="00057C9A" w:rsidP="00057C9A">
      <w:pPr>
        <w:spacing w:before="100" w:beforeAutospacing="1" w:after="100" w:afterAutospacing="1" w:line="360" w:lineRule="auto"/>
        <w:jc w:val="both"/>
        <w:rPr>
          <w:rFonts w:ascii="Arial" w:eastAsia="Times New Roman" w:hAnsi="Arial" w:cs="Arial"/>
          <w:color w:val="000000" w:themeColor="text1"/>
          <w:kern w:val="0"/>
          <w:sz w:val="20"/>
          <w:szCs w:val="20"/>
          <w:lang w:eastAsia="en-GB"/>
          <w14:ligatures w14:val="none"/>
        </w:rPr>
      </w:pPr>
      <w:r w:rsidRPr="00AF053F">
        <w:rPr>
          <w:rFonts w:ascii="Arial" w:hAnsi="Arial" w:cs="Arial"/>
          <w:color w:val="000000" w:themeColor="text1"/>
          <w:sz w:val="20"/>
          <w:szCs w:val="20"/>
        </w:rPr>
        <w:t>Adapted from Slade, 2009; Burbach, 2018; NHS England, 2019)</w:t>
      </w:r>
    </w:p>
    <w:p w14:paraId="55A7A884" w14:textId="77777777" w:rsidR="00B173CF" w:rsidRDefault="00B173CF" w:rsidP="00057C9A">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46C6AABD" w14:textId="3C243F92" w:rsidR="00057C9A" w:rsidRPr="00610101" w:rsidRDefault="00057C9A" w:rsidP="00057C9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10101">
        <w:rPr>
          <w:rFonts w:ascii="Arial" w:eastAsia="Times New Roman" w:hAnsi="Arial" w:cs="Arial"/>
          <w:b/>
          <w:bCs/>
          <w:kern w:val="0"/>
          <w:sz w:val="24"/>
          <w:szCs w:val="24"/>
          <w:lang w:eastAsia="en-GB"/>
          <w14:ligatures w14:val="none"/>
        </w:rPr>
        <w:t>2.4.3 Chronic Care Model (CCM):</w:t>
      </w:r>
      <w:r w:rsidRPr="00610101">
        <w:rPr>
          <w:rFonts w:ascii="Arial" w:eastAsia="Times New Roman" w:hAnsi="Arial" w:cs="Arial"/>
          <w:kern w:val="0"/>
          <w:sz w:val="24"/>
          <w:szCs w:val="24"/>
          <w:lang w:eastAsia="en-GB"/>
          <w14:ligatures w14:val="none"/>
        </w:rPr>
        <w:t xml:space="preserve"> </w:t>
      </w:r>
    </w:p>
    <w:p w14:paraId="4E90FCCF" w14:textId="77777777" w:rsidR="00057C9A"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AF053F">
        <w:rPr>
          <w:rFonts w:ascii="Arial" w:eastAsia="Times New Roman" w:hAnsi="Arial" w:cs="Arial"/>
          <w:kern w:val="0"/>
          <w:lang w:eastAsia="en-GB"/>
          <w14:ligatures w14:val="none"/>
        </w:rPr>
        <w:t>Wagner et al.’s model for long</w:t>
      </w:r>
      <w:r w:rsidRPr="00AF053F">
        <w:rPr>
          <w:rFonts w:ascii="Cambria Math" w:eastAsia="Times New Roman" w:hAnsi="Cambria Math" w:cs="Cambria Math"/>
          <w:kern w:val="0"/>
          <w:lang w:eastAsia="en-GB"/>
          <w14:ligatures w14:val="none"/>
        </w:rPr>
        <w:t>‐</w:t>
      </w:r>
      <w:r w:rsidRPr="00AF053F">
        <w:rPr>
          <w:rFonts w:ascii="Arial" w:eastAsia="Times New Roman" w:hAnsi="Arial" w:cs="Arial"/>
          <w:kern w:val="0"/>
          <w:lang w:eastAsia="en-GB"/>
          <w14:ligatures w14:val="none"/>
        </w:rPr>
        <w:t xml:space="preserve">term conditions emphasises six key elements: self-management support, decision support, delivery system design, clinical information systems, community resources and health care organisation (Baker </w:t>
      </w:r>
      <w:proofErr w:type="gramStart"/>
      <w:r w:rsidRPr="00AF053F">
        <w:rPr>
          <w:rFonts w:ascii="Arial" w:eastAsia="Times New Roman" w:hAnsi="Arial" w:cs="Arial"/>
          <w:kern w:val="0"/>
          <w:lang w:eastAsia="en-GB"/>
          <w14:ligatures w14:val="none"/>
        </w:rPr>
        <w:t>et .</w:t>
      </w:r>
      <w:proofErr w:type="gramEnd"/>
      <w:r w:rsidRPr="00AF053F">
        <w:rPr>
          <w:rFonts w:ascii="Arial" w:eastAsia="Times New Roman" w:hAnsi="Arial" w:cs="Arial"/>
          <w:kern w:val="0"/>
          <w:lang w:eastAsia="en-GB"/>
          <w14:ligatures w14:val="none"/>
        </w:rPr>
        <w:t>, 2019). In schizophrenia treatment pathways, this model supports the idea that care must be proactive, planned and integrated across services rather than reactive, fragmented episodes of care.</w:t>
      </w:r>
    </w:p>
    <w:p w14:paraId="30EC5C02" w14:textId="77777777" w:rsidR="00B173CF" w:rsidRDefault="00B173CF" w:rsidP="00057C9A">
      <w:pPr>
        <w:spacing w:before="100" w:beforeAutospacing="1" w:after="100" w:afterAutospacing="1" w:line="360" w:lineRule="auto"/>
        <w:jc w:val="both"/>
        <w:rPr>
          <w:rFonts w:ascii="Arial" w:eastAsia="Times New Roman" w:hAnsi="Arial" w:cs="Arial"/>
          <w:kern w:val="0"/>
          <w:lang w:eastAsia="en-GB"/>
          <w14:ligatures w14:val="none"/>
        </w:rPr>
      </w:pPr>
    </w:p>
    <w:p w14:paraId="2B3F7D79" w14:textId="77777777" w:rsidR="00057C9A" w:rsidRPr="00497FD0"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AF053F">
        <w:rPr>
          <w:rFonts w:ascii="Arial" w:eastAsiaTheme="majorEastAsia" w:hAnsi="Arial" w:cs="Arial"/>
          <w:color w:val="000000" w:themeColor="text1"/>
        </w:rPr>
        <w:lastRenderedPageBreak/>
        <w:t>Table 2.4 Chronic Care Model Applied to Schizophrenia</w:t>
      </w:r>
    </w:p>
    <w:tbl>
      <w:tblPr>
        <w:tblStyle w:val="TableGrid"/>
        <w:tblW w:w="0" w:type="auto"/>
        <w:tblInd w:w="-113" w:type="dxa"/>
        <w:tblLook w:val="04A0" w:firstRow="1" w:lastRow="0" w:firstColumn="1" w:lastColumn="0" w:noHBand="0" w:noVBand="1"/>
      </w:tblPr>
      <w:tblGrid>
        <w:gridCol w:w="4320"/>
        <w:gridCol w:w="4320"/>
      </w:tblGrid>
      <w:tr w:rsidR="00057C9A" w:rsidRPr="00AF053F" w14:paraId="169D34AE" w14:textId="77777777" w:rsidTr="006D24C3">
        <w:tc>
          <w:tcPr>
            <w:tcW w:w="4320" w:type="dxa"/>
            <w:shd w:val="clear" w:color="auto" w:fill="BDD6EE" w:themeFill="accent5" w:themeFillTint="66"/>
          </w:tcPr>
          <w:p w14:paraId="3DBD507E"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CCM Element</w:t>
            </w:r>
          </w:p>
        </w:tc>
        <w:tc>
          <w:tcPr>
            <w:tcW w:w="4320" w:type="dxa"/>
            <w:shd w:val="clear" w:color="auto" w:fill="BDD6EE" w:themeFill="accent5" w:themeFillTint="66"/>
          </w:tcPr>
          <w:p w14:paraId="22C5BAD5"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Application</w:t>
            </w:r>
          </w:p>
        </w:tc>
      </w:tr>
      <w:tr w:rsidR="00057C9A" w:rsidRPr="00AF053F" w14:paraId="461F4238" w14:textId="77777777" w:rsidTr="006D24C3">
        <w:tc>
          <w:tcPr>
            <w:tcW w:w="4320" w:type="dxa"/>
            <w:shd w:val="clear" w:color="auto" w:fill="DEEAF6" w:themeFill="accent5" w:themeFillTint="33"/>
          </w:tcPr>
          <w:p w14:paraId="27FAACA3"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Self-management</w:t>
            </w:r>
          </w:p>
        </w:tc>
        <w:tc>
          <w:tcPr>
            <w:tcW w:w="4320" w:type="dxa"/>
            <w:shd w:val="clear" w:color="auto" w:fill="DEEAF6" w:themeFill="accent5" w:themeFillTint="33"/>
          </w:tcPr>
          <w:p w14:paraId="56BDB03F"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Relapse prevention and medication adherence</w:t>
            </w:r>
          </w:p>
        </w:tc>
      </w:tr>
      <w:tr w:rsidR="00057C9A" w:rsidRPr="00AF053F" w14:paraId="03C80583" w14:textId="77777777" w:rsidTr="006D24C3">
        <w:tc>
          <w:tcPr>
            <w:tcW w:w="4320" w:type="dxa"/>
            <w:shd w:val="clear" w:color="auto" w:fill="DEEAF6" w:themeFill="accent5" w:themeFillTint="33"/>
          </w:tcPr>
          <w:p w14:paraId="383C364F"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System Design</w:t>
            </w:r>
          </w:p>
        </w:tc>
        <w:tc>
          <w:tcPr>
            <w:tcW w:w="4320" w:type="dxa"/>
            <w:shd w:val="clear" w:color="auto" w:fill="DEEAF6" w:themeFill="accent5" w:themeFillTint="33"/>
          </w:tcPr>
          <w:p w14:paraId="78FC57FA"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Planned reviews and MDT coordination</w:t>
            </w:r>
          </w:p>
        </w:tc>
      </w:tr>
      <w:tr w:rsidR="00057C9A" w:rsidRPr="00AF053F" w14:paraId="3353F3DB" w14:textId="77777777" w:rsidTr="006D24C3">
        <w:tc>
          <w:tcPr>
            <w:tcW w:w="4320" w:type="dxa"/>
            <w:shd w:val="clear" w:color="auto" w:fill="DEEAF6" w:themeFill="accent5" w:themeFillTint="33"/>
          </w:tcPr>
          <w:p w14:paraId="2B883773"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Decision Support</w:t>
            </w:r>
          </w:p>
        </w:tc>
        <w:tc>
          <w:tcPr>
            <w:tcW w:w="4320" w:type="dxa"/>
            <w:shd w:val="clear" w:color="auto" w:fill="DEEAF6" w:themeFill="accent5" w:themeFillTint="33"/>
          </w:tcPr>
          <w:p w14:paraId="23C40DD9"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Evidence-based practice</w:t>
            </w:r>
          </w:p>
        </w:tc>
      </w:tr>
      <w:tr w:rsidR="00057C9A" w:rsidRPr="00AF053F" w14:paraId="73965109" w14:textId="77777777" w:rsidTr="006D24C3">
        <w:tc>
          <w:tcPr>
            <w:tcW w:w="4320" w:type="dxa"/>
            <w:shd w:val="clear" w:color="auto" w:fill="DEEAF6" w:themeFill="accent5" w:themeFillTint="33"/>
          </w:tcPr>
          <w:p w14:paraId="36BEF0FA"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Community Resources</w:t>
            </w:r>
          </w:p>
        </w:tc>
        <w:tc>
          <w:tcPr>
            <w:tcW w:w="4320" w:type="dxa"/>
            <w:shd w:val="clear" w:color="auto" w:fill="DEEAF6" w:themeFill="accent5" w:themeFillTint="33"/>
          </w:tcPr>
          <w:p w14:paraId="562F672F"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Voluntary and social care links</w:t>
            </w:r>
          </w:p>
        </w:tc>
      </w:tr>
      <w:tr w:rsidR="00057C9A" w:rsidRPr="00AF053F" w14:paraId="0DE52E16" w14:textId="77777777" w:rsidTr="006D24C3">
        <w:tc>
          <w:tcPr>
            <w:tcW w:w="4320" w:type="dxa"/>
            <w:shd w:val="clear" w:color="auto" w:fill="DEEAF6" w:themeFill="accent5" w:themeFillTint="33"/>
          </w:tcPr>
          <w:p w14:paraId="68AFB3BD"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Overall Aim</w:t>
            </w:r>
          </w:p>
        </w:tc>
        <w:tc>
          <w:tcPr>
            <w:tcW w:w="4320" w:type="dxa"/>
            <w:shd w:val="clear" w:color="auto" w:fill="DEEAF6" w:themeFill="accent5" w:themeFillTint="33"/>
          </w:tcPr>
          <w:p w14:paraId="378F4209" w14:textId="77777777" w:rsidR="00057C9A" w:rsidRPr="00AF053F" w:rsidRDefault="00057C9A" w:rsidP="006D24C3">
            <w:pPr>
              <w:rPr>
                <w:rFonts w:ascii="Arial" w:hAnsi="Arial" w:cs="Arial"/>
                <w:color w:val="000000" w:themeColor="text1"/>
                <w:sz w:val="20"/>
                <w:szCs w:val="20"/>
              </w:rPr>
            </w:pPr>
            <w:r w:rsidRPr="00AF053F">
              <w:rPr>
                <w:rFonts w:ascii="Arial" w:hAnsi="Arial" w:cs="Arial"/>
                <w:color w:val="000000" w:themeColor="text1"/>
                <w:sz w:val="20"/>
                <w:szCs w:val="20"/>
              </w:rPr>
              <w:t>Proactive long-term care</w:t>
            </w:r>
          </w:p>
        </w:tc>
      </w:tr>
    </w:tbl>
    <w:p w14:paraId="4FD90FC8" w14:textId="68FA26F8" w:rsidR="00057C9A" w:rsidRPr="00BC5857" w:rsidRDefault="00057C9A" w:rsidP="00057C9A">
      <w:pPr>
        <w:spacing w:before="100" w:beforeAutospacing="1" w:after="100" w:afterAutospacing="1" w:line="360" w:lineRule="auto"/>
        <w:jc w:val="both"/>
        <w:rPr>
          <w:rFonts w:ascii="Arial" w:hAnsi="Arial" w:cs="Arial"/>
          <w:color w:val="000000" w:themeColor="text1"/>
          <w:sz w:val="20"/>
          <w:szCs w:val="20"/>
        </w:rPr>
      </w:pPr>
      <w:r w:rsidRPr="00AF053F">
        <w:rPr>
          <w:rFonts w:ascii="Arial" w:hAnsi="Arial" w:cs="Arial"/>
          <w:color w:val="000000" w:themeColor="text1"/>
          <w:sz w:val="20"/>
          <w:szCs w:val="20"/>
        </w:rPr>
        <w:t>Adapted from Wagner et al.; Baker et al., 2019)</w:t>
      </w:r>
    </w:p>
    <w:p w14:paraId="553F565A" w14:textId="77777777" w:rsidR="00057C9A" w:rsidRPr="00610101" w:rsidRDefault="00057C9A" w:rsidP="00057C9A">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2.4.4 Integrated Systems Theory:</w:t>
      </w:r>
    </w:p>
    <w:p w14:paraId="79E0ADB5"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10101">
        <w:rPr>
          <w:rFonts w:ascii="Arial" w:eastAsia="Times New Roman" w:hAnsi="Arial" w:cs="Arial"/>
          <w:kern w:val="0"/>
          <w:sz w:val="24"/>
          <w:szCs w:val="24"/>
          <w:lang w:eastAsia="en-GB"/>
          <w14:ligatures w14:val="none"/>
        </w:rPr>
        <w:t xml:space="preserve">In response to fragmented care, </w:t>
      </w:r>
      <w:r w:rsidRPr="00610101">
        <w:rPr>
          <w:rFonts w:ascii="Arial" w:eastAsia="Times New Roman" w:hAnsi="Arial" w:cs="Arial"/>
          <w:b/>
          <w:bCs/>
          <w:kern w:val="0"/>
          <w:sz w:val="24"/>
          <w:szCs w:val="24"/>
          <w:lang w:eastAsia="en-GB"/>
          <w14:ligatures w14:val="none"/>
        </w:rPr>
        <w:t>Integrated Care Systems (ICS)</w:t>
      </w:r>
      <w:r w:rsidRPr="00610101">
        <w:rPr>
          <w:rFonts w:ascii="Arial" w:eastAsia="Times New Roman" w:hAnsi="Arial" w:cs="Arial"/>
          <w:kern w:val="0"/>
          <w:sz w:val="24"/>
          <w:szCs w:val="24"/>
          <w:lang w:eastAsia="en-GB"/>
          <w14:ligatures w14:val="none"/>
        </w:rPr>
        <w:t xml:space="preserve"> were introduced nationally in 2021 to unify NHS services, local authorities, and voluntary organisations. This is grounded in systems theory, which posits that effective care emerges from cooperation among interconnected services (King’s Fund, 2022). However, systemic barriers remain, including siloed funding, data incompatibility, and workforce shortages (Asthana et al., 2020; NHS Confederation, 2023).</w:t>
      </w:r>
    </w:p>
    <w:p w14:paraId="3B74F1FD" w14:textId="77777777" w:rsidR="00057C9A" w:rsidRPr="00610101" w:rsidRDefault="00057C9A" w:rsidP="00057C9A">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2.4.5 Intersectionality and Inequity:</w:t>
      </w:r>
    </w:p>
    <w:p w14:paraId="10744CDB" w14:textId="77777777" w:rsidR="00057C9A" w:rsidRPr="000F4753"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0F4753">
        <w:rPr>
          <w:rFonts w:ascii="Arial" w:eastAsia="Times New Roman" w:hAnsi="Arial" w:cs="Arial"/>
          <w:kern w:val="0"/>
          <w:lang w:eastAsia="en-GB"/>
          <w14:ligatures w14:val="none"/>
        </w:rPr>
        <w:t>Structural inequalities in schizophrenia care are increasingly examined using an intersectional approach, recognising how race, gender, and socioeconomic factors overlap (</w:t>
      </w:r>
      <w:proofErr w:type="spellStart"/>
      <w:r w:rsidRPr="000F4753">
        <w:rPr>
          <w:rFonts w:ascii="Arial" w:eastAsia="Times New Roman" w:hAnsi="Arial" w:cs="Arial"/>
          <w:kern w:val="0"/>
          <w:lang w:eastAsia="en-GB"/>
          <w14:ligatures w14:val="none"/>
        </w:rPr>
        <w:t>Nazroo</w:t>
      </w:r>
      <w:proofErr w:type="spellEnd"/>
      <w:r w:rsidRPr="000F4753">
        <w:rPr>
          <w:rFonts w:ascii="Arial" w:eastAsia="Times New Roman" w:hAnsi="Arial" w:cs="Arial"/>
          <w:kern w:val="0"/>
          <w:lang w:eastAsia="en-GB"/>
          <w14:ligatures w14:val="none"/>
        </w:rPr>
        <w:t xml:space="preserve"> et al., 2019; Keating, 2023). Evidence shows that Black Caribbean men are significantly more likely to be detained under the Mental Health Act (</w:t>
      </w:r>
      <w:proofErr w:type="spellStart"/>
      <w:r w:rsidRPr="000F4753">
        <w:rPr>
          <w:rFonts w:ascii="Arial" w:eastAsia="Times New Roman" w:hAnsi="Arial" w:cs="Arial"/>
          <w:kern w:val="0"/>
          <w:lang w:eastAsia="en-GB"/>
          <w14:ligatures w14:val="none"/>
        </w:rPr>
        <w:t>DoHSC</w:t>
      </w:r>
      <w:proofErr w:type="spellEnd"/>
      <w:r w:rsidRPr="000F4753">
        <w:rPr>
          <w:rFonts w:ascii="Arial" w:eastAsia="Times New Roman" w:hAnsi="Arial" w:cs="Arial"/>
          <w:kern w:val="0"/>
          <w:lang w:eastAsia="en-GB"/>
          <w14:ligatures w14:val="none"/>
        </w:rPr>
        <w:t>, 2023), while women often experience underdiagnosis and limited perinatal support (Jovanović et al., 2025). New approaches, including trauma-informed and anti-oppressive practice, are now reflected in national guidance (NICE, 2021; Mental Health Act Reform White Paper, 2021).</w:t>
      </w:r>
      <w:r w:rsidRPr="000F4753">
        <w:rPr>
          <w:rFonts w:ascii="Arial" w:eastAsia="Times New Roman" w:hAnsi="Arial" w:cs="Arial"/>
          <w:vanish/>
          <w:kern w:val="0"/>
          <w:sz w:val="16"/>
          <w:szCs w:val="16"/>
          <w:lang w:eastAsia="en-GB"/>
          <w14:ligatures w14:val="none"/>
        </w:rPr>
        <w:t>Top of Form</w:t>
      </w:r>
    </w:p>
    <w:p w14:paraId="58B52E25" w14:textId="77777777" w:rsidR="00057C9A" w:rsidRPr="000F4753" w:rsidRDefault="00057C9A" w:rsidP="00057C9A">
      <w:pPr>
        <w:pBdr>
          <w:top w:val="single" w:sz="6" w:space="1" w:color="auto"/>
        </w:pBdr>
        <w:spacing w:after="0" w:line="240" w:lineRule="auto"/>
        <w:rPr>
          <w:rFonts w:ascii="Arial" w:eastAsia="Times New Roman" w:hAnsi="Arial" w:cs="Arial"/>
          <w:vanish/>
          <w:color w:val="000000" w:themeColor="text1"/>
          <w:kern w:val="0"/>
          <w:lang w:eastAsia="en-GB"/>
          <w14:ligatures w14:val="none"/>
        </w:rPr>
      </w:pPr>
      <w:r w:rsidRPr="000F4753">
        <w:rPr>
          <w:rFonts w:ascii="Arial" w:eastAsia="Times New Roman" w:hAnsi="Arial" w:cs="Arial"/>
          <w:vanish/>
          <w:color w:val="000000" w:themeColor="text1"/>
          <w:kern w:val="0"/>
          <w:lang w:eastAsia="en-GB"/>
          <w14:ligatures w14:val="none"/>
        </w:rPr>
        <w:t>Bottom of Form</w:t>
      </w:r>
    </w:p>
    <w:p w14:paraId="39B8314F" w14:textId="77777777" w:rsidR="00057C9A" w:rsidRPr="000F4753" w:rsidRDefault="00057C9A" w:rsidP="00057C9A">
      <w:pPr>
        <w:keepNext/>
        <w:keepLines/>
        <w:spacing w:before="160" w:after="80"/>
        <w:outlineLvl w:val="1"/>
        <w:rPr>
          <w:rFonts w:ascii="Arial" w:eastAsiaTheme="majorEastAsia" w:hAnsi="Arial" w:cs="Arial"/>
          <w:color w:val="000000" w:themeColor="text1"/>
        </w:rPr>
      </w:pPr>
      <w:r w:rsidRPr="000F4753">
        <w:rPr>
          <w:rFonts w:ascii="Arial" w:eastAsiaTheme="majorEastAsia" w:hAnsi="Arial" w:cs="Arial"/>
          <w:color w:val="000000" w:themeColor="text1"/>
        </w:rPr>
        <w:t>Table 2.5 Intersectionality and Inequality in Schizophrenia Care</w:t>
      </w:r>
    </w:p>
    <w:tbl>
      <w:tblPr>
        <w:tblStyle w:val="TableGrid"/>
        <w:tblW w:w="0" w:type="auto"/>
        <w:tblInd w:w="-113" w:type="dxa"/>
        <w:tblLook w:val="04A0" w:firstRow="1" w:lastRow="0" w:firstColumn="1" w:lastColumn="0" w:noHBand="0" w:noVBand="1"/>
      </w:tblPr>
      <w:tblGrid>
        <w:gridCol w:w="4320"/>
        <w:gridCol w:w="4320"/>
      </w:tblGrid>
      <w:tr w:rsidR="00057C9A" w:rsidRPr="000F4753" w14:paraId="72121F9E" w14:textId="77777777" w:rsidTr="006D24C3">
        <w:tc>
          <w:tcPr>
            <w:tcW w:w="4320" w:type="dxa"/>
            <w:shd w:val="clear" w:color="auto" w:fill="BDD6EE" w:themeFill="accent5" w:themeFillTint="66"/>
          </w:tcPr>
          <w:p w14:paraId="6A4884CE"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Factor</w:t>
            </w:r>
          </w:p>
        </w:tc>
        <w:tc>
          <w:tcPr>
            <w:tcW w:w="4320" w:type="dxa"/>
            <w:shd w:val="clear" w:color="auto" w:fill="BDD6EE" w:themeFill="accent5" w:themeFillTint="66"/>
          </w:tcPr>
          <w:p w14:paraId="7B1BBC42"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Impact</w:t>
            </w:r>
          </w:p>
        </w:tc>
      </w:tr>
      <w:tr w:rsidR="00057C9A" w:rsidRPr="000F4753" w14:paraId="27C49357" w14:textId="77777777" w:rsidTr="006D24C3">
        <w:tc>
          <w:tcPr>
            <w:tcW w:w="4320" w:type="dxa"/>
            <w:shd w:val="clear" w:color="auto" w:fill="DEEAF6" w:themeFill="accent5" w:themeFillTint="33"/>
          </w:tcPr>
          <w:p w14:paraId="3C53E31D"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Ethnicity</w:t>
            </w:r>
          </w:p>
        </w:tc>
        <w:tc>
          <w:tcPr>
            <w:tcW w:w="4320" w:type="dxa"/>
            <w:shd w:val="clear" w:color="auto" w:fill="DEEAF6" w:themeFill="accent5" w:themeFillTint="33"/>
          </w:tcPr>
          <w:p w14:paraId="793CACF8"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Higher detention rates for Black service users</w:t>
            </w:r>
          </w:p>
        </w:tc>
      </w:tr>
      <w:tr w:rsidR="00057C9A" w:rsidRPr="000F4753" w14:paraId="79B56B90" w14:textId="77777777" w:rsidTr="006D24C3">
        <w:tc>
          <w:tcPr>
            <w:tcW w:w="4320" w:type="dxa"/>
            <w:shd w:val="clear" w:color="auto" w:fill="DEEAF6" w:themeFill="accent5" w:themeFillTint="33"/>
          </w:tcPr>
          <w:p w14:paraId="3B554427"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Gender</w:t>
            </w:r>
          </w:p>
        </w:tc>
        <w:tc>
          <w:tcPr>
            <w:tcW w:w="4320" w:type="dxa"/>
            <w:shd w:val="clear" w:color="auto" w:fill="DEEAF6" w:themeFill="accent5" w:themeFillTint="33"/>
          </w:tcPr>
          <w:p w14:paraId="512453F3"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Underdiagnosis and perinatal care gaps</w:t>
            </w:r>
          </w:p>
        </w:tc>
      </w:tr>
      <w:tr w:rsidR="00057C9A" w:rsidRPr="000F4753" w14:paraId="37EBA467" w14:textId="77777777" w:rsidTr="006D24C3">
        <w:tc>
          <w:tcPr>
            <w:tcW w:w="4320" w:type="dxa"/>
            <w:shd w:val="clear" w:color="auto" w:fill="DEEAF6" w:themeFill="accent5" w:themeFillTint="33"/>
          </w:tcPr>
          <w:p w14:paraId="3FEC6ECB"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Socioeconomic Status</w:t>
            </w:r>
          </w:p>
        </w:tc>
        <w:tc>
          <w:tcPr>
            <w:tcW w:w="4320" w:type="dxa"/>
            <w:shd w:val="clear" w:color="auto" w:fill="DEEAF6" w:themeFill="accent5" w:themeFillTint="33"/>
          </w:tcPr>
          <w:p w14:paraId="6C6348C5"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Barriers to housing and employment</w:t>
            </w:r>
          </w:p>
        </w:tc>
      </w:tr>
      <w:tr w:rsidR="00057C9A" w:rsidRPr="000F4753" w14:paraId="433232E2" w14:textId="77777777" w:rsidTr="006D24C3">
        <w:tc>
          <w:tcPr>
            <w:tcW w:w="4320" w:type="dxa"/>
            <w:shd w:val="clear" w:color="auto" w:fill="DEEAF6" w:themeFill="accent5" w:themeFillTint="33"/>
          </w:tcPr>
          <w:p w14:paraId="660EE08D"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Practice Response</w:t>
            </w:r>
          </w:p>
        </w:tc>
        <w:tc>
          <w:tcPr>
            <w:tcW w:w="4320" w:type="dxa"/>
            <w:shd w:val="clear" w:color="auto" w:fill="DEEAF6" w:themeFill="accent5" w:themeFillTint="33"/>
          </w:tcPr>
          <w:p w14:paraId="63C978F5"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Trauma-informed and culturally competent care</w:t>
            </w:r>
          </w:p>
        </w:tc>
      </w:tr>
      <w:tr w:rsidR="00057C9A" w:rsidRPr="000F4753" w14:paraId="5A0AC310" w14:textId="77777777" w:rsidTr="006D24C3">
        <w:tc>
          <w:tcPr>
            <w:tcW w:w="4320" w:type="dxa"/>
            <w:shd w:val="clear" w:color="auto" w:fill="DEEAF6" w:themeFill="accent5" w:themeFillTint="33"/>
          </w:tcPr>
          <w:p w14:paraId="77D6E6CF"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Policy Context</w:t>
            </w:r>
          </w:p>
        </w:tc>
        <w:tc>
          <w:tcPr>
            <w:tcW w:w="4320" w:type="dxa"/>
            <w:shd w:val="clear" w:color="auto" w:fill="DEEAF6" w:themeFill="accent5" w:themeFillTint="33"/>
          </w:tcPr>
          <w:p w14:paraId="0A6183D2" w14:textId="77777777" w:rsidR="00057C9A" w:rsidRPr="000F4753" w:rsidRDefault="00057C9A" w:rsidP="006D24C3">
            <w:pPr>
              <w:rPr>
                <w:rFonts w:ascii="Arial" w:hAnsi="Arial" w:cs="Arial"/>
                <w:color w:val="000000" w:themeColor="text1"/>
              </w:rPr>
            </w:pPr>
            <w:r w:rsidRPr="000F4753">
              <w:rPr>
                <w:rFonts w:ascii="Arial" w:hAnsi="Arial" w:cs="Arial"/>
                <w:color w:val="000000" w:themeColor="text1"/>
              </w:rPr>
              <w:t>Mental Health Act reform</w:t>
            </w:r>
          </w:p>
        </w:tc>
      </w:tr>
    </w:tbl>
    <w:p w14:paraId="69EA2A5B" w14:textId="77777777" w:rsidR="00057C9A" w:rsidRPr="000F4753" w:rsidRDefault="00057C9A" w:rsidP="00057C9A">
      <w:pPr>
        <w:rPr>
          <w:rFonts w:ascii="Arial" w:hAnsi="Arial" w:cs="Arial"/>
          <w:color w:val="000000" w:themeColor="text1"/>
        </w:rPr>
      </w:pPr>
    </w:p>
    <w:p w14:paraId="5767D453" w14:textId="77777777" w:rsidR="00057C9A" w:rsidRDefault="00057C9A" w:rsidP="00057C9A">
      <w:pPr>
        <w:rPr>
          <w:rFonts w:ascii="Arial" w:hAnsi="Arial" w:cs="Arial"/>
          <w:color w:val="000000" w:themeColor="text1"/>
        </w:rPr>
      </w:pPr>
      <w:r w:rsidRPr="000F4753">
        <w:rPr>
          <w:rFonts w:ascii="Arial" w:hAnsi="Arial" w:cs="Arial"/>
          <w:color w:val="000000" w:themeColor="text1"/>
        </w:rPr>
        <w:t xml:space="preserve">(Adapted from </w:t>
      </w:r>
      <w:proofErr w:type="spellStart"/>
      <w:r w:rsidRPr="000F4753">
        <w:rPr>
          <w:rFonts w:ascii="Arial" w:hAnsi="Arial" w:cs="Arial"/>
          <w:color w:val="000000" w:themeColor="text1"/>
        </w:rPr>
        <w:t>Nazroo</w:t>
      </w:r>
      <w:proofErr w:type="spellEnd"/>
      <w:r w:rsidRPr="000F4753">
        <w:rPr>
          <w:rFonts w:ascii="Arial" w:hAnsi="Arial" w:cs="Arial"/>
          <w:color w:val="000000" w:themeColor="text1"/>
        </w:rPr>
        <w:t xml:space="preserve"> et al., 2019; </w:t>
      </w:r>
      <w:proofErr w:type="spellStart"/>
      <w:r w:rsidRPr="000F4753">
        <w:rPr>
          <w:rFonts w:ascii="Arial" w:hAnsi="Arial" w:cs="Arial"/>
          <w:color w:val="000000" w:themeColor="text1"/>
        </w:rPr>
        <w:t>DoHSC</w:t>
      </w:r>
      <w:proofErr w:type="spellEnd"/>
      <w:r w:rsidRPr="000F4753">
        <w:rPr>
          <w:rFonts w:ascii="Arial" w:hAnsi="Arial" w:cs="Arial"/>
          <w:color w:val="000000" w:themeColor="text1"/>
        </w:rPr>
        <w:t>, 2023; Jovanović et al., 2025)</w:t>
      </w:r>
    </w:p>
    <w:p w14:paraId="45496A3D" w14:textId="77777777" w:rsidR="00057C9A" w:rsidRDefault="00057C9A" w:rsidP="00057C9A">
      <w:pPr>
        <w:rPr>
          <w:rFonts w:ascii="Arial" w:hAnsi="Arial" w:cs="Arial"/>
          <w:color w:val="000000" w:themeColor="text1"/>
        </w:rPr>
      </w:pPr>
    </w:p>
    <w:p w14:paraId="2C7D8A31" w14:textId="77777777" w:rsidR="00057C9A" w:rsidRPr="00942661" w:rsidRDefault="00057C9A" w:rsidP="00057C9A">
      <w:pPr>
        <w:rPr>
          <w:rFonts w:ascii="Arial" w:hAnsi="Arial" w:cs="Arial"/>
          <w:color w:val="000000" w:themeColor="text1"/>
        </w:rPr>
      </w:pPr>
      <w:r w:rsidRPr="00610101">
        <w:rPr>
          <w:rFonts w:ascii="Arial" w:hAnsi="Arial" w:cs="Arial"/>
          <w:b/>
          <w:bCs/>
        </w:rPr>
        <w:lastRenderedPageBreak/>
        <w:t>Table: Theoretical Comparison of Models Informing Schizophrenia Care</w:t>
      </w:r>
    </w:p>
    <w:p w14:paraId="672B4015" w14:textId="77777777" w:rsidR="00057C9A" w:rsidRPr="00610101" w:rsidRDefault="00057C9A" w:rsidP="00057C9A">
      <w:pPr>
        <w:rPr>
          <w:rFonts w:ascii="Arial" w:hAnsi="Arial" w:cs="Arial"/>
        </w:rPr>
      </w:pPr>
      <w:r w:rsidRPr="00610101">
        <w:rPr>
          <w:rFonts w:ascii="Arial" w:hAnsi="Arial" w:cs="Arial"/>
        </w:rPr>
        <w:t>This table presents a theoretical comparison of key frameworks underpinning contemporary schizophrenia care and mental health service delivery in the UK.</w:t>
      </w:r>
    </w:p>
    <w:tbl>
      <w:tblPr>
        <w:tblStyle w:val="TableGrid"/>
        <w:tblW w:w="0" w:type="auto"/>
        <w:tblInd w:w="-113" w:type="dxa"/>
        <w:tblLook w:val="04A0" w:firstRow="1" w:lastRow="0" w:firstColumn="1" w:lastColumn="0" w:noHBand="0" w:noVBand="1"/>
      </w:tblPr>
      <w:tblGrid>
        <w:gridCol w:w="1447"/>
        <w:gridCol w:w="1647"/>
        <w:gridCol w:w="1440"/>
        <w:gridCol w:w="1440"/>
        <w:gridCol w:w="1440"/>
        <w:gridCol w:w="1597"/>
      </w:tblGrid>
      <w:tr w:rsidR="00057C9A" w:rsidRPr="00610101" w14:paraId="5F8D1274" w14:textId="77777777" w:rsidTr="006D24C3">
        <w:tc>
          <w:tcPr>
            <w:tcW w:w="1440" w:type="dxa"/>
            <w:shd w:val="clear" w:color="auto" w:fill="BDD6EE" w:themeFill="accent5" w:themeFillTint="66"/>
          </w:tcPr>
          <w:p w14:paraId="01464E02"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Comparison Criteria</w:t>
            </w:r>
          </w:p>
        </w:tc>
        <w:tc>
          <w:tcPr>
            <w:tcW w:w="1440" w:type="dxa"/>
            <w:shd w:val="clear" w:color="auto" w:fill="BDD6EE" w:themeFill="accent5" w:themeFillTint="66"/>
          </w:tcPr>
          <w:p w14:paraId="012B572E"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Biopsychosocial Model</w:t>
            </w:r>
          </w:p>
        </w:tc>
        <w:tc>
          <w:tcPr>
            <w:tcW w:w="1440" w:type="dxa"/>
            <w:shd w:val="clear" w:color="auto" w:fill="BDD6EE" w:themeFill="accent5" w:themeFillTint="66"/>
          </w:tcPr>
          <w:p w14:paraId="76BC38E1"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Recovery-Oriented Framework</w:t>
            </w:r>
          </w:p>
        </w:tc>
        <w:tc>
          <w:tcPr>
            <w:tcW w:w="1440" w:type="dxa"/>
            <w:shd w:val="clear" w:color="auto" w:fill="BDD6EE" w:themeFill="accent5" w:themeFillTint="66"/>
          </w:tcPr>
          <w:p w14:paraId="2DDF0BC8"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Chronic Care Model (CCM)</w:t>
            </w:r>
          </w:p>
        </w:tc>
        <w:tc>
          <w:tcPr>
            <w:tcW w:w="1440" w:type="dxa"/>
            <w:shd w:val="clear" w:color="auto" w:fill="BDD6EE" w:themeFill="accent5" w:themeFillTint="66"/>
          </w:tcPr>
          <w:p w14:paraId="60D3C282"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Integrated Systems Theory</w:t>
            </w:r>
          </w:p>
        </w:tc>
        <w:tc>
          <w:tcPr>
            <w:tcW w:w="1440" w:type="dxa"/>
            <w:shd w:val="clear" w:color="auto" w:fill="BDD6EE" w:themeFill="accent5" w:themeFillTint="66"/>
          </w:tcPr>
          <w:p w14:paraId="36D9E0AD"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Intersectionality &amp; Inequity</w:t>
            </w:r>
          </w:p>
        </w:tc>
      </w:tr>
      <w:tr w:rsidR="00057C9A" w:rsidRPr="00610101" w14:paraId="1CEC489C" w14:textId="77777777" w:rsidTr="006D24C3">
        <w:tc>
          <w:tcPr>
            <w:tcW w:w="1440" w:type="dxa"/>
            <w:shd w:val="clear" w:color="auto" w:fill="BDD6EE" w:themeFill="accent5" w:themeFillTint="66"/>
          </w:tcPr>
          <w:p w14:paraId="4209E287"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Theoretical Focus</w:t>
            </w:r>
          </w:p>
        </w:tc>
        <w:tc>
          <w:tcPr>
            <w:tcW w:w="1440" w:type="dxa"/>
            <w:shd w:val="clear" w:color="auto" w:fill="DEEAF6" w:themeFill="accent5" w:themeFillTint="33"/>
          </w:tcPr>
          <w:p w14:paraId="10442E96" w14:textId="77777777" w:rsidR="00057C9A" w:rsidRPr="00610101" w:rsidRDefault="00057C9A" w:rsidP="006D24C3">
            <w:pPr>
              <w:rPr>
                <w:rFonts w:ascii="Arial" w:hAnsi="Arial" w:cs="Arial"/>
                <w:sz w:val="18"/>
                <w:szCs w:val="18"/>
              </w:rPr>
            </w:pPr>
            <w:r w:rsidRPr="00610101">
              <w:rPr>
                <w:rFonts w:ascii="Arial" w:hAnsi="Arial" w:cs="Arial"/>
                <w:sz w:val="18"/>
                <w:szCs w:val="18"/>
              </w:rPr>
              <w:t>Interaction of biological, psychological, and social factors</w:t>
            </w:r>
          </w:p>
        </w:tc>
        <w:tc>
          <w:tcPr>
            <w:tcW w:w="1440" w:type="dxa"/>
            <w:shd w:val="clear" w:color="auto" w:fill="DEEAF6" w:themeFill="accent5" w:themeFillTint="33"/>
          </w:tcPr>
          <w:p w14:paraId="22BBE64B" w14:textId="77777777" w:rsidR="00057C9A" w:rsidRPr="00610101" w:rsidRDefault="00057C9A" w:rsidP="006D24C3">
            <w:pPr>
              <w:rPr>
                <w:rFonts w:ascii="Arial" w:hAnsi="Arial" w:cs="Arial"/>
                <w:sz w:val="18"/>
                <w:szCs w:val="18"/>
              </w:rPr>
            </w:pPr>
            <w:r w:rsidRPr="00610101">
              <w:rPr>
                <w:rFonts w:ascii="Arial" w:hAnsi="Arial" w:cs="Arial"/>
                <w:sz w:val="18"/>
                <w:szCs w:val="18"/>
              </w:rPr>
              <w:t>Personal meaning, empowerment, and social inclusion</w:t>
            </w:r>
          </w:p>
        </w:tc>
        <w:tc>
          <w:tcPr>
            <w:tcW w:w="1440" w:type="dxa"/>
            <w:shd w:val="clear" w:color="auto" w:fill="DEEAF6" w:themeFill="accent5" w:themeFillTint="33"/>
          </w:tcPr>
          <w:p w14:paraId="1D7E8EC2" w14:textId="77777777" w:rsidR="00057C9A" w:rsidRPr="00610101" w:rsidRDefault="00057C9A" w:rsidP="006D24C3">
            <w:pPr>
              <w:rPr>
                <w:rFonts w:ascii="Arial" w:hAnsi="Arial" w:cs="Arial"/>
                <w:sz w:val="18"/>
                <w:szCs w:val="18"/>
              </w:rPr>
            </w:pPr>
            <w:r w:rsidRPr="00610101">
              <w:rPr>
                <w:rFonts w:ascii="Arial" w:hAnsi="Arial" w:cs="Arial"/>
                <w:sz w:val="18"/>
                <w:szCs w:val="18"/>
              </w:rPr>
              <w:t>Long-term condition management and continuity of care</w:t>
            </w:r>
          </w:p>
        </w:tc>
        <w:tc>
          <w:tcPr>
            <w:tcW w:w="1440" w:type="dxa"/>
            <w:shd w:val="clear" w:color="auto" w:fill="DEEAF6" w:themeFill="accent5" w:themeFillTint="33"/>
          </w:tcPr>
          <w:p w14:paraId="1B377535" w14:textId="77777777" w:rsidR="00057C9A" w:rsidRPr="00610101" w:rsidRDefault="00057C9A" w:rsidP="006D24C3">
            <w:pPr>
              <w:rPr>
                <w:rFonts w:ascii="Arial" w:hAnsi="Arial" w:cs="Arial"/>
                <w:sz w:val="18"/>
                <w:szCs w:val="18"/>
              </w:rPr>
            </w:pPr>
            <w:r w:rsidRPr="00610101">
              <w:rPr>
                <w:rFonts w:ascii="Arial" w:hAnsi="Arial" w:cs="Arial"/>
                <w:sz w:val="18"/>
                <w:szCs w:val="18"/>
              </w:rPr>
              <w:t>Coordination across health, social, and voluntary sectors</w:t>
            </w:r>
          </w:p>
        </w:tc>
        <w:tc>
          <w:tcPr>
            <w:tcW w:w="1440" w:type="dxa"/>
            <w:shd w:val="clear" w:color="auto" w:fill="DEEAF6" w:themeFill="accent5" w:themeFillTint="33"/>
          </w:tcPr>
          <w:p w14:paraId="399825BB" w14:textId="77777777" w:rsidR="00057C9A" w:rsidRPr="00610101" w:rsidRDefault="00057C9A" w:rsidP="006D24C3">
            <w:pPr>
              <w:rPr>
                <w:rFonts w:ascii="Arial" w:hAnsi="Arial" w:cs="Arial"/>
                <w:sz w:val="18"/>
                <w:szCs w:val="18"/>
              </w:rPr>
            </w:pPr>
            <w:r w:rsidRPr="00610101">
              <w:rPr>
                <w:rFonts w:ascii="Arial" w:hAnsi="Arial" w:cs="Arial"/>
                <w:sz w:val="18"/>
                <w:szCs w:val="18"/>
              </w:rPr>
              <w:t>Impact of overlapping social identities on care outcomes</w:t>
            </w:r>
          </w:p>
        </w:tc>
      </w:tr>
      <w:tr w:rsidR="00057C9A" w:rsidRPr="00610101" w14:paraId="26201AD0" w14:textId="77777777" w:rsidTr="006D24C3">
        <w:tc>
          <w:tcPr>
            <w:tcW w:w="1440" w:type="dxa"/>
            <w:shd w:val="clear" w:color="auto" w:fill="BDD6EE" w:themeFill="accent5" w:themeFillTint="66"/>
          </w:tcPr>
          <w:p w14:paraId="2FAA3BB3"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Key Contributors</w:t>
            </w:r>
          </w:p>
        </w:tc>
        <w:tc>
          <w:tcPr>
            <w:tcW w:w="1440" w:type="dxa"/>
            <w:shd w:val="clear" w:color="auto" w:fill="DEEAF6" w:themeFill="accent5" w:themeFillTint="33"/>
          </w:tcPr>
          <w:p w14:paraId="30C11041" w14:textId="77777777" w:rsidR="00057C9A" w:rsidRPr="00610101" w:rsidRDefault="00057C9A" w:rsidP="006D24C3">
            <w:pPr>
              <w:rPr>
                <w:rFonts w:ascii="Arial" w:hAnsi="Arial" w:cs="Arial"/>
                <w:sz w:val="18"/>
                <w:szCs w:val="18"/>
              </w:rPr>
            </w:pPr>
            <w:r w:rsidRPr="00610101">
              <w:rPr>
                <w:rFonts w:ascii="Arial" w:hAnsi="Arial" w:cs="Arial"/>
                <w:sz w:val="18"/>
                <w:szCs w:val="18"/>
              </w:rPr>
              <w:t>Engel (1977)</w:t>
            </w:r>
          </w:p>
        </w:tc>
        <w:tc>
          <w:tcPr>
            <w:tcW w:w="1440" w:type="dxa"/>
            <w:shd w:val="clear" w:color="auto" w:fill="DEEAF6" w:themeFill="accent5" w:themeFillTint="33"/>
          </w:tcPr>
          <w:p w14:paraId="7999595D" w14:textId="77777777" w:rsidR="00057C9A" w:rsidRPr="00610101" w:rsidRDefault="00057C9A" w:rsidP="006D24C3">
            <w:pPr>
              <w:rPr>
                <w:rFonts w:ascii="Arial" w:hAnsi="Arial" w:cs="Arial"/>
                <w:sz w:val="18"/>
                <w:szCs w:val="18"/>
              </w:rPr>
            </w:pPr>
            <w:r w:rsidRPr="00610101">
              <w:rPr>
                <w:rFonts w:ascii="Arial" w:hAnsi="Arial" w:cs="Arial"/>
                <w:sz w:val="18"/>
                <w:szCs w:val="18"/>
              </w:rPr>
              <w:t>Slade (2009); Burbach (2018)</w:t>
            </w:r>
          </w:p>
        </w:tc>
        <w:tc>
          <w:tcPr>
            <w:tcW w:w="1440" w:type="dxa"/>
            <w:shd w:val="clear" w:color="auto" w:fill="DEEAF6" w:themeFill="accent5" w:themeFillTint="33"/>
          </w:tcPr>
          <w:p w14:paraId="0B063721" w14:textId="77777777" w:rsidR="00057C9A" w:rsidRPr="00610101" w:rsidRDefault="00057C9A" w:rsidP="006D24C3">
            <w:pPr>
              <w:rPr>
                <w:rFonts w:ascii="Arial" w:hAnsi="Arial" w:cs="Arial"/>
                <w:sz w:val="18"/>
                <w:szCs w:val="18"/>
              </w:rPr>
            </w:pPr>
            <w:r w:rsidRPr="00610101">
              <w:rPr>
                <w:rFonts w:ascii="Arial" w:hAnsi="Arial" w:cs="Arial"/>
                <w:sz w:val="18"/>
                <w:szCs w:val="18"/>
              </w:rPr>
              <w:t>Wagner et al.</w:t>
            </w:r>
          </w:p>
        </w:tc>
        <w:tc>
          <w:tcPr>
            <w:tcW w:w="1440" w:type="dxa"/>
            <w:shd w:val="clear" w:color="auto" w:fill="DEEAF6" w:themeFill="accent5" w:themeFillTint="33"/>
          </w:tcPr>
          <w:p w14:paraId="087DA7A9" w14:textId="77777777" w:rsidR="00057C9A" w:rsidRPr="00610101" w:rsidRDefault="00057C9A" w:rsidP="006D24C3">
            <w:pPr>
              <w:rPr>
                <w:rFonts w:ascii="Arial" w:hAnsi="Arial" w:cs="Arial"/>
                <w:sz w:val="18"/>
                <w:szCs w:val="18"/>
              </w:rPr>
            </w:pPr>
            <w:r w:rsidRPr="00610101">
              <w:rPr>
                <w:rFonts w:ascii="Arial" w:hAnsi="Arial" w:cs="Arial"/>
                <w:sz w:val="18"/>
                <w:szCs w:val="18"/>
              </w:rPr>
              <w:t>Systems theory; policy-led ICS reforms</w:t>
            </w:r>
          </w:p>
        </w:tc>
        <w:tc>
          <w:tcPr>
            <w:tcW w:w="1440" w:type="dxa"/>
            <w:shd w:val="clear" w:color="auto" w:fill="DEEAF6" w:themeFill="accent5" w:themeFillTint="33"/>
          </w:tcPr>
          <w:p w14:paraId="5795BA7C" w14:textId="77777777" w:rsidR="00057C9A" w:rsidRPr="00610101" w:rsidRDefault="00057C9A" w:rsidP="006D24C3">
            <w:pPr>
              <w:rPr>
                <w:rFonts w:ascii="Arial" w:hAnsi="Arial" w:cs="Arial"/>
                <w:sz w:val="18"/>
                <w:szCs w:val="18"/>
              </w:rPr>
            </w:pPr>
            <w:proofErr w:type="spellStart"/>
            <w:r w:rsidRPr="00610101">
              <w:rPr>
                <w:rFonts w:ascii="Arial" w:hAnsi="Arial" w:cs="Arial"/>
                <w:sz w:val="18"/>
                <w:szCs w:val="18"/>
              </w:rPr>
              <w:t>Nazroo</w:t>
            </w:r>
            <w:proofErr w:type="spellEnd"/>
            <w:r w:rsidRPr="00610101">
              <w:rPr>
                <w:rFonts w:ascii="Arial" w:hAnsi="Arial" w:cs="Arial"/>
                <w:sz w:val="18"/>
                <w:szCs w:val="18"/>
              </w:rPr>
              <w:t xml:space="preserve"> et al.; Keating</w:t>
            </w:r>
          </w:p>
        </w:tc>
      </w:tr>
      <w:tr w:rsidR="00057C9A" w:rsidRPr="00610101" w14:paraId="1A86046C" w14:textId="77777777" w:rsidTr="006D24C3">
        <w:tc>
          <w:tcPr>
            <w:tcW w:w="1440" w:type="dxa"/>
            <w:shd w:val="clear" w:color="auto" w:fill="BDD6EE" w:themeFill="accent5" w:themeFillTint="66"/>
          </w:tcPr>
          <w:p w14:paraId="38B16964"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View of Schizophrenia</w:t>
            </w:r>
          </w:p>
        </w:tc>
        <w:tc>
          <w:tcPr>
            <w:tcW w:w="1440" w:type="dxa"/>
            <w:shd w:val="clear" w:color="auto" w:fill="DEEAF6" w:themeFill="accent5" w:themeFillTint="33"/>
          </w:tcPr>
          <w:p w14:paraId="0924F447" w14:textId="77777777" w:rsidR="00057C9A" w:rsidRPr="00610101" w:rsidRDefault="00057C9A" w:rsidP="006D24C3">
            <w:pPr>
              <w:rPr>
                <w:rFonts w:ascii="Arial" w:hAnsi="Arial" w:cs="Arial"/>
                <w:sz w:val="18"/>
                <w:szCs w:val="18"/>
              </w:rPr>
            </w:pPr>
            <w:r w:rsidRPr="00610101">
              <w:rPr>
                <w:rFonts w:ascii="Arial" w:hAnsi="Arial" w:cs="Arial"/>
                <w:sz w:val="18"/>
                <w:szCs w:val="18"/>
              </w:rPr>
              <w:t>Multifactorial mental health condition</w:t>
            </w:r>
          </w:p>
        </w:tc>
        <w:tc>
          <w:tcPr>
            <w:tcW w:w="1440" w:type="dxa"/>
            <w:shd w:val="clear" w:color="auto" w:fill="DEEAF6" w:themeFill="accent5" w:themeFillTint="33"/>
          </w:tcPr>
          <w:p w14:paraId="69BBFE30" w14:textId="77777777" w:rsidR="00057C9A" w:rsidRPr="00610101" w:rsidRDefault="00057C9A" w:rsidP="006D24C3">
            <w:pPr>
              <w:rPr>
                <w:rFonts w:ascii="Arial" w:hAnsi="Arial" w:cs="Arial"/>
                <w:sz w:val="18"/>
                <w:szCs w:val="18"/>
              </w:rPr>
            </w:pPr>
            <w:r w:rsidRPr="00610101">
              <w:rPr>
                <w:rFonts w:ascii="Arial" w:hAnsi="Arial" w:cs="Arial"/>
                <w:sz w:val="18"/>
                <w:szCs w:val="18"/>
              </w:rPr>
              <w:t>Personal recovery journey beyond symptoms</w:t>
            </w:r>
          </w:p>
        </w:tc>
        <w:tc>
          <w:tcPr>
            <w:tcW w:w="1440" w:type="dxa"/>
            <w:shd w:val="clear" w:color="auto" w:fill="DEEAF6" w:themeFill="accent5" w:themeFillTint="33"/>
          </w:tcPr>
          <w:p w14:paraId="6C1372B1" w14:textId="77777777" w:rsidR="00057C9A" w:rsidRPr="00610101" w:rsidRDefault="00057C9A" w:rsidP="006D24C3">
            <w:pPr>
              <w:rPr>
                <w:rFonts w:ascii="Arial" w:hAnsi="Arial" w:cs="Arial"/>
                <w:sz w:val="18"/>
                <w:szCs w:val="18"/>
              </w:rPr>
            </w:pPr>
            <w:r w:rsidRPr="00610101">
              <w:rPr>
                <w:rFonts w:ascii="Arial" w:hAnsi="Arial" w:cs="Arial"/>
                <w:sz w:val="18"/>
                <w:szCs w:val="18"/>
              </w:rPr>
              <w:t>Chronic condition requiring proactive management</w:t>
            </w:r>
          </w:p>
        </w:tc>
        <w:tc>
          <w:tcPr>
            <w:tcW w:w="1440" w:type="dxa"/>
            <w:shd w:val="clear" w:color="auto" w:fill="DEEAF6" w:themeFill="accent5" w:themeFillTint="33"/>
          </w:tcPr>
          <w:p w14:paraId="4123E8C9" w14:textId="77777777" w:rsidR="00057C9A" w:rsidRPr="00610101" w:rsidRDefault="00057C9A" w:rsidP="006D24C3">
            <w:pPr>
              <w:rPr>
                <w:rFonts w:ascii="Arial" w:hAnsi="Arial" w:cs="Arial"/>
                <w:sz w:val="18"/>
                <w:szCs w:val="18"/>
              </w:rPr>
            </w:pPr>
            <w:r w:rsidRPr="00610101">
              <w:rPr>
                <w:rFonts w:ascii="Arial" w:hAnsi="Arial" w:cs="Arial"/>
                <w:sz w:val="18"/>
                <w:szCs w:val="18"/>
              </w:rPr>
              <w:t>Complex condition requiring system-wide response</w:t>
            </w:r>
          </w:p>
        </w:tc>
        <w:tc>
          <w:tcPr>
            <w:tcW w:w="1440" w:type="dxa"/>
            <w:shd w:val="clear" w:color="auto" w:fill="DEEAF6" w:themeFill="accent5" w:themeFillTint="33"/>
          </w:tcPr>
          <w:p w14:paraId="19A643DC" w14:textId="77777777" w:rsidR="00057C9A" w:rsidRPr="00610101" w:rsidRDefault="00057C9A" w:rsidP="006D24C3">
            <w:pPr>
              <w:rPr>
                <w:rFonts w:ascii="Arial" w:hAnsi="Arial" w:cs="Arial"/>
                <w:sz w:val="18"/>
                <w:szCs w:val="18"/>
              </w:rPr>
            </w:pPr>
            <w:r w:rsidRPr="00610101">
              <w:rPr>
                <w:rFonts w:ascii="Arial" w:hAnsi="Arial" w:cs="Arial"/>
                <w:sz w:val="18"/>
                <w:szCs w:val="18"/>
              </w:rPr>
              <w:t>Condition shaped by structural inequality</w:t>
            </w:r>
          </w:p>
        </w:tc>
      </w:tr>
      <w:tr w:rsidR="00057C9A" w:rsidRPr="00610101" w14:paraId="13C41335" w14:textId="77777777" w:rsidTr="006D24C3">
        <w:tc>
          <w:tcPr>
            <w:tcW w:w="1440" w:type="dxa"/>
            <w:shd w:val="clear" w:color="auto" w:fill="BDD6EE" w:themeFill="accent5" w:themeFillTint="66"/>
          </w:tcPr>
          <w:p w14:paraId="2264713D"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Implications for Practice</w:t>
            </w:r>
          </w:p>
        </w:tc>
        <w:tc>
          <w:tcPr>
            <w:tcW w:w="1440" w:type="dxa"/>
            <w:shd w:val="clear" w:color="auto" w:fill="DEEAF6" w:themeFill="accent5" w:themeFillTint="33"/>
          </w:tcPr>
          <w:p w14:paraId="0258E803" w14:textId="77777777" w:rsidR="00057C9A" w:rsidRPr="00610101" w:rsidRDefault="00057C9A" w:rsidP="006D24C3">
            <w:pPr>
              <w:rPr>
                <w:rFonts w:ascii="Arial" w:hAnsi="Arial" w:cs="Arial"/>
                <w:sz w:val="18"/>
                <w:szCs w:val="18"/>
              </w:rPr>
            </w:pPr>
            <w:r w:rsidRPr="00610101">
              <w:rPr>
                <w:rFonts w:ascii="Arial" w:hAnsi="Arial" w:cs="Arial"/>
                <w:sz w:val="18"/>
                <w:szCs w:val="18"/>
              </w:rPr>
              <w:t>Combined medication, therapy, and social support</w:t>
            </w:r>
          </w:p>
        </w:tc>
        <w:tc>
          <w:tcPr>
            <w:tcW w:w="1440" w:type="dxa"/>
            <w:shd w:val="clear" w:color="auto" w:fill="DEEAF6" w:themeFill="accent5" w:themeFillTint="33"/>
          </w:tcPr>
          <w:p w14:paraId="27C96D12" w14:textId="77777777" w:rsidR="00057C9A" w:rsidRPr="00610101" w:rsidRDefault="00057C9A" w:rsidP="006D24C3">
            <w:pPr>
              <w:rPr>
                <w:rFonts w:ascii="Arial" w:hAnsi="Arial" w:cs="Arial"/>
                <w:sz w:val="18"/>
                <w:szCs w:val="18"/>
              </w:rPr>
            </w:pPr>
            <w:r w:rsidRPr="00610101">
              <w:rPr>
                <w:rFonts w:ascii="Arial" w:hAnsi="Arial" w:cs="Arial"/>
                <w:sz w:val="18"/>
                <w:szCs w:val="18"/>
              </w:rPr>
              <w:t>Co-produced goals, peer support, functional recovery</w:t>
            </w:r>
          </w:p>
        </w:tc>
        <w:tc>
          <w:tcPr>
            <w:tcW w:w="1440" w:type="dxa"/>
            <w:shd w:val="clear" w:color="auto" w:fill="DEEAF6" w:themeFill="accent5" w:themeFillTint="33"/>
          </w:tcPr>
          <w:p w14:paraId="756A04EF" w14:textId="77777777" w:rsidR="00057C9A" w:rsidRPr="00610101" w:rsidRDefault="00057C9A" w:rsidP="006D24C3">
            <w:pPr>
              <w:rPr>
                <w:rFonts w:ascii="Arial" w:hAnsi="Arial" w:cs="Arial"/>
                <w:sz w:val="18"/>
                <w:szCs w:val="18"/>
              </w:rPr>
            </w:pPr>
            <w:r w:rsidRPr="00610101">
              <w:rPr>
                <w:rFonts w:ascii="Arial" w:hAnsi="Arial" w:cs="Arial"/>
                <w:sz w:val="18"/>
                <w:szCs w:val="18"/>
              </w:rPr>
              <w:t>Planned, coordinated, proactive care pathways</w:t>
            </w:r>
          </w:p>
        </w:tc>
        <w:tc>
          <w:tcPr>
            <w:tcW w:w="1440" w:type="dxa"/>
            <w:shd w:val="clear" w:color="auto" w:fill="DEEAF6" w:themeFill="accent5" w:themeFillTint="33"/>
          </w:tcPr>
          <w:p w14:paraId="7F4C3AE8" w14:textId="77777777" w:rsidR="00057C9A" w:rsidRPr="00610101" w:rsidRDefault="00057C9A" w:rsidP="006D24C3">
            <w:pPr>
              <w:rPr>
                <w:rFonts w:ascii="Arial" w:hAnsi="Arial" w:cs="Arial"/>
                <w:sz w:val="18"/>
                <w:szCs w:val="18"/>
              </w:rPr>
            </w:pPr>
            <w:r w:rsidRPr="00610101">
              <w:rPr>
                <w:rFonts w:ascii="Arial" w:hAnsi="Arial" w:cs="Arial"/>
                <w:sz w:val="18"/>
                <w:szCs w:val="18"/>
              </w:rPr>
              <w:t>Integrated commissioning and shared accountability</w:t>
            </w:r>
          </w:p>
        </w:tc>
        <w:tc>
          <w:tcPr>
            <w:tcW w:w="1440" w:type="dxa"/>
            <w:shd w:val="clear" w:color="auto" w:fill="DEEAF6" w:themeFill="accent5" w:themeFillTint="33"/>
          </w:tcPr>
          <w:p w14:paraId="2A7CE0AD" w14:textId="77777777" w:rsidR="00057C9A" w:rsidRPr="00610101" w:rsidRDefault="00057C9A" w:rsidP="006D24C3">
            <w:pPr>
              <w:rPr>
                <w:rFonts w:ascii="Arial" w:hAnsi="Arial" w:cs="Arial"/>
                <w:sz w:val="18"/>
                <w:szCs w:val="18"/>
              </w:rPr>
            </w:pPr>
            <w:r w:rsidRPr="00610101">
              <w:rPr>
                <w:rFonts w:ascii="Arial" w:hAnsi="Arial" w:cs="Arial"/>
                <w:sz w:val="18"/>
                <w:szCs w:val="18"/>
              </w:rPr>
              <w:t>Culturally competent and anti-oppressive care</w:t>
            </w:r>
          </w:p>
        </w:tc>
      </w:tr>
      <w:tr w:rsidR="00057C9A" w:rsidRPr="00610101" w14:paraId="4D0C09D6" w14:textId="77777777" w:rsidTr="006D24C3">
        <w:tc>
          <w:tcPr>
            <w:tcW w:w="1440" w:type="dxa"/>
            <w:shd w:val="clear" w:color="auto" w:fill="BDD6EE" w:themeFill="accent5" w:themeFillTint="66"/>
          </w:tcPr>
          <w:p w14:paraId="6421A13B"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Strengths</w:t>
            </w:r>
          </w:p>
        </w:tc>
        <w:tc>
          <w:tcPr>
            <w:tcW w:w="1440" w:type="dxa"/>
            <w:shd w:val="clear" w:color="auto" w:fill="DEEAF6" w:themeFill="accent5" w:themeFillTint="33"/>
          </w:tcPr>
          <w:p w14:paraId="7933517C" w14:textId="77777777" w:rsidR="00057C9A" w:rsidRPr="00610101" w:rsidRDefault="00057C9A" w:rsidP="006D24C3">
            <w:pPr>
              <w:rPr>
                <w:rFonts w:ascii="Arial" w:hAnsi="Arial" w:cs="Arial"/>
                <w:sz w:val="18"/>
                <w:szCs w:val="18"/>
              </w:rPr>
            </w:pPr>
            <w:r w:rsidRPr="00610101">
              <w:rPr>
                <w:rFonts w:ascii="Arial" w:hAnsi="Arial" w:cs="Arial"/>
                <w:sz w:val="18"/>
                <w:szCs w:val="18"/>
              </w:rPr>
              <w:t>Holistic and evidence-based approach</w:t>
            </w:r>
          </w:p>
        </w:tc>
        <w:tc>
          <w:tcPr>
            <w:tcW w:w="1440" w:type="dxa"/>
            <w:shd w:val="clear" w:color="auto" w:fill="DEEAF6" w:themeFill="accent5" w:themeFillTint="33"/>
          </w:tcPr>
          <w:p w14:paraId="40CA0852" w14:textId="77777777" w:rsidR="00057C9A" w:rsidRPr="00610101" w:rsidRDefault="00057C9A" w:rsidP="006D24C3">
            <w:pPr>
              <w:rPr>
                <w:rFonts w:ascii="Arial" w:hAnsi="Arial" w:cs="Arial"/>
                <w:sz w:val="18"/>
                <w:szCs w:val="18"/>
              </w:rPr>
            </w:pPr>
            <w:r w:rsidRPr="00610101">
              <w:rPr>
                <w:rFonts w:ascii="Arial" w:hAnsi="Arial" w:cs="Arial"/>
                <w:sz w:val="18"/>
                <w:szCs w:val="18"/>
              </w:rPr>
              <w:t>Improves engagement and service-user satisfaction</w:t>
            </w:r>
          </w:p>
        </w:tc>
        <w:tc>
          <w:tcPr>
            <w:tcW w:w="1440" w:type="dxa"/>
            <w:shd w:val="clear" w:color="auto" w:fill="DEEAF6" w:themeFill="accent5" w:themeFillTint="33"/>
          </w:tcPr>
          <w:p w14:paraId="21ADF873" w14:textId="77777777" w:rsidR="00057C9A" w:rsidRPr="00610101" w:rsidRDefault="00057C9A" w:rsidP="006D24C3">
            <w:pPr>
              <w:rPr>
                <w:rFonts w:ascii="Arial" w:hAnsi="Arial" w:cs="Arial"/>
                <w:sz w:val="18"/>
                <w:szCs w:val="18"/>
              </w:rPr>
            </w:pPr>
            <w:r w:rsidRPr="00610101">
              <w:rPr>
                <w:rFonts w:ascii="Arial" w:hAnsi="Arial" w:cs="Arial"/>
                <w:sz w:val="18"/>
                <w:szCs w:val="18"/>
              </w:rPr>
              <w:t>Reduces fragmentation and crisis-driven care</w:t>
            </w:r>
          </w:p>
        </w:tc>
        <w:tc>
          <w:tcPr>
            <w:tcW w:w="1440" w:type="dxa"/>
            <w:shd w:val="clear" w:color="auto" w:fill="DEEAF6" w:themeFill="accent5" w:themeFillTint="33"/>
          </w:tcPr>
          <w:p w14:paraId="2A211245" w14:textId="77777777" w:rsidR="00057C9A" w:rsidRPr="00610101" w:rsidRDefault="00057C9A" w:rsidP="006D24C3">
            <w:pPr>
              <w:rPr>
                <w:rFonts w:ascii="Arial" w:hAnsi="Arial" w:cs="Arial"/>
                <w:sz w:val="18"/>
                <w:szCs w:val="18"/>
              </w:rPr>
            </w:pPr>
            <w:r w:rsidRPr="00610101">
              <w:rPr>
                <w:rFonts w:ascii="Arial" w:hAnsi="Arial" w:cs="Arial"/>
                <w:sz w:val="18"/>
                <w:szCs w:val="18"/>
              </w:rPr>
              <w:t>Improves continuity and efficiency of services</w:t>
            </w:r>
          </w:p>
        </w:tc>
        <w:tc>
          <w:tcPr>
            <w:tcW w:w="1440" w:type="dxa"/>
            <w:shd w:val="clear" w:color="auto" w:fill="DEEAF6" w:themeFill="accent5" w:themeFillTint="33"/>
          </w:tcPr>
          <w:p w14:paraId="51C6A746" w14:textId="77777777" w:rsidR="00057C9A" w:rsidRPr="00610101" w:rsidRDefault="00057C9A" w:rsidP="006D24C3">
            <w:pPr>
              <w:rPr>
                <w:rFonts w:ascii="Arial" w:hAnsi="Arial" w:cs="Arial"/>
                <w:sz w:val="18"/>
                <w:szCs w:val="18"/>
              </w:rPr>
            </w:pPr>
            <w:r w:rsidRPr="00610101">
              <w:rPr>
                <w:rFonts w:ascii="Arial" w:hAnsi="Arial" w:cs="Arial"/>
                <w:sz w:val="18"/>
                <w:szCs w:val="18"/>
              </w:rPr>
              <w:t>Addresses disparities and inequitable outcomes</w:t>
            </w:r>
          </w:p>
        </w:tc>
      </w:tr>
      <w:tr w:rsidR="00057C9A" w:rsidRPr="00610101" w14:paraId="2D4EE14D" w14:textId="77777777" w:rsidTr="006D24C3">
        <w:tc>
          <w:tcPr>
            <w:tcW w:w="1440" w:type="dxa"/>
            <w:shd w:val="clear" w:color="auto" w:fill="BDD6EE" w:themeFill="accent5" w:themeFillTint="66"/>
          </w:tcPr>
          <w:p w14:paraId="61E235AD" w14:textId="77777777" w:rsidR="00057C9A" w:rsidRPr="00610101" w:rsidRDefault="00057C9A" w:rsidP="006D24C3">
            <w:pPr>
              <w:rPr>
                <w:rFonts w:ascii="Arial" w:hAnsi="Arial" w:cs="Arial"/>
                <w:b/>
                <w:bCs/>
                <w:sz w:val="18"/>
                <w:szCs w:val="18"/>
              </w:rPr>
            </w:pPr>
            <w:r w:rsidRPr="00610101">
              <w:rPr>
                <w:rFonts w:ascii="Arial" w:hAnsi="Arial" w:cs="Arial"/>
                <w:b/>
                <w:bCs/>
                <w:sz w:val="18"/>
                <w:szCs w:val="18"/>
              </w:rPr>
              <w:t>Limitations / Critiques</w:t>
            </w:r>
          </w:p>
        </w:tc>
        <w:tc>
          <w:tcPr>
            <w:tcW w:w="1440" w:type="dxa"/>
            <w:shd w:val="clear" w:color="auto" w:fill="DEEAF6" w:themeFill="accent5" w:themeFillTint="33"/>
          </w:tcPr>
          <w:p w14:paraId="3E320D02" w14:textId="77777777" w:rsidR="00057C9A" w:rsidRPr="00610101" w:rsidRDefault="00057C9A" w:rsidP="006D24C3">
            <w:pPr>
              <w:rPr>
                <w:rFonts w:ascii="Arial" w:hAnsi="Arial" w:cs="Arial"/>
                <w:sz w:val="18"/>
                <w:szCs w:val="18"/>
              </w:rPr>
            </w:pPr>
            <w:r w:rsidRPr="00610101">
              <w:rPr>
                <w:rFonts w:ascii="Arial" w:hAnsi="Arial" w:cs="Arial"/>
                <w:sz w:val="18"/>
                <w:szCs w:val="18"/>
              </w:rPr>
              <w:t>Biomedical dominance in practice</w:t>
            </w:r>
          </w:p>
        </w:tc>
        <w:tc>
          <w:tcPr>
            <w:tcW w:w="1440" w:type="dxa"/>
            <w:shd w:val="clear" w:color="auto" w:fill="DEEAF6" w:themeFill="accent5" w:themeFillTint="33"/>
          </w:tcPr>
          <w:p w14:paraId="2129D36E" w14:textId="77777777" w:rsidR="00057C9A" w:rsidRPr="00610101" w:rsidRDefault="00057C9A" w:rsidP="006D24C3">
            <w:pPr>
              <w:rPr>
                <w:rFonts w:ascii="Arial" w:hAnsi="Arial" w:cs="Arial"/>
                <w:sz w:val="18"/>
                <w:szCs w:val="18"/>
              </w:rPr>
            </w:pPr>
            <w:r w:rsidRPr="00610101">
              <w:rPr>
                <w:rFonts w:ascii="Arial" w:hAnsi="Arial" w:cs="Arial"/>
                <w:sz w:val="18"/>
                <w:szCs w:val="18"/>
              </w:rPr>
              <w:t>Inconsistent implementation across trusts</w:t>
            </w:r>
          </w:p>
        </w:tc>
        <w:tc>
          <w:tcPr>
            <w:tcW w:w="1440" w:type="dxa"/>
            <w:shd w:val="clear" w:color="auto" w:fill="DEEAF6" w:themeFill="accent5" w:themeFillTint="33"/>
          </w:tcPr>
          <w:p w14:paraId="5CA0E44C" w14:textId="77777777" w:rsidR="00057C9A" w:rsidRPr="00610101" w:rsidRDefault="00057C9A" w:rsidP="006D24C3">
            <w:pPr>
              <w:rPr>
                <w:rFonts w:ascii="Arial" w:hAnsi="Arial" w:cs="Arial"/>
                <w:sz w:val="18"/>
                <w:szCs w:val="18"/>
              </w:rPr>
            </w:pPr>
            <w:r w:rsidRPr="00610101">
              <w:rPr>
                <w:rFonts w:ascii="Arial" w:hAnsi="Arial" w:cs="Arial"/>
                <w:sz w:val="18"/>
                <w:szCs w:val="18"/>
              </w:rPr>
              <w:t>Resource and workforce intensive</w:t>
            </w:r>
          </w:p>
        </w:tc>
        <w:tc>
          <w:tcPr>
            <w:tcW w:w="1440" w:type="dxa"/>
            <w:shd w:val="clear" w:color="auto" w:fill="DEEAF6" w:themeFill="accent5" w:themeFillTint="33"/>
          </w:tcPr>
          <w:p w14:paraId="23632070" w14:textId="77777777" w:rsidR="00057C9A" w:rsidRPr="00610101" w:rsidRDefault="00057C9A" w:rsidP="006D24C3">
            <w:pPr>
              <w:rPr>
                <w:rFonts w:ascii="Arial" w:hAnsi="Arial" w:cs="Arial"/>
                <w:sz w:val="18"/>
                <w:szCs w:val="18"/>
              </w:rPr>
            </w:pPr>
            <w:r w:rsidRPr="00610101">
              <w:rPr>
                <w:rFonts w:ascii="Arial" w:hAnsi="Arial" w:cs="Arial"/>
                <w:sz w:val="18"/>
                <w:szCs w:val="18"/>
              </w:rPr>
              <w:t>Siloed funding and data-sharing barriers</w:t>
            </w:r>
          </w:p>
        </w:tc>
        <w:tc>
          <w:tcPr>
            <w:tcW w:w="1440" w:type="dxa"/>
            <w:shd w:val="clear" w:color="auto" w:fill="DEEAF6" w:themeFill="accent5" w:themeFillTint="33"/>
          </w:tcPr>
          <w:p w14:paraId="2CE02096" w14:textId="77777777" w:rsidR="00057C9A" w:rsidRPr="00610101" w:rsidRDefault="00057C9A" w:rsidP="006D24C3">
            <w:pPr>
              <w:rPr>
                <w:rFonts w:ascii="Arial" w:hAnsi="Arial" w:cs="Arial"/>
                <w:sz w:val="18"/>
                <w:szCs w:val="18"/>
              </w:rPr>
            </w:pPr>
            <w:r w:rsidRPr="00610101">
              <w:rPr>
                <w:rFonts w:ascii="Arial" w:hAnsi="Arial" w:cs="Arial"/>
                <w:sz w:val="18"/>
                <w:szCs w:val="18"/>
              </w:rPr>
              <w:t>Limited translation into routine practice</w:t>
            </w:r>
          </w:p>
        </w:tc>
      </w:tr>
    </w:tbl>
    <w:p w14:paraId="46261366" w14:textId="77777777" w:rsidR="00057C9A" w:rsidRPr="00610101" w:rsidRDefault="00057C9A" w:rsidP="00057C9A">
      <w:pPr>
        <w:jc w:val="both"/>
        <w:rPr>
          <w:rFonts w:ascii="Arial" w:hAnsi="Arial" w:cs="Arial"/>
        </w:rPr>
      </w:pPr>
      <w:r w:rsidRPr="00610101">
        <w:rPr>
          <w:rFonts w:ascii="Arial" w:hAnsi="Arial" w:cs="Arial"/>
        </w:rPr>
        <w:t>Overall, these theoretical frameworks offer complementary perspectives on schizophrenia care. Together, they highlight the need for holistic, recovery-oriented, integrated, and equity-focused service models, while also exposing persistent gaps between theory and implementation.</w:t>
      </w:r>
    </w:p>
    <w:p w14:paraId="3DC31462"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sz w:val="24"/>
          <w:szCs w:val="24"/>
          <w:lang w:eastAsia="en-GB"/>
          <w14:ligatures w14:val="none"/>
        </w:rPr>
      </w:pPr>
      <w:bookmarkStart w:id="0" w:name="_Hlk219219040"/>
    </w:p>
    <w:p w14:paraId="7FF1D5C1" w14:textId="77777777" w:rsidR="00057C9A" w:rsidRPr="00610101" w:rsidRDefault="00057C9A" w:rsidP="00057C9A">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bookmarkStart w:id="1" w:name="_Hlk220405857"/>
      <w:r w:rsidRPr="00610101">
        <w:rPr>
          <w:rFonts w:ascii="Arial" w:eastAsia="Times New Roman" w:hAnsi="Arial" w:cs="Arial"/>
          <w:b/>
          <w:bCs/>
          <w:kern w:val="0"/>
          <w:sz w:val="24"/>
          <w:szCs w:val="24"/>
          <w:lang w:eastAsia="en-GB"/>
          <w14:ligatures w14:val="none"/>
        </w:rPr>
        <w:t>2.4.4 International Context:</w:t>
      </w:r>
    </w:p>
    <w:bookmarkEnd w:id="0"/>
    <w:p w14:paraId="7BA24B5D" w14:textId="77777777" w:rsidR="00057C9A" w:rsidRPr="00712FB5" w:rsidRDefault="00057C9A" w:rsidP="00057C9A">
      <w:pPr>
        <w:pStyle w:val="NormalWeb"/>
        <w:spacing w:line="360" w:lineRule="auto"/>
        <w:jc w:val="both"/>
        <w:rPr>
          <w:rFonts w:ascii="Arial" w:hAnsi="Arial" w:cs="Arial"/>
          <w:sz w:val="22"/>
          <w:szCs w:val="22"/>
        </w:rPr>
      </w:pPr>
      <w:r w:rsidRPr="00712FB5">
        <w:rPr>
          <w:rFonts w:ascii="Arial" w:hAnsi="Arial" w:cs="Arial"/>
          <w:sz w:val="22"/>
          <w:szCs w:val="22"/>
        </w:rPr>
        <w:t>Looking at schizophrenia care internationally helps identify good practice and highlights areas where UK services could improve. Many countries have moved towards community-based care that focuses on early intervention, recovery, and social support rather than long hospital stays. Countries such as Australia, the Netherlands, Finland, and Canada provide useful examples of different approaches to schizophrenia care.</w:t>
      </w:r>
    </w:p>
    <w:p w14:paraId="1C32318A" w14:textId="77777777" w:rsidR="00057C9A" w:rsidRPr="00712FB5" w:rsidRDefault="00057C9A" w:rsidP="00057C9A">
      <w:pPr>
        <w:pStyle w:val="NormalWeb"/>
        <w:spacing w:line="360" w:lineRule="auto"/>
        <w:jc w:val="both"/>
        <w:rPr>
          <w:rFonts w:ascii="Arial" w:hAnsi="Arial" w:cs="Arial"/>
          <w:sz w:val="22"/>
          <w:szCs w:val="22"/>
        </w:rPr>
      </w:pPr>
      <w:r w:rsidRPr="00712FB5">
        <w:rPr>
          <w:rFonts w:ascii="Arial" w:hAnsi="Arial" w:cs="Arial"/>
          <w:sz w:val="22"/>
          <w:szCs w:val="22"/>
        </w:rPr>
        <w:t xml:space="preserve">In </w:t>
      </w:r>
      <w:r w:rsidRPr="00712FB5">
        <w:rPr>
          <w:rStyle w:val="Strong"/>
          <w:rFonts w:ascii="Arial" w:eastAsiaTheme="majorEastAsia" w:hAnsi="Arial" w:cs="Arial"/>
          <w:sz w:val="22"/>
          <w:szCs w:val="22"/>
        </w:rPr>
        <w:t>Australia</w:t>
      </w:r>
      <w:r w:rsidRPr="00712FB5">
        <w:rPr>
          <w:rFonts w:ascii="Arial" w:hAnsi="Arial" w:cs="Arial"/>
          <w:sz w:val="22"/>
          <w:szCs w:val="22"/>
        </w:rPr>
        <w:t xml:space="preserve">, the </w:t>
      </w:r>
      <w:r w:rsidRPr="00712FB5">
        <w:rPr>
          <w:rStyle w:val="Emphasis"/>
          <w:rFonts w:ascii="Arial" w:eastAsiaTheme="majorEastAsia" w:hAnsi="Arial" w:cs="Arial"/>
          <w:sz w:val="22"/>
          <w:szCs w:val="22"/>
        </w:rPr>
        <w:t>Headspace</w:t>
      </w:r>
      <w:r w:rsidRPr="00712FB5">
        <w:rPr>
          <w:rFonts w:ascii="Arial" w:hAnsi="Arial" w:cs="Arial"/>
          <w:sz w:val="22"/>
          <w:szCs w:val="22"/>
        </w:rPr>
        <w:t xml:space="preserve"> model offers integrated mental health services for young people in accessible and youth-friendly settings. These services combine mental health care with physical health, education, and employment support. Evidence shows that Headspace has reduced emergency hospital use and improved outcomes for people experiencing first-episode psychosis </w:t>
      </w:r>
      <w:r w:rsidRPr="00712FB5">
        <w:rPr>
          <w:rFonts w:ascii="Arial" w:hAnsi="Arial" w:cs="Arial"/>
          <w:sz w:val="22"/>
          <w:szCs w:val="22"/>
        </w:rPr>
        <w:lastRenderedPageBreak/>
        <w:t xml:space="preserve">(Rickwood et al., 2019). This model has influenced UK youth mental health services, such as </w:t>
      </w:r>
      <w:proofErr w:type="spellStart"/>
      <w:r w:rsidRPr="00712FB5">
        <w:rPr>
          <w:rFonts w:ascii="Arial" w:hAnsi="Arial" w:cs="Arial"/>
          <w:sz w:val="22"/>
          <w:szCs w:val="22"/>
        </w:rPr>
        <w:t>iThrive</w:t>
      </w:r>
      <w:proofErr w:type="spellEnd"/>
      <w:r w:rsidRPr="00712FB5">
        <w:rPr>
          <w:rFonts w:ascii="Arial" w:hAnsi="Arial" w:cs="Arial"/>
          <w:sz w:val="22"/>
          <w:szCs w:val="22"/>
        </w:rPr>
        <w:t xml:space="preserve"> and youth hubs. However, expansion has been limited by staff shortages and funding pressures (</w:t>
      </w:r>
      <w:proofErr w:type="spellStart"/>
      <w:r w:rsidRPr="00712FB5">
        <w:rPr>
          <w:rFonts w:ascii="Arial" w:hAnsi="Arial" w:cs="Arial"/>
          <w:sz w:val="22"/>
          <w:szCs w:val="22"/>
        </w:rPr>
        <w:t>O’Herlihy</w:t>
      </w:r>
      <w:proofErr w:type="spellEnd"/>
      <w:r w:rsidRPr="00712FB5">
        <w:rPr>
          <w:rFonts w:ascii="Arial" w:hAnsi="Arial" w:cs="Arial"/>
          <w:sz w:val="22"/>
          <w:szCs w:val="22"/>
        </w:rPr>
        <w:t xml:space="preserve"> et al., 2021). This highlights the challenge of sustaining early intervention services without long-term investment.</w:t>
      </w:r>
    </w:p>
    <w:p w14:paraId="4CA32D42" w14:textId="77777777" w:rsidR="00057C9A" w:rsidRPr="00712FB5" w:rsidRDefault="00057C9A" w:rsidP="00057C9A">
      <w:pPr>
        <w:pStyle w:val="NormalWeb"/>
        <w:spacing w:line="360" w:lineRule="auto"/>
        <w:jc w:val="both"/>
        <w:rPr>
          <w:rFonts w:ascii="Arial" w:hAnsi="Arial" w:cs="Arial"/>
          <w:sz w:val="22"/>
          <w:szCs w:val="22"/>
        </w:rPr>
      </w:pPr>
      <w:r w:rsidRPr="00712FB5">
        <w:rPr>
          <w:rFonts w:ascii="Arial" w:hAnsi="Arial" w:cs="Arial"/>
          <w:sz w:val="22"/>
          <w:szCs w:val="22"/>
        </w:rPr>
        <w:t xml:space="preserve">The </w:t>
      </w:r>
      <w:r w:rsidRPr="00712FB5">
        <w:rPr>
          <w:rStyle w:val="Strong"/>
          <w:rFonts w:ascii="Arial" w:eastAsiaTheme="majorEastAsia" w:hAnsi="Arial" w:cs="Arial"/>
          <w:sz w:val="22"/>
          <w:szCs w:val="22"/>
        </w:rPr>
        <w:t>Netherlands</w:t>
      </w:r>
      <w:r w:rsidRPr="00712FB5">
        <w:rPr>
          <w:rFonts w:ascii="Arial" w:hAnsi="Arial" w:cs="Arial"/>
          <w:sz w:val="22"/>
          <w:szCs w:val="22"/>
        </w:rPr>
        <w:t xml:space="preserve"> uses the Flexible Assertive Community Treatment (FACT) model. FACT provides long-term, flexible support through multidisciplinary teams that increase or reduce care depending on service users’ needs. Research shows that FACT reduces relapse and hospital admission while improving continuity of care (van Veldhuizen, 2007; </w:t>
      </w:r>
      <w:proofErr w:type="spellStart"/>
      <w:r w:rsidRPr="00712FB5">
        <w:rPr>
          <w:rFonts w:ascii="Arial" w:hAnsi="Arial" w:cs="Arial"/>
          <w:sz w:val="22"/>
          <w:szCs w:val="22"/>
        </w:rPr>
        <w:t>Delespaul</w:t>
      </w:r>
      <w:proofErr w:type="spellEnd"/>
      <w:r w:rsidRPr="00712FB5">
        <w:rPr>
          <w:rFonts w:ascii="Arial" w:hAnsi="Arial" w:cs="Arial"/>
          <w:sz w:val="22"/>
          <w:szCs w:val="22"/>
        </w:rPr>
        <w:t xml:space="preserve"> et al., 2021). Although some UK services have adopted elements of FACT, inconsistent training and limited resources have reduced its effectiveness (CQC, 2023).</w:t>
      </w:r>
    </w:p>
    <w:p w14:paraId="2B0C2AAC" w14:textId="77777777" w:rsidR="00057C9A" w:rsidRPr="00712FB5" w:rsidRDefault="00057C9A" w:rsidP="00057C9A">
      <w:pPr>
        <w:pStyle w:val="NormalWeb"/>
        <w:spacing w:line="360" w:lineRule="auto"/>
        <w:jc w:val="both"/>
        <w:rPr>
          <w:rFonts w:ascii="Arial" w:hAnsi="Arial" w:cs="Arial"/>
          <w:sz w:val="22"/>
          <w:szCs w:val="22"/>
        </w:rPr>
      </w:pPr>
      <w:r w:rsidRPr="00712FB5">
        <w:rPr>
          <w:rFonts w:ascii="Arial" w:hAnsi="Arial" w:cs="Arial"/>
          <w:sz w:val="22"/>
          <w:szCs w:val="22"/>
        </w:rPr>
        <w:t xml:space="preserve">In </w:t>
      </w:r>
      <w:r w:rsidRPr="00712FB5">
        <w:rPr>
          <w:rStyle w:val="Strong"/>
          <w:rFonts w:ascii="Arial" w:eastAsiaTheme="majorEastAsia" w:hAnsi="Arial" w:cs="Arial"/>
          <w:sz w:val="22"/>
          <w:szCs w:val="22"/>
        </w:rPr>
        <w:t>Finland</w:t>
      </w:r>
      <w:r w:rsidRPr="00712FB5">
        <w:rPr>
          <w:rFonts w:ascii="Arial" w:hAnsi="Arial" w:cs="Arial"/>
          <w:sz w:val="22"/>
          <w:szCs w:val="22"/>
        </w:rPr>
        <w:t xml:space="preserve">, the </w:t>
      </w:r>
      <w:r w:rsidRPr="00712FB5">
        <w:rPr>
          <w:rStyle w:val="Emphasis"/>
          <w:rFonts w:ascii="Arial" w:eastAsiaTheme="majorEastAsia" w:hAnsi="Arial" w:cs="Arial"/>
          <w:sz w:val="22"/>
          <w:szCs w:val="22"/>
        </w:rPr>
        <w:t>Open Dialogue</w:t>
      </w:r>
      <w:r w:rsidRPr="00712FB5">
        <w:rPr>
          <w:rFonts w:ascii="Arial" w:hAnsi="Arial" w:cs="Arial"/>
          <w:sz w:val="22"/>
          <w:szCs w:val="22"/>
        </w:rPr>
        <w:t xml:space="preserve"> approach represents a more innovative model. It focuses on rapid response, shared decision-making, and strong family involvement from the first signs of psychosis. Long-term studies show lower hospital use, reduced medication, and better social outcomes (</w:t>
      </w:r>
      <w:proofErr w:type="spellStart"/>
      <w:r w:rsidRPr="00712FB5">
        <w:rPr>
          <w:rFonts w:ascii="Arial" w:hAnsi="Arial" w:cs="Arial"/>
          <w:sz w:val="22"/>
          <w:szCs w:val="22"/>
        </w:rPr>
        <w:t>Seikkula</w:t>
      </w:r>
      <w:proofErr w:type="spellEnd"/>
      <w:r w:rsidRPr="00712FB5">
        <w:rPr>
          <w:rFonts w:ascii="Arial" w:hAnsi="Arial" w:cs="Arial"/>
          <w:sz w:val="22"/>
          <w:szCs w:val="22"/>
        </w:rPr>
        <w:t xml:space="preserve"> et al., 2011). Despite these positive results, Open Dialogue has only been tested in small UK pilot projects. Barriers include workforce training demands and a risk-averse culture within NHS services (Parachute Project, 2023).</w:t>
      </w:r>
    </w:p>
    <w:p w14:paraId="0CCDDF54" w14:textId="77777777" w:rsidR="00057C9A" w:rsidRPr="00712FB5" w:rsidRDefault="00057C9A" w:rsidP="00057C9A">
      <w:pPr>
        <w:pStyle w:val="NormalWeb"/>
        <w:spacing w:line="360" w:lineRule="auto"/>
        <w:jc w:val="both"/>
        <w:rPr>
          <w:rFonts w:ascii="Arial" w:hAnsi="Arial" w:cs="Arial"/>
          <w:sz w:val="22"/>
          <w:szCs w:val="22"/>
        </w:rPr>
      </w:pPr>
      <w:r w:rsidRPr="00712FB5">
        <w:rPr>
          <w:rStyle w:val="Strong"/>
          <w:rFonts w:ascii="Arial" w:eastAsiaTheme="majorEastAsia" w:hAnsi="Arial" w:cs="Arial"/>
          <w:sz w:val="22"/>
          <w:szCs w:val="22"/>
        </w:rPr>
        <w:t>Canada</w:t>
      </w:r>
      <w:r w:rsidRPr="00712FB5">
        <w:rPr>
          <w:rFonts w:ascii="Arial" w:hAnsi="Arial" w:cs="Arial"/>
          <w:sz w:val="22"/>
          <w:szCs w:val="22"/>
        </w:rPr>
        <w:t xml:space="preserve"> has developed </w:t>
      </w:r>
      <w:r w:rsidRPr="00712FB5">
        <w:rPr>
          <w:rStyle w:val="Emphasis"/>
          <w:rFonts w:ascii="Arial" w:eastAsiaTheme="majorEastAsia" w:hAnsi="Arial" w:cs="Arial"/>
          <w:sz w:val="22"/>
          <w:szCs w:val="22"/>
        </w:rPr>
        <w:t>Housing First</w:t>
      </w:r>
      <w:r w:rsidRPr="00712FB5">
        <w:rPr>
          <w:rFonts w:ascii="Arial" w:hAnsi="Arial" w:cs="Arial"/>
          <w:sz w:val="22"/>
          <w:szCs w:val="22"/>
        </w:rPr>
        <w:t xml:space="preserve"> programmes that provide permanent housing alongside mental health support, especially for homeless and Indigenous populations. Evidence shows improved quality of life and reduced hospital use among people with schizophrenia (Goering et al., 2014). While the UK has trialled Housing First schemes, they remain poorly integrated with specialist mental health services (</w:t>
      </w:r>
      <w:proofErr w:type="spellStart"/>
      <w:r w:rsidRPr="00712FB5">
        <w:rPr>
          <w:rFonts w:ascii="Arial" w:hAnsi="Arial" w:cs="Arial"/>
          <w:sz w:val="22"/>
          <w:szCs w:val="22"/>
        </w:rPr>
        <w:t>Pleace</w:t>
      </w:r>
      <w:proofErr w:type="spellEnd"/>
      <w:r w:rsidRPr="00712FB5">
        <w:rPr>
          <w:rFonts w:ascii="Arial" w:hAnsi="Arial" w:cs="Arial"/>
          <w:sz w:val="22"/>
          <w:szCs w:val="22"/>
        </w:rPr>
        <w:t xml:space="preserve"> et al., 2021).</w:t>
      </w:r>
    </w:p>
    <w:p w14:paraId="50FD60FF" w14:textId="77777777" w:rsidR="00057C9A" w:rsidRPr="00712FB5" w:rsidRDefault="00057C9A" w:rsidP="00057C9A">
      <w:pPr>
        <w:pStyle w:val="NormalWeb"/>
        <w:spacing w:line="360" w:lineRule="auto"/>
        <w:jc w:val="both"/>
        <w:rPr>
          <w:rFonts w:ascii="Arial" w:hAnsi="Arial" w:cs="Arial"/>
          <w:sz w:val="22"/>
          <w:szCs w:val="22"/>
        </w:rPr>
      </w:pPr>
      <w:r w:rsidRPr="00712FB5">
        <w:rPr>
          <w:rFonts w:ascii="Arial" w:hAnsi="Arial" w:cs="Arial"/>
          <w:sz w:val="22"/>
          <w:szCs w:val="22"/>
        </w:rPr>
        <w:t>Overall, international evidence shows that successful schizophrenia care relies on early intervention, continuity of care, social support, and service user involvement (OECD, 2022; WHO, 2021). However, these models only work well when supported by stable funding, sufficient staffing, and cultural acceptance. These lessons suggest that UK reforms should focus on long-term integration and equality rather than short-term pilot programmes.</w:t>
      </w:r>
    </w:p>
    <w:p w14:paraId="237EFB6B" w14:textId="77777777" w:rsidR="00057C9A" w:rsidRPr="00712FB5" w:rsidRDefault="00057C9A" w:rsidP="00057C9A">
      <w:pPr>
        <w:spacing w:before="100" w:beforeAutospacing="1" w:after="100" w:afterAutospacing="1" w:line="360" w:lineRule="auto"/>
        <w:jc w:val="both"/>
        <w:rPr>
          <w:rFonts w:ascii="Arial" w:eastAsia="Times New Roman" w:hAnsi="Arial" w:cs="Arial"/>
          <w:noProof/>
          <w:kern w:val="0"/>
          <w:lang w:eastAsia="en-GB"/>
          <w14:ligatures w14:val="none"/>
        </w:rPr>
      </w:pPr>
    </w:p>
    <w:bookmarkEnd w:id="1"/>
    <w:p w14:paraId="597FF71C" w14:textId="77777777" w:rsidR="00057C9A" w:rsidRPr="00942661" w:rsidRDefault="00057C9A" w:rsidP="00057C9A">
      <w:pPr>
        <w:keepNext/>
        <w:keepLines/>
        <w:spacing w:before="360" w:after="80"/>
        <w:outlineLvl w:val="0"/>
        <w:rPr>
          <w:rFonts w:ascii="Arial" w:eastAsiaTheme="majorEastAsia" w:hAnsi="Arial" w:cs="Arial"/>
          <w:b/>
          <w:bCs/>
          <w:sz w:val="24"/>
          <w:szCs w:val="24"/>
        </w:rPr>
      </w:pPr>
      <w:r w:rsidRPr="00610101">
        <w:rPr>
          <w:rFonts w:ascii="Arial" w:eastAsiaTheme="majorEastAsia" w:hAnsi="Arial" w:cs="Arial"/>
          <w:b/>
          <w:bCs/>
          <w:sz w:val="24"/>
          <w:szCs w:val="24"/>
        </w:rPr>
        <w:lastRenderedPageBreak/>
        <w:t xml:space="preserve">Figure: International Models of Schizophrenia Care: Clear comparison. </w:t>
      </w:r>
    </w:p>
    <w:tbl>
      <w:tblPr>
        <w:tblStyle w:val="TableGrid"/>
        <w:tblW w:w="0" w:type="auto"/>
        <w:tblInd w:w="0" w:type="dxa"/>
        <w:tblLook w:val="04A0" w:firstRow="1" w:lastRow="0" w:firstColumn="1" w:lastColumn="0" w:noHBand="0" w:noVBand="1"/>
      </w:tblPr>
      <w:tblGrid>
        <w:gridCol w:w="9016"/>
      </w:tblGrid>
      <w:tr w:rsidR="00057C9A" w14:paraId="31B28C2D" w14:textId="77777777" w:rsidTr="006D24C3">
        <w:trPr>
          <w:trHeight w:val="4747"/>
        </w:trPr>
        <w:tc>
          <w:tcPr>
            <w:tcW w:w="9016" w:type="dxa"/>
            <w:shd w:val="clear" w:color="auto" w:fill="FFFFFF" w:themeFill="background1"/>
          </w:tcPr>
          <w:p w14:paraId="1D37D2B4" w14:textId="77777777" w:rsidR="00057C9A" w:rsidRDefault="00057C9A" w:rsidP="006D24C3">
            <w:pPr>
              <w:jc w:val="both"/>
              <w:rPr>
                <w:rFonts w:ascii="Arial" w:hAnsi="Arial" w:cs="Arial"/>
                <w:sz w:val="18"/>
                <w:szCs w:val="18"/>
              </w:rPr>
            </w:pPr>
            <w:r w:rsidRPr="00942661">
              <w:rPr>
                <w:rFonts w:ascii="Arial" w:eastAsiaTheme="majorEastAsia" w:hAnsi="Arial" w:cs="Arial"/>
                <w:noProof/>
                <w:color w:val="2F5496" w:themeColor="accent1" w:themeShade="BF"/>
                <w:sz w:val="40"/>
                <w:szCs w:val="40"/>
                <w:shd w:val="clear" w:color="auto" w:fill="E7E6E6" w:themeFill="background2"/>
              </w:rPr>
              <w:drawing>
                <wp:inline distT="0" distB="0" distL="0" distR="0" wp14:anchorId="65186ABE" wp14:editId="74C3E126">
                  <wp:extent cx="5155441" cy="2905125"/>
                  <wp:effectExtent l="0" t="0" r="7620" b="0"/>
                  <wp:docPr id="794823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8177" cy="2923572"/>
                          </a:xfrm>
                          <a:prstGeom prst="rect">
                            <a:avLst/>
                          </a:prstGeom>
                          <a:noFill/>
                          <a:ln>
                            <a:noFill/>
                          </a:ln>
                        </pic:spPr>
                      </pic:pic>
                    </a:graphicData>
                  </a:graphic>
                </wp:inline>
              </w:drawing>
            </w:r>
            <w:r w:rsidRPr="00942661">
              <w:rPr>
                <w:rFonts w:ascii="Arial" w:hAnsi="Arial" w:cs="Arial"/>
                <w:sz w:val="18"/>
                <w:szCs w:val="18"/>
              </w:rPr>
              <w:t xml:space="preserve"> Sources: Rickwood et al., 2019; van Veldhuizen, 2007; </w:t>
            </w:r>
            <w:proofErr w:type="spellStart"/>
            <w:r w:rsidRPr="00942661">
              <w:rPr>
                <w:rFonts w:ascii="Arial" w:hAnsi="Arial" w:cs="Arial"/>
                <w:sz w:val="18"/>
                <w:szCs w:val="18"/>
              </w:rPr>
              <w:t>Seikkula</w:t>
            </w:r>
            <w:proofErr w:type="spellEnd"/>
            <w:r w:rsidRPr="00942661">
              <w:rPr>
                <w:rFonts w:ascii="Arial" w:hAnsi="Arial" w:cs="Arial"/>
                <w:sz w:val="18"/>
                <w:szCs w:val="18"/>
              </w:rPr>
              <w:t xml:space="preserve"> et al., 2011; Goering et al., 2014; OECD, 2022; WHO, 2021).</w:t>
            </w:r>
          </w:p>
          <w:p w14:paraId="019AFB97" w14:textId="77777777" w:rsidR="00057C9A" w:rsidRDefault="00057C9A" w:rsidP="006D24C3">
            <w:pPr>
              <w:jc w:val="both"/>
              <w:rPr>
                <w:rFonts w:ascii="Arial" w:hAnsi="Arial" w:cs="Arial"/>
                <w:sz w:val="18"/>
                <w:szCs w:val="18"/>
              </w:rPr>
            </w:pPr>
          </w:p>
        </w:tc>
      </w:tr>
    </w:tbl>
    <w:p w14:paraId="29B8564B" w14:textId="77777777" w:rsidR="00057C9A" w:rsidRPr="00942661" w:rsidRDefault="00057C9A" w:rsidP="00057C9A">
      <w:pPr>
        <w:jc w:val="both"/>
        <w:rPr>
          <w:rFonts w:ascii="Arial" w:hAnsi="Arial" w:cs="Arial"/>
          <w:sz w:val="18"/>
          <w:szCs w:val="18"/>
        </w:rPr>
      </w:pPr>
    </w:p>
    <w:p w14:paraId="1FD34637" w14:textId="77777777" w:rsidR="00057C9A" w:rsidRPr="00610101" w:rsidRDefault="00057C9A" w:rsidP="00057C9A">
      <w:pPr>
        <w:keepNext/>
        <w:keepLines/>
        <w:spacing w:before="360" w:after="80"/>
        <w:outlineLvl w:val="0"/>
        <w:rPr>
          <w:rFonts w:ascii="Arial" w:eastAsiaTheme="majorEastAsia" w:hAnsi="Arial" w:cs="Arial"/>
          <w:b/>
          <w:bCs/>
        </w:rPr>
      </w:pPr>
      <w:r w:rsidRPr="00610101">
        <w:rPr>
          <w:rFonts w:ascii="Arial" w:eastAsiaTheme="majorEastAsia" w:hAnsi="Arial" w:cs="Arial"/>
          <w:b/>
          <w:bCs/>
        </w:rPr>
        <w:t>International Models of Schizophrenia Care – Visual Summary Table</w:t>
      </w:r>
    </w:p>
    <w:tbl>
      <w:tblPr>
        <w:tblStyle w:val="TableGrid"/>
        <w:tblW w:w="0" w:type="auto"/>
        <w:tblInd w:w="0" w:type="dxa"/>
        <w:tblLook w:val="04A0" w:firstRow="1" w:lastRow="0" w:firstColumn="1" w:lastColumn="0" w:noHBand="0" w:noVBand="1"/>
      </w:tblPr>
      <w:tblGrid>
        <w:gridCol w:w="1728"/>
        <w:gridCol w:w="1728"/>
        <w:gridCol w:w="1728"/>
        <w:gridCol w:w="1728"/>
        <w:gridCol w:w="1728"/>
      </w:tblGrid>
      <w:tr w:rsidR="00057C9A" w:rsidRPr="00610101" w14:paraId="124C03CB" w14:textId="77777777" w:rsidTr="006D24C3">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7396857"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Country</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0647DDA"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Model of Care</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A3CE4C7"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Key Strengths</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3D21A0E0"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Limitations</w:t>
            </w:r>
          </w:p>
        </w:tc>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E259182"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Key Lessons for the UK</w:t>
            </w:r>
          </w:p>
        </w:tc>
      </w:tr>
      <w:tr w:rsidR="00057C9A" w:rsidRPr="00610101" w14:paraId="649F4F75" w14:textId="77777777" w:rsidTr="006D24C3">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93A34E0"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Australia</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90B3CB6" w14:textId="77777777" w:rsidR="00057C9A" w:rsidRPr="00610101" w:rsidRDefault="00057C9A" w:rsidP="006D24C3">
            <w:pPr>
              <w:rPr>
                <w:rFonts w:ascii="Arial" w:hAnsi="Arial" w:cs="Arial"/>
                <w:sz w:val="20"/>
                <w:szCs w:val="20"/>
              </w:rPr>
            </w:pPr>
            <w:r w:rsidRPr="00610101">
              <w:rPr>
                <w:rFonts w:ascii="Arial" w:hAnsi="Arial" w:cs="Arial"/>
                <w:sz w:val="20"/>
                <w:szCs w:val="20"/>
              </w:rPr>
              <w:t>Headspace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5F24C298" w14:textId="77777777" w:rsidR="00057C9A" w:rsidRPr="00610101" w:rsidRDefault="00057C9A" w:rsidP="006D24C3">
            <w:pPr>
              <w:rPr>
                <w:rFonts w:ascii="Arial" w:hAnsi="Arial" w:cs="Arial"/>
                <w:sz w:val="20"/>
                <w:szCs w:val="20"/>
              </w:rPr>
            </w:pPr>
            <w:r w:rsidRPr="00610101">
              <w:rPr>
                <w:rFonts w:ascii="Arial" w:hAnsi="Arial" w:cs="Arial"/>
                <w:sz w:val="20"/>
                <w:szCs w:val="20"/>
              </w:rPr>
              <w:t>Early intervention; youth-friendly; integrated services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04A2F11" w14:textId="77777777" w:rsidR="00057C9A" w:rsidRPr="00610101" w:rsidRDefault="00057C9A" w:rsidP="006D24C3">
            <w:pPr>
              <w:rPr>
                <w:rFonts w:ascii="Arial" w:hAnsi="Arial" w:cs="Arial"/>
                <w:sz w:val="20"/>
                <w:szCs w:val="20"/>
              </w:rPr>
            </w:pPr>
            <w:r w:rsidRPr="00610101">
              <w:rPr>
                <w:rFonts w:ascii="Arial" w:hAnsi="Arial" w:cs="Arial"/>
                <w:sz w:val="20"/>
                <w:szCs w:val="20"/>
              </w:rPr>
              <w:t>High cost; workforce and scalability challenges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58FC5D97" w14:textId="77777777" w:rsidR="00057C9A" w:rsidRPr="00610101" w:rsidRDefault="00057C9A" w:rsidP="006D24C3">
            <w:pPr>
              <w:rPr>
                <w:rFonts w:ascii="Arial" w:hAnsi="Arial" w:cs="Arial"/>
                <w:sz w:val="20"/>
                <w:szCs w:val="20"/>
              </w:rPr>
            </w:pPr>
            <w:r w:rsidRPr="00610101">
              <w:rPr>
                <w:rFonts w:ascii="Arial" w:hAnsi="Arial" w:cs="Arial"/>
                <w:sz w:val="20"/>
                <w:szCs w:val="20"/>
              </w:rPr>
              <w:t>Importance of early, co-located youth services</w:t>
            </w:r>
          </w:p>
        </w:tc>
      </w:tr>
      <w:tr w:rsidR="00057C9A" w:rsidRPr="00610101" w14:paraId="65951CE0" w14:textId="77777777" w:rsidTr="006D24C3">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EB82108"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Netherlands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8D80E78" w14:textId="77777777" w:rsidR="00057C9A" w:rsidRPr="00610101" w:rsidRDefault="00057C9A" w:rsidP="006D24C3">
            <w:pPr>
              <w:rPr>
                <w:rFonts w:ascii="Arial" w:hAnsi="Arial" w:cs="Arial"/>
                <w:sz w:val="20"/>
                <w:szCs w:val="20"/>
              </w:rPr>
            </w:pPr>
            <w:r w:rsidRPr="00610101">
              <w:rPr>
                <w:rFonts w:ascii="Arial" w:hAnsi="Arial" w:cs="Arial"/>
                <w:sz w:val="20"/>
                <w:szCs w:val="20"/>
              </w:rPr>
              <w:t>FACT</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63AFCDE9" w14:textId="77777777" w:rsidR="00057C9A" w:rsidRPr="00610101" w:rsidRDefault="00057C9A" w:rsidP="006D24C3">
            <w:pPr>
              <w:rPr>
                <w:rFonts w:ascii="Arial" w:hAnsi="Arial" w:cs="Arial"/>
                <w:sz w:val="20"/>
                <w:szCs w:val="20"/>
              </w:rPr>
            </w:pPr>
            <w:r w:rsidRPr="00610101">
              <w:rPr>
                <w:rFonts w:ascii="Arial" w:hAnsi="Arial" w:cs="Arial"/>
                <w:sz w:val="20"/>
                <w:szCs w:val="20"/>
              </w:rPr>
              <w:t>Flexible intensity; continuity of care; reduced relapse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6A7B45F3" w14:textId="77777777" w:rsidR="00057C9A" w:rsidRPr="00610101" w:rsidRDefault="00057C9A" w:rsidP="006D24C3">
            <w:pPr>
              <w:rPr>
                <w:rFonts w:ascii="Arial" w:hAnsi="Arial" w:cs="Arial"/>
                <w:sz w:val="20"/>
                <w:szCs w:val="20"/>
              </w:rPr>
            </w:pPr>
            <w:r w:rsidRPr="00610101">
              <w:rPr>
                <w:rFonts w:ascii="Arial" w:hAnsi="Arial" w:cs="Arial"/>
                <w:sz w:val="20"/>
                <w:szCs w:val="20"/>
              </w:rPr>
              <w:t>Resource intensive; training demands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637611C" w14:textId="77777777" w:rsidR="00057C9A" w:rsidRPr="00610101" w:rsidRDefault="00057C9A" w:rsidP="006D24C3">
            <w:pPr>
              <w:rPr>
                <w:rFonts w:ascii="Arial" w:hAnsi="Arial" w:cs="Arial"/>
                <w:sz w:val="20"/>
                <w:szCs w:val="20"/>
              </w:rPr>
            </w:pPr>
            <w:r w:rsidRPr="00610101">
              <w:rPr>
                <w:rFonts w:ascii="Arial" w:hAnsi="Arial" w:cs="Arial"/>
                <w:sz w:val="20"/>
                <w:szCs w:val="20"/>
              </w:rPr>
              <w:t>Value of long-term flexible community teams</w:t>
            </w:r>
          </w:p>
        </w:tc>
      </w:tr>
      <w:tr w:rsidR="00057C9A" w:rsidRPr="00610101" w14:paraId="068A7E91" w14:textId="77777777" w:rsidTr="006D24C3">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2481B5F0"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Finland</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F2D75A2" w14:textId="77777777" w:rsidR="00057C9A" w:rsidRPr="00610101" w:rsidRDefault="00057C9A" w:rsidP="006D24C3">
            <w:pPr>
              <w:rPr>
                <w:rFonts w:ascii="Arial" w:hAnsi="Arial" w:cs="Arial"/>
                <w:sz w:val="20"/>
                <w:szCs w:val="20"/>
              </w:rPr>
            </w:pPr>
            <w:r w:rsidRPr="00610101">
              <w:rPr>
                <w:rFonts w:ascii="Arial" w:hAnsi="Arial" w:cs="Arial"/>
                <w:sz w:val="20"/>
                <w:szCs w:val="20"/>
              </w:rPr>
              <w:t>Open Dialogue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2E06793B" w14:textId="77777777" w:rsidR="00057C9A" w:rsidRPr="00610101" w:rsidRDefault="00057C9A" w:rsidP="006D24C3">
            <w:pPr>
              <w:rPr>
                <w:rFonts w:ascii="Arial" w:hAnsi="Arial" w:cs="Arial"/>
                <w:sz w:val="20"/>
                <w:szCs w:val="20"/>
              </w:rPr>
            </w:pPr>
            <w:r w:rsidRPr="00610101">
              <w:rPr>
                <w:rFonts w:ascii="Arial" w:hAnsi="Arial" w:cs="Arial"/>
                <w:sz w:val="20"/>
                <w:szCs w:val="20"/>
              </w:rPr>
              <w:t>Family involvement; shared decision-making; reduced medication use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49659ACF" w14:textId="77777777" w:rsidR="00057C9A" w:rsidRPr="00610101" w:rsidRDefault="00057C9A" w:rsidP="006D24C3">
            <w:pPr>
              <w:rPr>
                <w:rFonts w:ascii="Arial" w:hAnsi="Arial" w:cs="Arial"/>
                <w:sz w:val="20"/>
                <w:szCs w:val="20"/>
              </w:rPr>
            </w:pPr>
            <w:r w:rsidRPr="00610101">
              <w:rPr>
                <w:rFonts w:ascii="Arial" w:hAnsi="Arial" w:cs="Arial"/>
                <w:sz w:val="20"/>
                <w:szCs w:val="20"/>
              </w:rPr>
              <w:t>Cultural and training barriers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59F0D0E3" w14:textId="77777777" w:rsidR="00057C9A" w:rsidRPr="00610101" w:rsidRDefault="00057C9A" w:rsidP="006D24C3">
            <w:pPr>
              <w:rPr>
                <w:rFonts w:ascii="Arial" w:hAnsi="Arial" w:cs="Arial"/>
                <w:sz w:val="20"/>
                <w:szCs w:val="20"/>
              </w:rPr>
            </w:pPr>
            <w:r w:rsidRPr="00610101">
              <w:rPr>
                <w:rFonts w:ascii="Arial" w:hAnsi="Arial" w:cs="Arial"/>
                <w:sz w:val="20"/>
                <w:szCs w:val="20"/>
              </w:rPr>
              <w:t>Benefits of relational and dialogical care</w:t>
            </w:r>
          </w:p>
        </w:tc>
      </w:tr>
      <w:tr w:rsidR="00057C9A" w:rsidRPr="00610101" w14:paraId="025D5925" w14:textId="77777777" w:rsidTr="006D24C3">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A263BF3"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Canada</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77D68063" w14:textId="77777777" w:rsidR="00057C9A" w:rsidRPr="00610101" w:rsidRDefault="00057C9A" w:rsidP="006D24C3">
            <w:pPr>
              <w:rPr>
                <w:rFonts w:ascii="Arial" w:hAnsi="Arial" w:cs="Arial"/>
                <w:sz w:val="20"/>
                <w:szCs w:val="20"/>
              </w:rPr>
            </w:pPr>
            <w:r w:rsidRPr="00610101">
              <w:rPr>
                <w:rFonts w:ascii="Arial" w:hAnsi="Arial" w:cs="Arial"/>
                <w:sz w:val="20"/>
                <w:szCs w:val="20"/>
              </w:rPr>
              <w:t>Housing First</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7B084F1F" w14:textId="77777777" w:rsidR="00057C9A" w:rsidRPr="00610101" w:rsidRDefault="00057C9A" w:rsidP="006D24C3">
            <w:pPr>
              <w:rPr>
                <w:rFonts w:ascii="Arial" w:hAnsi="Arial" w:cs="Arial"/>
                <w:sz w:val="20"/>
                <w:szCs w:val="20"/>
              </w:rPr>
            </w:pPr>
            <w:r w:rsidRPr="00610101">
              <w:rPr>
                <w:rFonts w:ascii="Arial" w:hAnsi="Arial" w:cs="Arial"/>
                <w:sz w:val="20"/>
                <w:szCs w:val="20"/>
              </w:rPr>
              <w:t>Addresses housing instability; improves quality of life</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08D04D87" w14:textId="77777777" w:rsidR="00057C9A" w:rsidRPr="00610101" w:rsidRDefault="00057C9A" w:rsidP="006D24C3">
            <w:pPr>
              <w:rPr>
                <w:rFonts w:ascii="Arial" w:hAnsi="Arial" w:cs="Arial"/>
                <w:sz w:val="20"/>
                <w:szCs w:val="20"/>
              </w:rPr>
            </w:pPr>
            <w:r w:rsidRPr="00610101">
              <w:rPr>
                <w:rFonts w:ascii="Arial" w:hAnsi="Arial" w:cs="Arial"/>
                <w:sz w:val="20"/>
                <w:szCs w:val="20"/>
              </w:rPr>
              <w:t>Limited mental health integration in some regions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3A3AF1DC" w14:textId="77777777" w:rsidR="00057C9A" w:rsidRPr="00610101" w:rsidRDefault="00057C9A" w:rsidP="006D24C3">
            <w:pPr>
              <w:rPr>
                <w:rFonts w:ascii="Arial" w:hAnsi="Arial" w:cs="Arial"/>
                <w:sz w:val="20"/>
                <w:szCs w:val="20"/>
              </w:rPr>
            </w:pPr>
            <w:r w:rsidRPr="00610101">
              <w:rPr>
                <w:rFonts w:ascii="Arial" w:hAnsi="Arial" w:cs="Arial"/>
                <w:sz w:val="20"/>
                <w:szCs w:val="20"/>
              </w:rPr>
              <w:t>Housing as a core recovery intervention</w:t>
            </w:r>
          </w:p>
        </w:tc>
      </w:tr>
      <w:tr w:rsidR="00057C9A" w:rsidRPr="00610101" w14:paraId="48AE9BF4" w14:textId="77777777" w:rsidTr="006D24C3">
        <w:tc>
          <w:tcPr>
            <w:tcW w:w="172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52319A36" w14:textId="77777777" w:rsidR="00057C9A" w:rsidRPr="00610101" w:rsidRDefault="00057C9A" w:rsidP="006D24C3">
            <w:pPr>
              <w:rPr>
                <w:rFonts w:ascii="Arial" w:hAnsi="Arial" w:cs="Arial"/>
                <w:b/>
                <w:bCs/>
                <w:sz w:val="20"/>
                <w:szCs w:val="20"/>
              </w:rPr>
            </w:pPr>
            <w:r w:rsidRPr="00610101">
              <w:rPr>
                <w:rFonts w:ascii="Arial" w:hAnsi="Arial" w:cs="Arial"/>
                <w:b/>
                <w:bCs/>
                <w:sz w:val="20"/>
                <w:szCs w:val="20"/>
              </w:rPr>
              <w:t>United Kingdom</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53F5E52E" w14:textId="77777777" w:rsidR="00057C9A" w:rsidRPr="00610101" w:rsidRDefault="00057C9A" w:rsidP="006D24C3">
            <w:pPr>
              <w:rPr>
                <w:rFonts w:ascii="Arial" w:hAnsi="Arial" w:cs="Arial"/>
                <w:sz w:val="20"/>
                <w:szCs w:val="20"/>
              </w:rPr>
            </w:pPr>
            <w:r w:rsidRPr="00610101">
              <w:rPr>
                <w:rFonts w:ascii="Arial" w:hAnsi="Arial" w:cs="Arial"/>
                <w:sz w:val="20"/>
                <w:szCs w:val="20"/>
              </w:rPr>
              <w:t>EIP (Comparator)</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B660535" w14:textId="77777777" w:rsidR="00057C9A" w:rsidRPr="00610101" w:rsidRDefault="00057C9A" w:rsidP="006D24C3">
            <w:pPr>
              <w:rPr>
                <w:rFonts w:ascii="Arial" w:hAnsi="Arial" w:cs="Arial"/>
                <w:sz w:val="20"/>
                <w:szCs w:val="20"/>
              </w:rPr>
            </w:pPr>
            <w:r w:rsidRPr="00610101">
              <w:rPr>
                <w:rFonts w:ascii="Arial" w:hAnsi="Arial" w:cs="Arial"/>
                <w:sz w:val="20"/>
                <w:szCs w:val="20"/>
              </w:rPr>
              <w:t>Strong early intervention; universal access</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33E28085" w14:textId="77777777" w:rsidR="00057C9A" w:rsidRPr="00610101" w:rsidRDefault="00057C9A" w:rsidP="006D24C3">
            <w:pPr>
              <w:rPr>
                <w:rFonts w:ascii="Arial" w:hAnsi="Arial" w:cs="Arial"/>
                <w:sz w:val="20"/>
                <w:szCs w:val="20"/>
              </w:rPr>
            </w:pPr>
            <w:r w:rsidRPr="00610101">
              <w:rPr>
                <w:rFonts w:ascii="Arial" w:hAnsi="Arial" w:cs="Arial"/>
                <w:sz w:val="20"/>
                <w:szCs w:val="20"/>
              </w:rPr>
              <w:t>Poor continuity; inequities; limited peer support</w:t>
            </w:r>
          </w:p>
        </w:tc>
        <w:tc>
          <w:tcPr>
            <w:tcW w:w="1728" w:type="dxa"/>
            <w:tcBorders>
              <w:top w:val="single" w:sz="4" w:space="0" w:color="auto"/>
              <w:left w:val="single" w:sz="4" w:space="0" w:color="auto"/>
              <w:bottom w:val="single" w:sz="4" w:space="0" w:color="auto"/>
              <w:right w:val="single" w:sz="4" w:space="0" w:color="auto"/>
            </w:tcBorders>
            <w:shd w:val="clear" w:color="auto" w:fill="A5A5A5" w:themeFill="accent3"/>
            <w:hideMark/>
          </w:tcPr>
          <w:p w14:paraId="136945FC" w14:textId="77777777" w:rsidR="00057C9A" w:rsidRPr="00610101" w:rsidRDefault="00057C9A" w:rsidP="006D24C3">
            <w:pPr>
              <w:rPr>
                <w:rFonts w:ascii="Arial" w:hAnsi="Arial" w:cs="Arial"/>
                <w:sz w:val="20"/>
                <w:szCs w:val="20"/>
              </w:rPr>
            </w:pPr>
            <w:r w:rsidRPr="00610101">
              <w:rPr>
                <w:rFonts w:ascii="Arial" w:hAnsi="Arial" w:cs="Arial"/>
                <w:sz w:val="20"/>
                <w:szCs w:val="20"/>
              </w:rPr>
              <w:t>Need to strengthen continuity and equity</w:t>
            </w:r>
          </w:p>
        </w:tc>
      </w:tr>
    </w:tbl>
    <w:p w14:paraId="6DA1BD73" w14:textId="77777777" w:rsidR="00057C9A" w:rsidRDefault="00057C9A" w:rsidP="00057C9A">
      <w:pPr>
        <w:jc w:val="both"/>
        <w:rPr>
          <w:rFonts w:ascii="Arial" w:hAnsi="Arial" w:cs="Arial"/>
          <w:sz w:val="18"/>
          <w:szCs w:val="18"/>
        </w:rPr>
      </w:pPr>
      <w:r w:rsidRPr="00942661">
        <w:rPr>
          <w:rFonts w:ascii="Arial" w:hAnsi="Arial" w:cs="Arial"/>
          <w:sz w:val="18"/>
          <w:szCs w:val="18"/>
        </w:rPr>
        <w:t xml:space="preserve">Sources: Rickwood et al., 2019; </w:t>
      </w:r>
      <w:r>
        <w:rPr>
          <w:rFonts w:ascii="Arial" w:hAnsi="Arial" w:cs="Arial"/>
          <w:sz w:val="18"/>
          <w:szCs w:val="18"/>
        </w:rPr>
        <w:t>V</w:t>
      </w:r>
      <w:r w:rsidRPr="00942661">
        <w:rPr>
          <w:rFonts w:ascii="Arial" w:hAnsi="Arial" w:cs="Arial"/>
          <w:sz w:val="18"/>
          <w:szCs w:val="18"/>
        </w:rPr>
        <w:t xml:space="preserve">an Veldhuizen, 2007; </w:t>
      </w:r>
      <w:proofErr w:type="spellStart"/>
      <w:r w:rsidRPr="00942661">
        <w:rPr>
          <w:rFonts w:ascii="Arial" w:hAnsi="Arial" w:cs="Arial"/>
          <w:sz w:val="18"/>
          <w:szCs w:val="18"/>
        </w:rPr>
        <w:t>Seikkula</w:t>
      </w:r>
      <w:proofErr w:type="spellEnd"/>
      <w:r w:rsidRPr="00942661">
        <w:rPr>
          <w:rFonts w:ascii="Arial" w:hAnsi="Arial" w:cs="Arial"/>
          <w:sz w:val="18"/>
          <w:szCs w:val="18"/>
        </w:rPr>
        <w:t xml:space="preserve"> et al., 2011; WHO, 2021).</w:t>
      </w:r>
    </w:p>
    <w:p w14:paraId="70EDCE80" w14:textId="77777777" w:rsidR="00057C9A" w:rsidRPr="00610101" w:rsidRDefault="00057C9A" w:rsidP="00057C9A">
      <w:pPr>
        <w:rPr>
          <w:rFonts w:ascii="Arial" w:hAnsi="Arial" w:cs="Arial"/>
          <w:lang w:val="en-US"/>
        </w:rPr>
      </w:pPr>
    </w:p>
    <w:p w14:paraId="6E17E9BA" w14:textId="77777777" w:rsidR="00057C9A" w:rsidRPr="00610101" w:rsidRDefault="00057C9A" w:rsidP="00057C9A">
      <w:pPr>
        <w:spacing w:before="100" w:beforeAutospacing="1" w:after="100" w:afterAutospacing="1" w:line="240" w:lineRule="auto"/>
        <w:rPr>
          <w:rFonts w:ascii="Arial" w:eastAsia="Times New Roman" w:hAnsi="Arial" w:cs="Arial"/>
          <w:kern w:val="0"/>
          <w:lang w:eastAsia="en-GB"/>
          <w14:ligatures w14:val="none"/>
        </w:rPr>
      </w:pPr>
    </w:p>
    <w:p w14:paraId="266E6DB2" w14:textId="77777777" w:rsidR="00057C9A" w:rsidRPr="00610101" w:rsidRDefault="00057C9A" w:rsidP="00057C9A">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610101">
        <w:rPr>
          <w:rFonts w:ascii="Arial" w:eastAsia="Times New Roman" w:hAnsi="Arial" w:cs="Arial"/>
          <w:b/>
          <w:bCs/>
          <w:kern w:val="0"/>
          <w:sz w:val="28"/>
          <w:szCs w:val="28"/>
          <w:lang w:eastAsia="en-GB"/>
          <w14:ligatures w14:val="none"/>
        </w:rPr>
        <w:lastRenderedPageBreak/>
        <w:t>2.5 National and Local UK Context:</w:t>
      </w:r>
    </w:p>
    <w:p w14:paraId="75731982" w14:textId="77777777" w:rsidR="00057C9A" w:rsidRPr="0094266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942661">
        <w:rPr>
          <w:rFonts w:ascii="Arial" w:eastAsia="Times New Roman" w:hAnsi="Arial" w:cs="Arial"/>
          <w:kern w:val="0"/>
          <w:lang w:eastAsia="en-GB"/>
          <w14:ligatures w14:val="none"/>
        </w:rPr>
        <w:t>The UK’s approach to schizophrenia care is shaped by national policy frameworks, regional implementation strategies, and local service-level innovations — all of which must be analysed to assess effectiveness and accessibility.</w:t>
      </w:r>
    </w:p>
    <w:p w14:paraId="5BA673E1"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10101">
        <w:rPr>
          <w:rFonts w:ascii="Arial" w:eastAsia="Times New Roman" w:hAnsi="Arial" w:cs="Arial"/>
          <w:b/>
          <w:bCs/>
          <w:kern w:val="0"/>
          <w:sz w:val="27"/>
          <w:szCs w:val="27"/>
          <w:lang w:eastAsia="en-GB"/>
          <w14:ligatures w14:val="none"/>
        </w:rPr>
        <w:t>2.5.1 National Policy Frameworks:</w:t>
      </w:r>
    </w:p>
    <w:p w14:paraId="1BB86F0F" w14:textId="77777777" w:rsidR="00057C9A" w:rsidRPr="005457D7" w:rsidRDefault="00057C9A" w:rsidP="00057C9A">
      <w:pPr>
        <w:pStyle w:val="NormalWeb"/>
        <w:spacing w:line="360" w:lineRule="auto"/>
        <w:jc w:val="both"/>
        <w:rPr>
          <w:rFonts w:ascii="Arial" w:hAnsi="Arial" w:cs="Arial"/>
          <w:sz w:val="22"/>
          <w:szCs w:val="22"/>
        </w:rPr>
      </w:pPr>
      <w:r w:rsidRPr="005457D7">
        <w:rPr>
          <w:rFonts w:ascii="Arial" w:hAnsi="Arial" w:cs="Arial"/>
          <w:sz w:val="22"/>
          <w:szCs w:val="22"/>
        </w:rPr>
        <w:t xml:space="preserve">The </w:t>
      </w:r>
      <w:r w:rsidRPr="005457D7">
        <w:rPr>
          <w:rStyle w:val="Strong"/>
          <w:rFonts w:ascii="Arial" w:eastAsiaTheme="majorEastAsia" w:hAnsi="Arial" w:cs="Arial"/>
          <w:sz w:val="22"/>
          <w:szCs w:val="22"/>
        </w:rPr>
        <w:t>NHS Long Term Plan (2019)</w:t>
      </w:r>
      <w:r w:rsidRPr="005457D7">
        <w:rPr>
          <w:rFonts w:ascii="Arial" w:hAnsi="Arial" w:cs="Arial"/>
          <w:sz w:val="22"/>
          <w:szCs w:val="22"/>
        </w:rPr>
        <w:t xml:space="preserve"> committed an additional </w:t>
      </w:r>
      <w:r w:rsidRPr="005457D7">
        <w:rPr>
          <w:rStyle w:val="Strong"/>
          <w:rFonts w:ascii="Arial" w:eastAsiaTheme="majorEastAsia" w:hAnsi="Arial" w:cs="Arial"/>
          <w:sz w:val="22"/>
          <w:szCs w:val="22"/>
        </w:rPr>
        <w:t>£2.3 billion per year</w:t>
      </w:r>
      <w:r w:rsidRPr="005457D7">
        <w:rPr>
          <w:rFonts w:ascii="Arial" w:hAnsi="Arial" w:cs="Arial"/>
          <w:sz w:val="22"/>
          <w:szCs w:val="22"/>
        </w:rPr>
        <w:t xml:space="preserve"> to mental health services by 2023/24, aiming to improve access to </w:t>
      </w:r>
      <w:r w:rsidRPr="005457D7">
        <w:rPr>
          <w:rStyle w:val="Strong"/>
          <w:rFonts w:ascii="Arial" w:eastAsiaTheme="majorEastAsia" w:hAnsi="Arial" w:cs="Arial"/>
          <w:sz w:val="22"/>
          <w:szCs w:val="22"/>
        </w:rPr>
        <w:t>Early Intervention in Psychosis (EIP)</w:t>
      </w:r>
      <w:r w:rsidRPr="005457D7">
        <w:rPr>
          <w:rFonts w:ascii="Arial" w:hAnsi="Arial" w:cs="Arial"/>
          <w:b/>
          <w:bCs/>
          <w:sz w:val="22"/>
          <w:szCs w:val="22"/>
        </w:rPr>
        <w:t xml:space="preserve">, </w:t>
      </w:r>
      <w:r w:rsidRPr="005457D7">
        <w:rPr>
          <w:rStyle w:val="Strong"/>
          <w:rFonts w:ascii="Arial" w:eastAsiaTheme="majorEastAsia" w:hAnsi="Arial" w:cs="Arial"/>
          <w:sz w:val="22"/>
          <w:szCs w:val="22"/>
        </w:rPr>
        <w:t>cognitive behavioural therapy (CBT)</w:t>
      </w:r>
      <w:r w:rsidRPr="005457D7">
        <w:rPr>
          <w:rFonts w:ascii="Arial" w:hAnsi="Arial" w:cs="Arial"/>
          <w:b/>
          <w:bCs/>
          <w:sz w:val="22"/>
          <w:szCs w:val="22"/>
        </w:rPr>
        <w:t xml:space="preserve">, </w:t>
      </w:r>
      <w:r w:rsidRPr="005457D7">
        <w:rPr>
          <w:rFonts w:ascii="Arial" w:hAnsi="Arial" w:cs="Arial"/>
          <w:sz w:val="22"/>
          <w:szCs w:val="22"/>
        </w:rPr>
        <w:t xml:space="preserve">and integrated physical and mental health care (NHS England, 2019). Although the plan set a target for </w:t>
      </w:r>
      <w:r w:rsidRPr="005457D7">
        <w:rPr>
          <w:rStyle w:val="Strong"/>
          <w:rFonts w:ascii="Arial" w:eastAsiaTheme="majorEastAsia" w:hAnsi="Arial" w:cs="Arial"/>
          <w:sz w:val="22"/>
          <w:szCs w:val="22"/>
        </w:rPr>
        <w:t>60% of first-episode psychosis patients</w:t>
      </w:r>
      <w:r w:rsidRPr="005457D7">
        <w:rPr>
          <w:rFonts w:ascii="Arial" w:hAnsi="Arial" w:cs="Arial"/>
          <w:b/>
          <w:bCs/>
          <w:sz w:val="22"/>
          <w:szCs w:val="22"/>
        </w:rPr>
        <w:t xml:space="preserve"> </w:t>
      </w:r>
      <w:r w:rsidRPr="005457D7">
        <w:rPr>
          <w:rFonts w:ascii="Arial" w:hAnsi="Arial" w:cs="Arial"/>
          <w:sz w:val="22"/>
          <w:szCs w:val="22"/>
        </w:rPr>
        <w:t xml:space="preserve">to receive treatment within two weeks, only </w:t>
      </w:r>
      <w:r w:rsidRPr="005457D7">
        <w:rPr>
          <w:rStyle w:val="Strong"/>
          <w:rFonts w:ascii="Arial" w:eastAsiaTheme="majorEastAsia" w:hAnsi="Arial" w:cs="Arial"/>
          <w:sz w:val="22"/>
          <w:szCs w:val="22"/>
        </w:rPr>
        <w:t>43% of NHS Trusts</w:t>
      </w:r>
      <w:r w:rsidRPr="005457D7">
        <w:rPr>
          <w:rFonts w:ascii="Arial" w:hAnsi="Arial" w:cs="Arial"/>
          <w:b/>
          <w:bCs/>
          <w:sz w:val="22"/>
          <w:szCs w:val="22"/>
        </w:rPr>
        <w:t xml:space="preserve"> </w:t>
      </w:r>
      <w:r w:rsidRPr="005457D7">
        <w:rPr>
          <w:rFonts w:ascii="Arial" w:hAnsi="Arial" w:cs="Arial"/>
          <w:sz w:val="22"/>
          <w:szCs w:val="22"/>
        </w:rPr>
        <w:t>consistently meet this standard (</w:t>
      </w:r>
      <w:proofErr w:type="spellStart"/>
      <w:r w:rsidRPr="005457D7">
        <w:rPr>
          <w:rFonts w:ascii="Arial" w:hAnsi="Arial" w:cs="Arial"/>
          <w:sz w:val="22"/>
          <w:szCs w:val="22"/>
        </w:rPr>
        <w:t>RCPsych</w:t>
      </w:r>
      <w:proofErr w:type="spellEnd"/>
      <w:r w:rsidRPr="005457D7">
        <w:rPr>
          <w:rFonts w:ascii="Arial" w:hAnsi="Arial" w:cs="Arial"/>
          <w:sz w:val="22"/>
          <w:szCs w:val="22"/>
        </w:rPr>
        <w:t>, 2024).</w:t>
      </w:r>
    </w:p>
    <w:p w14:paraId="0D8950A5" w14:textId="77777777" w:rsidR="00057C9A" w:rsidRPr="005457D7" w:rsidRDefault="00057C9A" w:rsidP="00057C9A">
      <w:pPr>
        <w:pStyle w:val="NormalWeb"/>
        <w:spacing w:line="360" w:lineRule="auto"/>
        <w:jc w:val="both"/>
        <w:rPr>
          <w:rFonts w:ascii="Arial" w:hAnsi="Arial" w:cs="Arial"/>
          <w:sz w:val="22"/>
          <w:szCs w:val="22"/>
        </w:rPr>
      </w:pPr>
      <w:r w:rsidRPr="005457D7">
        <w:rPr>
          <w:rFonts w:ascii="Arial" w:hAnsi="Arial" w:cs="Arial"/>
          <w:sz w:val="22"/>
          <w:szCs w:val="22"/>
        </w:rPr>
        <w:t xml:space="preserve">The </w:t>
      </w:r>
      <w:r w:rsidRPr="005457D7">
        <w:rPr>
          <w:rStyle w:val="Strong"/>
          <w:rFonts w:ascii="Arial" w:eastAsiaTheme="majorEastAsia" w:hAnsi="Arial" w:cs="Arial"/>
          <w:sz w:val="22"/>
          <w:szCs w:val="22"/>
        </w:rPr>
        <w:t>Mental Health Act Reform White Paper (2021)</w:t>
      </w:r>
      <w:r w:rsidRPr="005457D7">
        <w:rPr>
          <w:rFonts w:ascii="Arial" w:hAnsi="Arial" w:cs="Arial"/>
          <w:sz w:val="22"/>
          <w:szCs w:val="22"/>
        </w:rPr>
        <w:t xml:space="preserve"> aimed to reduce racial inequalities and increase patient choice; however, reforms had not been fully implemented by 2025 (</w:t>
      </w:r>
      <w:proofErr w:type="spellStart"/>
      <w:r w:rsidRPr="005457D7">
        <w:rPr>
          <w:rFonts w:ascii="Arial" w:hAnsi="Arial" w:cs="Arial"/>
          <w:sz w:val="22"/>
          <w:szCs w:val="22"/>
        </w:rPr>
        <w:t>DoHSC</w:t>
      </w:r>
      <w:proofErr w:type="spellEnd"/>
      <w:r w:rsidRPr="005457D7">
        <w:rPr>
          <w:rFonts w:ascii="Arial" w:hAnsi="Arial" w:cs="Arial"/>
          <w:sz w:val="22"/>
          <w:szCs w:val="22"/>
        </w:rPr>
        <w:t xml:space="preserve">, 2025). Consequently, significant disparities remain, with </w:t>
      </w:r>
      <w:r w:rsidRPr="005457D7">
        <w:rPr>
          <w:rStyle w:val="Strong"/>
          <w:rFonts w:ascii="Arial" w:eastAsiaTheme="majorEastAsia" w:hAnsi="Arial" w:cs="Arial"/>
          <w:sz w:val="22"/>
          <w:szCs w:val="22"/>
        </w:rPr>
        <w:t>Black Caribbean and Black African men</w:t>
      </w:r>
      <w:r w:rsidRPr="005457D7">
        <w:rPr>
          <w:rFonts w:ascii="Arial" w:hAnsi="Arial" w:cs="Arial"/>
          <w:b/>
          <w:bCs/>
          <w:sz w:val="22"/>
          <w:szCs w:val="22"/>
        </w:rPr>
        <w:t xml:space="preserve"> </w:t>
      </w:r>
      <w:r w:rsidRPr="005457D7">
        <w:rPr>
          <w:rFonts w:ascii="Arial" w:hAnsi="Arial" w:cs="Arial"/>
          <w:sz w:val="22"/>
          <w:szCs w:val="22"/>
        </w:rPr>
        <w:t xml:space="preserve">over four times more likely to be detained than </w:t>
      </w:r>
      <w:r w:rsidRPr="005457D7">
        <w:rPr>
          <w:rStyle w:val="Strong"/>
          <w:rFonts w:ascii="Arial" w:eastAsiaTheme="majorEastAsia" w:hAnsi="Arial" w:cs="Arial"/>
          <w:sz w:val="22"/>
          <w:szCs w:val="22"/>
        </w:rPr>
        <w:t>White British men</w:t>
      </w:r>
      <w:r w:rsidRPr="005457D7">
        <w:rPr>
          <w:rFonts w:ascii="Arial" w:hAnsi="Arial" w:cs="Arial"/>
          <w:sz w:val="22"/>
          <w:szCs w:val="22"/>
        </w:rPr>
        <w:t xml:space="preserve"> (</w:t>
      </w:r>
      <w:proofErr w:type="spellStart"/>
      <w:r w:rsidRPr="005457D7">
        <w:rPr>
          <w:rFonts w:ascii="Arial" w:hAnsi="Arial" w:cs="Arial"/>
          <w:sz w:val="22"/>
          <w:szCs w:val="22"/>
        </w:rPr>
        <w:t>Bhui</w:t>
      </w:r>
      <w:proofErr w:type="spellEnd"/>
      <w:r w:rsidRPr="005457D7">
        <w:rPr>
          <w:rFonts w:ascii="Arial" w:hAnsi="Arial" w:cs="Arial"/>
          <w:sz w:val="22"/>
          <w:szCs w:val="22"/>
        </w:rPr>
        <w:t xml:space="preserve"> et al., 2022).</w:t>
      </w:r>
    </w:p>
    <w:p w14:paraId="67E77446" w14:textId="77777777" w:rsidR="00057C9A" w:rsidRPr="005457D7" w:rsidRDefault="00057C9A" w:rsidP="00057C9A">
      <w:pPr>
        <w:pStyle w:val="NormalWeb"/>
        <w:spacing w:line="360" w:lineRule="auto"/>
        <w:jc w:val="both"/>
        <w:rPr>
          <w:rFonts w:ascii="Arial" w:hAnsi="Arial" w:cs="Arial"/>
          <w:sz w:val="22"/>
          <w:szCs w:val="22"/>
        </w:rPr>
      </w:pPr>
      <w:r w:rsidRPr="005457D7">
        <w:rPr>
          <w:rFonts w:ascii="Arial" w:hAnsi="Arial" w:cs="Arial"/>
          <w:sz w:val="22"/>
          <w:szCs w:val="22"/>
        </w:rPr>
        <w:t xml:space="preserve">Introduced in 2021, </w:t>
      </w:r>
      <w:r w:rsidRPr="005457D7">
        <w:rPr>
          <w:rStyle w:val="Strong"/>
          <w:rFonts w:ascii="Arial" w:eastAsiaTheme="majorEastAsia" w:hAnsi="Arial" w:cs="Arial"/>
          <w:sz w:val="22"/>
          <w:szCs w:val="22"/>
        </w:rPr>
        <w:t>Integrated Care Systems (ICSs)</w:t>
      </w:r>
      <w:r w:rsidRPr="005457D7">
        <w:rPr>
          <w:rFonts w:ascii="Arial" w:hAnsi="Arial" w:cs="Arial"/>
          <w:sz w:val="22"/>
          <w:szCs w:val="22"/>
        </w:rPr>
        <w:t xml:space="preserve"> seek to improve coordination across health, social care, and voluntary services. While promising, early evaluations report challenges including </w:t>
      </w:r>
      <w:r w:rsidRPr="005457D7">
        <w:rPr>
          <w:rStyle w:val="Strong"/>
          <w:rFonts w:ascii="Arial" w:eastAsiaTheme="majorEastAsia" w:hAnsi="Arial" w:cs="Arial"/>
          <w:sz w:val="22"/>
          <w:szCs w:val="22"/>
        </w:rPr>
        <w:t>limited funding, inconsistent leadership, and weak partnership working</w:t>
      </w:r>
      <w:r w:rsidRPr="005457D7">
        <w:rPr>
          <w:rFonts w:ascii="Arial" w:hAnsi="Arial" w:cs="Arial"/>
          <w:sz w:val="22"/>
          <w:szCs w:val="22"/>
        </w:rPr>
        <w:t xml:space="preserve"> (NHS Confederation, 2023). Longstanding policies, such as the </w:t>
      </w:r>
      <w:r w:rsidRPr="005457D7">
        <w:rPr>
          <w:rStyle w:val="Strong"/>
          <w:rFonts w:ascii="Arial" w:eastAsiaTheme="majorEastAsia" w:hAnsi="Arial" w:cs="Arial"/>
          <w:sz w:val="22"/>
          <w:szCs w:val="22"/>
        </w:rPr>
        <w:t>National Service Framework for Mental Health</w:t>
      </w:r>
      <w:r w:rsidRPr="005457D7">
        <w:rPr>
          <w:rFonts w:ascii="Arial" w:hAnsi="Arial" w:cs="Arial"/>
          <w:b/>
          <w:bCs/>
          <w:sz w:val="22"/>
          <w:szCs w:val="22"/>
        </w:rPr>
        <w:t xml:space="preserve"> </w:t>
      </w:r>
      <w:r w:rsidRPr="005457D7">
        <w:rPr>
          <w:rFonts w:ascii="Arial" w:hAnsi="Arial" w:cs="Arial"/>
          <w:sz w:val="22"/>
          <w:szCs w:val="22"/>
        </w:rPr>
        <w:t xml:space="preserve">(Department of Health, 1999), the </w:t>
      </w:r>
      <w:proofErr w:type="gramStart"/>
      <w:r w:rsidRPr="005457D7">
        <w:rPr>
          <w:rStyle w:val="Strong"/>
          <w:rFonts w:ascii="Arial" w:eastAsiaTheme="majorEastAsia" w:hAnsi="Arial" w:cs="Arial"/>
          <w:sz w:val="22"/>
          <w:szCs w:val="22"/>
        </w:rPr>
        <w:t>Five Year</w:t>
      </w:r>
      <w:proofErr w:type="gramEnd"/>
      <w:r w:rsidRPr="005457D7">
        <w:rPr>
          <w:rStyle w:val="Strong"/>
          <w:rFonts w:ascii="Arial" w:eastAsiaTheme="majorEastAsia" w:hAnsi="Arial" w:cs="Arial"/>
          <w:sz w:val="22"/>
          <w:szCs w:val="22"/>
        </w:rPr>
        <w:t xml:space="preserve"> Forward View for Mental Health</w:t>
      </w:r>
      <w:r w:rsidRPr="005457D7">
        <w:rPr>
          <w:rFonts w:ascii="Arial" w:hAnsi="Arial" w:cs="Arial"/>
          <w:sz w:val="22"/>
          <w:szCs w:val="22"/>
        </w:rPr>
        <w:t xml:space="preserve"> (2016), and </w:t>
      </w:r>
      <w:r w:rsidRPr="005457D7">
        <w:rPr>
          <w:rStyle w:val="Strong"/>
          <w:rFonts w:ascii="Arial" w:eastAsiaTheme="majorEastAsia" w:hAnsi="Arial" w:cs="Arial"/>
          <w:sz w:val="22"/>
          <w:szCs w:val="22"/>
        </w:rPr>
        <w:t>Mental Health Act amendments (2007)</w:t>
      </w:r>
      <w:r w:rsidRPr="005457D7">
        <w:rPr>
          <w:rFonts w:ascii="Arial" w:hAnsi="Arial" w:cs="Arial"/>
          <w:sz w:val="22"/>
          <w:szCs w:val="22"/>
        </w:rPr>
        <w:t>, continue to shape service delivery.</w:t>
      </w:r>
    </w:p>
    <w:p w14:paraId="35649352"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10101">
        <w:rPr>
          <w:rFonts w:ascii="Arial" w:eastAsia="Times New Roman" w:hAnsi="Arial" w:cs="Arial"/>
          <w:b/>
          <w:bCs/>
          <w:kern w:val="0"/>
          <w:sz w:val="27"/>
          <w:szCs w:val="27"/>
          <w:lang w:eastAsia="en-GB"/>
          <w14:ligatures w14:val="none"/>
        </w:rPr>
        <w:t>2.5.2 Local and Regional Implementation</w:t>
      </w:r>
    </w:p>
    <w:p w14:paraId="6E748E39" w14:textId="77777777" w:rsidR="00057C9A" w:rsidRPr="00712FB5"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kern w:val="0"/>
          <w:lang w:eastAsia="en-GB"/>
          <w14:ligatures w14:val="none"/>
        </w:rPr>
        <w:t>There is substantial variation in service quality and accessibility across UK regions:</w:t>
      </w:r>
    </w:p>
    <w:p w14:paraId="08810DF5" w14:textId="77777777" w:rsidR="00057C9A" w:rsidRPr="00712FB5" w:rsidRDefault="00057C9A" w:rsidP="00057C9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b/>
          <w:bCs/>
          <w:kern w:val="0"/>
          <w:lang w:eastAsia="en-GB"/>
          <w14:ligatures w14:val="none"/>
        </w:rPr>
        <w:t>South London and Maudsley NHS Trust (</w:t>
      </w:r>
      <w:proofErr w:type="spellStart"/>
      <w:r w:rsidRPr="00712FB5">
        <w:rPr>
          <w:rFonts w:ascii="Arial" w:eastAsia="Times New Roman" w:hAnsi="Arial" w:cs="Arial"/>
          <w:b/>
          <w:bCs/>
          <w:kern w:val="0"/>
          <w:lang w:eastAsia="en-GB"/>
          <w14:ligatures w14:val="none"/>
        </w:rPr>
        <w:t>SLaM</w:t>
      </w:r>
      <w:proofErr w:type="spellEnd"/>
      <w:r w:rsidRPr="00712FB5">
        <w:rPr>
          <w:rFonts w:ascii="Arial" w:eastAsia="Times New Roman" w:hAnsi="Arial" w:cs="Arial"/>
          <w:b/>
          <w:bCs/>
          <w:kern w:val="0"/>
          <w:lang w:eastAsia="en-GB"/>
          <w14:ligatures w14:val="none"/>
        </w:rPr>
        <w:t>)</w:t>
      </w:r>
      <w:r w:rsidRPr="00712FB5">
        <w:rPr>
          <w:rFonts w:ascii="Arial" w:eastAsia="Times New Roman" w:hAnsi="Arial" w:cs="Arial"/>
          <w:kern w:val="0"/>
          <w:lang w:eastAsia="en-GB"/>
          <w14:ligatures w14:val="none"/>
        </w:rPr>
        <w:t xml:space="preserve"> is a leader in culturally adapted CBT and co-produced recovery programmes. It has also implemented peer support worker schemes, though some evaluations note staff burnout and inconsistent delivery (</w:t>
      </w:r>
      <w:proofErr w:type="spellStart"/>
      <w:r w:rsidRPr="00712FB5">
        <w:rPr>
          <w:rFonts w:ascii="Arial" w:eastAsia="Times New Roman" w:hAnsi="Arial" w:cs="Arial"/>
          <w:kern w:val="0"/>
          <w:lang w:eastAsia="en-GB"/>
          <w14:ligatures w14:val="none"/>
        </w:rPr>
        <w:t>Pagdon</w:t>
      </w:r>
      <w:proofErr w:type="spellEnd"/>
      <w:r w:rsidRPr="00712FB5">
        <w:rPr>
          <w:rFonts w:ascii="Arial" w:eastAsia="Times New Roman" w:hAnsi="Arial" w:cs="Arial"/>
          <w:kern w:val="0"/>
          <w:lang w:eastAsia="en-GB"/>
          <w14:ligatures w14:val="none"/>
        </w:rPr>
        <w:t>, 2024).</w:t>
      </w:r>
    </w:p>
    <w:p w14:paraId="5A011D2F" w14:textId="77777777" w:rsidR="00057C9A" w:rsidRPr="00712FB5" w:rsidRDefault="00057C9A" w:rsidP="00057C9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b/>
          <w:bCs/>
          <w:kern w:val="0"/>
          <w:lang w:eastAsia="en-GB"/>
          <w14:ligatures w14:val="none"/>
        </w:rPr>
        <w:t>Cumbria, Cornwall, and rural Wales</w:t>
      </w:r>
      <w:r w:rsidRPr="00712FB5">
        <w:rPr>
          <w:rFonts w:ascii="Arial" w:eastAsia="Times New Roman" w:hAnsi="Arial" w:cs="Arial"/>
          <w:kern w:val="0"/>
          <w:lang w:eastAsia="en-GB"/>
          <w14:ligatures w14:val="none"/>
        </w:rPr>
        <w:t xml:space="preserve"> face critical workforce shortages in psychiatry and community mental health nursing, contributing to long wait times and gaps in crisis care (</w:t>
      </w:r>
      <w:proofErr w:type="spellStart"/>
      <w:r w:rsidRPr="00712FB5">
        <w:rPr>
          <w:rFonts w:ascii="Arial" w:eastAsia="Times New Roman" w:hAnsi="Arial" w:cs="Arial"/>
          <w:kern w:val="0"/>
          <w:lang w:eastAsia="en-GB"/>
          <w14:ligatures w14:val="none"/>
        </w:rPr>
        <w:t>RCPsych</w:t>
      </w:r>
      <w:proofErr w:type="spellEnd"/>
      <w:r w:rsidRPr="00712FB5">
        <w:rPr>
          <w:rFonts w:ascii="Arial" w:eastAsia="Times New Roman" w:hAnsi="Arial" w:cs="Arial"/>
          <w:kern w:val="0"/>
          <w:lang w:eastAsia="en-GB"/>
          <w14:ligatures w14:val="none"/>
        </w:rPr>
        <w:t>, 2023).</w:t>
      </w:r>
    </w:p>
    <w:p w14:paraId="77C98237" w14:textId="77777777" w:rsidR="00057C9A" w:rsidRPr="00712FB5" w:rsidRDefault="00057C9A" w:rsidP="00057C9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b/>
          <w:bCs/>
          <w:kern w:val="0"/>
          <w:lang w:eastAsia="en-GB"/>
          <w14:ligatures w14:val="none"/>
        </w:rPr>
        <w:lastRenderedPageBreak/>
        <w:t>Greater Manchester ICS</w:t>
      </w:r>
      <w:r w:rsidRPr="00712FB5">
        <w:rPr>
          <w:rFonts w:ascii="Arial" w:eastAsia="Times New Roman" w:hAnsi="Arial" w:cs="Arial"/>
          <w:kern w:val="0"/>
          <w:lang w:eastAsia="en-GB"/>
          <w14:ligatures w14:val="none"/>
        </w:rPr>
        <w:t xml:space="preserve"> has piloted digital self-referral pathways and embedded employment support within psychosis teams, improving engagement and outcomes for younger service users (Proctor, 2024).</w:t>
      </w:r>
    </w:p>
    <w:p w14:paraId="089578A3" w14:textId="77777777" w:rsidR="00057C9A" w:rsidRPr="00712FB5"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kern w:val="0"/>
          <w:lang w:eastAsia="en-GB"/>
          <w14:ligatures w14:val="none"/>
        </w:rPr>
        <w:t>Meanwhile, Scotland and Wales maintain devolved health systems:</w:t>
      </w:r>
    </w:p>
    <w:p w14:paraId="6941B40B" w14:textId="77777777" w:rsidR="00057C9A" w:rsidRPr="00712FB5" w:rsidRDefault="00057C9A" w:rsidP="00057C9A">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b/>
          <w:bCs/>
          <w:kern w:val="0"/>
          <w:lang w:eastAsia="en-GB"/>
          <w14:ligatures w14:val="none"/>
        </w:rPr>
        <w:t>Scotland’s Mental Health Strategy (2017–2027)</w:t>
      </w:r>
      <w:r w:rsidRPr="00712FB5">
        <w:rPr>
          <w:rFonts w:ascii="Arial" w:eastAsia="Times New Roman" w:hAnsi="Arial" w:cs="Arial"/>
          <w:kern w:val="0"/>
          <w:lang w:eastAsia="en-GB"/>
          <w14:ligatures w14:val="none"/>
        </w:rPr>
        <w:t xml:space="preserve"> prioritises social care integration and suicide prevention, with some success in reducing inpatient admissions (Scottish Government, 2022).</w:t>
      </w:r>
    </w:p>
    <w:p w14:paraId="18A4F7FE" w14:textId="77777777" w:rsidR="00057C9A" w:rsidRPr="00712FB5" w:rsidRDefault="00057C9A" w:rsidP="00057C9A">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712FB5">
        <w:rPr>
          <w:rFonts w:ascii="Arial" w:eastAsia="Times New Roman" w:hAnsi="Arial" w:cs="Arial"/>
          <w:b/>
          <w:bCs/>
          <w:kern w:val="0"/>
          <w:lang w:eastAsia="en-GB"/>
          <w14:ligatures w14:val="none"/>
        </w:rPr>
        <w:t>Wales’</w:t>
      </w:r>
      <w:proofErr w:type="spellEnd"/>
      <w:r w:rsidRPr="00712FB5">
        <w:rPr>
          <w:rFonts w:ascii="Arial" w:eastAsia="Times New Roman" w:hAnsi="Arial" w:cs="Arial"/>
          <w:b/>
          <w:bCs/>
          <w:kern w:val="0"/>
          <w:lang w:eastAsia="en-GB"/>
          <w14:ligatures w14:val="none"/>
        </w:rPr>
        <w:t xml:space="preserve"> “Together for Mental Health” framework</w:t>
      </w:r>
      <w:r w:rsidRPr="00712FB5">
        <w:rPr>
          <w:rFonts w:ascii="Arial" w:eastAsia="Times New Roman" w:hAnsi="Arial" w:cs="Arial"/>
          <w:kern w:val="0"/>
          <w:lang w:eastAsia="en-GB"/>
          <w14:ligatures w14:val="none"/>
        </w:rPr>
        <w:t xml:space="preserve"> promotes trauma-informed and person-centred care, with specialist early intervention teams now established in all health boards (Welsh Government, 2022).</w:t>
      </w:r>
    </w:p>
    <w:p w14:paraId="0BCA97A1" w14:textId="77777777" w:rsidR="00057C9A" w:rsidRPr="00712FB5"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712FB5">
        <w:rPr>
          <w:rFonts w:ascii="Arial" w:eastAsia="Times New Roman" w:hAnsi="Arial" w:cs="Arial"/>
          <w:kern w:val="0"/>
          <w:lang w:eastAsia="en-GB"/>
          <w14:ligatures w14:val="none"/>
        </w:rPr>
        <w:t xml:space="preserve">Despite these advances, a 2024 report from the Care Quality Commission (CQC) found </w:t>
      </w:r>
      <w:r w:rsidRPr="00712FB5">
        <w:rPr>
          <w:rFonts w:ascii="Arial" w:eastAsia="Times New Roman" w:hAnsi="Arial" w:cs="Arial"/>
          <w:b/>
          <w:bCs/>
          <w:kern w:val="0"/>
          <w:lang w:eastAsia="en-GB"/>
          <w14:ligatures w14:val="none"/>
        </w:rPr>
        <w:t>significant variability in access to psychological therapies, use of restraint, and quality of care coordination</w:t>
      </w:r>
      <w:r w:rsidRPr="00712FB5">
        <w:rPr>
          <w:rFonts w:ascii="Arial" w:eastAsia="Times New Roman" w:hAnsi="Arial" w:cs="Arial"/>
          <w:kern w:val="0"/>
          <w:lang w:eastAsia="en-GB"/>
          <w14:ligatures w14:val="none"/>
        </w:rPr>
        <w:t>, particularly for patients from marginalised ethnic and socioeconomic groups (CQC, 2024). Ultimately, while the UK has strong national guidelines and world-class EIP frameworks, the translation of policy into practice varies widely by geography, demographics, and funding. Addressing these disparities is essential to creating a fair, effective, and inclusive mental health care system.</w:t>
      </w:r>
    </w:p>
    <w:p w14:paraId="7627B27C" w14:textId="77777777" w:rsidR="00057C9A" w:rsidRPr="00610101" w:rsidRDefault="00057C9A" w:rsidP="00F67AE0">
      <w:pPr>
        <w:spacing w:before="120"/>
        <w:jc w:val="center"/>
        <w:rPr>
          <w:rFonts w:ascii="Arial" w:hAnsi="Arial" w:cs="Arial"/>
        </w:rPr>
      </w:pPr>
      <w:r w:rsidRPr="00ED7A93">
        <w:rPr>
          <w:rFonts w:ascii="Arial" w:hAnsi="Arial" w:cs="Arial"/>
          <w:noProof/>
          <w:shd w:val="clear" w:color="auto" w:fill="FFFFFF" w:themeFill="background1"/>
        </w:rPr>
        <w:lastRenderedPageBreak/>
        <w:drawing>
          <wp:inline distT="0" distB="0" distL="0" distR="0" wp14:anchorId="19A15EC0" wp14:editId="01F437CC">
            <wp:extent cx="5441794" cy="4276725"/>
            <wp:effectExtent l="0" t="0" r="6985" b="0"/>
            <wp:docPr id="1758921918" name="Picture 175892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_Schizophrenia_Policy_Local_Context_Diagram.png"/>
                    <pic:cNvPicPr/>
                  </pic:nvPicPr>
                  <pic:blipFill rotWithShape="1">
                    <a:blip r:embed="rId12"/>
                    <a:srcRect b="31605"/>
                    <a:stretch>
                      <a:fillRect/>
                    </a:stretch>
                  </pic:blipFill>
                  <pic:spPr bwMode="auto">
                    <a:xfrm>
                      <a:off x="0" y="0"/>
                      <a:ext cx="5557269" cy="4367477"/>
                    </a:xfrm>
                    <a:prstGeom prst="rect">
                      <a:avLst/>
                    </a:prstGeom>
                    <a:ln>
                      <a:noFill/>
                    </a:ln>
                    <a:extLst>
                      <a:ext uri="{53640926-AAD7-44D8-BBD7-CCE9431645EC}">
                        <a14:shadowObscured xmlns:a14="http://schemas.microsoft.com/office/drawing/2010/main"/>
                      </a:ext>
                    </a:extLst>
                  </pic:spPr>
                </pic:pic>
              </a:graphicData>
            </a:graphic>
          </wp:inline>
        </w:drawing>
      </w:r>
      <w:r w:rsidRPr="00610101">
        <w:rPr>
          <w:rFonts w:ascii="Arial" w:hAnsi="Arial" w:cs="Arial"/>
        </w:rPr>
        <w:t>-</w:t>
      </w:r>
    </w:p>
    <w:p w14:paraId="6BF72552" w14:textId="77777777" w:rsidR="00057C9A" w:rsidRPr="00ED7A93" w:rsidRDefault="00057C9A" w:rsidP="00057C9A">
      <w:pPr>
        <w:jc w:val="center"/>
        <w:rPr>
          <w:rFonts w:ascii="Arial" w:hAnsi="Arial" w:cs="Arial"/>
          <w:sz w:val="16"/>
          <w:szCs w:val="16"/>
        </w:rPr>
      </w:pPr>
      <w:r w:rsidRPr="00ED7A93">
        <w:rPr>
          <w:rFonts w:ascii="Arial" w:hAnsi="Arial" w:cs="Arial"/>
          <w:sz w:val="16"/>
          <w:szCs w:val="16"/>
        </w:rPr>
        <w:t xml:space="preserve">(Sources: NHS England, 2019; </w:t>
      </w:r>
      <w:proofErr w:type="spellStart"/>
      <w:r w:rsidRPr="00ED7A93">
        <w:rPr>
          <w:rFonts w:ascii="Arial" w:hAnsi="Arial" w:cs="Arial"/>
          <w:sz w:val="16"/>
          <w:szCs w:val="16"/>
        </w:rPr>
        <w:t>RCPsych</w:t>
      </w:r>
      <w:proofErr w:type="spellEnd"/>
      <w:r w:rsidRPr="00ED7A93">
        <w:rPr>
          <w:rFonts w:ascii="Arial" w:hAnsi="Arial" w:cs="Arial"/>
          <w:sz w:val="16"/>
          <w:szCs w:val="16"/>
        </w:rPr>
        <w:t xml:space="preserve">, 2024; </w:t>
      </w:r>
      <w:proofErr w:type="spellStart"/>
      <w:r w:rsidRPr="00ED7A93">
        <w:rPr>
          <w:rFonts w:ascii="Arial" w:hAnsi="Arial" w:cs="Arial"/>
          <w:sz w:val="16"/>
          <w:szCs w:val="16"/>
        </w:rPr>
        <w:t>DoHSC</w:t>
      </w:r>
      <w:proofErr w:type="spellEnd"/>
      <w:r w:rsidRPr="00ED7A93">
        <w:rPr>
          <w:rFonts w:ascii="Arial" w:hAnsi="Arial" w:cs="Arial"/>
          <w:sz w:val="16"/>
          <w:szCs w:val="16"/>
        </w:rPr>
        <w:t xml:space="preserve">, 2025; </w:t>
      </w:r>
      <w:proofErr w:type="spellStart"/>
      <w:r w:rsidRPr="00ED7A93">
        <w:rPr>
          <w:rFonts w:ascii="Arial" w:hAnsi="Arial" w:cs="Arial"/>
          <w:sz w:val="16"/>
          <w:szCs w:val="16"/>
        </w:rPr>
        <w:t>Bhui</w:t>
      </w:r>
      <w:proofErr w:type="spellEnd"/>
      <w:r w:rsidRPr="00ED7A93">
        <w:rPr>
          <w:rFonts w:ascii="Arial" w:hAnsi="Arial" w:cs="Arial"/>
          <w:sz w:val="16"/>
          <w:szCs w:val="16"/>
        </w:rPr>
        <w:t xml:space="preserve"> et al., 2022; NHS Confederation, 2023; CQC, 2024).</w:t>
      </w:r>
    </w:p>
    <w:p w14:paraId="035FB8BF" w14:textId="77777777" w:rsidR="00057C9A" w:rsidRPr="00610101" w:rsidRDefault="00057C9A" w:rsidP="00057C9A">
      <w:pPr>
        <w:spacing w:after="0" w:line="360" w:lineRule="auto"/>
        <w:jc w:val="both"/>
        <w:rPr>
          <w:rFonts w:ascii="Arial" w:eastAsia="Times New Roman" w:hAnsi="Arial" w:cs="Arial"/>
          <w:kern w:val="0"/>
          <w:sz w:val="24"/>
          <w:szCs w:val="24"/>
          <w:lang w:eastAsia="en-GB"/>
          <w14:ligatures w14:val="none"/>
        </w:rPr>
      </w:pPr>
    </w:p>
    <w:p w14:paraId="0A3F37E7"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sz w:val="27"/>
          <w:szCs w:val="27"/>
          <w:lang w:eastAsia="en-GB"/>
          <w14:ligatures w14:val="none"/>
        </w:rPr>
      </w:pPr>
      <w:r w:rsidRPr="00610101">
        <w:rPr>
          <w:rFonts w:ascii="Arial" w:eastAsia="Times New Roman" w:hAnsi="Arial" w:cs="Arial"/>
          <w:b/>
          <w:bCs/>
          <w:kern w:val="0"/>
          <w:sz w:val="27"/>
          <w:szCs w:val="27"/>
          <w:lang w:eastAsia="en-GB"/>
          <w14:ligatures w14:val="none"/>
        </w:rPr>
        <w:t>2.6 Conclusion</w:t>
      </w:r>
    </w:p>
    <w:p w14:paraId="36505B75" w14:textId="77777777" w:rsidR="00057C9A" w:rsidRPr="00712FB5" w:rsidRDefault="00057C9A" w:rsidP="00057C9A">
      <w:pPr>
        <w:spacing w:before="100" w:beforeAutospacing="1" w:after="100" w:afterAutospacing="1" w:line="276" w:lineRule="auto"/>
        <w:jc w:val="both"/>
        <w:rPr>
          <w:rFonts w:ascii="Arial" w:eastAsia="Times New Roman" w:hAnsi="Arial" w:cs="Arial"/>
          <w:kern w:val="0"/>
          <w:lang w:eastAsia="en-GB"/>
          <w14:ligatures w14:val="none"/>
        </w:rPr>
      </w:pPr>
      <w:r w:rsidRPr="00712FB5">
        <w:rPr>
          <w:rFonts w:ascii="Arial" w:eastAsia="Times New Roman" w:hAnsi="Arial" w:cs="Arial"/>
          <w:kern w:val="0"/>
          <w:lang w:eastAsia="en-GB"/>
          <w14:ligatures w14:val="none"/>
        </w:rPr>
        <w:t>This chapter has critically examined the historical, theoretical, and policy contexts shaping schizophrenia treatment and service delivery in the UK. While progressive reforms have shifted care from institutional to community-based models, theoretical ideals have often outpaced practical implementation.</w:t>
      </w:r>
    </w:p>
    <w:p w14:paraId="43D1565E" w14:textId="77777777" w:rsidR="00057C9A" w:rsidRPr="00712FB5" w:rsidRDefault="00057C9A" w:rsidP="00057C9A">
      <w:pPr>
        <w:spacing w:before="100" w:beforeAutospacing="1" w:after="100" w:afterAutospacing="1" w:line="276" w:lineRule="auto"/>
        <w:jc w:val="both"/>
        <w:rPr>
          <w:rFonts w:ascii="Arial" w:eastAsia="Times New Roman" w:hAnsi="Arial" w:cs="Arial"/>
          <w:kern w:val="0"/>
          <w:lang w:eastAsia="en-GB"/>
          <w14:ligatures w14:val="none"/>
        </w:rPr>
      </w:pPr>
      <w:r w:rsidRPr="00712FB5">
        <w:rPr>
          <w:rFonts w:ascii="Arial" w:eastAsia="Times New Roman" w:hAnsi="Arial" w:cs="Arial"/>
          <w:kern w:val="0"/>
          <w:lang w:eastAsia="en-GB"/>
          <w14:ligatures w14:val="none"/>
        </w:rPr>
        <w:t>Comparative analysis demonstrates that no single model sufficiently addresses schizophrenia care in isolation. Instead, effective systems integrate recovery-oriented values, chronic care planning, and structural equity. International comparisons further highlight that continuity, cultural competence, and relational care remain key weaknesses within UK provision.</w:t>
      </w:r>
    </w:p>
    <w:p w14:paraId="50EB3D32" w14:textId="77777777" w:rsidR="00057C9A" w:rsidRDefault="00057C9A" w:rsidP="00057C9A">
      <w:pPr>
        <w:spacing w:before="100" w:beforeAutospacing="1" w:after="100" w:afterAutospacing="1" w:line="276" w:lineRule="auto"/>
        <w:jc w:val="both"/>
        <w:rPr>
          <w:rFonts w:ascii="Arial" w:eastAsia="Times New Roman" w:hAnsi="Arial" w:cs="Arial"/>
          <w:kern w:val="0"/>
          <w:lang w:eastAsia="en-GB"/>
          <w14:ligatures w14:val="none"/>
        </w:rPr>
      </w:pPr>
      <w:r w:rsidRPr="00712FB5">
        <w:rPr>
          <w:rFonts w:ascii="Arial" w:eastAsia="Times New Roman" w:hAnsi="Arial" w:cs="Arial"/>
          <w:kern w:val="0"/>
          <w:lang w:eastAsia="en-GB"/>
          <w14:ligatures w14:val="none"/>
        </w:rPr>
        <w:t>These insights provide a robust conceptual foundation for Chapter 3, which outlines the methodology used to systematically evaluate treatment pathways and service delivery. Understanding these contextual dynamics is essential for interpreting later findings on effectiveness, accessibility, and future strategic direction.</w:t>
      </w:r>
    </w:p>
    <w:p w14:paraId="4DCE778B" w14:textId="77777777" w:rsidR="006A0C41" w:rsidRDefault="006A0C41" w:rsidP="00057C9A">
      <w:pPr>
        <w:spacing w:before="100" w:beforeAutospacing="1" w:after="100" w:afterAutospacing="1" w:line="276" w:lineRule="auto"/>
        <w:jc w:val="both"/>
        <w:rPr>
          <w:rFonts w:ascii="Arial" w:eastAsia="Times New Roman" w:hAnsi="Arial" w:cs="Arial"/>
          <w:b/>
          <w:bCs/>
          <w:kern w:val="36"/>
          <w:sz w:val="36"/>
          <w:szCs w:val="36"/>
          <w:lang w:eastAsia="en-GB"/>
          <w14:ligatures w14:val="none"/>
        </w:rPr>
      </w:pPr>
    </w:p>
    <w:p w14:paraId="359BE603" w14:textId="190AC905" w:rsidR="00057C9A" w:rsidRPr="00B173CF" w:rsidRDefault="00057C9A" w:rsidP="00F67AE0">
      <w:pPr>
        <w:pStyle w:val="Heading1"/>
        <w:spacing w:before="100" w:beforeAutospacing="1" w:after="100" w:afterAutospacing="1"/>
        <w:rPr>
          <w:rFonts w:ascii="Arial" w:eastAsia="Times New Roman" w:hAnsi="Arial" w:cs="Arial"/>
          <w:b/>
          <w:bCs/>
          <w:color w:val="auto"/>
          <w:kern w:val="0"/>
          <w:lang w:eastAsia="en-GB"/>
        </w:rPr>
      </w:pPr>
      <w:r w:rsidRPr="00B173CF">
        <w:rPr>
          <w:rFonts w:ascii="Arial" w:eastAsia="Times New Roman" w:hAnsi="Arial" w:cs="Arial"/>
          <w:b/>
          <w:bCs/>
          <w:color w:val="auto"/>
          <w:lang w:eastAsia="en-GB"/>
        </w:rPr>
        <w:lastRenderedPageBreak/>
        <w:t>CHAPTER 3: Methods and Search Strategy</w:t>
      </w:r>
    </w:p>
    <w:p w14:paraId="38D3C008" w14:textId="77777777" w:rsidR="00057C9A" w:rsidRPr="00ED7A93" w:rsidRDefault="00057C9A" w:rsidP="00057C9A">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ED7A93">
        <w:rPr>
          <w:rFonts w:ascii="Arial" w:eastAsia="Times New Roman" w:hAnsi="Arial" w:cs="Arial"/>
          <w:b/>
          <w:bCs/>
          <w:kern w:val="0"/>
          <w:sz w:val="28"/>
          <w:szCs w:val="28"/>
          <w:lang w:eastAsia="en-GB"/>
          <w14:ligatures w14:val="none"/>
        </w:rPr>
        <w:t>3.1 – Introduction:</w:t>
      </w:r>
    </w:p>
    <w:p w14:paraId="2E7ABC90"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This chapter outlines the desk-based research approach used to investigate treatment pathways and service delivery for schizophrenia in the UK. It builds on the academic methodology poster created earlier in the project, expanding on the systematic processes applied to identify, assess, and analyse secondary sources. Given the complexity of the topic, a literature-based methodology was appropriate to synthesise high-quality peer-reviewed evidence, policy documents, and grey literature. This chapter discusses the key elements of the method, including keyword selection, search strategies, inclusion and exclusion criteria, validation procedures, and thematic analysis. These processes collectively formed the foundation for the findings presented in Chapter 4.</w:t>
      </w:r>
    </w:p>
    <w:p w14:paraId="35A0A8FE" w14:textId="77777777" w:rsidR="00057C9A" w:rsidRPr="00ED7A93" w:rsidRDefault="00057C9A" w:rsidP="00057C9A">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ED7A93">
        <w:rPr>
          <w:rFonts w:ascii="Arial" w:eastAsia="Times New Roman" w:hAnsi="Arial" w:cs="Arial"/>
          <w:b/>
          <w:bCs/>
          <w:kern w:val="0"/>
          <w:sz w:val="28"/>
          <w:szCs w:val="28"/>
          <w:lang w:eastAsia="en-GB"/>
          <w14:ligatures w14:val="none"/>
        </w:rPr>
        <w:t>3.2 – Search Strategy</w:t>
      </w:r>
      <w:r>
        <w:rPr>
          <w:rFonts w:ascii="Arial" w:eastAsia="Times New Roman" w:hAnsi="Arial" w:cs="Arial"/>
          <w:b/>
          <w:bCs/>
          <w:kern w:val="0"/>
          <w:sz w:val="28"/>
          <w:szCs w:val="28"/>
          <w:lang w:eastAsia="en-GB"/>
          <w14:ligatures w14:val="none"/>
        </w:rPr>
        <w:t>:</w:t>
      </w:r>
    </w:p>
    <w:p w14:paraId="6F7FF974" w14:textId="77777777" w:rsidR="00057C9A" w:rsidRPr="00610101" w:rsidRDefault="00057C9A" w:rsidP="00057C9A">
      <w:pPr>
        <w:spacing w:before="100" w:beforeAutospacing="1" w:after="100" w:afterAutospacing="1" w:line="360" w:lineRule="auto"/>
        <w:jc w:val="both"/>
        <w:rPr>
          <w:rFonts w:ascii="Arial" w:eastAsia="Times New Roman" w:hAnsi="Arial" w:cs="Arial"/>
          <w:b/>
          <w:bCs/>
          <w:kern w:val="0"/>
          <w:lang w:eastAsia="en-GB"/>
          <w14:ligatures w14:val="none"/>
        </w:rPr>
      </w:pPr>
      <w:r w:rsidRPr="002F4328">
        <w:rPr>
          <w:rFonts w:ascii="Arial" w:hAnsi="Arial" w:cs="Arial"/>
        </w:rPr>
        <w:t xml:space="preserve">The search strategy was guided by the dissertation aim and objectives, focusing on schizophrenia treatment pathways and service delivery in the UK. Keywords were developed by breaking the research question into core concepts, including the condition, treatments, services, and outcomes. Both clinical and policy-related terms were used to ensure comprehensive coverage. Boolean operators (AND, OR, NOT) were applied to refine searches and improve relevance. </w:t>
      </w:r>
      <w:r w:rsidRPr="002F4328">
        <w:rPr>
          <w:rFonts w:ascii="Arial" w:eastAsia="Times New Roman" w:hAnsi="Arial" w:cs="Arial"/>
          <w:kern w:val="0"/>
          <w:lang w:eastAsia="en-GB"/>
          <w14:ligatures w14:val="none"/>
        </w:rPr>
        <w:t>An example final search string was</w:t>
      </w:r>
      <w:r w:rsidRPr="00610101">
        <w:rPr>
          <w:rFonts w:ascii="Arial" w:eastAsia="Times New Roman" w:hAnsi="Arial" w:cs="Arial"/>
          <w:b/>
          <w:bCs/>
          <w:kern w:val="0"/>
          <w:lang w:eastAsia="en-GB"/>
          <w14:ligatures w14:val="none"/>
        </w:rPr>
        <w:t xml:space="preserve">: </w:t>
      </w:r>
      <w:r w:rsidRPr="00610101">
        <w:rPr>
          <w:rFonts w:ascii="Arial" w:eastAsiaTheme="majorEastAsia" w:hAnsi="Arial" w:cs="Arial"/>
          <w:i/>
          <w:iCs/>
          <w:kern w:val="0"/>
          <w:lang w:eastAsia="en-GB"/>
          <w14:ligatures w14:val="none"/>
        </w:rPr>
        <w:t>“schizophrenia” AND (“treatment pathways” OR “service delivery”) AND (“effectiveness” OR “accessibility”) AND (“United Kingdom” OR “NHS”)</w:t>
      </w:r>
      <w:r w:rsidRPr="00610101">
        <w:rPr>
          <w:rFonts w:ascii="Arial" w:eastAsia="Times New Roman" w:hAnsi="Arial" w:cs="Arial"/>
          <w:b/>
          <w:bCs/>
          <w:kern w:val="0"/>
          <w:lang w:eastAsia="en-GB"/>
          <w14:ligatures w14:val="none"/>
        </w:rPr>
        <w:t xml:space="preserve"> </w:t>
      </w:r>
      <w:r w:rsidRPr="00610101">
        <w:rPr>
          <w:rFonts w:ascii="Arial" w:eastAsia="Times New Roman" w:hAnsi="Arial" w:cs="Arial"/>
          <w:kern w:val="0"/>
          <w:lang w:eastAsia="en-GB"/>
          <w14:ligatures w14:val="none"/>
        </w:rPr>
        <w:t>Searches were iterative, with refinements made when results were too broad, too narrow, or insufficiently relevant.</w:t>
      </w:r>
    </w:p>
    <w:p w14:paraId="1B91C789" w14:textId="77777777" w:rsidR="00057C9A" w:rsidRPr="002F4328" w:rsidRDefault="00057C9A" w:rsidP="00057C9A">
      <w:pPr>
        <w:keepNext/>
        <w:keepLines/>
        <w:shd w:val="clear" w:color="auto" w:fill="FFFFFF" w:themeFill="background1"/>
        <w:spacing w:before="160" w:after="80" w:line="360" w:lineRule="auto"/>
        <w:jc w:val="both"/>
        <w:outlineLvl w:val="1"/>
        <w:rPr>
          <w:rFonts w:ascii="Arial" w:hAnsi="Arial" w:cs="Arial"/>
        </w:rPr>
      </w:pPr>
      <w:r w:rsidRPr="002F4328">
        <w:rPr>
          <w:rFonts w:ascii="Arial" w:hAnsi="Arial" w:cs="Arial"/>
        </w:rPr>
        <w:t>Searches were planned systematically and refined iteratively, with useful keyword combinations recorded in a tracking sheet (Appendix A) to support transparency and replicability.</w:t>
      </w:r>
    </w:p>
    <w:p w14:paraId="42A097EE" w14:textId="77777777" w:rsidR="00057C9A" w:rsidRPr="00610101" w:rsidRDefault="00057C9A" w:rsidP="00057C9A">
      <w:pPr>
        <w:keepNext/>
        <w:keepLines/>
        <w:shd w:val="clear" w:color="auto" w:fill="FFFFFF" w:themeFill="background1"/>
        <w:spacing w:before="160" w:after="80"/>
        <w:outlineLvl w:val="1"/>
        <w:rPr>
          <w:rFonts w:ascii="Arial" w:eastAsiaTheme="majorEastAsia" w:hAnsi="Arial" w:cs="Arial"/>
          <w:sz w:val="24"/>
          <w:szCs w:val="24"/>
        </w:rPr>
      </w:pPr>
      <w:r w:rsidRPr="00610101">
        <w:rPr>
          <w:rFonts w:ascii="Arial" w:eastAsiaTheme="majorEastAsia" w:hAnsi="Arial" w:cs="Arial"/>
          <w:sz w:val="24"/>
          <w:szCs w:val="24"/>
        </w:rPr>
        <w:t>Table 3.2: Key Search Terms and Synonyms</w:t>
      </w:r>
    </w:p>
    <w:tbl>
      <w:tblPr>
        <w:tblStyle w:val="TableGrid"/>
        <w:tblW w:w="0" w:type="auto"/>
        <w:tblInd w:w="0" w:type="dxa"/>
        <w:tblLook w:val="04A0" w:firstRow="1" w:lastRow="0" w:firstColumn="1" w:lastColumn="0" w:noHBand="0" w:noVBand="1"/>
      </w:tblPr>
      <w:tblGrid>
        <w:gridCol w:w="2405"/>
        <w:gridCol w:w="6235"/>
      </w:tblGrid>
      <w:tr w:rsidR="00057C9A" w:rsidRPr="00610101" w14:paraId="307802AF" w14:textId="77777777" w:rsidTr="006D24C3">
        <w:tc>
          <w:tcPr>
            <w:tcW w:w="2405" w:type="dxa"/>
            <w:shd w:val="clear" w:color="auto" w:fill="E7E6E6" w:themeFill="background2"/>
          </w:tcPr>
          <w:p w14:paraId="25F1520A"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Concept Area</w:t>
            </w:r>
          </w:p>
        </w:tc>
        <w:tc>
          <w:tcPr>
            <w:tcW w:w="6235" w:type="dxa"/>
            <w:shd w:val="clear" w:color="auto" w:fill="A5A5A5" w:themeFill="accent3"/>
          </w:tcPr>
          <w:p w14:paraId="35E51589"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Keywords and Synonyms</w:t>
            </w:r>
          </w:p>
        </w:tc>
      </w:tr>
      <w:tr w:rsidR="00057C9A" w:rsidRPr="00610101" w14:paraId="046F78DB" w14:textId="77777777" w:rsidTr="006D24C3">
        <w:tc>
          <w:tcPr>
            <w:tcW w:w="2405" w:type="dxa"/>
            <w:shd w:val="clear" w:color="auto" w:fill="E7E6E6" w:themeFill="background2"/>
          </w:tcPr>
          <w:p w14:paraId="070BCC38"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Condition</w:t>
            </w:r>
          </w:p>
        </w:tc>
        <w:tc>
          <w:tcPr>
            <w:tcW w:w="6235" w:type="dxa"/>
            <w:shd w:val="clear" w:color="auto" w:fill="A5A5A5" w:themeFill="accent3"/>
          </w:tcPr>
          <w:p w14:paraId="6AA62F3F"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Schizophrenia, psychosis, severe mental illness (SMI)</w:t>
            </w:r>
          </w:p>
        </w:tc>
      </w:tr>
      <w:tr w:rsidR="00057C9A" w:rsidRPr="00610101" w14:paraId="0FCAC9A3" w14:textId="77777777" w:rsidTr="006D24C3">
        <w:tc>
          <w:tcPr>
            <w:tcW w:w="2405" w:type="dxa"/>
            <w:shd w:val="clear" w:color="auto" w:fill="E7E6E6" w:themeFill="background2"/>
          </w:tcPr>
          <w:p w14:paraId="437C0B6D"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Treatment</w:t>
            </w:r>
          </w:p>
        </w:tc>
        <w:tc>
          <w:tcPr>
            <w:tcW w:w="6235" w:type="dxa"/>
            <w:shd w:val="clear" w:color="auto" w:fill="A5A5A5" w:themeFill="accent3"/>
          </w:tcPr>
          <w:p w14:paraId="08CF3256"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 xml:space="preserve">Treatment pathways, clinical pathways, antipsychotics, </w:t>
            </w:r>
            <w:proofErr w:type="spellStart"/>
            <w:r w:rsidRPr="00610101">
              <w:rPr>
                <w:rFonts w:ascii="Arial" w:hAnsi="Arial" w:cs="Arial"/>
              </w:rPr>
              <w:t>CBTp</w:t>
            </w:r>
            <w:proofErr w:type="spellEnd"/>
            <w:r w:rsidRPr="00610101">
              <w:rPr>
                <w:rFonts w:ascii="Arial" w:hAnsi="Arial" w:cs="Arial"/>
              </w:rPr>
              <w:t>, psychological therapies</w:t>
            </w:r>
          </w:p>
        </w:tc>
      </w:tr>
      <w:tr w:rsidR="00057C9A" w:rsidRPr="00610101" w14:paraId="0BD40754" w14:textId="77777777" w:rsidTr="006D24C3">
        <w:tc>
          <w:tcPr>
            <w:tcW w:w="2405" w:type="dxa"/>
            <w:shd w:val="clear" w:color="auto" w:fill="E7E6E6" w:themeFill="background2"/>
          </w:tcPr>
          <w:p w14:paraId="71A63520"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Services</w:t>
            </w:r>
          </w:p>
        </w:tc>
        <w:tc>
          <w:tcPr>
            <w:tcW w:w="6235" w:type="dxa"/>
            <w:shd w:val="clear" w:color="auto" w:fill="A5A5A5" w:themeFill="accent3"/>
          </w:tcPr>
          <w:p w14:paraId="1050EE56"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Mental health services, community mental health, Early Intervention in Psychosis (EIP), Integrated Care Systems (ICS)</w:t>
            </w:r>
          </w:p>
        </w:tc>
      </w:tr>
      <w:tr w:rsidR="00057C9A" w:rsidRPr="00610101" w14:paraId="6972AC98" w14:textId="77777777" w:rsidTr="006D24C3">
        <w:tc>
          <w:tcPr>
            <w:tcW w:w="2405" w:type="dxa"/>
            <w:shd w:val="clear" w:color="auto" w:fill="E7E6E6" w:themeFill="background2"/>
          </w:tcPr>
          <w:p w14:paraId="6029C9D3"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Evaluation</w:t>
            </w:r>
          </w:p>
        </w:tc>
        <w:tc>
          <w:tcPr>
            <w:tcW w:w="6235" w:type="dxa"/>
            <w:shd w:val="clear" w:color="auto" w:fill="A5A5A5" w:themeFill="accent3"/>
          </w:tcPr>
          <w:p w14:paraId="3E309937" w14:textId="77777777" w:rsidR="00057C9A" w:rsidRPr="00610101" w:rsidRDefault="00057C9A" w:rsidP="006D24C3">
            <w:pPr>
              <w:shd w:val="clear" w:color="auto" w:fill="E2EFD9" w:themeFill="accent6" w:themeFillTint="33"/>
              <w:jc w:val="both"/>
              <w:rPr>
                <w:rFonts w:ascii="Arial" w:hAnsi="Arial" w:cs="Arial"/>
              </w:rPr>
            </w:pPr>
            <w:r w:rsidRPr="00610101">
              <w:rPr>
                <w:rFonts w:ascii="Arial" w:hAnsi="Arial" w:cs="Arial"/>
              </w:rPr>
              <w:t>Effectiveness, outcomes, accessibility, inequalities, service user experience</w:t>
            </w:r>
          </w:p>
        </w:tc>
      </w:tr>
    </w:tbl>
    <w:p w14:paraId="6F542659" w14:textId="77777777" w:rsidR="00057C9A" w:rsidRDefault="00057C9A" w:rsidP="00057C9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 w:name="_Hlk220410694"/>
    </w:p>
    <w:p w14:paraId="014929B7" w14:textId="77777777" w:rsidR="00F67AE0" w:rsidRDefault="00F67AE0" w:rsidP="00057C9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0C8D603B" w14:textId="77777777" w:rsidR="00F67AE0" w:rsidRDefault="00F67AE0" w:rsidP="00057C9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0A500A17" w14:textId="6ED21570" w:rsidR="00057C9A" w:rsidRPr="00610101" w:rsidRDefault="00057C9A" w:rsidP="00057C9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610101">
        <w:rPr>
          <w:rFonts w:ascii="Arial" w:eastAsia="Times New Roman" w:hAnsi="Arial" w:cs="Arial"/>
          <w:b/>
          <w:bCs/>
          <w:kern w:val="0"/>
          <w:sz w:val="27"/>
          <w:szCs w:val="27"/>
          <w:lang w:eastAsia="en-GB"/>
          <w14:ligatures w14:val="none"/>
        </w:rPr>
        <w:lastRenderedPageBreak/>
        <w:t>3.3 – Searching for Information:</w:t>
      </w:r>
    </w:p>
    <w:bookmarkEnd w:id="2"/>
    <w:p w14:paraId="3B9FBB3E" w14:textId="77777777" w:rsidR="00057C9A" w:rsidRDefault="00057C9A" w:rsidP="00057C9A">
      <w:pPr>
        <w:pStyle w:val="NormalWeb"/>
        <w:spacing w:line="360" w:lineRule="auto"/>
        <w:jc w:val="both"/>
        <w:rPr>
          <w:rFonts w:ascii="Arial" w:hAnsi="Arial" w:cs="Arial"/>
          <w:sz w:val="22"/>
          <w:szCs w:val="22"/>
        </w:rPr>
      </w:pPr>
      <w:r w:rsidRPr="002F4328">
        <w:rPr>
          <w:rFonts w:ascii="Arial" w:hAnsi="Arial" w:cs="Arial"/>
          <w:sz w:val="22"/>
          <w:szCs w:val="22"/>
        </w:rPr>
        <w:t>A range of academic databases was used to ensure access to relevant and credible literature. These included PubMed, PsycINFO, ScienceDirect, and the UWTSD Library Database. PubMed and PsycINFO were prioritised due to their focus on psychiatry and clinical psychology, while ScienceDirect and the UWTSD Library provided access to wider health and policy research. Google Scholar was used to identify grey literature and institutional reports. Additional sources included NICE Evidence Search and NHS England, CQC, and GOV.UK websites.</w:t>
      </w:r>
    </w:p>
    <w:p w14:paraId="79DF1DC6" w14:textId="77777777" w:rsidR="00057C9A" w:rsidRPr="002F4328" w:rsidRDefault="00057C9A" w:rsidP="00057C9A">
      <w:pPr>
        <w:pStyle w:val="NormalWeb"/>
        <w:spacing w:line="360" w:lineRule="auto"/>
        <w:jc w:val="both"/>
        <w:rPr>
          <w:rFonts w:ascii="Arial" w:hAnsi="Arial" w:cs="Arial"/>
          <w:sz w:val="22"/>
          <w:szCs w:val="22"/>
        </w:rPr>
      </w:pPr>
      <w:r w:rsidRPr="002F4328">
        <w:rPr>
          <w:rFonts w:ascii="Arial" w:hAnsi="Arial" w:cs="Arial"/>
          <w:sz w:val="22"/>
          <w:szCs w:val="22"/>
        </w:rPr>
        <w:t>Search filters were applied to improve relevance and quality. These included publication dates between 2015 and 2025, English-language sources, peer-reviewed status, and a UK focus. For international comparison, selected studies from Australia, Canada, the Netherlands, and Finland were included.</w:t>
      </w:r>
    </w:p>
    <w:p w14:paraId="7F86367A" w14:textId="6BD2179A" w:rsidR="00057C9A" w:rsidRPr="002F4328" w:rsidRDefault="00057C9A" w:rsidP="00057C9A">
      <w:pPr>
        <w:pStyle w:val="NormalWeb"/>
        <w:spacing w:line="360" w:lineRule="auto"/>
        <w:jc w:val="both"/>
        <w:rPr>
          <w:rFonts w:ascii="Arial" w:hAnsi="Arial" w:cs="Arial"/>
          <w:sz w:val="22"/>
          <w:szCs w:val="22"/>
        </w:rPr>
      </w:pPr>
      <w:r w:rsidRPr="002F4328">
        <w:rPr>
          <w:rFonts w:ascii="Arial" w:hAnsi="Arial" w:cs="Arial"/>
          <w:sz w:val="22"/>
          <w:szCs w:val="22"/>
        </w:rPr>
        <w:t>The search process was iterative. Initial searches produced broad results, which were refined by adding terms such as “UK” and “policy.” A source tracking table was used to record search strings, results, and relevance (Appendix A). Where gaps were identified, backward and forward citation chaining was used to locate additional sources (Booth et al., 2021).</w:t>
      </w:r>
      <w:r w:rsidR="00BC5857" w:rsidRPr="00BC5857">
        <w:rPr>
          <w:rFonts w:ascii="Arial" w:hAnsi="Arial" w:cs="Arial"/>
        </w:rPr>
        <w:t xml:space="preserve"> </w:t>
      </w:r>
    </w:p>
    <w:p w14:paraId="5AE4E8C5" w14:textId="77777777" w:rsidR="00057C9A" w:rsidRPr="00610101" w:rsidRDefault="00057C9A" w:rsidP="00057C9A">
      <w:pPr>
        <w:keepNext/>
        <w:keepLines/>
        <w:spacing w:before="160" w:after="80"/>
        <w:outlineLvl w:val="1"/>
        <w:rPr>
          <w:rFonts w:ascii="Arial" w:eastAsiaTheme="majorEastAsia" w:hAnsi="Arial" w:cs="Arial"/>
          <w:b/>
          <w:bCs/>
          <w:color w:val="2F5496" w:themeColor="accent1" w:themeShade="BF"/>
          <w:sz w:val="24"/>
          <w:szCs w:val="24"/>
        </w:rPr>
      </w:pPr>
      <w:r w:rsidRPr="00610101">
        <w:rPr>
          <w:rFonts w:ascii="Arial" w:eastAsiaTheme="majorEastAsia" w:hAnsi="Arial" w:cs="Arial"/>
          <w:b/>
          <w:bCs/>
          <w:sz w:val="24"/>
          <w:szCs w:val="24"/>
        </w:rPr>
        <w:t>Table 3.3: Databases and Information Sources Used</w:t>
      </w:r>
    </w:p>
    <w:tbl>
      <w:tblPr>
        <w:tblStyle w:val="TableGrid"/>
        <w:tblW w:w="0" w:type="auto"/>
        <w:tblInd w:w="0" w:type="dxa"/>
        <w:tblLook w:val="04A0" w:firstRow="1" w:lastRow="0" w:firstColumn="1" w:lastColumn="0" w:noHBand="0" w:noVBand="1"/>
      </w:tblPr>
      <w:tblGrid>
        <w:gridCol w:w="4320"/>
        <w:gridCol w:w="4320"/>
      </w:tblGrid>
      <w:tr w:rsidR="00057C9A" w:rsidRPr="00610101" w14:paraId="0A683C32" w14:textId="77777777" w:rsidTr="006D24C3">
        <w:tc>
          <w:tcPr>
            <w:tcW w:w="4320" w:type="dxa"/>
            <w:shd w:val="clear" w:color="auto" w:fill="DBDBDB" w:themeFill="accent3" w:themeFillTint="66"/>
          </w:tcPr>
          <w:p w14:paraId="1AC2B08D" w14:textId="77777777" w:rsidR="00057C9A" w:rsidRPr="00610101" w:rsidRDefault="00057C9A" w:rsidP="006D24C3">
            <w:pPr>
              <w:rPr>
                <w:rFonts w:ascii="Arial" w:hAnsi="Arial" w:cs="Arial"/>
              </w:rPr>
            </w:pPr>
            <w:r w:rsidRPr="00610101">
              <w:rPr>
                <w:rFonts w:ascii="Arial" w:hAnsi="Arial" w:cs="Arial"/>
              </w:rPr>
              <w:t>Source</w:t>
            </w:r>
          </w:p>
        </w:tc>
        <w:tc>
          <w:tcPr>
            <w:tcW w:w="4320" w:type="dxa"/>
            <w:shd w:val="clear" w:color="auto" w:fill="DBDBDB" w:themeFill="accent3" w:themeFillTint="66"/>
          </w:tcPr>
          <w:p w14:paraId="39FBC2AD" w14:textId="77777777" w:rsidR="00057C9A" w:rsidRPr="00610101" w:rsidRDefault="00057C9A" w:rsidP="006D24C3">
            <w:pPr>
              <w:rPr>
                <w:rFonts w:ascii="Arial" w:hAnsi="Arial" w:cs="Arial"/>
              </w:rPr>
            </w:pPr>
            <w:r w:rsidRPr="00610101">
              <w:rPr>
                <w:rFonts w:ascii="Arial" w:hAnsi="Arial" w:cs="Arial"/>
              </w:rPr>
              <w:t>Rationale</w:t>
            </w:r>
          </w:p>
        </w:tc>
      </w:tr>
      <w:tr w:rsidR="00057C9A" w:rsidRPr="00610101" w14:paraId="47ED32DF" w14:textId="77777777" w:rsidTr="006D24C3">
        <w:tc>
          <w:tcPr>
            <w:tcW w:w="4320" w:type="dxa"/>
            <w:shd w:val="clear" w:color="auto" w:fill="DBDBDB" w:themeFill="accent3" w:themeFillTint="66"/>
          </w:tcPr>
          <w:p w14:paraId="5BD9F95E" w14:textId="77777777" w:rsidR="00057C9A" w:rsidRPr="00610101" w:rsidRDefault="00057C9A" w:rsidP="006D24C3">
            <w:pPr>
              <w:rPr>
                <w:rFonts w:ascii="Arial" w:hAnsi="Arial" w:cs="Arial"/>
              </w:rPr>
            </w:pPr>
            <w:r w:rsidRPr="00610101">
              <w:rPr>
                <w:rFonts w:ascii="Arial" w:hAnsi="Arial" w:cs="Arial"/>
              </w:rPr>
              <w:t>PubMed</w:t>
            </w:r>
          </w:p>
        </w:tc>
        <w:tc>
          <w:tcPr>
            <w:tcW w:w="4320" w:type="dxa"/>
            <w:shd w:val="clear" w:color="auto" w:fill="DBDBDB" w:themeFill="accent3" w:themeFillTint="66"/>
          </w:tcPr>
          <w:p w14:paraId="5440759F" w14:textId="77777777" w:rsidR="00057C9A" w:rsidRPr="00610101" w:rsidRDefault="00057C9A" w:rsidP="006D24C3">
            <w:pPr>
              <w:rPr>
                <w:rFonts w:ascii="Arial" w:hAnsi="Arial" w:cs="Arial"/>
              </w:rPr>
            </w:pPr>
            <w:r w:rsidRPr="00610101">
              <w:rPr>
                <w:rFonts w:ascii="Arial" w:hAnsi="Arial" w:cs="Arial"/>
              </w:rPr>
              <w:t>Clinical psychiatry and medical research</w:t>
            </w:r>
          </w:p>
        </w:tc>
      </w:tr>
      <w:tr w:rsidR="00057C9A" w:rsidRPr="00610101" w14:paraId="67235050" w14:textId="77777777" w:rsidTr="006D24C3">
        <w:tc>
          <w:tcPr>
            <w:tcW w:w="4320" w:type="dxa"/>
            <w:shd w:val="clear" w:color="auto" w:fill="DBDBDB" w:themeFill="accent3" w:themeFillTint="66"/>
          </w:tcPr>
          <w:p w14:paraId="71C5743E" w14:textId="77777777" w:rsidR="00057C9A" w:rsidRPr="00610101" w:rsidRDefault="00057C9A" w:rsidP="006D24C3">
            <w:pPr>
              <w:rPr>
                <w:rFonts w:ascii="Arial" w:hAnsi="Arial" w:cs="Arial"/>
              </w:rPr>
            </w:pPr>
            <w:r w:rsidRPr="00610101">
              <w:rPr>
                <w:rFonts w:ascii="Arial" w:hAnsi="Arial" w:cs="Arial"/>
              </w:rPr>
              <w:t>PsycINFO</w:t>
            </w:r>
          </w:p>
        </w:tc>
        <w:tc>
          <w:tcPr>
            <w:tcW w:w="4320" w:type="dxa"/>
            <w:shd w:val="clear" w:color="auto" w:fill="DBDBDB" w:themeFill="accent3" w:themeFillTint="66"/>
          </w:tcPr>
          <w:p w14:paraId="3F09698E" w14:textId="77777777" w:rsidR="00057C9A" w:rsidRPr="00610101" w:rsidRDefault="00057C9A" w:rsidP="006D24C3">
            <w:pPr>
              <w:rPr>
                <w:rFonts w:ascii="Arial" w:hAnsi="Arial" w:cs="Arial"/>
              </w:rPr>
            </w:pPr>
            <w:r w:rsidRPr="00610101">
              <w:rPr>
                <w:rFonts w:ascii="Arial" w:hAnsi="Arial" w:cs="Arial"/>
              </w:rPr>
              <w:t xml:space="preserve">Psychological and </w:t>
            </w:r>
            <w:proofErr w:type="spellStart"/>
            <w:r w:rsidRPr="00610101">
              <w:rPr>
                <w:rFonts w:ascii="Arial" w:hAnsi="Arial" w:cs="Arial"/>
              </w:rPr>
              <w:t>behavioural</w:t>
            </w:r>
            <w:proofErr w:type="spellEnd"/>
            <w:r w:rsidRPr="00610101">
              <w:rPr>
                <w:rFonts w:ascii="Arial" w:hAnsi="Arial" w:cs="Arial"/>
              </w:rPr>
              <w:t xml:space="preserve"> health literature</w:t>
            </w:r>
          </w:p>
        </w:tc>
      </w:tr>
      <w:tr w:rsidR="00057C9A" w:rsidRPr="00610101" w14:paraId="44131E7F" w14:textId="77777777" w:rsidTr="006D24C3">
        <w:tc>
          <w:tcPr>
            <w:tcW w:w="4320" w:type="dxa"/>
            <w:shd w:val="clear" w:color="auto" w:fill="DBDBDB" w:themeFill="accent3" w:themeFillTint="66"/>
          </w:tcPr>
          <w:p w14:paraId="50CD0433" w14:textId="77777777" w:rsidR="00057C9A" w:rsidRPr="00610101" w:rsidRDefault="00057C9A" w:rsidP="006D24C3">
            <w:pPr>
              <w:rPr>
                <w:rFonts w:ascii="Arial" w:hAnsi="Arial" w:cs="Arial"/>
              </w:rPr>
            </w:pPr>
            <w:r w:rsidRPr="00610101">
              <w:rPr>
                <w:rFonts w:ascii="Arial" w:hAnsi="Arial" w:cs="Arial"/>
              </w:rPr>
              <w:t>ScienceDirect</w:t>
            </w:r>
          </w:p>
        </w:tc>
        <w:tc>
          <w:tcPr>
            <w:tcW w:w="4320" w:type="dxa"/>
            <w:shd w:val="clear" w:color="auto" w:fill="DBDBDB" w:themeFill="accent3" w:themeFillTint="66"/>
          </w:tcPr>
          <w:p w14:paraId="6426EB06" w14:textId="77777777" w:rsidR="00057C9A" w:rsidRPr="00610101" w:rsidRDefault="00057C9A" w:rsidP="006D24C3">
            <w:pPr>
              <w:rPr>
                <w:rFonts w:ascii="Arial" w:hAnsi="Arial" w:cs="Arial"/>
              </w:rPr>
            </w:pPr>
            <w:r w:rsidRPr="00610101">
              <w:rPr>
                <w:rFonts w:ascii="Arial" w:hAnsi="Arial" w:cs="Arial"/>
              </w:rPr>
              <w:t>Health services and policy research</w:t>
            </w:r>
          </w:p>
        </w:tc>
      </w:tr>
      <w:tr w:rsidR="00057C9A" w:rsidRPr="00610101" w14:paraId="50D18D47" w14:textId="77777777" w:rsidTr="006D24C3">
        <w:tc>
          <w:tcPr>
            <w:tcW w:w="4320" w:type="dxa"/>
            <w:shd w:val="clear" w:color="auto" w:fill="DBDBDB" w:themeFill="accent3" w:themeFillTint="66"/>
          </w:tcPr>
          <w:p w14:paraId="2C85B565" w14:textId="77777777" w:rsidR="00057C9A" w:rsidRPr="00610101" w:rsidRDefault="00057C9A" w:rsidP="006D24C3">
            <w:pPr>
              <w:rPr>
                <w:rFonts w:ascii="Arial" w:hAnsi="Arial" w:cs="Arial"/>
              </w:rPr>
            </w:pPr>
            <w:r w:rsidRPr="00610101">
              <w:rPr>
                <w:rFonts w:ascii="Arial" w:hAnsi="Arial" w:cs="Arial"/>
              </w:rPr>
              <w:t>UWTSD Library Discover</w:t>
            </w:r>
          </w:p>
        </w:tc>
        <w:tc>
          <w:tcPr>
            <w:tcW w:w="4320" w:type="dxa"/>
            <w:shd w:val="clear" w:color="auto" w:fill="DBDBDB" w:themeFill="accent3" w:themeFillTint="66"/>
          </w:tcPr>
          <w:p w14:paraId="208CB391" w14:textId="77777777" w:rsidR="00057C9A" w:rsidRPr="00610101" w:rsidRDefault="00057C9A" w:rsidP="006D24C3">
            <w:pPr>
              <w:rPr>
                <w:rFonts w:ascii="Arial" w:hAnsi="Arial" w:cs="Arial"/>
              </w:rPr>
            </w:pPr>
            <w:r w:rsidRPr="00610101">
              <w:rPr>
                <w:rFonts w:ascii="Arial" w:hAnsi="Arial" w:cs="Arial"/>
              </w:rPr>
              <w:t>Broad academic and interdisciplinary access</w:t>
            </w:r>
          </w:p>
        </w:tc>
      </w:tr>
      <w:tr w:rsidR="00057C9A" w:rsidRPr="00610101" w14:paraId="16ECDEA8" w14:textId="77777777" w:rsidTr="006D24C3">
        <w:tc>
          <w:tcPr>
            <w:tcW w:w="4320" w:type="dxa"/>
            <w:shd w:val="clear" w:color="auto" w:fill="DBDBDB" w:themeFill="accent3" w:themeFillTint="66"/>
          </w:tcPr>
          <w:p w14:paraId="1225C133" w14:textId="77777777" w:rsidR="00057C9A" w:rsidRPr="00610101" w:rsidRDefault="00057C9A" w:rsidP="006D24C3">
            <w:pPr>
              <w:rPr>
                <w:rFonts w:ascii="Arial" w:hAnsi="Arial" w:cs="Arial"/>
              </w:rPr>
            </w:pPr>
            <w:r w:rsidRPr="00610101">
              <w:rPr>
                <w:rFonts w:ascii="Arial" w:hAnsi="Arial" w:cs="Arial"/>
              </w:rPr>
              <w:t>Google Scholar</w:t>
            </w:r>
          </w:p>
        </w:tc>
        <w:tc>
          <w:tcPr>
            <w:tcW w:w="4320" w:type="dxa"/>
            <w:shd w:val="clear" w:color="auto" w:fill="DBDBDB" w:themeFill="accent3" w:themeFillTint="66"/>
          </w:tcPr>
          <w:p w14:paraId="4D71844A" w14:textId="77777777" w:rsidR="00057C9A" w:rsidRPr="00610101" w:rsidRDefault="00057C9A" w:rsidP="006D24C3">
            <w:pPr>
              <w:rPr>
                <w:rFonts w:ascii="Arial" w:hAnsi="Arial" w:cs="Arial"/>
              </w:rPr>
            </w:pPr>
            <w:r w:rsidRPr="00610101">
              <w:rPr>
                <w:rFonts w:ascii="Arial" w:hAnsi="Arial" w:cs="Arial"/>
              </w:rPr>
              <w:t>Grey literature and institutional reports</w:t>
            </w:r>
          </w:p>
        </w:tc>
      </w:tr>
      <w:tr w:rsidR="00057C9A" w:rsidRPr="00610101" w14:paraId="00D3DACB" w14:textId="77777777" w:rsidTr="006D24C3">
        <w:tc>
          <w:tcPr>
            <w:tcW w:w="4320" w:type="dxa"/>
            <w:shd w:val="clear" w:color="auto" w:fill="DBDBDB" w:themeFill="accent3" w:themeFillTint="66"/>
          </w:tcPr>
          <w:p w14:paraId="1826895B" w14:textId="77777777" w:rsidR="00057C9A" w:rsidRPr="00610101" w:rsidRDefault="00057C9A" w:rsidP="006D24C3">
            <w:pPr>
              <w:rPr>
                <w:rFonts w:ascii="Arial" w:hAnsi="Arial" w:cs="Arial"/>
              </w:rPr>
            </w:pPr>
            <w:r w:rsidRPr="00610101">
              <w:rPr>
                <w:rFonts w:ascii="Arial" w:hAnsi="Arial" w:cs="Arial"/>
              </w:rPr>
              <w:t>NICE Evidence Search</w:t>
            </w:r>
          </w:p>
        </w:tc>
        <w:tc>
          <w:tcPr>
            <w:tcW w:w="4320" w:type="dxa"/>
            <w:shd w:val="clear" w:color="auto" w:fill="DBDBDB" w:themeFill="accent3" w:themeFillTint="66"/>
          </w:tcPr>
          <w:p w14:paraId="197035FD" w14:textId="77777777" w:rsidR="00057C9A" w:rsidRPr="00610101" w:rsidRDefault="00057C9A" w:rsidP="006D24C3">
            <w:pPr>
              <w:rPr>
                <w:rFonts w:ascii="Arial" w:hAnsi="Arial" w:cs="Arial"/>
              </w:rPr>
            </w:pPr>
            <w:r w:rsidRPr="00610101">
              <w:rPr>
                <w:rFonts w:ascii="Arial" w:hAnsi="Arial" w:cs="Arial"/>
              </w:rPr>
              <w:t>National clinical guidance</w:t>
            </w:r>
          </w:p>
        </w:tc>
      </w:tr>
      <w:tr w:rsidR="00057C9A" w:rsidRPr="00610101" w14:paraId="3157ED44" w14:textId="77777777" w:rsidTr="006D24C3">
        <w:tc>
          <w:tcPr>
            <w:tcW w:w="4320" w:type="dxa"/>
            <w:shd w:val="clear" w:color="auto" w:fill="DBDBDB" w:themeFill="accent3" w:themeFillTint="66"/>
          </w:tcPr>
          <w:p w14:paraId="292B51A0" w14:textId="77777777" w:rsidR="00C920DC" w:rsidRDefault="00057C9A" w:rsidP="006D24C3">
            <w:pPr>
              <w:rPr>
                <w:rFonts w:ascii="Arial" w:hAnsi="Arial" w:cs="Arial"/>
              </w:rPr>
            </w:pPr>
            <w:r w:rsidRPr="00610101">
              <w:rPr>
                <w:rFonts w:ascii="Arial" w:hAnsi="Arial" w:cs="Arial"/>
              </w:rPr>
              <w:t>NHS England / CQC</w:t>
            </w:r>
          </w:p>
          <w:p w14:paraId="5A7D53D8" w14:textId="381C1A57" w:rsidR="00057C9A" w:rsidRPr="00610101" w:rsidRDefault="00057C9A" w:rsidP="006D24C3">
            <w:pPr>
              <w:rPr>
                <w:rFonts w:ascii="Arial" w:hAnsi="Arial" w:cs="Arial"/>
              </w:rPr>
            </w:pPr>
            <w:r w:rsidRPr="00610101">
              <w:rPr>
                <w:rFonts w:ascii="Arial" w:hAnsi="Arial" w:cs="Arial"/>
              </w:rPr>
              <w:t xml:space="preserve"> / GOV.UK</w:t>
            </w:r>
          </w:p>
        </w:tc>
        <w:tc>
          <w:tcPr>
            <w:tcW w:w="4320" w:type="dxa"/>
            <w:shd w:val="clear" w:color="auto" w:fill="DBDBDB" w:themeFill="accent3" w:themeFillTint="66"/>
          </w:tcPr>
          <w:p w14:paraId="150664DB" w14:textId="77777777" w:rsidR="00057C9A" w:rsidRPr="00610101" w:rsidRDefault="00057C9A" w:rsidP="006D24C3">
            <w:pPr>
              <w:rPr>
                <w:rFonts w:ascii="Arial" w:hAnsi="Arial" w:cs="Arial"/>
              </w:rPr>
            </w:pPr>
            <w:r w:rsidRPr="00610101">
              <w:rPr>
                <w:rFonts w:ascii="Arial" w:hAnsi="Arial" w:cs="Arial"/>
              </w:rPr>
              <w:t>Policy, inspection, and service delivery reports</w:t>
            </w:r>
          </w:p>
        </w:tc>
      </w:tr>
    </w:tbl>
    <w:p w14:paraId="15361D07" w14:textId="01F65AB4" w:rsidR="00057C9A" w:rsidRPr="00610101" w:rsidRDefault="00C920DC" w:rsidP="00057C9A">
      <w:pPr>
        <w:spacing w:after="0" w:line="240" w:lineRule="auto"/>
        <w:rPr>
          <w:rFonts w:ascii="Arial" w:eastAsia="Times New Roman" w:hAnsi="Arial" w:cs="Arial"/>
          <w:kern w:val="0"/>
          <w:sz w:val="24"/>
          <w:szCs w:val="24"/>
          <w:lang w:eastAsia="en-GB"/>
          <w14:ligatures w14:val="none"/>
        </w:rPr>
      </w:pPr>
      <w:r w:rsidRPr="00C920DC">
        <w:rPr>
          <w:rFonts w:ascii="Arial" w:eastAsia="Times New Roman" w:hAnsi="Arial" w:cs="Arial"/>
          <w:b/>
          <w:bCs/>
          <w:noProof/>
          <w:color w:val="000000" w:themeColor="text1"/>
          <w:kern w:val="0"/>
          <w:sz w:val="24"/>
          <w:szCs w:val="24"/>
          <w:lang w:eastAsia="en-GB"/>
        </w:rPr>
        <w:lastRenderedPageBreak/>
        <w:t>This diagram below shows the process of literature search and Screening:</w:t>
      </w:r>
      <w:r>
        <w:rPr>
          <w:rFonts w:ascii="Arial" w:eastAsia="Times New Roman" w:hAnsi="Arial" w:cs="Arial"/>
          <w:noProof/>
          <w:kern w:val="0"/>
          <w:sz w:val="24"/>
          <w:szCs w:val="24"/>
          <w:lang w:eastAsia="en-GB"/>
        </w:rPr>
        <w:drawing>
          <wp:inline distT="0" distB="0" distL="0" distR="0" wp14:anchorId="0C4F3D74" wp14:editId="08D6E948">
            <wp:extent cx="5389636" cy="3481674"/>
            <wp:effectExtent l="0" t="0" r="1905" b="5080"/>
            <wp:docPr id="1303037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37090" name="Picture 130303709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9013" cy="3494191"/>
                    </a:xfrm>
                    <a:prstGeom prst="rect">
                      <a:avLst/>
                    </a:prstGeom>
                  </pic:spPr>
                </pic:pic>
              </a:graphicData>
            </a:graphic>
          </wp:inline>
        </w:drawing>
      </w:r>
    </w:p>
    <w:p w14:paraId="5804486B" w14:textId="77777777" w:rsidR="00057C9A" w:rsidRPr="00610101" w:rsidRDefault="00057C9A" w:rsidP="00057C9A">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3.4 – Research Validation:</w:t>
      </w:r>
    </w:p>
    <w:p w14:paraId="375B1786" w14:textId="2CC14CDE" w:rsidR="00057C9A" w:rsidRPr="00FC6C95"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FC6C95">
        <w:rPr>
          <w:rFonts w:ascii="Arial" w:eastAsia="Times New Roman" w:hAnsi="Arial" w:cs="Arial"/>
          <w:kern w:val="0"/>
          <w:lang w:eastAsia="en-GB"/>
          <w14:ligatures w14:val="none"/>
        </w:rPr>
        <w:t>To ensure reliability and credibility, all sources were assessed using the CRAAP test (Currency, Relevance, Authority, Accuracy, and Purpose), a recognised framework for evaluating secondary data (Blakeslee, 2018). For example, a 2024 Care Quality Commission (CQC) report was included as it was current, directly relevant to psychosis care, produced by a statutory regulator, based on inspection evidence, and free from persuasive bias. In contrast, pre-2010 studies were excluded as they did not reflect recent NHS reforms such as the NHS Long Term Plan and Integrated Care Systems. Skimming techniques were also used during screening, with titles, abstracts, and key sections reviewed to assess relevance. Greater weighting was given to currency and relevance to align with post-2015 UK mental health policy. Non-peer-reviewed or anecdotal sources were excluded to ensure the evidence base for Chapter 4 remained academically robust and trustworthy (Blakeslee, 2018).</w:t>
      </w:r>
    </w:p>
    <w:p w14:paraId="3CA243AD" w14:textId="77777777" w:rsidR="00057C9A" w:rsidRPr="00FC6C95" w:rsidRDefault="00057C9A" w:rsidP="00057C9A">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FC6C95">
        <w:rPr>
          <w:rFonts w:ascii="Arial" w:eastAsia="Times New Roman" w:hAnsi="Arial" w:cs="Arial"/>
          <w:vanish/>
          <w:kern w:val="0"/>
          <w:sz w:val="16"/>
          <w:szCs w:val="16"/>
          <w:lang w:eastAsia="en-GB"/>
          <w14:ligatures w14:val="none"/>
        </w:rPr>
        <w:t>Top of Form</w:t>
      </w:r>
    </w:p>
    <w:p w14:paraId="380B0F14" w14:textId="77777777" w:rsidR="00057C9A" w:rsidRPr="00FC6C95" w:rsidRDefault="00057C9A" w:rsidP="00057C9A">
      <w:pPr>
        <w:pBdr>
          <w:top w:val="single" w:sz="6" w:space="1" w:color="auto"/>
        </w:pBdr>
        <w:spacing w:after="0" w:line="240" w:lineRule="auto"/>
        <w:rPr>
          <w:rFonts w:ascii="Arial" w:eastAsia="Times New Roman" w:hAnsi="Arial" w:cs="Arial"/>
          <w:vanish/>
          <w:kern w:val="0"/>
          <w:sz w:val="16"/>
          <w:szCs w:val="16"/>
          <w:lang w:eastAsia="en-GB"/>
          <w14:ligatures w14:val="none"/>
        </w:rPr>
      </w:pPr>
      <w:r w:rsidRPr="00FC6C95">
        <w:rPr>
          <w:rFonts w:ascii="Arial" w:eastAsia="Times New Roman" w:hAnsi="Arial" w:cs="Arial"/>
          <w:vanish/>
          <w:kern w:val="0"/>
          <w:sz w:val="16"/>
          <w:szCs w:val="16"/>
          <w:lang w:eastAsia="en-GB"/>
          <w14:ligatures w14:val="none"/>
        </w:rPr>
        <w:t>Bottom of Form</w:t>
      </w:r>
    </w:p>
    <w:p w14:paraId="1B4E33D5" w14:textId="77777777" w:rsidR="00057C9A" w:rsidRPr="00610101" w:rsidRDefault="00057C9A" w:rsidP="00057C9A">
      <w:pPr>
        <w:keepNext/>
        <w:keepLines/>
        <w:spacing w:before="160" w:after="80"/>
        <w:outlineLvl w:val="1"/>
        <w:rPr>
          <w:rFonts w:ascii="Arial" w:eastAsiaTheme="majorEastAsia" w:hAnsi="Arial" w:cs="Arial"/>
          <w:b/>
          <w:bCs/>
          <w:sz w:val="24"/>
          <w:szCs w:val="24"/>
        </w:rPr>
      </w:pPr>
      <w:r w:rsidRPr="00610101">
        <w:rPr>
          <w:rFonts w:ascii="Arial" w:eastAsiaTheme="majorEastAsia" w:hAnsi="Arial" w:cs="Arial"/>
          <w:b/>
          <w:bCs/>
          <w:sz w:val="24"/>
          <w:szCs w:val="24"/>
        </w:rPr>
        <w:t>Table 3.4: Application of the CRAAP Test</w:t>
      </w:r>
    </w:p>
    <w:tbl>
      <w:tblPr>
        <w:tblStyle w:val="TableGrid"/>
        <w:tblW w:w="0" w:type="auto"/>
        <w:tblInd w:w="0" w:type="dxa"/>
        <w:tblLook w:val="04A0" w:firstRow="1" w:lastRow="0" w:firstColumn="1" w:lastColumn="0" w:noHBand="0" w:noVBand="1"/>
      </w:tblPr>
      <w:tblGrid>
        <w:gridCol w:w="3256"/>
        <w:gridCol w:w="5384"/>
      </w:tblGrid>
      <w:tr w:rsidR="00057C9A" w:rsidRPr="00610101" w14:paraId="5BD54E6E" w14:textId="77777777" w:rsidTr="006D24C3">
        <w:tc>
          <w:tcPr>
            <w:tcW w:w="3256" w:type="dxa"/>
            <w:shd w:val="clear" w:color="auto" w:fill="E7E6E6" w:themeFill="background2"/>
          </w:tcPr>
          <w:p w14:paraId="22272362" w14:textId="77777777" w:rsidR="00057C9A" w:rsidRPr="00610101" w:rsidRDefault="00057C9A" w:rsidP="006D24C3">
            <w:pPr>
              <w:rPr>
                <w:rFonts w:ascii="Arial" w:hAnsi="Arial" w:cs="Arial"/>
              </w:rPr>
            </w:pPr>
            <w:r w:rsidRPr="00610101">
              <w:rPr>
                <w:rFonts w:ascii="Arial" w:hAnsi="Arial" w:cs="Arial"/>
              </w:rPr>
              <w:t>Criterion</w:t>
            </w:r>
          </w:p>
        </w:tc>
        <w:tc>
          <w:tcPr>
            <w:tcW w:w="5384" w:type="dxa"/>
            <w:shd w:val="clear" w:color="auto" w:fill="E7E6E6" w:themeFill="background2"/>
          </w:tcPr>
          <w:p w14:paraId="5285387F" w14:textId="77777777" w:rsidR="00057C9A" w:rsidRPr="00610101" w:rsidRDefault="00057C9A" w:rsidP="006D24C3">
            <w:pPr>
              <w:rPr>
                <w:rFonts w:ascii="Arial" w:hAnsi="Arial" w:cs="Arial"/>
              </w:rPr>
            </w:pPr>
            <w:r w:rsidRPr="00610101">
              <w:rPr>
                <w:rFonts w:ascii="Arial" w:hAnsi="Arial" w:cs="Arial"/>
              </w:rPr>
              <w:t>Application</w:t>
            </w:r>
          </w:p>
        </w:tc>
      </w:tr>
      <w:tr w:rsidR="00057C9A" w:rsidRPr="00610101" w14:paraId="3C1234D7" w14:textId="77777777" w:rsidTr="006D24C3">
        <w:tc>
          <w:tcPr>
            <w:tcW w:w="3256" w:type="dxa"/>
            <w:shd w:val="clear" w:color="auto" w:fill="E7E6E6" w:themeFill="background2"/>
          </w:tcPr>
          <w:p w14:paraId="212EBA30" w14:textId="77777777" w:rsidR="00057C9A" w:rsidRPr="00610101" w:rsidRDefault="00057C9A" w:rsidP="006D24C3">
            <w:pPr>
              <w:rPr>
                <w:rFonts w:ascii="Arial" w:hAnsi="Arial" w:cs="Arial"/>
              </w:rPr>
            </w:pPr>
            <w:r w:rsidRPr="00610101">
              <w:rPr>
                <w:rFonts w:ascii="Arial" w:hAnsi="Arial" w:cs="Arial"/>
              </w:rPr>
              <w:t>Currency</w:t>
            </w:r>
          </w:p>
        </w:tc>
        <w:tc>
          <w:tcPr>
            <w:tcW w:w="5384" w:type="dxa"/>
            <w:shd w:val="clear" w:color="auto" w:fill="E7E6E6" w:themeFill="background2"/>
          </w:tcPr>
          <w:p w14:paraId="18A99051" w14:textId="77777777" w:rsidR="00057C9A" w:rsidRPr="00610101" w:rsidRDefault="00057C9A" w:rsidP="006D24C3">
            <w:pPr>
              <w:rPr>
                <w:rFonts w:ascii="Arial" w:hAnsi="Arial" w:cs="Arial"/>
              </w:rPr>
            </w:pPr>
            <w:r w:rsidRPr="00610101">
              <w:rPr>
                <w:rFonts w:ascii="Arial" w:hAnsi="Arial" w:cs="Arial"/>
              </w:rPr>
              <w:t>Post-2015 publications reflecting current NHS reforms</w:t>
            </w:r>
          </w:p>
        </w:tc>
      </w:tr>
      <w:tr w:rsidR="00057C9A" w:rsidRPr="00610101" w14:paraId="7AC3BBD3" w14:textId="77777777" w:rsidTr="006D24C3">
        <w:tc>
          <w:tcPr>
            <w:tcW w:w="3256" w:type="dxa"/>
            <w:shd w:val="clear" w:color="auto" w:fill="E7E6E6" w:themeFill="background2"/>
          </w:tcPr>
          <w:p w14:paraId="2181E58A" w14:textId="77777777" w:rsidR="00057C9A" w:rsidRPr="00610101" w:rsidRDefault="00057C9A" w:rsidP="006D24C3">
            <w:pPr>
              <w:rPr>
                <w:rFonts w:ascii="Arial" w:hAnsi="Arial" w:cs="Arial"/>
              </w:rPr>
            </w:pPr>
            <w:r w:rsidRPr="00610101">
              <w:rPr>
                <w:rFonts w:ascii="Arial" w:hAnsi="Arial" w:cs="Arial"/>
              </w:rPr>
              <w:t>Relevance</w:t>
            </w:r>
          </w:p>
        </w:tc>
        <w:tc>
          <w:tcPr>
            <w:tcW w:w="5384" w:type="dxa"/>
            <w:shd w:val="clear" w:color="auto" w:fill="E7E6E6" w:themeFill="background2"/>
          </w:tcPr>
          <w:p w14:paraId="0F4F92E9" w14:textId="77777777" w:rsidR="00057C9A" w:rsidRPr="00610101" w:rsidRDefault="00057C9A" w:rsidP="006D24C3">
            <w:pPr>
              <w:rPr>
                <w:rFonts w:ascii="Arial" w:hAnsi="Arial" w:cs="Arial"/>
              </w:rPr>
            </w:pPr>
            <w:r w:rsidRPr="00610101">
              <w:rPr>
                <w:rFonts w:ascii="Arial" w:hAnsi="Arial" w:cs="Arial"/>
              </w:rPr>
              <w:t>Direct focus on schizophrenia treatment or service delivery</w:t>
            </w:r>
          </w:p>
        </w:tc>
      </w:tr>
      <w:tr w:rsidR="00057C9A" w:rsidRPr="00610101" w14:paraId="004E0168" w14:textId="77777777" w:rsidTr="006D24C3">
        <w:tc>
          <w:tcPr>
            <w:tcW w:w="3256" w:type="dxa"/>
            <w:shd w:val="clear" w:color="auto" w:fill="E7E6E6" w:themeFill="background2"/>
          </w:tcPr>
          <w:p w14:paraId="42097CEC" w14:textId="77777777" w:rsidR="00057C9A" w:rsidRPr="00610101" w:rsidRDefault="00057C9A" w:rsidP="006D24C3">
            <w:pPr>
              <w:rPr>
                <w:rFonts w:ascii="Arial" w:hAnsi="Arial" w:cs="Arial"/>
              </w:rPr>
            </w:pPr>
            <w:r w:rsidRPr="00610101">
              <w:rPr>
                <w:rFonts w:ascii="Arial" w:hAnsi="Arial" w:cs="Arial"/>
              </w:rPr>
              <w:t>Authority</w:t>
            </w:r>
          </w:p>
        </w:tc>
        <w:tc>
          <w:tcPr>
            <w:tcW w:w="5384" w:type="dxa"/>
            <w:shd w:val="clear" w:color="auto" w:fill="E7E6E6" w:themeFill="background2"/>
          </w:tcPr>
          <w:p w14:paraId="010A398A" w14:textId="77777777" w:rsidR="00057C9A" w:rsidRPr="00610101" w:rsidRDefault="00057C9A" w:rsidP="006D24C3">
            <w:pPr>
              <w:rPr>
                <w:rFonts w:ascii="Arial" w:hAnsi="Arial" w:cs="Arial"/>
              </w:rPr>
            </w:pPr>
            <w:r w:rsidRPr="00610101">
              <w:rPr>
                <w:rFonts w:ascii="Arial" w:hAnsi="Arial" w:cs="Arial"/>
              </w:rPr>
              <w:t>NHS England, NICE, CQC, peer-reviewed journals</w:t>
            </w:r>
          </w:p>
        </w:tc>
      </w:tr>
      <w:tr w:rsidR="00057C9A" w:rsidRPr="00610101" w14:paraId="284E0B4C" w14:textId="77777777" w:rsidTr="006D24C3">
        <w:tc>
          <w:tcPr>
            <w:tcW w:w="3256" w:type="dxa"/>
            <w:shd w:val="clear" w:color="auto" w:fill="E7E6E6" w:themeFill="background2"/>
          </w:tcPr>
          <w:p w14:paraId="4B98B4F2" w14:textId="77777777" w:rsidR="00057C9A" w:rsidRPr="00610101" w:rsidRDefault="00057C9A" w:rsidP="006D24C3">
            <w:pPr>
              <w:rPr>
                <w:rFonts w:ascii="Arial" w:hAnsi="Arial" w:cs="Arial"/>
              </w:rPr>
            </w:pPr>
            <w:r w:rsidRPr="00610101">
              <w:rPr>
                <w:rFonts w:ascii="Arial" w:hAnsi="Arial" w:cs="Arial"/>
              </w:rPr>
              <w:t>Accuracy</w:t>
            </w:r>
          </w:p>
        </w:tc>
        <w:tc>
          <w:tcPr>
            <w:tcW w:w="5384" w:type="dxa"/>
            <w:shd w:val="clear" w:color="auto" w:fill="E7E6E6" w:themeFill="background2"/>
          </w:tcPr>
          <w:p w14:paraId="3C6275CD" w14:textId="77777777" w:rsidR="00057C9A" w:rsidRPr="00610101" w:rsidRDefault="00057C9A" w:rsidP="006D24C3">
            <w:pPr>
              <w:rPr>
                <w:rFonts w:ascii="Arial" w:hAnsi="Arial" w:cs="Arial"/>
              </w:rPr>
            </w:pPr>
            <w:r w:rsidRPr="00610101">
              <w:rPr>
                <w:rFonts w:ascii="Arial" w:hAnsi="Arial" w:cs="Arial"/>
              </w:rPr>
              <w:t>Evidence-based findings with transparent methodology</w:t>
            </w:r>
          </w:p>
        </w:tc>
      </w:tr>
      <w:tr w:rsidR="00057C9A" w:rsidRPr="00610101" w14:paraId="68D49677" w14:textId="77777777" w:rsidTr="006D24C3">
        <w:tc>
          <w:tcPr>
            <w:tcW w:w="3256" w:type="dxa"/>
            <w:shd w:val="clear" w:color="auto" w:fill="E7E6E6" w:themeFill="background2"/>
          </w:tcPr>
          <w:p w14:paraId="55142392" w14:textId="77777777" w:rsidR="00057C9A" w:rsidRPr="00610101" w:rsidRDefault="00057C9A" w:rsidP="006D24C3">
            <w:pPr>
              <w:rPr>
                <w:rFonts w:ascii="Arial" w:hAnsi="Arial" w:cs="Arial"/>
              </w:rPr>
            </w:pPr>
            <w:r w:rsidRPr="00610101">
              <w:rPr>
                <w:rFonts w:ascii="Arial" w:hAnsi="Arial" w:cs="Arial"/>
              </w:rPr>
              <w:t>Purpose</w:t>
            </w:r>
          </w:p>
        </w:tc>
        <w:tc>
          <w:tcPr>
            <w:tcW w:w="5384" w:type="dxa"/>
            <w:shd w:val="clear" w:color="auto" w:fill="E7E6E6" w:themeFill="background2"/>
          </w:tcPr>
          <w:p w14:paraId="00A58464" w14:textId="77777777" w:rsidR="00057C9A" w:rsidRPr="00610101" w:rsidRDefault="00057C9A" w:rsidP="006D24C3">
            <w:pPr>
              <w:rPr>
                <w:rFonts w:ascii="Arial" w:hAnsi="Arial" w:cs="Arial"/>
              </w:rPr>
            </w:pPr>
            <w:r w:rsidRPr="00610101">
              <w:rPr>
                <w:rFonts w:ascii="Arial" w:hAnsi="Arial" w:cs="Arial"/>
              </w:rPr>
              <w:t>Informative and evaluative rather than persuasive</w:t>
            </w:r>
          </w:p>
        </w:tc>
      </w:tr>
    </w:tbl>
    <w:p w14:paraId="3E9D3E88" w14:textId="77777777" w:rsidR="00057C9A" w:rsidRPr="00610101" w:rsidRDefault="00057C9A" w:rsidP="00057C9A">
      <w:pPr>
        <w:spacing w:before="100" w:beforeAutospacing="1" w:after="100" w:afterAutospacing="1" w:line="240" w:lineRule="auto"/>
        <w:rPr>
          <w:rFonts w:ascii="Arial" w:eastAsia="Times New Roman" w:hAnsi="Arial" w:cs="Arial"/>
          <w:kern w:val="0"/>
          <w:sz w:val="24"/>
          <w:szCs w:val="24"/>
          <w:lang w:eastAsia="en-GB"/>
          <w14:ligatures w14:val="none"/>
        </w:rPr>
      </w:pPr>
    </w:p>
    <w:p w14:paraId="3174AA8B"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610101">
        <w:rPr>
          <w:rFonts w:ascii="Arial" w:eastAsia="Times New Roman" w:hAnsi="Arial" w:cs="Arial"/>
          <w:b/>
          <w:bCs/>
          <w:kern w:val="0"/>
          <w:lang w:eastAsia="en-GB"/>
          <w14:ligatures w14:val="none"/>
        </w:rPr>
        <w:t>3.5 – Inclusion and Exclusion Criteria (100 words)</w:t>
      </w:r>
    </w:p>
    <w:p w14:paraId="63BF66BE" w14:textId="77777777" w:rsidR="00057C9A" w:rsidRPr="002E387E" w:rsidRDefault="00057C9A" w:rsidP="00057C9A">
      <w:pPr>
        <w:pStyle w:val="NormalWeb"/>
        <w:spacing w:line="360" w:lineRule="auto"/>
        <w:jc w:val="both"/>
        <w:rPr>
          <w:rFonts w:ascii="Arial" w:hAnsi="Arial" w:cs="Arial"/>
          <w:sz w:val="22"/>
          <w:szCs w:val="22"/>
        </w:rPr>
      </w:pPr>
      <w:r w:rsidRPr="002E387E">
        <w:rPr>
          <w:rFonts w:ascii="Arial" w:hAnsi="Arial" w:cs="Arial"/>
          <w:sz w:val="22"/>
          <w:szCs w:val="22"/>
        </w:rPr>
        <w:t>Sources were included if they were published between 2015 and 2025, peer-reviewed or produced by reputable organisations such as NHS England, NICE, or the CQC. Studies focusing on schizophrenia, psychosis, or severe mental illness were prioritised, particularly those examining UK treatment pathways, service delivery, accessibility, or outcomes. Relevant international studies were included where findings were transferable to the UK context.</w:t>
      </w:r>
    </w:p>
    <w:p w14:paraId="40D57578" w14:textId="77777777" w:rsidR="00057C9A" w:rsidRPr="002E387E" w:rsidRDefault="00057C9A" w:rsidP="00057C9A">
      <w:pPr>
        <w:pStyle w:val="NormalWeb"/>
        <w:spacing w:line="360" w:lineRule="auto"/>
        <w:jc w:val="both"/>
        <w:rPr>
          <w:rFonts w:ascii="Arial" w:hAnsi="Arial" w:cs="Arial"/>
          <w:sz w:val="22"/>
          <w:szCs w:val="22"/>
        </w:rPr>
      </w:pPr>
      <w:r w:rsidRPr="002E387E">
        <w:rPr>
          <w:rFonts w:ascii="Arial" w:hAnsi="Arial" w:cs="Arial"/>
          <w:sz w:val="22"/>
          <w:szCs w:val="22"/>
        </w:rPr>
        <w:t>Sources were excluded if they were outdated, non-English, non-peer-reviewed, or focused on general mental health without relevance to schizophrenia. Opinion blogs, media articles, and non-empirical commentary were also excluded. These criteria helped maintain focus, relevance, and academic quality (Aveyard, 2019).</w:t>
      </w:r>
    </w:p>
    <w:p w14:paraId="58084C64" w14:textId="77777777" w:rsidR="00057C9A" w:rsidRPr="00610101" w:rsidRDefault="00057C9A" w:rsidP="00057C9A">
      <w:pPr>
        <w:keepNext/>
        <w:keepLines/>
        <w:spacing w:before="160" w:after="80"/>
        <w:jc w:val="both"/>
        <w:outlineLvl w:val="1"/>
        <w:rPr>
          <w:rFonts w:ascii="Arial" w:eastAsiaTheme="majorEastAsia" w:hAnsi="Arial" w:cs="Arial"/>
        </w:rPr>
      </w:pPr>
      <w:r w:rsidRPr="00610101">
        <w:rPr>
          <w:rFonts w:ascii="Arial" w:eastAsiaTheme="majorEastAsia" w:hAnsi="Arial" w:cs="Arial"/>
        </w:rPr>
        <w:t>Table 3.5: Inclusion and Exclusion Criteria</w:t>
      </w:r>
    </w:p>
    <w:tbl>
      <w:tblPr>
        <w:tblStyle w:val="TableGrid"/>
        <w:tblW w:w="0" w:type="auto"/>
        <w:tblInd w:w="0" w:type="dxa"/>
        <w:tblLook w:val="04A0" w:firstRow="1" w:lastRow="0" w:firstColumn="1" w:lastColumn="0" w:noHBand="0" w:noVBand="1"/>
      </w:tblPr>
      <w:tblGrid>
        <w:gridCol w:w="4320"/>
        <w:gridCol w:w="4320"/>
      </w:tblGrid>
      <w:tr w:rsidR="00057C9A" w:rsidRPr="00610101" w14:paraId="4968A899" w14:textId="77777777" w:rsidTr="006D24C3">
        <w:tc>
          <w:tcPr>
            <w:tcW w:w="4320" w:type="dxa"/>
            <w:shd w:val="clear" w:color="auto" w:fill="E7E6E6" w:themeFill="background2"/>
          </w:tcPr>
          <w:p w14:paraId="51678353" w14:textId="77777777" w:rsidR="00057C9A" w:rsidRPr="00610101" w:rsidRDefault="00057C9A" w:rsidP="006D24C3">
            <w:pPr>
              <w:jc w:val="both"/>
              <w:rPr>
                <w:rFonts w:ascii="Arial" w:hAnsi="Arial" w:cs="Arial"/>
                <w:b/>
                <w:bCs/>
              </w:rPr>
            </w:pPr>
            <w:r w:rsidRPr="00610101">
              <w:rPr>
                <w:rFonts w:ascii="Arial" w:hAnsi="Arial" w:cs="Arial"/>
                <w:b/>
                <w:bCs/>
              </w:rPr>
              <w:t>Inclusion Criteria</w:t>
            </w:r>
          </w:p>
        </w:tc>
        <w:tc>
          <w:tcPr>
            <w:tcW w:w="4320" w:type="dxa"/>
            <w:shd w:val="clear" w:color="auto" w:fill="E7E6E6" w:themeFill="background2"/>
          </w:tcPr>
          <w:p w14:paraId="0B25EFAE" w14:textId="77777777" w:rsidR="00057C9A" w:rsidRPr="00610101" w:rsidRDefault="00057C9A" w:rsidP="006D24C3">
            <w:pPr>
              <w:jc w:val="both"/>
              <w:rPr>
                <w:rFonts w:ascii="Arial" w:hAnsi="Arial" w:cs="Arial"/>
                <w:b/>
                <w:bCs/>
              </w:rPr>
            </w:pPr>
            <w:r w:rsidRPr="00610101">
              <w:rPr>
                <w:rFonts w:ascii="Arial" w:hAnsi="Arial" w:cs="Arial"/>
                <w:b/>
                <w:bCs/>
              </w:rPr>
              <w:t>Exclusion Criteria</w:t>
            </w:r>
          </w:p>
        </w:tc>
      </w:tr>
      <w:tr w:rsidR="00057C9A" w:rsidRPr="00610101" w14:paraId="79AC1463" w14:textId="77777777" w:rsidTr="006D24C3">
        <w:tc>
          <w:tcPr>
            <w:tcW w:w="4320" w:type="dxa"/>
            <w:shd w:val="clear" w:color="auto" w:fill="E7E6E6" w:themeFill="background2"/>
          </w:tcPr>
          <w:p w14:paraId="4F18CCDF" w14:textId="77777777" w:rsidR="00057C9A" w:rsidRPr="00610101" w:rsidRDefault="00057C9A" w:rsidP="006D24C3">
            <w:pPr>
              <w:jc w:val="both"/>
              <w:rPr>
                <w:rFonts w:ascii="Arial" w:hAnsi="Arial" w:cs="Arial"/>
              </w:rPr>
            </w:pPr>
            <w:r w:rsidRPr="00610101">
              <w:rPr>
                <w:rFonts w:ascii="Arial" w:hAnsi="Arial" w:cs="Arial"/>
              </w:rPr>
              <w:t>Published 2015–2025</w:t>
            </w:r>
          </w:p>
        </w:tc>
        <w:tc>
          <w:tcPr>
            <w:tcW w:w="4320" w:type="dxa"/>
            <w:shd w:val="clear" w:color="auto" w:fill="E7E6E6" w:themeFill="background2"/>
          </w:tcPr>
          <w:p w14:paraId="0578784F" w14:textId="77777777" w:rsidR="00057C9A" w:rsidRPr="00610101" w:rsidRDefault="00057C9A" w:rsidP="006D24C3">
            <w:pPr>
              <w:jc w:val="both"/>
              <w:rPr>
                <w:rFonts w:ascii="Arial" w:hAnsi="Arial" w:cs="Arial"/>
              </w:rPr>
            </w:pPr>
            <w:r w:rsidRPr="00610101">
              <w:rPr>
                <w:rFonts w:ascii="Arial" w:hAnsi="Arial" w:cs="Arial"/>
              </w:rPr>
              <w:t>Published before 2015 unless seminal</w:t>
            </w:r>
          </w:p>
        </w:tc>
      </w:tr>
      <w:tr w:rsidR="00057C9A" w:rsidRPr="00610101" w14:paraId="198028EA" w14:textId="77777777" w:rsidTr="006D24C3">
        <w:tc>
          <w:tcPr>
            <w:tcW w:w="4320" w:type="dxa"/>
            <w:shd w:val="clear" w:color="auto" w:fill="E7E6E6" w:themeFill="background2"/>
          </w:tcPr>
          <w:p w14:paraId="599701D0" w14:textId="77777777" w:rsidR="00057C9A" w:rsidRPr="00610101" w:rsidRDefault="00057C9A" w:rsidP="006D24C3">
            <w:pPr>
              <w:jc w:val="both"/>
              <w:rPr>
                <w:rFonts w:ascii="Arial" w:hAnsi="Arial" w:cs="Arial"/>
              </w:rPr>
            </w:pPr>
            <w:r w:rsidRPr="00610101">
              <w:rPr>
                <w:rFonts w:ascii="Arial" w:hAnsi="Arial" w:cs="Arial"/>
              </w:rPr>
              <w:t>Peer-reviewed or official reports</w:t>
            </w:r>
          </w:p>
        </w:tc>
        <w:tc>
          <w:tcPr>
            <w:tcW w:w="4320" w:type="dxa"/>
            <w:shd w:val="clear" w:color="auto" w:fill="E7E6E6" w:themeFill="background2"/>
          </w:tcPr>
          <w:p w14:paraId="112D7F7A" w14:textId="77777777" w:rsidR="00057C9A" w:rsidRPr="00610101" w:rsidRDefault="00057C9A" w:rsidP="006D24C3">
            <w:pPr>
              <w:jc w:val="both"/>
              <w:rPr>
                <w:rFonts w:ascii="Arial" w:hAnsi="Arial" w:cs="Arial"/>
              </w:rPr>
            </w:pPr>
            <w:r w:rsidRPr="00610101">
              <w:rPr>
                <w:rFonts w:ascii="Arial" w:hAnsi="Arial" w:cs="Arial"/>
              </w:rPr>
              <w:t>Blogs, opinion pieces, media articles</w:t>
            </w:r>
          </w:p>
        </w:tc>
      </w:tr>
      <w:tr w:rsidR="00057C9A" w:rsidRPr="00610101" w14:paraId="1D1F80F6" w14:textId="77777777" w:rsidTr="006D24C3">
        <w:tc>
          <w:tcPr>
            <w:tcW w:w="4320" w:type="dxa"/>
            <w:shd w:val="clear" w:color="auto" w:fill="E7E6E6" w:themeFill="background2"/>
          </w:tcPr>
          <w:p w14:paraId="64AE5852" w14:textId="77777777" w:rsidR="00057C9A" w:rsidRPr="00610101" w:rsidRDefault="00057C9A" w:rsidP="006D24C3">
            <w:pPr>
              <w:jc w:val="both"/>
              <w:rPr>
                <w:rFonts w:ascii="Arial" w:hAnsi="Arial" w:cs="Arial"/>
              </w:rPr>
            </w:pPr>
            <w:r w:rsidRPr="00610101">
              <w:rPr>
                <w:rFonts w:ascii="Arial" w:hAnsi="Arial" w:cs="Arial"/>
              </w:rPr>
              <w:t>UK-based or UK-relevant studies</w:t>
            </w:r>
          </w:p>
        </w:tc>
        <w:tc>
          <w:tcPr>
            <w:tcW w:w="4320" w:type="dxa"/>
            <w:shd w:val="clear" w:color="auto" w:fill="E7E6E6" w:themeFill="background2"/>
          </w:tcPr>
          <w:p w14:paraId="0F7F2E4A" w14:textId="77777777" w:rsidR="00057C9A" w:rsidRPr="00610101" w:rsidRDefault="00057C9A" w:rsidP="006D24C3">
            <w:pPr>
              <w:jc w:val="both"/>
              <w:rPr>
                <w:rFonts w:ascii="Arial" w:hAnsi="Arial" w:cs="Arial"/>
              </w:rPr>
            </w:pPr>
            <w:r w:rsidRPr="00610101">
              <w:rPr>
                <w:rFonts w:ascii="Arial" w:hAnsi="Arial" w:cs="Arial"/>
              </w:rPr>
              <w:t>Non-transferable international systems</w:t>
            </w:r>
          </w:p>
        </w:tc>
      </w:tr>
      <w:tr w:rsidR="00057C9A" w:rsidRPr="00610101" w14:paraId="3A491F05" w14:textId="77777777" w:rsidTr="006D24C3">
        <w:tc>
          <w:tcPr>
            <w:tcW w:w="4320" w:type="dxa"/>
            <w:shd w:val="clear" w:color="auto" w:fill="E7E6E6" w:themeFill="background2"/>
          </w:tcPr>
          <w:p w14:paraId="5CA31A0F" w14:textId="77777777" w:rsidR="00057C9A" w:rsidRPr="00610101" w:rsidRDefault="00057C9A" w:rsidP="006D24C3">
            <w:pPr>
              <w:jc w:val="both"/>
              <w:rPr>
                <w:rFonts w:ascii="Arial" w:hAnsi="Arial" w:cs="Arial"/>
              </w:rPr>
            </w:pPr>
            <w:r w:rsidRPr="00610101">
              <w:rPr>
                <w:rFonts w:ascii="Arial" w:hAnsi="Arial" w:cs="Arial"/>
              </w:rPr>
              <w:t>Focus on schizophrenia/psychosis</w:t>
            </w:r>
          </w:p>
        </w:tc>
        <w:tc>
          <w:tcPr>
            <w:tcW w:w="4320" w:type="dxa"/>
            <w:shd w:val="clear" w:color="auto" w:fill="E7E6E6" w:themeFill="background2"/>
          </w:tcPr>
          <w:p w14:paraId="782B903B" w14:textId="77777777" w:rsidR="00057C9A" w:rsidRPr="00610101" w:rsidRDefault="00057C9A" w:rsidP="006D24C3">
            <w:pPr>
              <w:jc w:val="both"/>
              <w:rPr>
                <w:rFonts w:ascii="Arial" w:hAnsi="Arial" w:cs="Arial"/>
              </w:rPr>
            </w:pPr>
            <w:r w:rsidRPr="00610101">
              <w:rPr>
                <w:rFonts w:ascii="Arial" w:hAnsi="Arial" w:cs="Arial"/>
              </w:rPr>
              <w:t>General mental health without relevance</w:t>
            </w:r>
          </w:p>
        </w:tc>
      </w:tr>
      <w:tr w:rsidR="00057C9A" w:rsidRPr="00610101" w14:paraId="74A35276" w14:textId="77777777" w:rsidTr="006D24C3">
        <w:tc>
          <w:tcPr>
            <w:tcW w:w="4320" w:type="dxa"/>
            <w:shd w:val="clear" w:color="auto" w:fill="E7E6E6" w:themeFill="background2"/>
          </w:tcPr>
          <w:p w14:paraId="2237D8C3" w14:textId="77777777" w:rsidR="00057C9A" w:rsidRPr="00610101" w:rsidRDefault="00057C9A" w:rsidP="006D24C3">
            <w:pPr>
              <w:jc w:val="both"/>
              <w:rPr>
                <w:rFonts w:ascii="Arial" w:hAnsi="Arial" w:cs="Arial"/>
              </w:rPr>
            </w:pPr>
            <w:r w:rsidRPr="00610101">
              <w:rPr>
                <w:rFonts w:ascii="Arial" w:hAnsi="Arial" w:cs="Arial"/>
              </w:rPr>
              <w:t>Treatment pathways or service delivery focus</w:t>
            </w:r>
          </w:p>
        </w:tc>
        <w:tc>
          <w:tcPr>
            <w:tcW w:w="4320" w:type="dxa"/>
            <w:shd w:val="clear" w:color="auto" w:fill="E7E6E6" w:themeFill="background2"/>
          </w:tcPr>
          <w:p w14:paraId="5383716D" w14:textId="77777777" w:rsidR="00057C9A" w:rsidRPr="00610101" w:rsidRDefault="00057C9A" w:rsidP="006D24C3">
            <w:pPr>
              <w:jc w:val="both"/>
              <w:rPr>
                <w:rFonts w:ascii="Arial" w:hAnsi="Arial" w:cs="Arial"/>
              </w:rPr>
            </w:pPr>
            <w:r w:rsidRPr="00610101">
              <w:rPr>
                <w:rFonts w:ascii="Arial" w:hAnsi="Arial" w:cs="Arial"/>
              </w:rPr>
              <w:t>Non-empirical commentary</w:t>
            </w:r>
          </w:p>
        </w:tc>
      </w:tr>
    </w:tbl>
    <w:p w14:paraId="389F8057" w14:textId="77777777" w:rsidR="00057C9A" w:rsidRDefault="00057C9A" w:rsidP="00057C9A">
      <w:pPr>
        <w:spacing w:after="0" w:line="240" w:lineRule="auto"/>
        <w:rPr>
          <w:rFonts w:ascii="Arial" w:eastAsia="Times New Roman" w:hAnsi="Arial" w:cs="Arial"/>
          <w:kern w:val="0"/>
          <w:sz w:val="24"/>
          <w:szCs w:val="24"/>
          <w:lang w:eastAsia="en-GB"/>
          <w14:ligatures w14:val="none"/>
        </w:rPr>
      </w:pPr>
    </w:p>
    <w:p w14:paraId="5A0B4CAA" w14:textId="77777777" w:rsidR="00057C9A" w:rsidRPr="00610101" w:rsidRDefault="00057C9A" w:rsidP="00057C9A">
      <w:pPr>
        <w:spacing w:after="0" w:line="240" w:lineRule="auto"/>
        <w:rPr>
          <w:rFonts w:ascii="Arial" w:eastAsia="Times New Roman" w:hAnsi="Arial" w:cs="Arial"/>
          <w:kern w:val="0"/>
          <w:sz w:val="24"/>
          <w:szCs w:val="24"/>
          <w:lang w:eastAsia="en-GB"/>
          <w14:ligatures w14:val="none"/>
        </w:rPr>
      </w:pPr>
    </w:p>
    <w:p w14:paraId="7E890566" w14:textId="77777777" w:rsidR="00057C9A" w:rsidRPr="00610101" w:rsidRDefault="00057C9A" w:rsidP="00057C9A">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610101">
        <w:rPr>
          <w:rFonts w:ascii="Arial" w:eastAsia="Times New Roman" w:hAnsi="Arial" w:cs="Arial"/>
          <w:b/>
          <w:bCs/>
          <w:kern w:val="0"/>
          <w:sz w:val="24"/>
          <w:szCs w:val="24"/>
          <w:lang w:eastAsia="en-GB"/>
          <w14:ligatures w14:val="none"/>
        </w:rPr>
        <w:t>3.6 – Analysing Research:</w:t>
      </w:r>
    </w:p>
    <w:p w14:paraId="69A10C9E" w14:textId="77777777" w:rsidR="00057C9A" w:rsidRPr="00FA4851" w:rsidRDefault="00057C9A" w:rsidP="00057C9A">
      <w:pPr>
        <w:pStyle w:val="NormalWeb"/>
        <w:spacing w:line="360" w:lineRule="auto"/>
        <w:jc w:val="both"/>
        <w:rPr>
          <w:rFonts w:ascii="Arial" w:hAnsi="Arial" w:cs="Arial"/>
          <w:sz w:val="22"/>
          <w:szCs w:val="22"/>
        </w:rPr>
      </w:pPr>
      <w:r w:rsidRPr="00FA4851">
        <w:rPr>
          <w:rFonts w:ascii="Arial" w:hAnsi="Arial" w:cs="Arial"/>
          <w:sz w:val="22"/>
          <w:szCs w:val="22"/>
        </w:rPr>
        <w:t>A thematic analysis approach was used, following the framework outlined by Braun and Clarke (2019). Each source was read in full to identify recurring ideas related to schizophrenia treatment pathways, service delivery, inequalities, and policy impacts. Initial descriptive codes, such as “EIP wait times,” “service fragmentation,” and “racial disparities in detention,” were generated and recorded in a spreadsheet (Appendix B). These codes were then grouped into broader analytical categories based on shared patterns across the literature.</w:t>
      </w:r>
    </w:p>
    <w:p w14:paraId="3D600C39" w14:textId="6298F9DD" w:rsidR="00BC5857" w:rsidRPr="002F4328" w:rsidRDefault="00057C9A" w:rsidP="00BC5857">
      <w:pPr>
        <w:pStyle w:val="NormalWeb"/>
        <w:spacing w:line="360" w:lineRule="auto"/>
        <w:jc w:val="both"/>
        <w:rPr>
          <w:rFonts w:ascii="Arial" w:hAnsi="Arial" w:cs="Arial"/>
          <w:sz w:val="22"/>
          <w:szCs w:val="22"/>
        </w:rPr>
      </w:pPr>
      <w:r w:rsidRPr="00FA4851">
        <w:rPr>
          <w:rFonts w:ascii="Arial" w:hAnsi="Arial" w:cs="Arial"/>
          <w:sz w:val="22"/>
          <w:szCs w:val="22"/>
        </w:rPr>
        <w:t xml:space="preserve">Related categories were combined to form overarching themes aligned with the dissertation objectives. Three key themes emerged: </w:t>
      </w:r>
      <w:r w:rsidRPr="000C6B50">
        <w:rPr>
          <w:rFonts w:ascii="Arial" w:hAnsi="Arial" w:cs="Arial"/>
          <w:b/>
          <w:bCs/>
          <w:sz w:val="22"/>
          <w:szCs w:val="22"/>
        </w:rPr>
        <w:t xml:space="preserve">(1) Treatment Pathways and Clinical Effectiveness; (2) Accessibility, Inequalities, and Service Variation; and (3) Integrated Care Models and Future System Improvements. </w:t>
      </w:r>
      <w:r w:rsidRPr="00FA4851">
        <w:rPr>
          <w:rFonts w:ascii="Arial" w:hAnsi="Arial" w:cs="Arial"/>
          <w:sz w:val="22"/>
          <w:szCs w:val="22"/>
        </w:rPr>
        <w:t>Theme selection was guided by both frequency within the literature and relevance to UK mental health policy and practice. For example, Integrated Care Systems and co-production featured prominently across academic and policy sources (</w:t>
      </w:r>
      <w:proofErr w:type="spellStart"/>
      <w:r w:rsidRPr="00FA4851">
        <w:rPr>
          <w:rFonts w:ascii="Arial" w:hAnsi="Arial" w:cs="Arial"/>
          <w:sz w:val="22"/>
          <w:szCs w:val="22"/>
        </w:rPr>
        <w:t>Pagdon</w:t>
      </w:r>
      <w:proofErr w:type="spellEnd"/>
      <w:r w:rsidRPr="00FA4851">
        <w:rPr>
          <w:rFonts w:ascii="Arial" w:hAnsi="Arial" w:cs="Arial"/>
          <w:sz w:val="22"/>
          <w:szCs w:val="22"/>
        </w:rPr>
        <w:t>, 2024; CQC, 2023).</w:t>
      </w:r>
      <w:r w:rsidR="00BC5857" w:rsidRPr="00BC5857">
        <w:rPr>
          <w:rFonts w:ascii="Arial" w:hAnsi="Arial" w:cs="Arial"/>
        </w:rPr>
        <w:t xml:space="preserve"> </w:t>
      </w:r>
    </w:p>
    <w:p w14:paraId="626DFF42" w14:textId="28C1B47C" w:rsidR="00057C9A" w:rsidRPr="00FA4851" w:rsidRDefault="00057C9A" w:rsidP="00057C9A">
      <w:pPr>
        <w:pStyle w:val="NormalWeb"/>
        <w:spacing w:line="360" w:lineRule="auto"/>
        <w:jc w:val="both"/>
        <w:rPr>
          <w:rFonts w:ascii="Arial" w:hAnsi="Arial" w:cs="Arial"/>
          <w:sz w:val="22"/>
          <w:szCs w:val="22"/>
        </w:rPr>
      </w:pPr>
    </w:p>
    <w:p w14:paraId="1541B3E1" w14:textId="318CC04E" w:rsidR="00057C9A" w:rsidRPr="00FA4851" w:rsidRDefault="00057C9A" w:rsidP="00057C9A">
      <w:pPr>
        <w:pStyle w:val="NormalWeb"/>
        <w:spacing w:line="360" w:lineRule="auto"/>
        <w:jc w:val="both"/>
        <w:rPr>
          <w:rFonts w:ascii="Arial" w:hAnsi="Arial" w:cs="Arial"/>
          <w:sz w:val="22"/>
          <w:szCs w:val="22"/>
        </w:rPr>
      </w:pPr>
      <w:r w:rsidRPr="00FA4851">
        <w:rPr>
          <w:rFonts w:ascii="Arial" w:hAnsi="Arial" w:cs="Arial"/>
          <w:sz w:val="22"/>
          <w:szCs w:val="22"/>
        </w:rPr>
        <w:t>The analysis was organised using colour-coding and summary tables to map each source to one or more themes. This systematic process enhanced transparency, ensured methodological rigour, and enabled clear links between the reviewed literature and the thematic findings presented in Chapter 4.</w:t>
      </w:r>
    </w:p>
    <w:p w14:paraId="149E7FA1" w14:textId="77777777" w:rsidR="00057C9A" w:rsidRPr="00610101" w:rsidRDefault="00057C9A" w:rsidP="00057C9A">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610101">
        <w:rPr>
          <w:rFonts w:ascii="Arial" w:eastAsia="Times New Roman" w:hAnsi="Arial" w:cs="Arial"/>
          <w:b/>
          <w:bCs/>
          <w:kern w:val="0"/>
          <w:lang w:eastAsia="en-GB"/>
          <w14:ligatures w14:val="none"/>
        </w:rPr>
        <w:t>3.7 – Ethical Considerations:</w:t>
      </w:r>
    </w:p>
    <w:p w14:paraId="1F930281"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As this dissertation is based entirely on secondary sources, no primary data collection or contact with human participants was involved. Therefore, it did not require ethical approval from the university ethics committee. Nonetheless, ethical principles remained central to the research process.</w:t>
      </w:r>
    </w:p>
    <w:p w14:paraId="65D3DF7C"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b/>
          <w:bCs/>
          <w:kern w:val="0"/>
          <w:lang w:eastAsia="en-GB"/>
          <w14:ligatures w14:val="none"/>
        </w:rPr>
        <w:t>Academic integrity</w:t>
      </w:r>
      <w:r w:rsidRPr="00610101">
        <w:rPr>
          <w:rFonts w:ascii="Arial" w:eastAsia="Times New Roman" w:hAnsi="Arial" w:cs="Arial"/>
          <w:kern w:val="0"/>
          <w:lang w:eastAsia="en-GB"/>
          <w14:ligatures w14:val="none"/>
        </w:rPr>
        <w:t xml:space="preserve"> was upheld by accurately citing all sources using the </w:t>
      </w:r>
      <w:r w:rsidRPr="00610101">
        <w:rPr>
          <w:rFonts w:ascii="Arial" w:eastAsia="Times New Roman" w:hAnsi="Arial" w:cs="Arial"/>
          <w:b/>
          <w:bCs/>
          <w:kern w:val="0"/>
          <w:lang w:eastAsia="en-GB"/>
          <w14:ligatures w14:val="none"/>
        </w:rPr>
        <w:t>UWTSD Harvard referencing style</w:t>
      </w:r>
      <w:r w:rsidRPr="00610101">
        <w:rPr>
          <w:rFonts w:ascii="Arial" w:eastAsia="Times New Roman" w:hAnsi="Arial" w:cs="Arial"/>
          <w:kern w:val="0"/>
          <w:lang w:eastAsia="en-GB"/>
          <w14:ligatures w14:val="none"/>
        </w:rPr>
        <w:t>, avoiding plagiarism, and ensuring proper attribution for direct and indirect quotations. Efforts were made to avoid selection bias by applying consistent inclusion criteria and transparently justifying exclusions.</w:t>
      </w:r>
    </w:p>
    <w:p w14:paraId="0C3182F9" w14:textId="297FE93A" w:rsidR="00057C9A" w:rsidRPr="00BC4C27" w:rsidRDefault="00057C9A" w:rsidP="00BC4C27">
      <w:pPr>
        <w:pStyle w:val="NormalWeb"/>
        <w:spacing w:line="360" w:lineRule="auto"/>
        <w:jc w:val="both"/>
        <w:rPr>
          <w:rFonts w:ascii="Arial" w:hAnsi="Arial" w:cs="Arial"/>
          <w:sz w:val="22"/>
          <w:szCs w:val="22"/>
        </w:rPr>
      </w:pPr>
      <w:r w:rsidRPr="00610101">
        <w:rPr>
          <w:rFonts w:ascii="Arial" w:hAnsi="Arial" w:cs="Arial"/>
        </w:rPr>
        <w:t xml:space="preserve">This ethical rigour reinforces the credibility of the findings and supports responsible academic </w:t>
      </w:r>
      <w:proofErr w:type="gramStart"/>
      <w:r w:rsidRPr="00610101">
        <w:rPr>
          <w:rFonts w:ascii="Arial" w:hAnsi="Arial" w:cs="Arial"/>
        </w:rPr>
        <w:t>practice</w:t>
      </w:r>
      <w:r w:rsidR="00BC5857" w:rsidRPr="00610101">
        <w:rPr>
          <w:rFonts w:ascii="Arial" w:hAnsi="Arial" w:cs="Arial"/>
        </w:rPr>
        <w:t>(</w:t>
      </w:r>
      <w:proofErr w:type="gramEnd"/>
      <w:r w:rsidR="00BC5857" w:rsidRPr="00610101">
        <w:rPr>
          <w:rFonts w:ascii="Arial" w:hAnsi="Arial" w:cs="Arial"/>
        </w:rPr>
        <w:t>Resnik, 2015</w:t>
      </w:r>
      <w:r w:rsidR="00BC5857">
        <w:rPr>
          <w:rFonts w:ascii="Arial" w:hAnsi="Arial" w:cs="Arial"/>
        </w:rPr>
        <w:t>).</w:t>
      </w:r>
    </w:p>
    <w:p w14:paraId="627A45A6" w14:textId="77777777" w:rsidR="00057C9A" w:rsidRDefault="00057C9A" w:rsidP="00057C9A">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130586">
        <w:rPr>
          <w:rFonts w:ascii="Arial" w:hAnsi="Arial" w:cs="Arial"/>
          <w:b/>
          <w:bCs/>
          <w:sz w:val="24"/>
          <w:szCs w:val="24"/>
        </w:rPr>
        <w:lastRenderedPageBreak/>
        <w:t>Overview</w:t>
      </w:r>
      <w:r>
        <w:rPr>
          <w:rFonts w:ascii="Arial" w:hAnsi="Arial" w:cs="Arial"/>
          <w:b/>
          <w:bCs/>
          <w:sz w:val="24"/>
          <w:szCs w:val="24"/>
        </w:rPr>
        <w:t xml:space="preserve"> of Chapter-3</w:t>
      </w:r>
      <w:r w:rsidRPr="00130586">
        <w:rPr>
          <w:rFonts w:ascii="Arial" w:hAnsi="Arial" w:cs="Arial"/>
          <w:b/>
          <w:bCs/>
          <w:sz w:val="24"/>
          <w:szCs w:val="24"/>
        </w:rPr>
        <w:t xml:space="preserve"> – Visual Summary</w:t>
      </w:r>
      <w:r>
        <w:rPr>
          <w:noProof/>
        </w:rPr>
        <w:t xml:space="preserve"> </w:t>
      </w:r>
      <w:r>
        <w:rPr>
          <w:noProof/>
        </w:rPr>
        <w:drawing>
          <wp:inline distT="0" distB="0" distL="0" distR="0" wp14:anchorId="075D2CEA" wp14:editId="1C90CE6C">
            <wp:extent cx="5731510" cy="8054340"/>
            <wp:effectExtent l="0" t="0" r="2540" b="3810"/>
            <wp:docPr id="1332163178" name="Picture 133216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igital_infographic_poster_presents_Chapter_3:_M.png"/>
                    <pic:cNvPicPr/>
                  </pic:nvPicPr>
                  <pic:blipFill>
                    <a:blip r:embed="rId14"/>
                    <a:stretch>
                      <a:fillRect/>
                    </a:stretch>
                  </pic:blipFill>
                  <pic:spPr>
                    <a:xfrm>
                      <a:off x="0" y="0"/>
                      <a:ext cx="5731510" cy="8054340"/>
                    </a:xfrm>
                    <a:prstGeom prst="rect">
                      <a:avLst/>
                    </a:prstGeom>
                  </pic:spPr>
                </pic:pic>
              </a:graphicData>
            </a:graphic>
          </wp:inline>
        </w:drawing>
      </w:r>
    </w:p>
    <w:p w14:paraId="07CEDE2E" w14:textId="4AA2525A" w:rsidR="00057C9A" w:rsidRPr="00BC4C27" w:rsidRDefault="00BC4C27" w:rsidP="00057C9A">
      <w:pPr>
        <w:spacing w:before="100" w:beforeAutospacing="1" w:after="100" w:afterAutospacing="1" w:line="240" w:lineRule="auto"/>
        <w:outlineLvl w:val="2"/>
        <w:rPr>
          <w:rFonts w:ascii="Arial" w:eastAsia="Times New Roman" w:hAnsi="Arial" w:cs="Arial"/>
          <w:b/>
          <w:bCs/>
          <w:kern w:val="0"/>
          <w:sz w:val="16"/>
          <w:szCs w:val="16"/>
          <w:lang w:eastAsia="en-GB"/>
          <w14:ligatures w14:val="none"/>
        </w:rPr>
      </w:pPr>
      <w:r w:rsidRPr="00BC4C27">
        <w:rPr>
          <w:rFonts w:ascii="Arial" w:eastAsia="Times New Roman" w:hAnsi="Arial" w:cs="Arial"/>
          <w:kern w:val="0"/>
          <w:sz w:val="16"/>
          <w:szCs w:val="16"/>
          <w:lang w:eastAsia="en-GB"/>
          <w14:ligatures w14:val="none"/>
        </w:rPr>
        <w:t>(Sources: Resnik, 2015</w:t>
      </w:r>
      <w:r w:rsidRPr="00BC4C27">
        <w:rPr>
          <w:rFonts w:ascii="Arial" w:hAnsi="Arial" w:cs="Arial"/>
          <w:sz w:val="16"/>
          <w:szCs w:val="16"/>
        </w:rPr>
        <w:t xml:space="preserve">; Aveyard, 2019; </w:t>
      </w:r>
      <w:r w:rsidRPr="00BC4C27">
        <w:rPr>
          <w:rFonts w:ascii="Arial" w:eastAsia="Times New Roman" w:hAnsi="Arial" w:cs="Arial"/>
          <w:kern w:val="0"/>
          <w:sz w:val="16"/>
          <w:szCs w:val="16"/>
          <w:lang w:eastAsia="en-GB"/>
          <w14:ligatures w14:val="none"/>
        </w:rPr>
        <w:t>Blakeslee, 2018</w:t>
      </w:r>
      <w:r w:rsidRPr="00BC4C27">
        <w:rPr>
          <w:rFonts w:ascii="Arial" w:hAnsi="Arial" w:cs="Arial"/>
          <w:sz w:val="16"/>
          <w:szCs w:val="16"/>
        </w:rPr>
        <w:t xml:space="preserve">; Booth et al., 2021; </w:t>
      </w:r>
      <w:proofErr w:type="spellStart"/>
      <w:r w:rsidRPr="00BC4C27">
        <w:rPr>
          <w:rFonts w:ascii="Arial" w:hAnsi="Arial" w:cs="Arial"/>
          <w:sz w:val="16"/>
          <w:szCs w:val="16"/>
        </w:rPr>
        <w:t>Pagdon</w:t>
      </w:r>
      <w:proofErr w:type="spellEnd"/>
      <w:r w:rsidRPr="00BC4C27">
        <w:rPr>
          <w:rFonts w:ascii="Arial" w:hAnsi="Arial" w:cs="Arial"/>
          <w:sz w:val="16"/>
          <w:szCs w:val="16"/>
        </w:rPr>
        <w:t>, 2024; CQC, 2023).</w:t>
      </w:r>
    </w:p>
    <w:p w14:paraId="262E3B44" w14:textId="77777777" w:rsidR="00057C9A" w:rsidRPr="000C6B50" w:rsidRDefault="00057C9A" w:rsidP="00057C9A">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0C6B50">
        <w:rPr>
          <w:rFonts w:ascii="Arial" w:eastAsia="Times New Roman" w:hAnsi="Arial" w:cs="Arial"/>
          <w:b/>
          <w:bCs/>
          <w:kern w:val="0"/>
          <w:sz w:val="28"/>
          <w:szCs w:val="28"/>
          <w:lang w:eastAsia="en-GB"/>
          <w14:ligatures w14:val="none"/>
        </w:rPr>
        <w:lastRenderedPageBreak/>
        <w:t>3.8 Conclusion:</w:t>
      </w:r>
    </w:p>
    <w:p w14:paraId="56A46E27"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This chapter outlined the systematic desk-based research strategy employed to build the evidence base for this dissertation. Through the careful use of keywords, Boolean operators, trusted databases, and validation methods such as the CRAAP test, high-quality and relevant literature was identified.</w:t>
      </w:r>
    </w:p>
    <w:p w14:paraId="7D22AED2"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The adoption of a thematic coding framework enabled the data to be meaningfully organised and aligned with the research objectives. Ethical considerations ensured transparency, academic honesty, and research integrity.</w:t>
      </w:r>
    </w:p>
    <w:p w14:paraId="3699BAA1" w14:textId="77777777" w:rsidR="00057C9A" w:rsidRPr="00610101" w:rsidRDefault="00057C9A" w:rsidP="00057C9A">
      <w:pPr>
        <w:spacing w:before="100" w:beforeAutospacing="1" w:after="100" w:afterAutospacing="1" w:line="360" w:lineRule="auto"/>
        <w:jc w:val="both"/>
        <w:rPr>
          <w:rFonts w:ascii="Arial" w:eastAsia="Times New Roman" w:hAnsi="Arial" w:cs="Arial"/>
          <w:kern w:val="0"/>
          <w:lang w:eastAsia="en-GB"/>
          <w14:ligatures w14:val="none"/>
        </w:rPr>
      </w:pPr>
      <w:r w:rsidRPr="00610101">
        <w:rPr>
          <w:rFonts w:ascii="Arial" w:eastAsia="Times New Roman" w:hAnsi="Arial" w:cs="Arial"/>
          <w:kern w:val="0"/>
          <w:lang w:eastAsia="en-GB"/>
          <w14:ligatures w14:val="none"/>
        </w:rPr>
        <w:t>The next chapter will present the findings, structured around the key themes identified during this analysis, and will link the literature directly to the research question and objectives.</w:t>
      </w:r>
    </w:p>
    <w:p w14:paraId="7E25E401" w14:textId="77777777" w:rsidR="00BC4C27" w:rsidRDefault="00BC4C27" w:rsidP="00057C9A">
      <w:pPr>
        <w:pStyle w:val="NormalWeb"/>
        <w:spacing w:line="360" w:lineRule="auto"/>
        <w:jc w:val="both"/>
        <w:rPr>
          <w:rFonts w:ascii="Arial" w:hAnsi="Arial" w:cs="Arial"/>
          <w:b/>
          <w:bCs/>
        </w:rPr>
      </w:pPr>
    </w:p>
    <w:p w14:paraId="04A412CA" w14:textId="77777777" w:rsidR="00BC4C27" w:rsidRDefault="00BC4C27" w:rsidP="00057C9A">
      <w:pPr>
        <w:pStyle w:val="NormalWeb"/>
        <w:spacing w:line="360" w:lineRule="auto"/>
        <w:jc w:val="both"/>
        <w:rPr>
          <w:rFonts w:ascii="Arial" w:hAnsi="Arial" w:cs="Arial"/>
          <w:b/>
          <w:bCs/>
        </w:rPr>
      </w:pPr>
    </w:p>
    <w:p w14:paraId="0BD90493" w14:textId="77777777" w:rsidR="00BC4C27" w:rsidRDefault="00BC4C27" w:rsidP="00057C9A">
      <w:pPr>
        <w:pStyle w:val="NormalWeb"/>
        <w:spacing w:line="360" w:lineRule="auto"/>
        <w:jc w:val="both"/>
        <w:rPr>
          <w:rFonts w:ascii="Arial" w:hAnsi="Arial" w:cs="Arial"/>
          <w:b/>
          <w:bCs/>
        </w:rPr>
      </w:pPr>
    </w:p>
    <w:p w14:paraId="21F0C632" w14:textId="77777777" w:rsidR="00BC4C27" w:rsidRDefault="00BC4C27" w:rsidP="00057C9A">
      <w:pPr>
        <w:pStyle w:val="NormalWeb"/>
        <w:spacing w:line="360" w:lineRule="auto"/>
        <w:jc w:val="both"/>
        <w:rPr>
          <w:rFonts w:ascii="Arial" w:hAnsi="Arial" w:cs="Arial"/>
          <w:b/>
          <w:bCs/>
        </w:rPr>
      </w:pPr>
    </w:p>
    <w:p w14:paraId="1337058A" w14:textId="77777777" w:rsidR="00BC4C27" w:rsidRDefault="00BC4C27" w:rsidP="00057C9A">
      <w:pPr>
        <w:pStyle w:val="NormalWeb"/>
        <w:spacing w:line="360" w:lineRule="auto"/>
        <w:jc w:val="both"/>
        <w:rPr>
          <w:rFonts w:ascii="Arial" w:hAnsi="Arial" w:cs="Arial"/>
          <w:b/>
          <w:bCs/>
        </w:rPr>
      </w:pPr>
    </w:p>
    <w:p w14:paraId="59048E0F" w14:textId="77777777" w:rsidR="00BC4C27" w:rsidRDefault="00BC4C27" w:rsidP="00057C9A">
      <w:pPr>
        <w:pStyle w:val="NormalWeb"/>
        <w:spacing w:line="360" w:lineRule="auto"/>
        <w:jc w:val="both"/>
        <w:rPr>
          <w:rFonts w:ascii="Arial" w:hAnsi="Arial" w:cs="Arial"/>
          <w:b/>
          <w:bCs/>
        </w:rPr>
      </w:pPr>
    </w:p>
    <w:p w14:paraId="64C12CDE" w14:textId="77777777" w:rsidR="00BC4C27" w:rsidRDefault="00BC4C27" w:rsidP="00057C9A">
      <w:pPr>
        <w:pStyle w:val="NormalWeb"/>
        <w:spacing w:line="360" w:lineRule="auto"/>
        <w:jc w:val="both"/>
        <w:rPr>
          <w:rFonts w:ascii="Arial" w:hAnsi="Arial" w:cs="Arial"/>
          <w:b/>
          <w:bCs/>
        </w:rPr>
      </w:pPr>
    </w:p>
    <w:p w14:paraId="61AF913E" w14:textId="77777777" w:rsidR="00BC4C27" w:rsidRDefault="00BC4C27" w:rsidP="00057C9A">
      <w:pPr>
        <w:pStyle w:val="NormalWeb"/>
        <w:spacing w:line="360" w:lineRule="auto"/>
        <w:jc w:val="both"/>
        <w:rPr>
          <w:rFonts w:ascii="Arial" w:hAnsi="Arial" w:cs="Arial"/>
          <w:b/>
          <w:bCs/>
        </w:rPr>
      </w:pPr>
    </w:p>
    <w:p w14:paraId="3E3AEDBD" w14:textId="77777777" w:rsidR="00BC4C27" w:rsidRDefault="00BC4C27" w:rsidP="00057C9A">
      <w:pPr>
        <w:pStyle w:val="NormalWeb"/>
        <w:spacing w:line="360" w:lineRule="auto"/>
        <w:jc w:val="both"/>
        <w:rPr>
          <w:rFonts w:ascii="Arial" w:hAnsi="Arial" w:cs="Arial"/>
          <w:b/>
          <w:bCs/>
        </w:rPr>
      </w:pPr>
    </w:p>
    <w:p w14:paraId="44C33DB7" w14:textId="77777777" w:rsidR="00BC4C27" w:rsidRDefault="00BC4C27" w:rsidP="00057C9A">
      <w:pPr>
        <w:pStyle w:val="NormalWeb"/>
        <w:spacing w:line="360" w:lineRule="auto"/>
        <w:jc w:val="both"/>
        <w:rPr>
          <w:rFonts w:ascii="Arial" w:hAnsi="Arial" w:cs="Arial"/>
          <w:b/>
          <w:bCs/>
        </w:rPr>
      </w:pPr>
    </w:p>
    <w:p w14:paraId="19CE134E" w14:textId="77777777" w:rsidR="00BC4C27" w:rsidRDefault="00BC4C27" w:rsidP="00057C9A">
      <w:pPr>
        <w:pStyle w:val="NormalWeb"/>
        <w:spacing w:line="360" w:lineRule="auto"/>
        <w:jc w:val="both"/>
        <w:rPr>
          <w:rFonts w:ascii="Arial" w:hAnsi="Arial" w:cs="Arial"/>
          <w:b/>
          <w:bCs/>
        </w:rPr>
      </w:pPr>
    </w:p>
    <w:p w14:paraId="280642C9" w14:textId="77777777" w:rsidR="00BC4C27" w:rsidRDefault="00BC4C27" w:rsidP="00057C9A">
      <w:pPr>
        <w:pStyle w:val="NormalWeb"/>
        <w:spacing w:line="360" w:lineRule="auto"/>
        <w:jc w:val="both"/>
        <w:rPr>
          <w:rFonts w:ascii="Arial" w:hAnsi="Arial" w:cs="Arial"/>
          <w:b/>
          <w:bCs/>
        </w:rPr>
      </w:pPr>
    </w:p>
    <w:p w14:paraId="20891E46" w14:textId="77777777" w:rsidR="00BC4C27" w:rsidRDefault="00BC4C27" w:rsidP="00057C9A">
      <w:pPr>
        <w:pStyle w:val="NormalWeb"/>
        <w:spacing w:line="360" w:lineRule="auto"/>
        <w:jc w:val="both"/>
        <w:rPr>
          <w:rFonts w:ascii="Arial" w:hAnsi="Arial" w:cs="Arial"/>
          <w:b/>
          <w:bCs/>
        </w:rPr>
      </w:pPr>
    </w:p>
    <w:p w14:paraId="3D0D6B11" w14:textId="77777777" w:rsidR="00B173CF" w:rsidRDefault="00B173CF" w:rsidP="00057C9A">
      <w:pPr>
        <w:pStyle w:val="NormalWeb"/>
        <w:spacing w:line="360" w:lineRule="auto"/>
        <w:jc w:val="both"/>
        <w:rPr>
          <w:rFonts w:ascii="Arial" w:hAnsi="Arial" w:cs="Arial"/>
          <w:b/>
          <w:bCs/>
        </w:rPr>
      </w:pPr>
    </w:p>
    <w:p w14:paraId="1FB456C9" w14:textId="7C6B579F" w:rsidR="00057C9A" w:rsidRPr="00057C9A" w:rsidRDefault="00057C9A" w:rsidP="00057C9A">
      <w:pPr>
        <w:pStyle w:val="NormalWeb"/>
        <w:spacing w:line="360" w:lineRule="auto"/>
        <w:jc w:val="both"/>
        <w:rPr>
          <w:rFonts w:ascii="Arial" w:hAnsi="Arial" w:cs="Arial"/>
          <w:b/>
          <w:bCs/>
        </w:rPr>
      </w:pPr>
      <w:r w:rsidRPr="00057C9A">
        <w:rPr>
          <w:rFonts w:ascii="Arial" w:hAnsi="Arial" w:cs="Arial"/>
          <w:b/>
          <w:bCs/>
        </w:rPr>
        <w:lastRenderedPageBreak/>
        <w:t xml:space="preserve">References: </w:t>
      </w:r>
    </w:p>
    <w:p w14:paraId="740B51E2" w14:textId="53347D36"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Amanawa</w:t>
      </w:r>
      <w:proofErr w:type="spellEnd"/>
      <w:r w:rsidRPr="00057C9A">
        <w:rPr>
          <w:rFonts w:ascii="Arial" w:hAnsi="Arial" w:cs="Arial"/>
          <w:sz w:val="22"/>
          <w:szCs w:val="22"/>
        </w:rPr>
        <w:t xml:space="preserve">, P. and </w:t>
      </w:r>
      <w:proofErr w:type="spellStart"/>
      <w:r w:rsidRPr="00057C9A">
        <w:rPr>
          <w:rFonts w:ascii="Arial" w:hAnsi="Arial" w:cs="Arial"/>
          <w:sz w:val="22"/>
          <w:szCs w:val="22"/>
        </w:rPr>
        <w:t>Amabebe</w:t>
      </w:r>
      <w:proofErr w:type="spellEnd"/>
      <w:r w:rsidRPr="00057C9A">
        <w:rPr>
          <w:rFonts w:ascii="Arial" w:hAnsi="Arial" w:cs="Arial"/>
          <w:sz w:val="22"/>
          <w:szCs w:val="22"/>
        </w:rPr>
        <w:t xml:space="preserve">, E. (2024) </w:t>
      </w:r>
      <w:r w:rsidRPr="00057C9A">
        <w:rPr>
          <w:rStyle w:val="Emphasis"/>
          <w:rFonts w:ascii="Arial" w:eastAsiaTheme="majorEastAsia" w:hAnsi="Arial" w:cs="Arial"/>
          <w:sz w:val="22"/>
          <w:szCs w:val="22"/>
        </w:rPr>
        <w:t>Evaluating integrated care models in severe mental illness</w:t>
      </w:r>
      <w:r w:rsidRPr="00057C9A">
        <w:rPr>
          <w:rFonts w:ascii="Arial" w:hAnsi="Arial" w:cs="Arial"/>
          <w:sz w:val="22"/>
          <w:szCs w:val="22"/>
        </w:rPr>
        <w:t>. London: Routledge.</w:t>
      </w:r>
    </w:p>
    <w:p w14:paraId="71513041"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Asthana, S., Gibson, A. and Moon, G. (2020) ‘The role of Integrated Care Systems in addressing health inequalities’, </w:t>
      </w:r>
      <w:r w:rsidRPr="00057C9A">
        <w:rPr>
          <w:rStyle w:val="Emphasis"/>
          <w:rFonts w:ascii="Arial" w:eastAsiaTheme="majorEastAsia" w:hAnsi="Arial" w:cs="Arial"/>
          <w:sz w:val="22"/>
          <w:szCs w:val="22"/>
        </w:rPr>
        <w:t>Journal of Health Services Research &amp; Policy</w:t>
      </w:r>
      <w:r w:rsidRPr="00057C9A">
        <w:rPr>
          <w:rFonts w:ascii="Arial" w:hAnsi="Arial" w:cs="Arial"/>
          <w:sz w:val="22"/>
          <w:szCs w:val="22"/>
        </w:rPr>
        <w:t>, 25(3), pp. 168–175.</w:t>
      </w:r>
    </w:p>
    <w:p w14:paraId="52B50FD8"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Aveyard, H. (2019) </w:t>
      </w:r>
      <w:r w:rsidRPr="00057C9A">
        <w:rPr>
          <w:rStyle w:val="Emphasis"/>
          <w:rFonts w:ascii="Arial" w:eastAsiaTheme="majorEastAsia" w:hAnsi="Arial" w:cs="Arial"/>
          <w:sz w:val="22"/>
          <w:szCs w:val="22"/>
        </w:rPr>
        <w:t>Doing a Literature Review in Health and Social Care: A Practical Guide</w:t>
      </w:r>
      <w:r w:rsidRPr="00057C9A">
        <w:rPr>
          <w:rFonts w:ascii="Arial" w:hAnsi="Arial" w:cs="Arial"/>
          <w:sz w:val="22"/>
          <w:szCs w:val="22"/>
        </w:rPr>
        <w:t xml:space="preserve">. 4th </w:t>
      </w:r>
      <w:proofErr w:type="spellStart"/>
      <w:r w:rsidRPr="00057C9A">
        <w:rPr>
          <w:rFonts w:ascii="Arial" w:hAnsi="Arial" w:cs="Arial"/>
          <w:sz w:val="22"/>
          <w:szCs w:val="22"/>
        </w:rPr>
        <w:t>edn</w:t>
      </w:r>
      <w:proofErr w:type="spellEnd"/>
      <w:r w:rsidRPr="00057C9A">
        <w:rPr>
          <w:rFonts w:ascii="Arial" w:hAnsi="Arial" w:cs="Arial"/>
          <w:sz w:val="22"/>
          <w:szCs w:val="22"/>
        </w:rPr>
        <w:t>. London: Open University Press.</w:t>
      </w:r>
    </w:p>
    <w:p w14:paraId="072DB068"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Baker, E., Green, C. and Smith, J. (2019) ‘Applying the chronic care model to schizophrenia management’, </w:t>
      </w:r>
      <w:r w:rsidRPr="00057C9A">
        <w:rPr>
          <w:rStyle w:val="Emphasis"/>
          <w:rFonts w:ascii="Arial" w:eastAsiaTheme="majorEastAsia" w:hAnsi="Arial" w:cs="Arial"/>
          <w:sz w:val="22"/>
          <w:szCs w:val="22"/>
        </w:rPr>
        <w:t>International Journal of Mental Health Nursing</w:t>
      </w:r>
      <w:r w:rsidRPr="00057C9A">
        <w:rPr>
          <w:rFonts w:ascii="Arial" w:hAnsi="Arial" w:cs="Arial"/>
          <w:sz w:val="22"/>
          <w:szCs w:val="22"/>
        </w:rPr>
        <w:t>, 28(2), pp. 456–465.</w:t>
      </w:r>
    </w:p>
    <w:p w14:paraId="7ED53E93"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Bartlett, P. and Wright, D. (2018) </w:t>
      </w:r>
      <w:r w:rsidRPr="00057C9A">
        <w:rPr>
          <w:rStyle w:val="Emphasis"/>
          <w:rFonts w:ascii="Arial" w:eastAsiaTheme="majorEastAsia" w:hAnsi="Arial" w:cs="Arial"/>
          <w:sz w:val="22"/>
          <w:szCs w:val="22"/>
        </w:rPr>
        <w:t>Outside the Walls of the Asylum: The History of Care in the Community 1750–2000</w:t>
      </w:r>
      <w:r w:rsidRPr="00057C9A">
        <w:rPr>
          <w:rFonts w:ascii="Arial" w:hAnsi="Arial" w:cs="Arial"/>
          <w:sz w:val="22"/>
          <w:szCs w:val="22"/>
        </w:rPr>
        <w:t>. London: Athlone Press.</w:t>
      </w:r>
    </w:p>
    <w:p w14:paraId="55CE8177"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Bhui</w:t>
      </w:r>
      <w:proofErr w:type="spellEnd"/>
      <w:r w:rsidRPr="00057C9A">
        <w:rPr>
          <w:rFonts w:ascii="Arial" w:hAnsi="Arial" w:cs="Arial"/>
          <w:sz w:val="22"/>
          <w:szCs w:val="22"/>
        </w:rPr>
        <w:t xml:space="preserve">, K., Byrne, P. and Chakraborty, A. (2022) ‘Ethnic inequalities in mental health detention in England’, </w:t>
      </w:r>
      <w:r w:rsidRPr="00057C9A">
        <w:rPr>
          <w:rStyle w:val="Emphasis"/>
          <w:rFonts w:ascii="Arial" w:eastAsiaTheme="majorEastAsia" w:hAnsi="Arial" w:cs="Arial"/>
          <w:sz w:val="22"/>
          <w:szCs w:val="22"/>
        </w:rPr>
        <w:t>British Journal of Psychiatry</w:t>
      </w:r>
      <w:r w:rsidRPr="00057C9A">
        <w:rPr>
          <w:rFonts w:ascii="Arial" w:hAnsi="Arial" w:cs="Arial"/>
          <w:sz w:val="22"/>
          <w:szCs w:val="22"/>
        </w:rPr>
        <w:t>, 220(3), pp. 113–120.</w:t>
      </w:r>
    </w:p>
    <w:p w14:paraId="6E499A01"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Birchwood, M., Todd, P. and Jackson, C. (2000) ‘Early intervention in psychosis: The critical period hypothesis’, </w:t>
      </w:r>
      <w:r w:rsidRPr="00057C9A">
        <w:rPr>
          <w:rStyle w:val="Emphasis"/>
          <w:rFonts w:ascii="Arial" w:eastAsiaTheme="majorEastAsia" w:hAnsi="Arial" w:cs="Arial"/>
          <w:sz w:val="22"/>
          <w:szCs w:val="22"/>
        </w:rPr>
        <w:t>British Journal of Psychiatry</w:t>
      </w:r>
      <w:r w:rsidRPr="00057C9A">
        <w:rPr>
          <w:rFonts w:ascii="Arial" w:hAnsi="Arial" w:cs="Arial"/>
          <w:sz w:val="22"/>
          <w:szCs w:val="22"/>
        </w:rPr>
        <w:t>, 177(1), pp. 53–59.</w:t>
      </w:r>
    </w:p>
    <w:p w14:paraId="18A60829"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Blakeslee, S. (2018) ‘The CRAAP test’, </w:t>
      </w:r>
      <w:r w:rsidRPr="00057C9A">
        <w:rPr>
          <w:rStyle w:val="Emphasis"/>
          <w:rFonts w:ascii="Arial" w:eastAsiaTheme="majorEastAsia" w:hAnsi="Arial" w:cs="Arial"/>
          <w:sz w:val="22"/>
          <w:szCs w:val="22"/>
        </w:rPr>
        <w:t>Journal of Academic Research</w:t>
      </w:r>
      <w:r w:rsidRPr="00057C9A">
        <w:rPr>
          <w:rFonts w:ascii="Arial" w:hAnsi="Arial" w:cs="Arial"/>
          <w:sz w:val="22"/>
          <w:szCs w:val="22"/>
        </w:rPr>
        <w:t>, 22(3), pp. 45–49.</w:t>
      </w:r>
    </w:p>
    <w:p w14:paraId="3493C0AC"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Booth, A., Sutton, A. and Papaioannou, D. (2021) </w:t>
      </w:r>
      <w:r w:rsidRPr="00057C9A">
        <w:rPr>
          <w:rStyle w:val="Emphasis"/>
          <w:rFonts w:ascii="Arial" w:eastAsiaTheme="majorEastAsia" w:hAnsi="Arial" w:cs="Arial"/>
          <w:sz w:val="22"/>
          <w:szCs w:val="22"/>
        </w:rPr>
        <w:t>Systematic Approaches to a Successful Literature Review</w:t>
      </w:r>
      <w:r w:rsidRPr="00057C9A">
        <w:rPr>
          <w:rFonts w:ascii="Arial" w:hAnsi="Arial" w:cs="Arial"/>
          <w:sz w:val="22"/>
          <w:szCs w:val="22"/>
        </w:rPr>
        <w:t xml:space="preserve">. 3rd </w:t>
      </w:r>
      <w:proofErr w:type="spellStart"/>
      <w:r w:rsidRPr="00057C9A">
        <w:rPr>
          <w:rFonts w:ascii="Arial" w:hAnsi="Arial" w:cs="Arial"/>
          <w:sz w:val="22"/>
          <w:szCs w:val="22"/>
        </w:rPr>
        <w:t>edn</w:t>
      </w:r>
      <w:proofErr w:type="spellEnd"/>
      <w:r w:rsidRPr="00057C9A">
        <w:rPr>
          <w:rFonts w:ascii="Arial" w:hAnsi="Arial" w:cs="Arial"/>
          <w:sz w:val="22"/>
          <w:szCs w:val="22"/>
        </w:rPr>
        <w:t>. London: Sage.</w:t>
      </w:r>
    </w:p>
    <w:p w14:paraId="23534DAB"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Braun, V. and Clarke, V. (2019) ‘Reflecting on reflexive thematic analysis’, </w:t>
      </w:r>
      <w:r w:rsidRPr="00057C9A">
        <w:rPr>
          <w:rStyle w:val="Emphasis"/>
          <w:rFonts w:ascii="Arial" w:eastAsiaTheme="majorEastAsia" w:hAnsi="Arial" w:cs="Arial"/>
          <w:sz w:val="22"/>
          <w:szCs w:val="22"/>
        </w:rPr>
        <w:t>Qualitative Research in Sport, Exercise and Health</w:t>
      </w:r>
      <w:r w:rsidRPr="00057C9A">
        <w:rPr>
          <w:rFonts w:ascii="Arial" w:hAnsi="Arial" w:cs="Arial"/>
          <w:sz w:val="22"/>
          <w:szCs w:val="22"/>
        </w:rPr>
        <w:t>, 11(4), pp. 589–597.</w:t>
      </w:r>
    </w:p>
    <w:p w14:paraId="4DD76207"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Burbach, F. (2018) </w:t>
      </w:r>
      <w:r w:rsidRPr="00057C9A">
        <w:rPr>
          <w:rStyle w:val="Emphasis"/>
          <w:rFonts w:ascii="Arial" w:eastAsiaTheme="majorEastAsia" w:hAnsi="Arial" w:cs="Arial"/>
          <w:sz w:val="22"/>
          <w:szCs w:val="22"/>
        </w:rPr>
        <w:t>Recovery-Oriented Mental Health Practice</w:t>
      </w:r>
      <w:r w:rsidRPr="00057C9A">
        <w:rPr>
          <w:rFonts w:ascii="Arial" w:hAnsi="Arial" w:cs="Arial"/>
          <w:sz w:val="22"/>
          <w:szCs w:val="22"/>
        </w:rPr>
        <w:t>. London: Palgrave Macmillan.</w:t>
      </w:r>
    </w:p>
    <w:p w14:paraId="5AD87644" w14:textId="4D087F22"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Care Quality Commission (2023) </w:t>
      </w:r>
      <w:r w:rsidRPr="00057C9A">
        <w:rPr>
          <w:rStyle w:val="Emphasis"/>
          <w:rFonts w:ascii="Arial" w:eastAsiaTheme="majorEastAsia" w:hAnsi="Arial" w:cs="Arial"/>
          <w:sz w:val="22"/>
          <w:szCs w:val="22"/>
        </w:rPr>
        <w:t>Mental health services annual report</w:t>
      </w:r>
      <w:r w:rsidRPr="00057C9A">
        <w:rPr>
          <w:rFonts w:ascii="Arial" w:hAnsi="Arial" w:cs="Arial"/>
          <w:sz w:val="22"/>
          <w:szCs w:val="22"/>
        </w:rPr>
        <w:t xml:space="preserve">. Available at: </w:t>
      </w:r>
      <w:hyperlink r:id="rId15" w:tgtFrame="_new" w:history="1">
        <w:r w:rsidRPr="00057C9A">
          <w:rPr>
            <w:rStyle w:val="Hyperlink"/>
            <w:rFonts w:ascii="Arial" w:eastAsiaTheme="majorEastAsia" w:hAnsi="Arial" w:cs="Arial"/>
            <w:sz w:val="22"/>
            <w:szCs w:val="22"/>
          </w:rPr>
          <w:t>https://www.cqc.org.uk/publications/mental-health-services-annual-report</w:t>
        </w:r>
      </w:hyperlink>
      <w:r w:rsidRPr="00057C9A">
        <w:rPr>
          <w:rFonts w:ascii="Arial" w:hAnsi="Arial" w:cs="Arial"/>
          <w:sz w:val="22"/>
          <w:szCs w:val="22"/>
        </w:rPr>
        <w:t xml:space="preserve"> (Accessed: </w:t>
      </w:r>
      <w:r w:rsidR="00BC4C27">
        <w:rPr>
          <w:rFonts w:ascii="Arial" w:hAnsi="Arial" w:cs="Arial"/>
          <w:sz w:val="22"/>
          <w:szCs w:val="22"/>
        </w:rPr>
        <w:t xml:space="preserve">9th </w:t>
      </w:r>
      <w:r w:rsidRPr="00057C9A">
        <w:rPr>
          <w:rFonts w:ascii="Arial" w:hAnsi="Arial" w:cs="Arial"/>
          <w:sz w:val="22"/>
          <w:szCs w:val="22"/>
        </w:rPr>
        <w:t>January 2026).</w:t>
      </w:r>
    </w:p>
    <w:p w14:paraId="3D3DF2BC"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Care Quality Commission (2024) </w:t>
      </w:r>
      <w:r w:rsidRPr="00057C9A">
        <w:rPr>
          <w:rStyle w:val="Emphasis"/>
          <w:rFonts w:ascii="Arial" w:eastAsiaTheme="majorEastAsia" w:hAnsi="Arial" w:cs="Arial"/>
          <w:sz w:val="22"/>
          <w:szCs w:val="22"/>
        </w:rPr>
        <w:t>Monitoring the Mental Health Act 2023/24</w:t>
      </w:r>
      <w:r w:rsidRPr="00057C9A">
        <w:rPr>
          <w:rFonts w:ascii="Arial" w:hAnsi="Arial" w:cs="Arial"/>
          <w:sz w:val="22"/>
          <w:szCs w:val="22"/>
        </w:rPr>
        <w:t xml:space="preserve">. Available at: </w:t>
      </w:r>
      <w:hyperlink r:id="rId16" w:tgtFrame="_new" w:history="1">
        <w:r w:rsidRPr="00057C9A">
          <w:rPr>
            <w:rStyle w:val="Hyperlink"/>
            <w:rFonts w:ascii="Arial" w:eastAsiaTheme="majorEastAsia" w:hAnsi="Arial" w:cs="Arial"/>
            <w:sz w:val="22"/>
            <w:szCs w:val="22"/>
          </w:rPr>
          <w:t>https://www.cqc.org.uk/publications/mental-health-act-monitoring</w:t>
        </w:r>
      </w:hyperlink>
      <w:r w:rsidRPr="00057C9A">
        <w:rPr>
          <w:rFonts w:ascii="Arial" w:hAnsi="Arial" w:cs="Arial"/>
          <w:sz w:val="22"/>
          <w:szCs w:val="22"/>
        </w:rPr>
        <w:t xml:space="preserve"> (Accessed: 12 January 2026).</w:t>
      </w:r>
    </w:p>
    <w:p w14:paraId="0C95DC95"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lastRenderedPageBreak/>
        <w:t xml:space="preserve">Conneely, M., Phillips, J. and Green, S. (2025) ‘Inequalities in access to schizophrenia services in England’, </w:t>
      </w:r>
      <w:r w:rsidRPr="00057C9A">
        <w:rPr>
          <w:rStyle w:val="Emphasis"/>
          <w:rFonts w:ascii="Arial" w:eastAsiaTheme="majorEastAsia" w:hAnsi="Arial" w:cs="Arial"/>
          <w:sz w:val="22"/>
          <w:szCs w:val="22"/>
        </w:rPr>
        <w:t>Journal of Mental Health Policy</w:t>
      </w:r>
      <w:r w:rsidRPr="00057C9A">
        <w:rPr>
          <w:rFonts w:ascii="Arial" w:hAnsi="Arial" w:cs="Arial"/>
          <w:sz w:val="22"/>
          <w:szCs w:val="22"/>
        </w:rPr>
        <w:t>, 28(1), pp. 34–46.</w:t>
      </w:r>
    </w:p>
    <w:p w14:paraId="6C3C0223"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Delespaul</w:t>
      </w:r>
      <w:proofErr w:type="spellEnd"/>
      <w:r w:rsidRPr="00057C9A">
        <w:rPr>
          <w:rFonts w:ascii="Arial" w:hAnsi="Arial" w:cs="Arial"/>
          <w:sz w:val="22"/>
          <w:szCs w:val="22"/>
        </w:rPr>
        <w:t xml:space="preserve">, P., de Jong, J. and van Veldhuizen, J. (2021) ‘Flexible Assertive Community Treatment: Evidence and outcomes’, </w:t>
      </w:r>
      <w:r w:rsidRPr="00057C9A">
        <w:rPr>
          <w:rStyle w:val="Emphasis"/>
          <w:rFonts w:ascii="Arial" w:eastAsiaTheme="majorEastAsia" w:hAnsi="Arial" w:cs="Arial"/>
          <w:sz w:val="22"/>
          <w:szCs w:val="22"/>
        </w:rPr>
        <w:t>Community Mental Health Journal</w:t>
      </w:r>
      <w:r w:rsidRPr="00057C9A">
        <w:rPr>
          <w:rFonts w:ascii="Arial" w:hAnsi="Arial" w:cs="Arial"/>
          <w:sz w:val="22"/>
          <w:szCs w:val="22"/>
        </w:rPr>
        <w:t>, 57(5), pp. 893–902.</w:t>
      </w:r>
    </w:p>
    <w:p w14:paraId="552AF9E4" w14:textId="4AE22B89"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Department of Health (1999) </w:t>
      </w:r>
      <w:r w:rsidRPr="00057C9A">
        <w:rPr>
          <w:rStyle w:val="Emphasis"/>
          <w:rFonts w:ascii="Arial" w:eastAsiaTheme="majorEastAsia" w:hAnsi="Arial" w:cs="Arial"/>
          <w:sz w:val="22"/>
          <w:szCs w:val="22"/>
        </w:rPr>
        <w:t>Effective care co-ordination in mental health services: The Care Programme Approach</w:t>
      </w:r>
      <w:r w:rsidRPr="00057C9A">
        <w:rPr>
          <w:rFonts w:ascii="Arial" w:hAnsi="Arial" w:cs="Arial"/>
          <w:sz w:val="22"/>
          <w:szCs w:val="22"/>
        </w:rPr>
        <w:t xml:space="preserve">. Available at: </w:t>
      </w:r>
      <w:hyperlink r:id="rId17" w:tgtFrame="_new" w:history="1">
        <w:r w:rsidRPr="00057C9A">
          <w:rPr>
            <w:rStyle w:val="Hyperlink"/>
            <w:rFonts w:ascii="Arial" w:eastAsiaTheme="majorEastAsia" w:hAnsi="Arial" w:cs="Arial"/>
            <w:sz w:val="22"/>
            <w:szCs w:val="22"/>
          </w:rPr>
          <w:t>https://www.gov.uk/government/publications/care-programme-approach</w:t>
        </w:r>
      </w:hyperlink>
      <w:r w:rsidRPr="00057C9A">
        <w:rPr>
          <w:rFonts w:ascii="Arial" w:hAnsi="Arial" w:cs="Arial"/>
          <w:sz w:val="22"/>
          <w:szCs w:val="22"/>
        </w:rPr>
        <w:t xml:space="preserve"> (Accessed: 1</w:t>
      </w:r>
      <w:r w:rsidR="00BC4C27">
        <w:rPr>
          <w:rFonts w:ascii="Arial" w:hAnsi="Arial" w:cs="Arial"/>
          <w:sz w:val="22"/>
          <w:szCs w:val="22"/>
        </w:rPr>
        <w:t>0</w:t>
      </w:r>
      <w:r w:rsidRPr="00057C9A">
        <w:rPr>
          <w:rFonts w:ascii="Arial" w:hAnsi="Arial" w:cs="Arial"/>
          <w:sz w:val="22"/>
          <w:szCs w:val="22"/>
        </w:rPr>
        <w:t xml:space="preserve"> January 2026).</w:t>
      </w:r>
    </w:p>
    <w:p w14:paraId="6CC17F5C"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Department of Health and Social Care (2023) </w:t>
      </w:r>
      <w:r w:rsidRPr="00057C9A">
        <w:rPr>
          <w:rStyle w:val="Emphasis"/>
          <w:rFonts w:ascii="Arial" w:eastAsiaTheme="majorEastAsia" w:hAnsi="Arial" w:cs="Arial"/>
          <w:sz w:val="22"/>
          <w:szCs w:val="22"/>
        </w:rPr>
        <w:t>Mental Health Act statistics, England</w:t>
      </w:r>
      <w:r w:rsidRPr="00057C9A">
        <w:rPr>
          <w:rFonts w:ascii="Arial" w:hAnsi="Arial" w:cs="Arial"/>
          <w:sz w:val="22"/>
          <w:szCs w:val="22"/>
        </w:rPr>
        <w:t xml:space="preserve">. Available at: </w:t>
      </w:r>
      <w:hyperlink r:id="rId18" w:tgtFrame="_new" w:history="1">
        <w:r w:rsidRPr="00057C9A">
          <w:rPr>
            <w:rStyle w:val="Hyperlink"/>
            <w:rFonts w:ascii="Arial" w:eastAsiaTheme="majorEastAsia" w:hAnsi="Arial" w:cs="Arial"/>
            <w:sz w:val="22"/>
            <w:szCs w:val="22"/>
          </w:rPr>
          <w:t>https://www.gov.uk/government/statistics/mental-health-act-statistics-england</w:t>
        </w:r>
      </w:hyperlink>
      <w:r w:rsidRPr="00057C9A">
        <w:rPr>
          <w:rFonts w:ascii="Arial" w:hAnsi="Arial" w:cs="Arial"/>
          <w:sz w:val="22"/>
          <w:szCs w:val="22"/>
        </w:rPr>
        <w:t xml:space="preserve"> (Accessed: 12 January 2026).</w:t>
      </w:r>
    </w:p>
    <w:p w14:paraId="563FDCF7"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Department of Health and Social Care (2025) </w:t>
      </w:r>
      <w:r w:rsidRPr="00057C9A">
        <w:rPr>
          <w:rStyle w:val="Emphasis"/>
          <w:rFonts w:ascii="Arial" w:eastAsiaTheme="majorEastAsia" w:hAnsi="Arial" w:cs="Arial"/>
          <w:sz w:val="22"/>
          <w:szCs w:val="22"/>
        </w:rPr>
        <w:t>Mental Health Act Reform: Implementation update</w:t>
      </w:r>
      <w:r w:rsidRPr="00057C9A">
        <w:rPr>
          <w:rFonts w:ascii="Arial" w:hAnsi="Arial" w:cs="Arial"/>
          <w:sz w:val="22"/>
          <w:szCs w:val="22"/>
        </w:rPr>
        <w:t xml:space="preserve">. Available at: </w:t>
      </w:r>
      <w:hyperlink r:id="rId19" w:tgtFrame="_new" w:history="1">
        <w:r w:rsidRPr="00057C9A">
          <w:rPr>
            <w:rStyle w:val="Hyperlink"/>
            <w:rFonts w:ascii="Arial" w:eastAsiaTheme="majorEastAsia" w:hAnsi="Arial" w:cs="Arial"/>
            <w:sz w:val="22"/>
            <w:szCs w:val="22"/>
          </w:rPr>
          <w:t>https://www.gov.uk/government/publications/mental-health-act-reform</w:t>
        </w:r>
      </w:hyperlink>
      <w:r w:rsidRPr="00057C9A">
        <w:rPr>
          <w:rFonts w:ascii="Arial" w:hAnsi="Arial" w:cs="Arial"/>
          <w:sz w:val="22"/>
          <w:szCs w:val="22"/>
        </w:rPr>
        <w:t xml:space="preserve"> (Accessed: 12 January 2026).</w:t>
      </w:r>
    </w:p>
    <w:p w14:paraId="6B0CC2F9"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Engel, G.L. (1977) ‘The need for a new medical model: A challenge for biomedicine’, </w:t>
      </w:r>
      <w:r w:rsidRPr="00057C9A">
        <w:rPr>
          <w:rStyle w:val="Emphasis"/>
          <w:rFonts w:ascii="Arial" w:eastAsiaTheme="majorEastAsia" w:hAnsi="Arial" w:cs="Arial"/>
          <w:sz w:val="22"/>
          <w:szCs w:val="22"/>
        </w:rPr>
        <w:t>Science</w:t>
      </w:r>
      <w:r w:rsidRPr="00057C9A">
        <w:rPr>
          <w:rFonts w:ascii="Arial" w:hAnsi="Arial" w:cs="Arial"/>
          <w:sz w:val="22"/>
          <w:szCs w:val="22"/>
        </w:rPr>
        <w:t>, 196(4286), pp. 129–136.</w:t>
      </w:r>
    </w:p>
    <w:p w14:paraId="63A0C317"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Godin, P. (2006) ‘Community care and mental health reform in England’, </w:t>
      </w:r>
      <w:r w:rsidRPr="00057C9A">
        <w:rPr>
          <w:rStyle w:val="Emphasis"/>
          <w:rFonts w:ascii="Arial" w:eastAsiaTheme="majorEastAsia" w:hAnsi="Arial" w:cs="Arial"/>
          <w:sz w:val="22"/>
          <w:szCs w:val="22"/>
        </w:rPr>
        <w:t>Health &amp; Social Care in the Community</w:t>
      </w:r>
      <w:r w:rsidRPr="00057C9A">
        <w:rPr>
          <w:rFonts w:ascii="Arial" w:hAnsi="Arial" w:cs="Arial"/>
          <w:sz w:val="22"/>
          <w:szCs w:val="22"/>
        </w:rPr>
        <w:t>, 14(6), pp. 509–517.</w:t>
      </w:r>
    </w:p>
    <w:p w14:paraId="29693448"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Goering, P., Veldhuizen, S. and Watson, A. (2014) ‘National outcomes of Housing First for people with mental illness’, </w:t>
      </w:r>
      <w:r w:rsidRPr="00057C9A">
        <w:rPr>
          <w:rStyle w:val="Emphasis"/>
          <w:rFonts w:ascii="Arial" w:eastAsiaTheme="majorEastAsia" w:hAnsi="Arial" w:cs="Arial"/>
          <w:sz w:val="22"/>
          <w:szCs w:val="22"/>
        </w:rPr>
        <w:t>American Journal of Public Health</w:t>
      </w:r>
      <w:r w:rsidRPr="00057C9A">
        <w:rPr>
          <w:rFonts w:ascii="Arial" w:hAnsi="Arial" w:cs="Arial"/>
          <w:sz w:val="22"/>
          <w:szCs w:val="22"/>
        </w:rPr>
        <w:t>, 104(4), pp. 675–682.</w:t>
      </w:r>
    </w:p>
    <w:p w14:paraId="4407695A" w14:textId="5E086493"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Headspace Australia (2019) </w:t>
      </w:r>
      <w:r w:rsidRPr="00057C9A">
        <w:rPr>
          <w:rStyle w:val="Emphasis"/>
          <w:rFonts w:ascii="Arial" w:eastAsiaTheme="majorEastAsia" w:hAnsi="Arial" w:cs="Arial"/>
          <w:sz w:val="22"/>
          <w:szCs w:val="22"/>
        </w:rPr>
        <w:t>Early intervention youth mental health model</w:t>
      </w:r>
      <w:r w:rsidRPr="00057C9A">
        <w:rPr>
          <w:rFonts w:ascii="Arial" w:hAnsi="Arial" w:cs="Arial"/>
          <w:sz w:val="22"/>
          <w:szCs w:val="22"/>
        </w:rPr>
        <w:t xml:space="preserve">. Available at: </w:t>
      </w:r>
      <w:hyperlink r:id="rId20" w:tgtFrame="_new" w:history="1">
        <w:r w:rsidRPr="00057C9A">
          <w:rPr>
            <w:rStyle w:val="Hyperlink"/>
            <w:rFonts w:ascii="Arial" w:eastAsiaTheme="majorEastAsia" w:hAnsi="Arial" w:cs="Arial"/>
            <w:sz w:val="22"/>
            <w:szCs w:val="22"/>
          </w:rPr>
          <w:t>https://headspace.org.au/about-us</w:t>
        </w:r>
      </w:hyperlink>
      <w:r w:rsidRPr="00057C9A">
        <w:rPr>
          <w:rFonts w:ascii="Arial" w:hAnsi="Arial" w:cs="Arial"/>
          <w:sz w:val="22"/>
          <w:szCs w:val="22"/>
        </w:rPr>
        <w:t xml:space="preserve"> (Accessed: 1</w:t>
      </w:r>
      <w:r w:rsidR="00BC4C27">
        <w:rPr>
          <w:rFonts w:ascii="Arial" w:hAnsi="Arial" w:cs="Arial"/>
          <w:sz w:val="22"/>
          <w:szCs w:val="22"/>
        </w:rPr>
        <w:t>9</w:t>
      </w:r>
      <w:r w:rsidRPr="00057C9A">
        <w:rPr>
          <w:rFonts w:ascii="Arial" w:hAnsi="Arial" w:cs="Arial"/>
          <w:sz w:val="22"/>
          <w:szCs w:val="22"/>
        </w:rPr>
        <w:t xml:space="preserve"> January 2026).</w:t>
      </w:r>
    </w:p>
    <w:p w14:paraId="6B616833"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Jones, K. (2010) </w:t>
      </w:r>
      <w:r w:rsidRPr="00057C9A">
        <w:rPr>
          <w:rStyle w:val="Emphasis"/>
          <w:rFonts w:ascii="Arial" w:eastAsiaTheme="majorEastAsia" w:hAnsi="Arial" w:cs="Arial"/>
          <w:sz w:val="22"/>
          <w:szCs w:val="22"/>
        </w:rPr>
        <w:t>Asylums and After: A Revised History of the Mental Health Services</w:t>
      </w:r>
      <w:r w:rsidRPr="00057C9A">
        <w:rPr>
          <w:rFonts w:ascii="Arial" w:hAnsi="Arial" w:cs="Arial"/>
          <w:sz w:val="22"/>
          <w:szCs w:val="22"/>
        </w:rPr>
        <w:t>. London: Athlone Press.</w:t>
      </w:r>
    </w:p>
    <w:p w14:paraId="12E769CF"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Jovanović, N., </w:t>
      </w:r>
      <w:proofErr w:type="spellStart"/>
      <w:r w:rsidRPr="00057C9A">
        <w:rPr>
          <w:rFonts w:ascii="Arial" w:hAnsi="Arial" w:cs="Arial"/>
          <w:sz w:val="22"/>
          <w:szCs w:val="22"/>
        </w:rPr>
        <w:t>Killaspy</w:t>
      </w:r>
      <w:proofErr w:type="spellEnd"/>
      <w:r w:rsidRPr="00057C9A">
        <w:rPr>
          <w:rFonts w:ascii="Arial" w:hAnsi="Arial" w:cs="Arial"/>
          <w:sz w:val="22"/>
          <w:szCs w:val="22"/>
        </w:rPr>
        <w:t xml:space="preserve">, H. and Priebe, S. (2025) ‘Gender inequalities in schizophrenia diagnosis and care’, </w:t>
      </w:r>
      <w:r w:rsidRPr="00057C9A">
        <w:rPr>
          <w:rStyle w:val="Emphasis"/>
          <w:rFonts w:ascii="Arial" w:eastAsiaTheme="majorEastAsia" w:hAnsi="Arial" w:cs="Arial"/>
          <w:sz w:val="22"/>
          <w:szCs w:val="22"/>
        </w:rPr>
        <w:t>Social Psychiatry and Psychiatric Epidemiology</w:t>
      </w:r>
      <w:r w:rsidRPr="00057C9A">
        <w:rPr>
          <w:rFonts w:ascii="Arial" w:hAnsi="Arial" w:cs="Arial"/>
          <w:sz w:val="22"/>
          <w:szCs w:val="22"/>
        </w:rPr>
        <w:t>, 60(2), pp. 189–198.</w:t>
      </w:r>
    </w:p>
    <w:p w14:paraId="52D2F8A6"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Keating, F. (2023) </w:t>
      </w:r>
      <w:r w:rsidRPr="00057C9A">
        <w:rPr>
          <w:rStyle w:val="Emphasis"/>
          <w:rFonts w:ascii="Arial" w:eastAsiaTheme="majorEastAsia" w:hAnsi="Arial" w:cs="Arial"/>
          <w:sz w:val="22"/>
          <w:szCs w:val="22"/>
        </w:rPr>
        <w:t>Intersectionality and Mental Health Inequalities</w:t>
      </w:r>
      <w:r w:rsidRPr="00057C9A">
        <w:rPr>
          <w:rFonts w:ascii="Arial" w:hAnsi="Arial" w:cs="Arial"/>
          <w:sz w:val="22"/>
          <w:szCs w:val="22"/>
        </w:rPr>
        <w:t>. London: Jessica Kingsley Publishers.</w:t>
      </w:r>
    </w:p>
    <w:p w14:paraId="0299D8F7" w14:textId="200A46E9"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lastRenderedPageBreak/>
        <w:t xml:space="preserve">King’s Fund (2022) </w:t>
      </w:r>
      <w:r w:rsidRPr="00057C9A">
        <w:rPr>
          <w:rStyle w:val="Emphasis"/>
          <w:rFonts w:ascii="Arial" w:eastAsiaTheme="majorEastAsia" w:hAnsi="Arial" w:cs="Arial"/>
          <w:sz w:val="22"/>
          <w:szCs w:val="22"/>
        </w:rPr>
        <w:t>Integrated Care Systems explained</w:t>
      </w:r>
      <w:r w:rsidRPr="00057C9A">
        <w:rPr>
          <w:rFonts w:ascii="Arial" w:hAnsi="Arial" w:cs="Arial"/>
          <w:sz w:val="22"/>
          <w:szCs w:val="22"/>
        </w:rPr>
        <w:t xml:space="preserve">. Available at: </w:t>
      </w:r>
      <w:hyperlink r:id="rId21" w:tgtFrame="_new" w:history="1">
        <w:r w:rsidRPr="00057C9A">
          <w:rPr>
            <w:rStyle w:val="Hyperlink"/>
            <w:rFonts w:ascii="Arial" w:eastAsiaTheme="majorEastAsia" w:hAnsi="Arial" w:cs="Arial"/>
            <w:sz w:val="22"/>
            <w:szCs w:val="22"/>
          </w:rPr>
          <w:t>https://www.kingsfund.org.uk/insight-and-analysis/long-reads/integrated-care-systems-explained</w:t>
        </w:r>
      </w:hyperlink>
      <w:r w:rsidRPr="00057C9A">
        <w:rPr>
          <w:rFonts w:ascii="Arial" w:hAnsi="Arial" w:cs="Arial"/>
          <w:sz w:val="22"/>
          <w:szCs w:val="22"/>
        </w:rPr>
        <w:t xml:space="preserve"> (Accessed: 1</w:t>
      </w:r>
      <w:r w:rsidR="00BC4C27">
        <w:rPr>
          <w:rFonts w:ascii="Arial" w:hAnsi="Arial" w:cs="Arial"/>
          <w:sz w:val="22"/>
          <w:szCs w:val="22"/>
        </w:rPr>
        <w:t>1</w:t>
      </w:r>
      <w:r w:rsidRPr="00057C9A">
        <w:rPr>
          <w:rFonts w:ascii="Arial" w:hAnsi="Arial" w:cs="Arial"/>
          <w:sz w:val="22"/>
          <w:szCs w:val="22"/>
        </w:rPr>
        <w:t xml:space="preserve"> January 2026).</w:t>
      </w:r>
    </w:p>
    <w:p w14:paraId="63253B58"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Leamy, M., Bird, V., Le Boutillier, C., Williams, J. and Slade, M. (2011) ‘Conceptual framework for personal recovery in mental health’, </w:t>
      </w:r>
      <w:r w:rsidRPr="00057C9A">
        <w:rPr>
          <w:rStyle w:val="Emphasis"/>
          <w:rFonts w:ascii="Arial" w:eastAsiaTheme="majorEastAsia" w:hAnsi="Arial" w:cs="Arial"/>
          <w:sz w:val="22"/>
          <w:szCs w:val="22"/>
        </w:rPr>
        <w:t>British Journal of Psychiatry</w:t>
      </w:r>
      <w:r w:rsidRPr="00057C9A">
        <w:rPr>
          <w:rFonts w:ascii="Arial" w:hAnsi="Arial" w:cs="Arial"/>
          <w:sz w:val="22"/>
          <w:szCs w:val="22"/>
        </w:rPr>
        <w:t>, 199(6), pp. 445–452.</w:t>
      </w:r>
    </w:p>
    <w:p w14:paraId="266280FB"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Lester, H. and Glasby, J. (2022) </w:t>
      </w:r>
      <w:r w:rsidRPr="00057C9A">
        <w:rPr>
          <w:rStyle w:val="Emphasis"/>
          <w:rFonts w:ascii="Arial" w:eastAsiaTheme="majorEastAsia" w:hAnsi="Arial" w:cs="Arial"/>
          <w:sz w:val="22"/>
          <w:szCs w:val="22"/>
        </w:rPr>
        <w:t>Mental Health Policy and Practice</w:t>
      </w:r>
      <w:r w:rsidRPr="00057C9A">
        <w:rPr>
          <w:rFonts w:ascii="Arial" w:hAnsi="Arial" w:cs="Arial"/>
          <w:sz w:val="22"/>
          <w:szCs w:val="22"/>
        </w:rPr>
        <w:t xml:space="preserve">. 3rd </w:t>
      </w:r>
      <w:proofErr w:type="spellStart"/>
      <w:r w:rsidRPr="00057C9A">
        <w:rPr>
          <w:rFonts w:ascii="Arial" w:hAnsi="Arial" w:cs="Arial"/>
          <w:sz w:val="22"/>
          <w:szCs w:val="22"/>
        </w:rPr>
        <w:t>edn</w:t>
      </w:r>
      <w:proofErr w:type="spellEnd"/>
      <w:r w:rsidRPr="00057C9A">
        <w:rPr>
          <w:rFonts w:ascii="Arial" w:hAnsi="Arial" w:cs="Arial"/>
          <w:sz w:val="22"/>
          <w:szCs w:val="22"/>
        </w:rPr>
        <w:t>. London: Palgrave.</w:t>
      </w:r>
    </w:p>
    <w:p w14:paraId="2BFAD7C7"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Leucht, S., Helfer, B. and Davis, J. (2019) ‘Antipsychotic drugs versus placebo for relapse prevention’, </w:t>
      </w:r>
      <w:r w:rsidRPr="00057C9A">
        <w:rPr>
          <w:rStyle w:val="Emphasis"/>
          <w:rFonts w:ascii="Arial" w:eastAsiaTheme="majorEastAsia" w:hAnsi="Arial" w:cs="Arial"/>
          <w:sz w:val="22"/>
          <w:szCs w:val="22"/>
        </w:rPr>
        <w:t>The Lancet Psychiatry</w:t>
      </w:r>
      <w:r w:rsidRPr="00057C9A">
        <w:rPr>
          <w:rFonts w:ascii="Arial" w:hAnsi="Arial" w:cs="Arial"/>
          <w:sz w:val="22"/>
          <w:szCs w:val="22"/>
        </w:rPr>
        <w:t>, 6(5), pp. 418–428.</w:t>
      </w:r>
    </w:p>
    <w:p w14:paraId="5134C8C8"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McDaid, D., Park, A. and </w:t>
      </w:r>
      <w:proofErr w:type="spellStart"/>
      <w:r w:rsidRPr="00057C9A">
        <w:rPr>
          <w:rFonts w:ascii="Arial" w:hAnsi="Arial" w:cs="Arial"/>
          <w:sz w:val="22"/>
          <w:szCs w:val="22"/>
        </w:rPr>
        <w:t>Wahlbeck</w:t>
      </w:r>
      <w:proofErr w:type="spellEnd"/>
      <w:r w:rsidRPr="00057C9A">
        <w:rPr>
          <w:rFonts w:ascii="Arial" w:hAnsi="Arial" w:cs="Arial"/>
          <w:sz w:val="22"/>
          <w:szCs w:val="22"/>
        </w:rPr>
        <w:t xml:space="preserve">, K. (2023) ‘Digital mental health and inequality post-COVID’, </w:t>
      </w:r>
      <w:r w:rsidRPr="00057C9A">
        <w:rPr>
          <w:rStyle w:val="Emphasis"/>
          <w:rFonts w:ascii="Arial" w:eastAsiaTheme="majorEastAsia" w:hAnsi="Arial" w:cs="Arial"/>
          <w:sz w:val="22"/>
          <w:szCs w:val="22"/>
        </w:rPr>
        <w:t>Health Policy</w:t>
      </w:r>
      <w:r w:rsidRPr="00057C9A">
        <w:rPr>
          <w:rFonts w:ascii="Arial" w:hAnsi="Arial" w:cs="Arial"/>
          <w:sz w:val="22"/>
          <w:szCs w:val="22"/>
        </w:rPr>
        <w:t>, 127(4), pp. 402–410.</w:t>
      </w:r>
    </w:p>
    <w:p w14:paraId="7107722D"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McGorry, P., Edwards, J. and Mihalopoulos, C. (2002) ‘Early intervention services and long-term outcomes’, </w:t>
      </w:r>
      <w:r w:rsidRPr="00057C9A">
        <w:rPr>
          <w:rStyle w:val="Emphasis"/>
          <w:rFonts w:ascii="Arial" w:eastAsiaTheme="majorEastAsia" w:hAnsi="Arial" w:cs="Arial"/>
          <w:sz w:val="22"/>
          <w:szCs w:val="22"/>
        </w:rPr>
        <w:t>Schizophrenia Bulletin</w:t>
      </w:r>
      <w:r w:rsidRPr="00057C9A">
        <w:rPr>
          <w:rFonts w:ascii="Arial" w:hAnsi="Arial" w:cs="Arial"/>
          <w:sz w:val="22"/>
          <w:szCs w:val="22"/>
        </w:rPr>
        <w:t>, 28(4), pp. 563–575.</w:t>
      </w:r>
    </w:p>
    <w:p w14:paraId="45B41A2A"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Mental Health Foundation (2020) </w:t>
      </w:r>
      <w:r w:rsidRPr="00057C9A">
        <w:rPr>
          <w:rStyle w:val="Emphasis"/>
          <w:rFonts w:ascii="Arial" w:eastAsiaTheme="majorEastAsia" w:hAnsi="Arial" w:cs="Arial"/>
          <w:sz w:val="22"/>
          <w:szCs w:val="22"/>
        </w:rPr>
        <w:t>The impact of austerity on mental health services</w:t>
      </w:r>
      <w:r w:rsidRPr="00057C9A">
        <w:rPr>
          <w:rFonts w:ascii="Arial" w:hAnsi="Arial" w:cs="Arial"/>
          <w:sz w:val="22"/>
          <w:szCs w:val="22"/>
        </w:rPr>
        <w:t xml:space="preserve">. Available at: </w:t>
      </w:r>
      <w:hyperlink r:id="rId22" w:tgtFrame="_new" w:history="1">
        <w:r w:rsidRPr="00057C9A">
          <w:rPr>
            <w:rStyle w:val="Hyperlink"/>
            <w:rFonts w:ascii="Arial" w:eastAsiaTheme="majorEastAsia" w:hAnsi="Arial" w:cs="Arial"/>
            <w:sz w:val="22"/>
            <w:szCs w:val="22"/>
          </w:rPr>
          <w:t>https://www.mentalhealth.org.uk/publications/austerity-and-mental-health</w:t>
        </w:r>
      </w:hyperlink>
      <w:r w:rsidRPr="00057C9A">
        <w:rPr>
          <w:rFonts w:ascii="Arial" w:hAnsi="Arial" w:cs="Arial"/>
          <w:sz w:val="22"/>
          <w:szCs w:val="22"/>
        </w:rPr>
        <w:t xml:space="preserve"> (Accessed: 12 January 2026).</w:t>
      </w:r>
    </w:p>
    <w:p w14:paraId="295C93CD"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Moncrieff, J. and </w:t>
      </w:r>
      <w:proofErr w:type="spellStart"/>
      <w:r w:rsidRPr="00057C9A">
        <w:rPr>
          <w:rFonts w:ascii="Arial" w:hAnsi="Arial" w:cs="Arial"/>
          <w:sz w:val="22"/>
          <w:szCs w:val="22"/>
        </w:rPr>
        <w:t>Timimi</w:t>
      </w:r>
      <w:proofErr w:type="spellEnd"/>
      <w:r w:rsidRPr="00057C9A">
        <w:rPr>
          <w:rFonts w:ascii="Arial" w:hAnsi="Arial" w:cs="Arial"/>
          <w:sz w:val="22"/>
          <w:szCs w:val="22"/>
        </w:rPr>
        <w:t xml:space="preserve">, S. (2020) </w:t>
      </w:r>
      <w:r w:rsidRPr="00057C9A">
        <w:rPr>
          <w:rStyle w:val="Emphasis"/>
          <w:rFonts w:ascii="Arial" w:eastAsiaTheme="majorEastAsia" w:hAnsi="Arial" w:cs="Arial"/>
          <w:sz w:val="22"/>
          <w:szCs w:val="22"/>
        </w:rPr>
        <w:t>Critical Psychiatry: Challenging the Biomedical Model</w:t>
      </w:r>
      <w:r w:rsidRPr="00057C9A">
        <w:rPr>
          <w:rFonts w:ascii="Arial" w:hAnsi="Arial" w:cs="Arial"/>
          <w:sz w:val="22"/>
          <w:szCs w:val="22"/>
        </w:rPr>
        <w:t>. London: Palgrave Macmillan.</w:t>
      </w:r>
    </w:p>
    <w:p w14:paraId="5F9EF171"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Nazroo</w:t>
      </w:r>
      <w:proofErr w:type="spellEnd"/>
      <w:r w:rsidRPr="00057C9A">
        <w:rPr>
          <w:rFonts w:ascii="Arial" w:hAnsi="Arial" w:cs="Arial"/>
          <w:sz w:val="22"/>
          <w:szCs w:val="22"/>
        </w:rPr>
        <w:t xml:space="preserve">, J., </w:t>
      </w:r>
      <w:proofErr w:type="spellStart"/>
      <w:r w:rsidRPr="00057C9A">
        <w:rPr>
          <w:rFonts w:ascii="Arial" w:hAnsi="Arial" w:cs="Arial"/>
          <w:sz w:val="22"/>
          <w:szCs w:val="22"/>
        </w:rPr>
        <w:t>Bhui</w:t>
      </w:r>
      <w:proofErr w:type="spellEnd"/>
      <w:r w:rsidRPr="00057C9A">
        <w:rPr>
          <w:rFonts w:ascii="Arial" w:hAnsi="Arial" w:cs="Arial"/>
          <w:sz w:val="22"/>
          <w:szCs w:val="22"/>
        </w:rPr>
        <w:t xml:space="preserve">, K. and Rhodes, J. (2019) ‘Structural racism and mental health inequalities’, </w:t>
      </w:r>
      <w:r w:rsidRPr="00057C9A">
        <w:rPr>
          <w:rStyle w:val="Emphasis"/>
          <w:rFonts w:ascii="Arial" w:eastAsiaTheme="majorEastAsia" w:hAnsi="Arial" w:cs="Arial"/>
          <w:sz w:val="22"/>
          <w:szCs w:val="22"/>
        </w:rPr>
        <w:t>Ethnicity &amp; Health</w:t>
      </w:r>
      <w:r w:rsidRPr="00057C9A">
        <w:rPr>
          <w:rFonts w:ascii="Arial" w:hAnsi="Arial" w:cs="Arial"/>
          <w:sz w:val="22"/>
          <w:szCs w:val="22"/>
        </w:rPr>
        <w:t>, 24(1), pp. 1–19.</w:t>
      </w:r>
    </w:p>
    <w:p w14:paraId="6FA17150"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NHS Confederation (2023) </w:t>
      </w:r>
      <w:r w:rsidRPr="00057C9A">
        <w:rPr>
          <w:rStyle w:val="Emphasis"/>
          <w:rFonts w:ascii="Arial" w:eastAsiaTheme="majorEastAsia" w:hAnsi="Arial" w:cs="Arial"/>
          <w:sz w:val="22"/>
          <w:szCs w:val="22"/>
        </w:rPr>
        <w:t>Assessing the impact of Integrated Care Systems</w:t>
      </w:r>
      <w:r w:rsidRPr="00057C9A">
        <w:rPr>
          <w:rFonts w:ascii="Arial" w:hAnsi="Arial" w:cs="Arial"/>
          <w:sz w:val="22"/>
          <w:szCs w:val="22"/>
        </w:rPr>
        <w:t xml:space="preserve">. Available at: </w:t>
      </w:r>
      <w:hyperlink r:id="rId23" w:tgtFrame="_new" w:history="1">
        <w:r w:rsidRPr="00057C9A">
          <w:rPr>
            <w:rStyle w:val="Hyperlink"/>
            <w:rFonts w:ascii="Arial" w:eastAsiaTheme="majorEastAsia" w:hAnsi="Arial" w:cs="Arial"/>
            <w:sz w:val="22"/>
            <w:szCs w:val="22"/>
          </w:rPr>
          <w:t>https://www.nhsconfed.org/publications/impact-integrated-care-systems</w:t>
        </w:r>
      </w:hyperlink>
      <w:r w:rsidRPr="00057C9A">
        <w:rPr>
          <w:rFonts w:ascii="Arial" w:hAnsi="Arial" w:cs="Arial"/>
          <w:sz w:val="22"/>
          <w:szCs w:val="22"/>
        </w:rPr>
        <w:t xml:space="preserve"> (Accessed: 12 January 2026).</w:t>
      </w:r>
    </w:p>
    <w:p w14:paraId="1F84EE2B" w14:textId="07231552"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NHS England (2019) </w:t>
      </w:r>
      <w:r w:rsidRPr="00057C9A">
        <w:rPr>
          <w:rStyle w:val="Emphasis"/>
          <w:rFonts w:ascii="Arial" w:eastAsiaTheme="majorEastAsia" w:hAnsi="Arial" w:cs="Arial"/>
          <w:sz w:val="22"/>
          <w:szCs w:val="22"/>
        </w:rPr>
        <w:t>The NHS Long Term Plan</w:t>
      </w:r>
      <w:r w:rsidRPr="00057C9A">
        <w:rPr>
          <w:rFonts w:ascii="Arial" w:hAnsi="Arial" w:cs="Arial"/>
          <w:sz w:val="22"/>
          <w:szCs w:val="22"/>
        </w:rPr>
        <w:t xml:space="preserve">. Available at: </w:t>
      </w:r>
      <w:hyperlink r:id="rId24" w:tgtFrame="_new" w:history="1">
        <w:r w:rsidRPr="00057C9A">
          <w:rPr>
            <w:rStyle w:val="Hyperlink"/>
            <w:rFonts w:ascii="Arial" w:eastAsiaTheme="majorEastAsia" w:hAnsi="Arial" w:cs="Arial"/>
            <w:sz w:val="22"/>
            <w:szCs w:val="22"/>
          </w:rPr>
          <w:t>https://www.longtermplan.nhs.uk</w:t>
        </w:r>
      </w:hyperlink>
      <w:r w:rsidRPr="00057C9A">
        <w:rPr>
          <w:rFonts w:ascii="Arial" w:hAnsi="Arial" w:cs="Arial"/>
          <w:sz w:val="22"/>
          <w:szCs w:val="22"/>
        </w:rPr>
        <w:t xml:space="preserve"> (Accessed: 1</w:t>
      </w:r>
      <w:r w:rsidR="00BC4C27">
        <w:rPr>
          <w:rFonts w:ascii="Arial" w:hAnsi="Arial" w:cs="Arial"/>
          <w:sz w:val="22"/>
          <w:szCs w:val="22"/>
        </w:rPr>
        <w:t>9</w:t>
      </w:r>
      <w:r w:rsidRPr="00057C9A">
        <w:rPr>
          <w:rFonts w:ascii="Arial" w:hAnsi="Arial" w:cs="Arial"/>
          <w:sz w:val="22"/>
          <w:szCs w:val="22"/>
        </w:rPr>
        <w:t xml:space="preserve"> January 2026).</w:t>
      </w:r>
    </w:p>
    <w:p w14:paraId="49B1B4DF" w14:textId="73FCCB4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NHS England (2022) </w:t>
      </w:r>
      <w:r w:rsidRPr="00057C9A">
        <w:rPr>
          <w:rStyle w:val="Emphasis"/>
          <w:rFonts w:ascii="Arial" w:eastAsiaTheme="majorEastAsia" w:hAnsi="Arial" w:cs="Arial"/>
          <w:sz w:val="22"/>
          <w:szCs w:val="22"/>
        </w:rPr>
        <w:t>Mental health services: Access and waiting times</w:t>
      </w:r>
      <w:r w:rsidRPr="00057C9A">
        <w:rPr>
          <w:rFonts w:ascii="Arial" w:hAnsi="Arial" w:cs="Arial"/>
          <w:sz w:val="22"/>
          <w:szCs w:val="22"/>
        </w:rPr>
        <w:t xml:space="preserve">. Available at: </w:t>
      </w:r>
      <w:hyperlink r:id="rId25" w:tgtFrame="_new" w:history="1">
        <w:r w:rsidRPr="00057C9A">
          <w:rPr>
            <w:rStyle w:val="Hyperlink"/>
            <w:rFonts w:ascii="Arial" w:eastAsiaTheme="majorEastAsia" w:hAnsi="Arial" w:cs="Arial"/>
            <w:sz w:val="22"/>
            <w:szCs w:val="22"/>
          </w:rPr>
          <w:t>https://www.england.nhs.uk/statistics/statistical-work-areas/mental-health-services</w:t>
        </w:r>
      </w:hyperlink>
      <w:r w:rsidRPr="00057C9A">
        <w:rPr>
          <w:rFonts w:ascii="Arial" w:hAnsi="Arial" w:cs="Arial"/>
          <w:sz w:val="22"/>
          <w:szCs w:val="22"/>
        </w:rPr>
        <w:t xml:space="preserve"> (Accessed: 1</w:t>
      </w:r>
      <w:r w:rsidR="00BC4C27">
        <w:rPr>
          <w:rFonts w:ascii="Arial" w:hAnsi="Arial" w:cs="Arial"/>
          <w:sz w:val="22"/>
          <w:szCs w:val="22"/>
        </w:rPr>
        <w:t xml:space="preserve">3 </w:t>
      </w:r>
      <w:r w:rsidRPr="00057C9A">
        <w:rPr>
          <w:rFonts w:ascii="Arial" w:hAnsi="Arial" w:cs="Arial"/>
          <w:sz w:val="22"/>
          <w:szCs w:val="22"/>
        </w:rPr>
        <w:t>January 2026).</w:t>
      </w:r>
    </w:p>
    <w:p w14:paraId="4174B344" w14:textId="19B24C4A"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lastRenderedPageBreak/>
        <w:t xml:space="preserve">NHS England (2023) </w:t>
      </w:r>
      <w:r w:rsidRPr="00057C9A">
        <w:rPr>
          <w:rStyle w:val="Emphasis"/>
          <w:rFonts w:ascii="Arial" w:eastAsiaTheme="majorEastAsia" w:hAnsi="Arial" w:cs="Arial"/>
          <w:sz w:val="22"/>
          <w:szCs w:val="22"/>
        </w:rPr>
        <w:t>Integrated Care Systems: Design framework</w:t>
      </w:r>
      <w:r w:rsidRPr="00057C9A">
        <w:rPr>
          <w:rFonts w:ascii="Arial" w:hAnsi="Arial" w:cs="Arial"/>
          <w:sz w:val="22"/>
          <w:szCs w:val="22"/>
        </w:rPr>
        <w:t xml:space="preserve">. Available at: </w:t>
      </w:r>
      <w:hyperlink r:id="rId26" w:tgtFrame="_new" w:history="1">
        <w:r w:rsidRPr="00057C9A">
          <w:rPr>
            <w:rStyle w:val="Hyperlink"/>
            <w:rFonts w:ascii="Arial" w:eastAsiaTheme="majorEastAsia" w:hAnsi="Arial" w:cs="Arial"/>
            <w:sz w:val="22"/>
            <w:szCs w:val="22"/>
          </w:rPr>
          <w:t>https://www.england.nhs.uk/integratedcare/ics-design-framework</w:t>
        </w:r>
      </w:hyperlink>
      <w:r w:rsidRPr="00057C9A">
        <w:rPr>
          <w:rFonts w:ascii="Arial" w:hAnsi="Arial" w:cs="Arial"/>
          <w:sz w:val="22"/>
          <w:szCs w:val="22"/>
        </w:rPr>
        <w:t xml:space="preserve"> (Accessed: 1</w:t>
      </w:r>
      <w:r w:rsidR="00BC4C27">
        <w:rPr>
          <w:rFonts w:ascii="Arial" w:hAnsi="Arial" w:cs="Arial"/>
          <w:sz w:val="22"/>
          <w:szCs w:val="22"/>
        </w:rPr>
        <w:t>1</w:t>
      </w:r>
      <w:r w:rsidRPr="00057C9A">
        <w:rPr>
          <w:rFonts w:ascii="Arial" w:hAnsi="Arial" w:cs="Arial"/>
          <w:sz w:val="22"/>
          <w:szCs w:val="22"/>
        </w:rPr>
        <w:t xml:space="preserve"> January 2026).</w:t>
      </w:r>
    </w:p>
    <w:p w14:paraId="350E12E4"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NICE (2020) </w:t>
      </w:r>
      <w:r w:rsidRPr="00057C9A">
        <w:rPr>
          <w:rStyle w:val="Emphasis"/>
          <w:rFonts w:ascii="Arial" w:eastAsiaTheme="majorEastAsia" w:hAnsi="Arial" w:cs="Arial"/>
          <w:sz w:val="22"/>
          <w:szCs w:val="22"/>
        </w:rPr>
        <w:t>Psychosis and schizophrenia in adults (NG222)</w:t>
      </w:r>
      <w:r w:rsidRPr="00057C9A">
        <w:rPr>
          <w:rFonts w:ascii="Arial" w:hAnsi="Arial" w:cs="Arial"/>
          <w:sz w:val="22"/>
          <w:szCs w:val="22"/>
        </w:rPr>
        <w:t xml:space="preserve">. Available at: </w:t>
      </w:r>
      <w:hyperlink r:id="rId27" w:tgtFrame="_new" w:history="1">
        <w:r w:rsidRPr="00057C9A">
          <w:rPr>
            <w:rStyle w:val="Hyperlink"/>
            <w:rFonts w:ascii="Arial" w:eastAsiaTheme="majorEastAsia" w:hAnsi="Arial" w:cs="Arial"/>
            <w:sz w:val="22"/>
            <w:szCs w:val="22"/>
          </w:rPr>
          <w:t>https://www.nice.org.uk/guidance/ng222</w:t>
        </w:r>
      </w:hyperlink>
      <w:r w:rsidRPr="00057C9A">
        <w:rPr>
          <w:rFonts w:ascii="Arial" w:hAnsi="Arial" w:cs="Arial"/>
          <w:sz w:val="22"/>
          <w:szCs w:val="22"/>
        </w:rPr>
        <w:t xml:space="preserve"> (Accessed: 12 January 2026).</w:t>
      </w:r>
    </w:p>
    <w:p w14:paraId="77F790D6" w14:textId="48D47688"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NICE (2021) </w:t>
      </w:r>
      <w:r w:rsidRPr="00057C9A">
        <w:rPr>
          <w:rStyle w:val="Emphasis"/>
          <w:rFonts w:ascii="Arial" w:eastAsiaTheme="majorEastAsia" w:hAnsi="Arial" w:cs="Arial"/>
          <w:sz w:val="22"/>
          <w:szCs w:val="22"/>
        </w:rPr>
        <w:t>Shared decision making (NG197)</w:t>
      </w:r>
      <w:r w:rsidRPr="00057C9A">
        <w:rPr>
          <w:rFonts w:ascii="Arial" w:hAnsi="Arial" w:cs="Arial"/>
          <w:sz w:val="22"/>
          <w:szCs w:val="22"/>
        </w:rPr>
        <w:t xml:space="preserve">. Available at: </w:t>
      </w:r>
      <w:hyperlink r:id="rId28" w:tgtFrame="_new" w:history="1">
        <w:r w:rsidRPr="00057C9A">
          <w:rPr>
            <w:rStyle w:val="Hyperlink"/>
            <w:rFonts w:ascii="Arial" w:eastAsiaTheme="majorEastAsia" w:hAnsi="Arial" w:cs="Arial"/>
            <w:sz w:val="22"/>
            <w:szCs w:val="22"/>
          </w:rPr>
          <w:t>https://www.nice.org.uk/guidance/ng197</w:t>
        </w:r>
      </w:hyperlink>
      <w:r w:rsidRPr="00057C9A">
        <w:rPr>
          <w:rFonts w:ascii="Arial" w:hAnsi="Arial" w:cs="Arial"/>
          <w:sz w:val="22"/>
          <w:szCs w:val="22"/>
        </w:rPr>
        <w:t xml:space="preserve"> (Accessed: </w:t>
      </w:r>
      <w:r w:rsidR="00BC4C27">
        <w:rPr>
          <w:rFonts w:ascii="Arial" w:hAnsi="Arial" w:cs="Arial"/>
          <w:sz w:val="22"/>
          <w:szCs w:val="22"/>
        </w:rPr>
        <w:t>8</w:t>
      </w:r>
      <w:r w:rsidRPr="00057C9A">
        <w:rPr>
          <w:rFonts w:ascii="Arial" w:hAnsi="Arial" w:cs="Arial"/>
          <w:sz w:val="22"/>
          <w:szCs w:val="22"/>
        </w:rPr>
        <w:t xml:space="preserve"> January 2026).</w:t>
      </w:r>
    </w:p>
    <w:p w14:paraId="6F7C640A" w14:textId="09CF0ED4"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OECD (2022) </w:t>
      </w:r>
      <w:r w:rsidRPr="00057C9A">
        <w:rPr>
          <w:rStyle w:val="Emphasis"/>
          <w:rFonts w:ascii="Arial" w:eastAsiaTheme="majorEastAsia" w:hAnsi="Arial" w:cs="Arial"/>
          <w:sz w:val="22"/>
          <w:szCs w:val="22"/>
        </w:rPr>
        <w:t>Mental health and work: United Kingdom</w:t>
      </w:r>
      <w:r w:rsidRPr="00057C9A">
        <w:rPr>
          <w:rFonts w:ascii="Arial" w:hAnsi="Arial" w:cs="Arial"/>
          <w:sz w:val="22"/>
          <w:szCs w:val="22"/>
        </w:rPr>
        <w:t xml:space="preserve">. Available at: </w:t>
      </w:r>
      <w:hyperlink r:id="rId29" w:tgtFrame="_new" w:history="1">
        <w:r w:rsidRPr="00057C9A">
          <w:rPr>
            <w:rStyle w:val="Hyperlink"/>
            <w:rFonts w:ascii="Arial" w:eastAsiaTheme="majorEastAsia" w:hAnsi="Arial" w:cs="Arial"/>
            <w:sz w:val="22"/>
            <w:szCs w:val="22"/>
          </w:rPr>
          <w:t>https://www.oecd.org/health/mental-health-and-work-united-kingdom</w:t>
        </w:r>
      </w:hyperlink>
      <w:r w:rsidRPr="00057C9A">
        <w:rPr>
          <w:rFonts w:ascii="Arial" w:hAnsi="Arial" w:cs="Arial"/>
          <w:sz w:val="22"/>
          <w:szCs w:val="22"/>
        </w:rPr>
        <w:t xml:space="preserve"> (Accessed: </w:t>
      </w:r>
      <w:r w:rsidR="00BC4C27">
        <w:rPr>
          <w:rFonts w:ascii="Arial" w:hAnsi="Arial" w:cs="Arial"/>
          <w:sz w:val="22"/>
          <w:szCs w:val="22"/>
        </w:rPr>
        <w:t>9</w:t>
      </w:r>
      <w:r w:rsidRPr="00057C9A">
        <w:rPr>
          <w:rFonts w:ascii="Arial" w:hAnsi="Arial" w:cs="Arial"/>
          <w:sz w:val="22"/>
          <w:szCs w:val="22"/>
        </w:rPr>
        <w:t xml:space="preserve"> January 2026).</w:t>
      </w:r>
    </w:p>
    <w:p w14:paraId="1216CF0B"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Pagdon</w:t>
      </w:r>
      <w:proofErr w:type="spellEnd"/>
      <w:r w:rsidRPr="00057C9A">
        <w:rPr>
          <w:rFonts w:ascii="Arial" w:hAnsi="Arial" w:cs="Arial"/>
          <w:sz w:val="22"/>
          <w:szCs w:val="22"/>
        </w:rPr>
        <w:t xml:space="preserve">, A. (2024) ‘Peer support and burnout in NHS psychosis services’, </w:t>
      </w:r>
      <w:r w:rsidRPr="00057C9A">
        <w:rPr>
          <w:rStyle w:val="Emphasis"/>
          <w:rFonts w:ascii="Arial" w:eastAsiaTheme="majorEastAsia" w:hAnsi="Arial" w:cs="Arial"/>
          <w:sz w:val="22"/>
          <w:szCs w:val="22"/>
        </w:rPr>
        <w:t>Journal of Mental Health Practice</w:t>
      </w:r>
      <w:r w:rsidRPr="00057C9A">
        <w:rPr>
          <w:rFonts w:ascii="Arial" w:hAnsi="Arial" w:cs="Arial"/>
          <w:sz w:val="22"/>
          <w:szCs w:val="22"/>
        </w:rPr>
        <w:t>, 18(3), pp. 201–213.</w:t>
      </w:r>
    </w:p>
    <w:p w14:paraId="101192C5"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Pagdon</w:t>
      </w:r>
      <w:proofErr w:type="spellEnd"/>
      <w:r w:rsidRPr="00057C9A">
        <w:rPr>
          <w:rFonts w:ascii="Arial" w:hAnsi="Arial" w:cs="Arial"/>
          <w:sz w:val="22"/>
          <w:szCs w:val="22"/>
        </w:rPr>
        <w:t xml:space="preserve">, A. (2025) ‘Service-user perspectives on recovery in schizophrenia’, </w:t>
      </w:r>
      <w:r w:rsidRPr="00057C9A">
        <w:rPr>
          <w:rStyle w:val="Emphasis"/>
          <w:rFonts w:ascii="Arial" w:eastAsiaTheme="majorEastAsia" w:hAnsi="Arial" w:cs="Arial"/>
          <w:sz w:val="22"/>
          <w:szCs w:val="22"/>
        </w:rPr>
        <w:t>Mental Health Review Journal</w:t>
      </w:r>
      <w:r w:rsidRPr="00057C9A">
        <w:rPr>
          <w:rFonts w:ascii="Arial" w:hAnsi="Arial" w:cs="Arial"/>
          <w:sz w:val="22"/>
          <w:szCs w:val="22"/>
        </w:rPr>
        <w:t>, 30(1), pp. 55–67.</w:t>
      </w:r>
    </w:p>
    <w:p w14:paraId="0D3844C5" w14:textId="16F989B5"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Parachute Project (2023) </w:t>
      </w:r>
      <w:r w:rsidRPr="00057C9A">
        <w:rPr>
          <w:rStyle w:val="Emphasis"/>
          <w:rFonts w:ascii="Arial" w:eastAsiaTheme="majorEastAsia" w:hAnsi="Arial" w:cs="Arial"/>
          <w:sz w:val="22"/>
          <w:szCs w:val="22"/>
        </w:rPr>
        <w:t>Open Dialogue in the UK: Evaluation report</w:t>
      </w:r>
      <w:r w:rsidRPr="00057C9A">
        <w:rPr>
          <w:rFonts w:ascii="Arial" w:hAnsi="Arial" w:cs="Arial"/>
          <w:sz w:val="22"/>
          <w:szCs w:val="22"/>
        </w:rPr>
        <w:t xml:space="preserve">. Available at: </w:t>
      </w:r>
      <w:hyperlink r:id="rId30" w:tgtFrame="_new" w:history="1">
        <w:r w:rsidRPr="00057C9A">
          <w:rPr>
            <w:rStyle w:val="Hyperlink"/>
            <w:rFonts w:ascii="Arial" w:eastAsiaTheme="majorEastAsia" w:hAnsi="Arial" w:cs="Arial"/>
            <w:sz w:val="22"/>
            <w:szCs w:val="22"/>
          </w:rPr>
          <w:t>https://www.england.nhs.uk/mental-health/adults/open-dialogue</w:t>
        </w:r>
      </w:hyperlink>
      <w:r w:rsidRPr="00057C9A">
        <w:rPr>
          <w:rFonts w:ascii="Arial" w:hAnsi="Arial" w:cs="Arial"/>
          <w:sz w:val="22"/>
          <w:szCs w:val="22"/>
        </w:rPr>
        <w:t xml:space="preserve"> (Accessed: 1</w:t>
      </w:r>
      <w:r w:rsidR="00BC4C27">
        <w:rPr>
          <w:rFonts w:ascii="Arial" w:hAnsi="Arial" w:cs="Arial"/>
          <w:sz w:val="22"/>
          <w:szCs w:val="22"/>
        </w:rPr>
        <w:t>4</w:t>
      </w:r>
      <w:r w:rsidRPr="00057C9A">
        <w:rPr>
          <w:rFonts w:ascii="Arial" w:hAnsi="Arial" w:cs="Arial"/>
          <w:sz w:val="22"/>
          <w:szCs w:val="22"/>
        </w:rPr>
        <w:t xml:space="preserve"> January 2026).</w:t>
      </w:r>
    </w:p>
    <w:p w14:paraId="42B2EBB2"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Phillips, J., Conneely, M. and Hartley, R. (2025) ‘</w:t>
      </w:r>
      <w:proofErr w:type="gramStart"/>
      <w:r w:rsidRPr="00057C9A">
        <w:rPr>
          <w:rFonts w:ascii="Arial" w:hAnsi="Arial" w:cs="Arial"/>
          <w:sz w:val="22"/>
          <w:szCs w:val="22"/>
        </w:rPr>
        <w:t>Post-COVID</w:t>
      </w:r>
      <w:proofErr w:type="gramEnd"/>
      <w:r w:rsidRPr="00057C9A">
        <w:rPr>
          <w:rFonts w:ascii="Arial" w:hAnsi="Arial" w:cs="Arial"/>
          <w:sz w:val="22"/>
          <w:szCs w:val="22"/>
        </w:rPr>
        <w:t xml:space="preserve"> pressures on mental health services’, </w:t>
      </w:r>
      <w:r w:rsidRPr="00057C9A">
        <w:rPr>
          <w:rStyle w:val="Emphasis"/>
          <w:rFonts w:ascii="Arial" w:eastAsiaTheme="majorEastAsia" w:hAnsi="Arial" w:cs="Arial"/>
          <w:sz w:val="22"/>
          <w:szCs w:val="22"/>
        </w:rPr>
        <w:t>Health Policy Review</w:t>
      </w:r>
      <w:r w:rsidRPr="00057C9A">
        <w:rPr>
          <w:rFonts w:ascii="Arial" w:hAnsi="Arial" w:cs="Arial"/>
          <w:sz w:val="22"/>
          <w:szCs w:val="22"/>
        </w:rPr>
        <w:t>, 19(2), pp. 88–102.</w:t>
      </w:r>
    </w:p>
    <w:p w14:paraId="6508D2FE"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Pleace</w:t>
      </w:r>
      <w:proofErr w:type="spellEnd"/>
      <w:r w:rsidRPr="00057C9A">
        <w:rPr>
          <w:rFonts w:ascii="Arial" w:hAnsi="Arial" w:cs="Arial"/>
          <w:sz w:val="22"/>
          <w:szCs w:val="22"/>
        </w:rPr>
        <w:t xml:space="preserve">, N., Baptista, I. and Knutagård, M. (2021) </w:t>
      </w:r>
      <w:r w:rsidRPr="00057C9A">
        <w:rPr>
          <w:rStyle w:val="Emphasis"/>
          <w:rFonts w:ascii="Arial" w:eastAsiaTheme="majorEastAsia" w:hAnsi="Arial" w:cs="Arial"/>
          <w:sz w:val="22"/>
          <w:szCs w:val="22"/>
        </w:rPr>
        <w:t>Housing First in Europe and the UK</w:t>
      </w:r>
      <w:r w:rsidRPr="00057C9A">
        <w:rPr>
          <w:rFonts w:ascii="Arial" w:hAnsi="Arial" w:cs="Arial"/>
          <w:sz w:val="22"/>
          <w:szCs w:val="22"/>
        </w:rPr>
        <w:t>. York: University of York.</w:t>
      </w:r>
    </w:p>
    <w:p w14:paraId="1E93577B"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Proctor, L. (2024) </w:t>
      </w:r>
      <w:r w:rsidRPr="00057C9A">
        <w:rPr>
          <w:rStyle w:val="Emphasis"/>
          <w:rFonts w:ascii="Arial" w:eastAsiaTheme="majorEastAsia" w:hAnsi="Arial" w:cs="Arial"/>
          <w:sz w:val="22"/>
          <w:szCs w:val="22"/>
        </w:rPr>
        <w:t>Digital innovation in Greater Manchester mental health services</w:t>
      </w:r>
      <w:r w:rsidRPr="00057C9A">
        <w:rPr>
          <w:rFonts w:ascii="Arial" w:hAnsi="Arial" w:cs="Arial"/>
          <w:sz w:val="22"/>
          <w:szCs w:val="22"/>
        </w:rPr>
        <w:t>. Manchester: GM Health Partnership.</w:t>
      </w:r>
    </w:p>
    <w:p w14:paraId="158FD12B"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Ratcliffe, J. (2025) ‘Evaluating integrated psychosis pathways’, </w:t>
      </w:r>
      <w:r w:rsidRPr="00057C9A">
        <w:rPr>
          <w:rStyle w:val="Emphasis"/>
          <w:rFonts w:ascii="Arial" w:eastAsiaTheme="majorEastAsia" w:hAnsi="Arial" w:cs="Arial"/>
          <w:sz w:val="22"/>
          <w:szCs w:val="22"/>
        </w:rPr>
        <w:t>Journal of Psychiatric Services</w:t>
      </w:r>
      <w:r w:rsidRPr="00057C9A">
        <w:rPr>
          <w:rFonts w:ascii="Arial" w:hAnsi="Arial" w:cs="Arial"/>
          <w:sz w:val="22"/>
          <w:szCs w:val="22"/>
        </w:rPr>
        <w:t>, 76(1), pp. 12–21.</w:t>
      </w:r>
    </w:p>
    <w:p w14:paraId="49581D09"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Repper, J. and Perkins, R. (2021) </w:t>
      </w:r>
      <w:r w:rsidRPr="00057C9A">
        <w:rPr>
          <w:rStyle w:val="Emphasis"/>
          <w:rFonts w:ascii="Arial" w:eastAsiaTheme="majorEastAsia" w:hAnsi="Arial" w:cs="Arial"/>
          <w:sz w:val="22"/>
          <w:szCs w:val="22"/>
        </w:rPr>
        <w:t>Recovery-Oriented Practice in Mental Health</w:t>
      </w:r>
      <w:r w:rsidRPr="00057C9A">
        <w:rPr>
          <w:rFonts w:ascii="Arial" w:hAnsi="Arial" w:cs="Arial"/>
          <w:sz w:val="22"/>
          <w:szCs w:val="22"/>
        </w:rPr>
        <w:t>. London: Open University Press.</w:t>
      </w:r>
    </w:p>
    <w:p w14:paraId="545EC7DF"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Resnik, D.B. (2015) </w:t>
      </w:r>
      <w:r w:rsidRPr="00057C9A">
        <w:rPr>
          <w:rStyle w:val="Emphasis"/>
          <w:rFonts w:ascii="Arial" w:eastAsiaTheme="majorEastAsia" w:hAnsi="Arial" w:cs="Arial"/>
          <w:sz w:val="22"/>
          <w:szCs w:val="22"/>
        </w:rPr>
        <w:t>What is ethics in research and why is it important?</w:t>
      </w:r>
      <w:r w:rsidRPr="00057C9A">
        <w:rPr>
          <w:rFonts w:ascii="Arial" w:hAnsi="Arial" w:cs="Arial"/>
          <w:sz w:val="22"/>
          <w:szCs w:val="22"/>
        </w:rPr>
        <w:t xml:space="preserve"> Available at: </w:t>
      </w:r>
      <w:hyperlink r:id="rId31" w:tgtFrame="_new" w:history="1">
        <w:r w:rsidRPr="00057C9A">
          <w:rPr>
            <w:rStyle w:val="Hyperlink"/>
            <w:rFonts w:ascii="Arial" w:eastAsiaTheme="majorEastAsia" w:hAnsi="Arial" w:cs="Arial"/>
            <w:sz w:val="22"/>
            <w:szCs w:val="22"/>
          </w:rPr>
          <w:t>https://www.niehs.nih.gov/research/resources/bioethics/whatis/index.cfm</w:t>
        </w:r>
      </w:hyperlink>
      <w:r w:rsidRPr="00057C9A">
        <w:rPr>
          <w:rFonts w:ascii="Arial" w:hAnsi="Arial" w:cs="Arial"/>
          <w:sz w:val="22"/>
          <w:szCs w:val="22"/>
        </w:rPr>
        <w:t xml:space="preserve"> (Accessed: 3 November 2025).</w:t>
      </w:r>
    </w:p>
    <w:p w14:paraId="53269B8A"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lastRenderedPageBreak/>
        <w:t xml:space="preserve">Rickwood, D., </w:t>
      </w:r>
      <w:proofErr w:type="spellStart"/>
      <w:r w:rsidRPr="00057C9A">
        <w:rPr>
          <w:rFonts w:ascii="Arial" w:hAnsi="Arial" w:cs="Arial"/>
          <w:sz w:val="22"/>
          <w:szCs w:val="22"/>
        </w:rPr>
        <w:t>Paraskakis</w:t>
      </w:r>
      <w:proofErr w:type="spellEnd"/>
      <w:r w:rsidRPr="00057C9A">
        <w:rPr>
          <w:rFonts w:ascii="Arial" w:hAnsi="Arial" w:cs="Arial"/>
          <w:sz w:val="22"/>
          <w:szCs w:val="22"/>
        </w:rPr>
        <w:t xml:space="preserve">, M. and Quin, D. (2019) ‘Australia’s Headspace model’, </w:t>
      </w:r>
      <w:r w:rsidRPr="00057C9A">
        <w:rPr>
          <w:rStyle w:val="Emphasis"/>
          <w:rFonts w:ascii="Arial" w:eastAsiaTheme="majorEastAsia" w:hAnsi="Arial" w:cs="Arial"/>
          <w:sz w:val="22"/>
          <w:szCs w:val="22"/>
        </w:rPr>
        <w:t>Early Intervention in Psychiatry</w:t>
      </w:r>
      <w:r w:rsidRPr="00057C9A">
        <w:rPr>
          <w:rFonts w:ascii="Arial" w:hAnsi="Arial" w:cs="Arial"/>
          <w:sz w:val="22"/>
          <w:szCs w:val="22"/>
        </w:rPr>
        <w:t>, 13(1), pp. 159–166.</w:t>
      </w:r>
    </w:p>
    <w:p w14:paraId="0B29DBB2"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Rogers, A. and Pilgrim, D. (2014) </w:t>
      </w:r>
      <w:r w:rsidRPr="00057C9A">
        <w:rPr>
          <w:rStyle w:val="Emphasis"/>
          <w:rFonts w:ascii="Arial" w:eastAsiaTheme="majorEastAsia" w:hAnsi="Arial" w:cs="Arial"/>
          <w:sz w:val="22"/>
          <w:szCs w:val="22"/>
        </w:rPr>
        <w:t>A Sociology of Mental Health and Illness</w:t>
      </w:r>
      <w:r w:rsidRPr="00057C9A">
        <w:rPr>
          <w:rFonts w:ascii="Arial" w:hAnsi="Arial" w:cs="Arial"/>
          <w:sz w:val="22"/>
          <w:szCs w:val="22"/>
        </w:rPr>
        <w:t xml:space="preserve">. 5th </w:t>
      </w:r>
      <w:proofErr w:type="spellStart"/>
      <w:r w:rsidRPr="00057C9A">
        <w:rPr>
          <w:rFonts w:ascii="Arial" w:hAnsi="Arial" w:cs="Arial"/>
          <w:sz w:val="22"/>
          <w:szCs w:val="22"/>
        </w:rPr>
        <w:t>edn</w:t>
      </w:r>
      <w:proofErr w:type="spellEnd"/>
      <w:r w:rsidRPr="00057C9A">
        <w:rPr>
          <w:rFonts w:ascii="Arial" w:hAnsi="Arial" w:cs="Arial"/>
          <w:sz w:val="22"/>
          <w:szCs w:val="22"/>
        </w:rPr>
        <w:t>. Maidenhead: Open University Press.</w:t>
      </w:r>
    </w:p>
    <w:p w14:paraId="5FDDF7FB"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Rogers, A. and Pilgrim, D. (2020) </w:t>
      </w:r>
      <w:r w:rsidRPr="00057C9A">
        <w:rPr>
          <w:rStyle w:val="Emphasis"/>
          <w:rFonts w:ascii="Arial" w:eastAsiaTheme="majorEastAsia" w:hAnsi="Arial" w:cs="Arial"/>
          <w:sz w:val="22"/>
          <w:szCs w:val="22"/>
        </w:rPr>
        <w:t>Mental Health Policy in Britain</w:t>
      </w:r>
      <w:r w:rsidRPr="00057C9A">
        <w:rPr>
          <w:rFonts w:ascii="Arial" w:hAnsi="Arial" w:cs="Arial"/>
          <w:sz w:val="22"/>
          <w:szCs w:val="22"/>
        </w:rPr>
        <w:t xml:space="preserve">. 2nd </w:t>
      </w:r>
      <w:proofErr w:type="spellStart"/>
      <w:r w:rsidRPr="00057C9A">
        <w:rPr>
          <w:rFonts w:ascii="Arial" w:hAnsi="Arial" w:cs="Arial"/>
          <w:sz w:val="22"/>
          <w:szCs w:val="22"/>
        </w:rPr>
        <w:t>edn</w:t>
      </w:r>
      <w:proofErr w:type="spellEnd"/>
      <w:r w:rsidRPr="00057C9A">
        <w:rPr>
          <w:rFonts w:ascii="Arial" w:hAnsi="Arial" w:cs="Arial"/>
          <w:sz w:val="22"/>
          <w:szCs w:val="22"/>
        </w:rPr>
        <w:t>. London: Palgrave.</w:t>
      </w:r>
    </w:p>
    <w:p w14:paraId="617F3A7D" w14:textId="5E1BD3A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Royal College of Psychiatrists (2023) </w:t>
      </w:r>
      <w:r w:rsidRPr="00057C9A">
        <w:rPr>
          <w:rStyle w:val="Emphasis"/>
          <w:rFonts w:ascii="Arial" w:eastAsiaTheme="majorEastAsia" w:hAnsi="Arial" w:cs="Arial"/>
          <w:sz w:val="22"/>
          <w:szCs w:val="22"/>
        </w:rPr>
        <w:t>Psychiatry workforce census</w:t>
      </w:r>
      <w:r w:rsidRPr="00057C9A">
        <w:rPr>
          <w:rFonts w:ascii="Arial" w:hAnsi="Arial" w:cs="Arial"/>
          <w:sz w:val="22"/>
          <w:szCs w:val="22"/>
        </w:rPr>
        <w:t xml:space="preserve">. Available at: </w:t>
      </w:r>
      <w:hyperlink r:id="rId32" w:tgtFrame="_new" w:history="1">
        <w:r w:rsidRPr="00057C9A">
          <w:rPr>
            <w:rStyle w:val="Hyperlink"/>
            <w:rFonts w:ascii="Arial" w:eastAsiaTheme="majorEastAsia" w:hAnsi="Arial" w:cs="Arial"/>
            <w:sz w:val="22"/>
            <w:szCs w:val="22"/>
          </w:rPr>
          <w:t>https://www.rcpsych.ac.uk/workforce</w:t>
        </w:r>
      </w:hyperlink>
      <w:r w:rsidRPr="00057C9A">
        <w:rPr>
          <w:rFonts w:ascii="Arial" w:hAnsi="Arial" w:cs="Arial"/>
          <w:sz w:val="22"/>
          <w:szCs w:val="22"/>
        </w:rPr>
        <w:t xml:space="preserve"> (Accessed: 1</w:t>
      </w:r>
      <w:r w:rsidR="00BC4C27">
        <w:rPr>
          <w:rFonts w:ascii="Arial" w:hAnsi="Arial" w:cs="Arial"/>
          <w:sz w:val="22"/>
          <w:szCs w:val="22"/>
        </w:rPr>
        <w:t>1</w:t>
      </w:r>
      <w:r w:rsidRPr="00057C9A">
        <w:rPr>
          <w:rFonts w:ascii="Arial" w:hAnsi="Arial" w:cs="Arial"/>
          <w:sz w:val="22"/>
          <w:szCs w:val="22"/>
        </w:rPr>
        <w:t xml:space="preserve"> January 2026).</w:t>
      </w:r>
    </w:p>
    <w:p w14:paraId="68F3B33C"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Royal College of Psychiatrists (2024) </w:t>
      </w:r>
      <w:r w:rsidRPr="00057C9A">
        <w:rPr>
          <w:rStyle w:val="Emphasis"/>
          <w:rFonts w:ascii="Arial" w:eastAsiaTheme="majorEastAsia" w:hAnsi="Arial" w:cs="Arial"/>
          <w:sz w:val="22"/>
          <w:szCs w:val="22"/>
        </w:rPr>
        <w:t>Early Intervention in Psychosis audit</w:t>
      </w:r>
      <w:r w:rsidRPr="00057C9A">
        <w:rPr>
          <w:rFonts w:ascii="Arial" w:hAnsi="Arial" w:cs="Arial"/>
          <w:sz w:val="22"/>
          <w:szCs w:val="22"/>
        </w:rPr>
        <w:t xml:space="preserve">. Available at: </w:t>
      </w:r>
      <w:hyperlink r:id="rId33" w:tgtFrame="_new" w:history="1">
        <w:r w:rsidRPr="00057C9A">
          <w:rPr>
            <w:rStyle w:val="Hyperlink"/>
            <w:rFonts w:ascii="Arial" w:eastAsiaTheme="majorEastAsia" w:hAnsi="Arial" w:cs="Arial"/>
            <w:sz w:val="22"/>
            <w:szCs w:val="22"/>
          </w:rPr>
          <w:t>https://www.rcpsych.ac.uk/improving-care/ccqi/audit-and-quality-improvement/eip</w:t>
        </w:r>
      </w:hyperlink>
      <w:r w:rsidRPr="00057C9A">
        <w:rPr>
          <w:rFonts w:ascii="Arial" w:hAnsi="Arial" w:cs="Arial"/>
          <w:sz w:val="22"/>
          <w:szCs w:val="22"/>
        </w:rPr>
        <w:t xml:space="preserve"> (Accessed: 12 January 2026).</w:t>
      </w:r>
    </w:p>
    <w:p w14:paraId="682FFF3A"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Scottish Government (2022) </w:t>
      </w:r>
      <w:r w:rsidRPr="00057C9A">
        <w:rPr>
          <w:rStyle w:val="Emphasis"/>
          <w:rFonts w:ascii="Arial" w:eastAsiaTheme="majorEastAsia" w:hAnsi="Arial" w:cs="Arial"/>
          <w:sz w:val="22"/>
          <w:szCs w:val="22"/>
        </w:rPr>
        <w:t>Mental Health Strategy progress report</w:t>
      </w:r>
      <w:r w:rsidRPr="00057C9A">
        <w:rPr>
          <w:rFonts w:ascii="Arial" w:hAnsi="Arial" w:cs="Arial"/>
          <w:sz w:val="22"/>
          <w:szCs w:val="22"/>
        </w:rPr>
        <w:t xml:space="preserve">. Available at: </w:t>
      </w:r>
      <w:hyperlink r:id="rId34" w:tgtFrame="_new" w:history="1">
        <w:r w:rsidRPr="00057C9A">
          <w:rPr>
            <w:rStyle w:val="Hyperlink"/>
            <w:rFonts w:ascii="Arial" w:eastAsiaTheme="majorEastAsia" w:hAnsi="Arial" w:cs="Arial"/>
            <w:sz w:val="22"/>
            <w:szCs w:val="22"/>
          </w:rPr>
          <w:t>https://www.gov.scot/publications/mental-health-strategy-progress-report</w:t>
        </w:r>
      </w:hyperlink>
      <w:r w:rsidRPr="00057C9A">
        <w:rPr>
          <w:rFonts w:ascii="Arial" w:hAnsi="Arial" w:cs="Arial"/>
          <w:sz w:val="22"/>
          <w:szCs w:val="22"/>
        </w:rPr>
        <w:t xml:space="preserve"> (Accessed: 12 January 2026).</w:t>
      </w:r>
    </w:p>
    <w:p w14:paraId="145F4CA2"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Scull, A. (2015) </w:t>
      </w:r>
      <w:r w:rsidRPr="00057C9A">
        <w:rPr>
          <w:rStyle w:val="Emphasis"/>
          <w:rFonts w:ascii="Arial" w:eastAsiaTheme="majorEastAsia" w:hAnsi="Arial" w:cs="Arial"/>
          <w:sz w:val="22"/>
          <w:szCs w:val="22"/>
        </w:rPr>
        <w:t>Madness in Civilization</w:t>
      </w:r>
      <w:r w:rsidRPr="00057C9A">
        <w:rPr>
          <w:rFonts w:ascii="Arial" w:hAnsi="Arial" w:cs="Arial"/>
          <w:sz w:val="22"/>
          <w:szCs w:val="22"/>
        </w:rPr>
        <w:t>. London: Thames &amp; Hudson.</w:t>
      </w:r>
    </w:p>
    <w:p w14:paraId="270BA04B" w14:textId="77777777" w:rsidR="00057C9A" w:rsidRPr="00057C9A" w:rsidRDefault="00057C9A" w:rsidP="00057C9A">
      <w:pPr>
        <w:pStyle w:val="NormalWeb"/>
        <w:spacing w:line="360" w:lineRule="auto"/>
        <w:jc w:val="both"/>
        <w:rPr>
          <w:rFonts w:ascii="Arial" w:hAnsi="Arial" w:cs="Arial"/>
          <w:sz w:val="22"/>
          <w:szCs w:val="22"/>
        </w:rPr>
      </w:pPr>
      <w:proofErr w:type="spellStart"/>
      <w:r w:rsidRPr="00057C9A">
        <w:rPr>
          <w:rFonts w:ascii="Arial" w:hAnsi="Arial" w:cs="Arial"/>
          <w:sz w:val="22"/>
          <w:szCs w:val="22"/>
        </w:rPr>
        <w:t>Seikkula</w:t>
      </w:r>
      <w:proofErr w:type="spellEnd"/>
      <w:r w:rsidRPr="00057C9A">
        <w:rPr>
          <w:rFonts w:ascii="Arial" w:hAnsi="Arial" w:cs="Arial"/>
          <w:sz w:val="22"/>
          <w:szCs w:val="22"/>
        </w:rPr>
        <w:t xml:space="preserve">, J., </w:t>
      </w:r>
      <w:proofErr w:type="spellStart"/>
      <w:r w:rsidRPr="00057C9A">
        <w:rPr>
          <w:rFonts w:ascii="Arial" w:hAnsi="Arial" w:cs="Arial"/>
          <w:sz w:val="22"/>
          <w:szCs w:val="22"/>
        </w:rPr>
        <w:t>Alakare</w:t>
      </w:r>
      <w:proofErr w:type="spellEnd"/>
      <w:r w:rsidRPr="00057C9A">
        <w:rPr>
          <w:rFonts w:ascii="Arial" w:hAnsi="Arial" w:cs="Arial"/>
          <w:sz w:val="22"/>
          <w:szCs w:val="22"/>
        </w:rPr>
        <w:t xml:space="preserve">, B. and Aaltonen, J. (2011) ‘Open Dialogue outcomes’, </w:t>
      </w:r>
      <w:r w:rsidRPr="00057C9A">
        <w:rPr>
          <w:rStyle w:val="Emphasis"/>
          <w:rFonts w:ascii="Arial" w:eastAsiaTheme="majorEastAsia" w:hAnsi="Arial" w:cs="Arial"/>
          <w:sz w:val="22"/>
          <w:szCs w:val="22"/>
        </w:rPr>
        <w:t>Psychotherapy Research</w:t>
      </w:r>
      <w:r w:rsidRPr="00057C9A">
        <w:rPr>
          <w:rFonts w:ascii="Arial" w:hAnsi="Arial" w:cs="Arial"/>
          <w:sz w:val="22"/>
          <w:szCs w:val="22"/>
        </w:rPr>
        <w:t>, 21(6), pp. 673–682.</w:t>
      </w:r>
    </w:p>
    <w:p w14:paraId="041134FE"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Slade, M. (2009) </w:t>
      </w:r>
      <w:r w:rsidRPr="00057C9A">
        <w:rPr>
          <w:rStyle w:val="Emphasis"/>
          <w:rFonts w:ascii="Arial" w:eastAsiaTheme="majorEastAsia" w:hAnsi="Arial" w:cs="Arial"/>
          <w:sz w:val="22"/>
          <w:szCs w:val="22"/>
        </w:rPr>
        <w:t>Personal Recovery and Mental Illness</w:t>
      </w:r>
      <w:r w:rsidRPr="00057C9A">
        <w:rPr>
          <w:rFonts w:ascii="Arial" w:hAnsi="Arial" w:cs="Arial"/>
          <w:sz w:val="22"/>
          <w:szCs w:val="22"/>
        </w:rPr>
        <w:t>. Cambridge: Cambridge University Press.</w:t>
      </w:r>
    </w:p>
    <w:p w14:paraId="232A9C4A"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Thornicroft, G., </w:t>
      </w:r>
      <w:proofErr w:type="spellStart"/>
      <w:r w:rsidRPr="00057C9A">
        <w:rPr>
          <w:rFonts w:ascii="Arial" w:hAnsi="Arial" w:cs="Arial"/>
          <w:sz w:val="22"/>
          <w:szCs w:val="22"/>
        </w:rPr>
        <w:t>Tansella</w:t>
      </w:r>
      <w:proofErr w:type="spellEnd"/>
      <w:r w:rsidRPr="00057C9A">
        <w:rPr>
          <w:rFonts w:ascii="Arial" w:hAnsi="Arial" w:cs="Arial"/>
          <w:sz w:val="22"/>
          <w:szCs w:val="22"/>
        </w:rPr>
        <w:t xml:space="preserve">, M. and Law, A. (2022) </w:t>
      </w:r>
      <w:r w:rsidRPr="00057C9A">
        <w:rPr>
          <w:rStyle w:val="Emphasis"/>
          <w:rFonts w:ascii="Arial" w:eastAsiaTheme="majorEastAsia" w:hAnsi="Arial" w:cs="Arial"/>
          <w:sz w:val="22"/>
          <w:szCs w:val="22"/>
        </w:rPr>
        <w:t>Community Mental Health Care</w:t>
      </w:r>
      <w:r w:rsidRPr="00057C9A">
        <w:rPr>
          <w:rFonts w:ascii="Arial" w:hAnsi="Arial" w:cs="Arial"/>
          <w:sz w:val="22"/>
          <w:szCs w:val="22"/>
        </w:rPr>
        <w:t>. Oxford: Oxford University Press.</w:t>
      </w:r>
    </w:p>
    <w:p w14:paraId="34BA7636"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Uehling, N. (2025) ‘Mismatch between clinical and recovery goals’, </w:t>
      </w:r>
      <w:r w:rsidRPr="00057C9A">
        <w:rPr>
          <w:rStyle w:val="Emphasis"/>
          <w:rFonts w:ascii="Arial" w:eastAsiaTheme="majorEastAsia" w:hAnsi="Arial" w:cs="Arial"/>
          <w:sz w:val="22"/>
          <w:szCs w:val="22"/>
        </w:rPr>
        <w:t>Mental Health &amp; Society</w:t>
      </w:r>
      <w:r w:rsidRPr="00057C9A">
        <w:rPr>
          <w:rFonts w:ascii="Arial" w:hAnsi="Arial" w:cs="Arial"/>
          <w:sz w:val="22"/>
          <w:szCs w:val="22"/>
        </w:rPr>
        <w:t>, 17(2), pp. 101–114.</w:t>
      </w:r>
    </w:p>
    <w:p w14:paraId="7055B95A"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van Veldhuizen, J. (2007) ‘FACT: A Dutch approach’, </w:t>
      </w:r>
      <w:r w:rsidRPr="00057C9A">
        <w:rPr>
          <w:rStyle w:val="Emphasis"/>
          <w:rFonts w:ascii="Arial" w:eastAsiaTheme="majorEastAsia" w:hAnsi="Arial" w:cs="Arial"/>
          <w:sz w:val="22"/>
          <w:szCs w:val="22"/>
        </w:rPr>
        <w:t>Community Mental Health Journal</w:t>
      </w:r>
      <w:r w:rsidRPr="00057C9A">
        <w:rPr>
          <w:rFonts w:ascii="Arial" w:hAnsi="Arial" w:cs="Arial"/>
          <w:sz w:val="22"/>
          <w:szCs w:val="22"/>
        </w:rPr>
        <w:t>, 43(4), pp. 421–433.</w:t>
      </w:r>
    </w:p>
    <w:p w14:paraId="23B49354"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Welsh Government (2022) </w:t>
      </w:r>
      <w:r w:rsidRPr="00057C9A">
        <w:rPr>
          <w:rStyle w:val="Emphasis"/>
          <w:rFonts w:ascii="Arial" w:eastAsiaTheme="majorEastAsia" w:hAnsi="Arial" w:cs="Arial"/>
          <w:sz w:val="22"/>
          <w:szCs w:val="22"/>
        </w:rPr>
        <w:t>Together for Mental Health: Delivery plan</w:t>
      </w:r>
      <w:r w:rsidRPr="00057C9A">
        <w:rPr>
          <w:rFonts w:ascii="Arial" w:hAnsi="Arial" w:cs="Arial"/>
          <w:sz w:val="22"/>
          <w:szCs w:val="22"/>
        </w:rPr>
        <w:t xml:space="preserve">. Available at: </w:t>
      </w:r>
      <w:hyperlink r:id="rId35" w:tgtFrame="_new" w:history="1">
        <w:r w:rsidRPr="00057C9A">
          <w:rPr>
            <w:rStyle w:val="Hyperlink"/>
            <w:rFonts w:ascii="Arial" w:eastAsiaTheme="majorEastAsia" w:hAnsi="Arial" w:cs="Arial"/>
            <w:sz w:val="22"/>
            <w:szCs w:val="22"/>
          </w:rPr>
          <w:t>https://www.gov.wales/together-for-mental-health</w:t>
        </w:r>
      </w:hyperlink>
      <w:r w:rsidRPr="00057C9A">
        <w:rPr>
          <w:rFonts w:ascii="Arial" w:hAnsi="Arial" w:cs="Arial"/>
          <w:sz w:val="22"/>
          <w:szCs w:val="22"/>
        </w:rPr>
        <w:t xml:space="preserve"> (Accessed: 12 January 2026).</w:t>
      </w:r>
    </w:p>
    <w:p w14:paraId="6184CB11" w14:textId="77777777" w:rsidR="00057C9A" w:rsidRP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t xml:space="preserve">World Health Organization (2021) </w:t>
      </w:r>
      <w:r w:rsidRPr="00057C9A">
        <w:rPr>
          <w:rStyle w:val="Emphasis"/>
          <w:rFonts w:ascii="Arial" w:eastAsiaTheme="majorEastAsia" w:hAnsi="Arial" w:cs="Arial"/>
          <w:sz w:val="22"/>
          <w:szCs w:val="22"/>
        </w:rPr>
        <w:t>Mental Health Atlas</w:t>
      </w:r>
      <w:r w:rsidRPr="00057C9A">
        <w:rPr>
          <w:rFonts w:ascii="Arial" w:hAnsi="Arial" w:cs="Arial"/>
          <w:sz w:val="22"/>
          <w:szCs w:val="22"/>
        </w:rPr>
        <w:t xml:space="preserve">. Available at: </w:t>
      </w:r>
      <w:hyperlink r:id="rId36" w:tgtFrame="_new" w:history="1">
        <w:r w:rsidRPr="00057C9A">
          <w:rPr>
            <w:rStyle w:val="Hyperlink"/>
            <w:rFonts w:ascii="Arial" w:eastAsiaTheme="majorEastAsia" w:hAnsi="Arial" w:cs="Arial"/>
            <w:sz w:val="22"/>
            <w:szCs w:val="22"/>
          </w:rPr>
          <w:t>https://www.who.int/publications/i/item/9789240036703</w:t>
        </w:r>
      </w:hyperlink>
      <w:r w:rsidRPr="00057C9A">
        <w:rPr>
          <w:rFonts w:ascii="Arial" w:hAnsi="Arial" w:cs="Arial"/>
          <w:sz w:val="22"/>
          <w:szCs w:val="22"/>
        </w:rPr>
        <w:t xml:space="preserve"> (Accessed: 12 January 2026).</w:t>
      </w:r>
    </w:p>
    <w:p w14:paraId="3E6F24F1" w14:textId="77777777" w:rsidR="00057C9A" w:rsidRDefault="00057C9A" w:rsidP="00057C9A">
      <w:pPr>
        <w:pStyle w:val="NormalWeb"/>
        <w:spacing w:line="360" w:lineRule="auto"/>
        <w:jc w:val="both"/>
        <w:rPr>
          <w:rFonts w:ascii="Arial" w:hAnsi="Arial" w:cs="Arial"/>
          <w:sz w:val="22"/>
          <w:szCs w:val="22"/>
        </w:rPr>
      </w:pPr>
      <w:r w:rsidRPr="00057C9A">
        <w:rPr>
          <w:rFonts w:ascii="Arial" w:hAnsi="Arial" w:cs="Arial"/>
          <w:sz w:val="22"/>
          <w:szCs w:val="22"/>
        </w:rPr>
        <w:lastRenderedPageBreak/>
        <w:t xml:space="preserve">World Health Organization (2023) </w:t>
      </w:r>
      <w:r w:rsidRPr="00057C9A">
        <w:rPr>
          <w:rStyle w:val="Emphasis"/>
          <w:rFonts w:ascii="Arial" w:eastAsiaTheme="majorEastAsia" w:hAnsi="Arial" w:cs="Arial"/>
          <w:sz w:val="22"/>
          <w:szCs w:val="22"/>
        </w:rPr>
        <w:t>Schizophrenia fact sheet</w:t>
      </w:r>
      <w:r w:rsidRPr="00057C9A">
        <w:rPr>
          <w:rFonts w:ascii="Arial" w:hAnsi="Arial" w:cs="Arial"/>
          <w:sz w:val="22"/>
          <w:szCs w:val="22"/>
        </w:rPr>
        <w:t xml:space="preserve">. Available at: </w:t>
      </w:r>
      <w:hyperlink r:id="rId37" w:tgtFrame="_new" w:history="1">
        <w:r w:rsidRPr="00057C9A">
          <w:rPr>
            <w:rStyle w:val="Hyperlink"/>
            <w:rFonts w:ascii="Arial" w:eastAsiaTheme="majorEastAsia" w:hAnsi="Arial" w:cs="Arial"/>
            <w:sz w:val="22"/>
            <w:szCs w:val="22"/>
          </w:rPr>
          <w:t>https://www.who.int/news-room/fact-sheets/detail/schizophrenia</w:t>
        </w:r>
      </w:hyperlink>
      <w:r w:rsidRPr="00057C9A">
        <w:rPr>
          <w:rFonts w:ascii="Arial" w:hAnsi="Arial" w:cs="Arial"/>
          <w:sz w:val="22"/>
          <w:szCs w:val="22"/>
        </w:rPr>
        <w:t xml:space="preserve"> (Accessed: 12 January 2026).</w:t>
      </w:r>
    </w:p>
    <w:p w14:paraId="53FB54D1" w14:textId="77777777" w:rsidR="00057C9A" w:rsidRDefault="00057C9A" w:rsidP="00057C9A">
      <w:pPr>
        <w:pStyle w:val="NormalWeb"/>
        <w:spacing w:line="360" w:lineRule="auto"/>
        <w:jc w:val="both"/>
        <w:rPr>
          <w:rFonts w:ascii="Arial" w:hAnsi="Arial" w:cs="Arial"/>
          <w:sz w:val="22"/>
          <w:szCs w:val="22"/>
        </w:rPr>
      </w:pPr>
    </w:p>
    <w:p w14:paraId="3418AB0C" w14:textId="77777777" w:rsidR="00057C9A" w:rsidRDefault="00057C9A" w:rsidP="00057C9A">
      <w:pPr>
        <w:pStyle w:val="NormalWeb"/>
        <w:spacing w:line="360" w:lineRule="auto"/>
        <w:jc w:val="both"/>
        <w:rPr>
          <w:rFonts w:ascii="Arial" w:hAnsi="Arial" w:cs="Arial"/>
          <w:sz w:val="22"/>
          <w:szCs w:val="22"/>
        </w:rPr>
      </w:pPr>
    </w:p>
    <w:p w14:paraId="4B04B11A" w14:textId="77777777" w:rsidR="00057C9A" w:rsidRDefault="00057C9A" w:rsidP="00057C9A">
      <w:pPr>
        <w:pStyle w:val="NormalWeb"/>
        <w:spacing w:line="360" w:lineRule="auto"/>
        <w:jc w:val="both"/>
        <w:rPr>
          <w:rFonts w:ascii="Arial" w:hAnsi="Arial" w:cs="Arial"/>
          <w:sz w:val="22"/>
          <w:szCs w:val="22"/>
        </w:rPr>
      </w:pPr>
    </w:p>
    <w:p w14:paraId="57B26BE6" w14:textId="77777777" w:rsidR="00057C9A" w:rsidRDefault="00057C9A" w:rsidP="00057C9A">
      <w:pPr>
        <w:pStyle w:val="NormalWeb"/>
        <w:spacing w:line="360" w:lineRule="auto"/>
        <w:jc w:val="both"/>
        <w:rPr>
          <w:rFonts w:ascii="Arial" w:hAnsi="Arial" w:cs="Arial"/>
          <w:sz w:val="22"/>
          <w:szCs w:val="22"/>
        </w:rPr>
      </w:pPr>
    </w:p>
    <w:p w14:paraId="6C8F4B88" w14:textId="77777777" w:rsidR="00057C9A" w:rsidRDefault="00057C9A" w:rsidP="00057C9A">
      <w:pPr>
        <w:pStyle w:val="NormalWeb"/>
        <w:spacing w:line="360" w:lineRule="auto"/>
        <w:jc w:val="both"/>
        <w:rPr>
          <w:rFonts w:ascii="Arial" w:hAnsi="Arial" w:cs="Arial"/>
          <w:sz w:val="22"/>
          <w:szCs w:val="22"/>
        </w:rPr>
      </w:pPr>
    </w:p>
    <w:p w14:paraId="62E7FC52" w14:textId="77777777" w:rsidR="00057C9A" w:rsidRDefault="00057C9A" w:rsidP="00057C9A">
      <w:pPr>
        <w:pStyle w:val="NormalWeb"/>
        <w:spacing w:line="360" w:lineRule="auto"/>
        <w:jc w:val="both"/>
        <w:rPr>
          <w:rFonts w:ascii="Arial" w:hAnsi="Arial" w:cs="Arial"/>
          <w:sz w:val="22"/>
          <w:szCs w:val="22"/>
        </w:rPr>
      </w:pPr>
    </w:p>
    <w:p w14:paraId="1F8426D8" w14:textId="77777777" w:rsidR="00057C9A" w:rsidRDefault="00057C9A" w:rsidP="00057C9A">
      <w:pPr>
        <w:pStyle w:val="NormalWeb"/>
        <w:spacing w:line="360" w:lineRule="auto"/>
        <w:jc w:val="both"/>
        <w:rPr>
          <w:rFonts w:ascii="Arial" w:hAnsi="Arial" w:cs="Arial"/>
          <w:sz w:val="22"/>
          <w:szCs w:val="22"/>
        </w:rPr>
      </w:pPr>
    </w:p>
    <w:p w14:paraId="6A39EDDC" w14:textId="77777777" w:rsidR="00057C9A" w:rsidRDefault="00057C9A" w:rsidP="00057C9A">
      <w:pPr>
        <w:pStyle w:val="NormalWeb"/>
        <w:spacing w:line="360" w:lineRule="auto"/>
        <w:jc w:val="both"/>
        <w:rPr>
          <w:rFonts w:ascii="Arial" w:hAnsi="Arial" w:cs="Arial"/>
          <w:sz w:val="22"/>
          <w:szCs w:val="22"/>
        </w:rPr>
      </w:pPr>
    </w:p>
    <w:p w14:paraId="08D81B8E" w14:textId="77777777" w:rsidR="00BC4C27" w:rsidRDefault="00BC4C27" w:rsidP="00057C9A">
      <w:pPr>
        <w:pStyle w:val="NormalWeb"/>
        <w:spacing w:line="360" w:lineRule="auto"/>
        <w:jc w:val="both"/>
        <w:rPr>
          <w:rFonts w:ascii="Arial" w:hAnsi="Arial" w:cs="Arial"/>
          <w:sz w:val="22"/>
          <w:szCs w:val="22"/>
        </w:rPr>
      </w:pPr>
    </w:p>
    <w:p w14:paraId="24AD14D5" w14:textId="77777777" w:rsidR="00BC4C27" w:rsidRDefault="00BC4C27" w:rsidP="00057C9A">
      <w:pPr>
        <w:pStyle w:val="NormalWeb"/>
        <w:spacing w:line="360" w:lineRule="auto"/>
        <w:jc w:val="both"/>
        <w:rPr>
          <w:rFonts w:ascii="Arial" w:hAnsi="Arial" w:cs="Arial"/>
          <w:sz w:val="22"/>
          <w:szCs w:val="22"/>
        </w:rPr>
      </w:pPr>
    </w:p>
    <w:p w14:paraId="1A31F537" w14:textId="77777777" w:rsidR="00BC4C27" w:rsidRDefault="00BC4C27" w:rsidP="00057C9A">
      <w:pPr>
        <w:pStyle w:val="NormalWeb"/>
        <w:spacing w:line="360" w:lineRule="auto"/>
        <w:jc w:val="both"/>
        <w:rPr>
          <w:rFonts w:ascii="Arial" w:hAnsi="Arial" w:cs="Arial"/>
          <w:sz w:val="22"/>
          <w:szCs w:val="22"/>
        </w:rPr>
      </w:pPr>
    </w:p>
    <w:p w14:paraId="4D7D2E73" w14:textId="77777777" w:rsidR="00BC4C27" w:rsidRDefault="00BC4C27" w:rsidP="00057C9A">
      <w:pPr>
        <w:pStyle w:val="NormalWeb"/>
        <w:spacing w:line="360" w:lineRule="auto"/>
        <w:jc w:val="both"/>
        <w:rPr>
          <w:rFonts w:ascii="Arial" w:hAnsi="Arial" w:cs="Arial"/>
          <w:sz w:val="22"/>
          <w:szCs w:val="22"/>
        </w:rPr>
      </w:pPr>
    </w:p>
    <w:p w14:paraId="001901F4" w14:textId="77777777" w:rsidR="00BC4C27" w:rsidRDefault="00BC4C27" w:rsidP="00057C9A">
      <w:pPr>
        <w:pStyle w:val="NormalWeb"/>
        <w:spacing w:line="360" w:lineRule="auto"/>
        <w:jc w:val="both"/>
        <w:rPr>
          <w:rFonts w:ascii="Arial" w:hAnsi="Arial" w:cs="Arial"/>
          <w:sz w:val="22"/>
          <w:szCs w:val="22"/>
        </w:rPr>
      </w:pPr>
    </w:p>
    <w:p w14:paraId="15A43F9B" w14:textId="77777777" w:rsidR="00BC4C27" w:rsidRPr="00057C9A" w:rsidRDefault="00BC4C27" w:rsidP="00057C9A">
      <w:pPr>
        <w:pStyle w:val="NormalWeb"/>
        <w:spacing w:line="360" w:lineRule="auto"/>
        <w:jc w:val="both"/>
        <w:rPr>
          <w:rFonts w:ascii="Arial" w:hAnsi="Arial" w:cs="Arial"/>
          <w:sz w:val="22"/>
          <w:szCs w:val="22"/>
        </w:rPr>
      </w:pPr>
    </w:p>
    <w:p w14:paraId="5952DFA3" w14:textId="77777777" w:rsidR="00057C9A" w:rsidRPr="00C51000" w:rsidRDefault="00057C9A" w:rsidP="00057C9A">
      <w:pPr>
        <w:keepNext/>
        <w:keepLines/>
        <w:spacing w:before="360" w:after="80"/>
        <w:outlineLvl w:val="0"/>
        <w:rPr>
          <w:rFonts w:ascii="Arial" w:eastAsiaTheme="majorEastAsia" w:hAnsi="Arial" w:cs="Arial"/>
          <w:sz w:val="28"/>
          <w:szCs w:val="28"/>
        </w:rPr>
      </w:pPr>
      <w:r w:rsidRPr="00C51000">
        <w:rPr>
          <w:rFonts w:ascii="Arial" w:eastAsiaTheme="majorEastAsia" w:hAnsi="Arial" w:cs="Arial"/>
          <w:sz w:val="28"/>
          <w:szCs w:val="28"/>
        </w:rPr>
        <w:t>Appendix B: Thematic Coding Table</w:t>
      </w:r>
    </w:p>
    <w:p w14:paraId="5B5A4482" w14:textId="77777777" w:rsidR="00057C9A" w:rsidRPr="00057C9A" w:rsidRDefault="00057C9A" w:rsidP="00057C9A">
      <w:pPr>
        <w:rPr>
          <w:rFonts w:ascii="Arial" w:hAnsi="Arial" w:cs="Arial"/>
          <w:color w:val="1F4E79" w:themeColor="accent5" w:themeShade="80"/>
          <w:sz w:val="18"/>
          <w:szCs w:val="18"/>
        </w:rPr>
      </w:pPr>
      <w:r w:rsidRPr="00057C9A">
        <w:rPr>
          <w:rFonts w:ascii="Arial" w:hAnsi="Arial" w:cs="Arial"/>
          <w:color w:val="1F4E79" w:themeColor="accent5" w:themeShade="80"/>
          <w:sz w:val="18"/>
          <w:szCs w:val="18"/>
        </w:rPr>
        <w:t>This appendix provides an overview of the thematic coding process used to synthesise the literature. Initial codes were generated from each source and grouped into broader categories and final themes aligned with the dissertation objectives.</w:t>
      </w:r>
    </w:p>
    <w:p w14:paraId="31031654" w14:textId="77777777" w:rsidR="00057C9A" w:rsidRPr="00057C9A" w:rsidRDefault="00057C9A" w:rsidP="00057C9A">
      <w:pPr>
        <w:rPr>
          <w:rFonts w:ascii="Arial" w:hAnsi="Arial" w:cs="Arial"/>
          <w:b/>
          <w:bCs/>
          <w:color w:val="1F4E79" w:themeColor="accent5" w:themeShade="80"/>
        </w:rPr>
      </w:pPr>
      <w:r w:rsidRPr="00057C9A">
        <w:rPr>
          <w:rFonts w:ascii="Arial" w:hAnsi="Arial" w:cs="Arial"/>
          <w:b/>
          <w:bCs/>
          <w:color w:val="1F4E79" w:themeColor="accent5" w:themeShade="80"/>
        </w:rPr>
        <w:t>Source Tracking Table:</w:t>
      </w:r>
    </w:p>
    <w:tbl>
      <w:tblPr>
        <w:tblStyle w:val="TableGrid"/>
        <w:tblW w:w="0" w:type="auto"/>
        <w:tblInd w:w="-113" w:type="dxa"/>
        <w:tblLayout w:type="fixed"/>
        <w:tblLook w:val="04A0" w:firstRow="1" w:lastRow="0" w:firstColumn="1" w:lastColumn="0" w:noHBand="0" w:noVBand="1"/>
      </w:tblPr>
      <w:tblGrid>
        <w:gridCol w:w="760"/>
        <w:gridCol w:w="1175"/>
        <w:gridCol w:w="1418"/>
        <w:gridCol w:w="2284"/>
        <w:gridCol w:w="2268"/>
        <w:gridCol w:w="951"/>
      </w:tblGrid>
      <w:tr w:rsidR="00057C9A" w:rsidRPr="00057C9A" w14:paraId="7652BA30" w14:textId="77777777" w:rsidTr="006D24C3">
        <w:tc>
          <w:tcPr>
            <w:tcW w:w="760" w:type="dxa"/>
            <w:shd w:val="clear" w:color="auto" w:fill="00B0F0"/>
          </w:tcPr>
          <w:p w14:paraId="5E7C6BF5"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Saved?</w:t>
            </w:r>
          </w:p>
        </w:tc>
        <w:tc>
          <w:tcPr>
            <w:tcW w:w="1175" w:type="dxa"/>
            <w:shd w:val="clear" w:color="auto" w:fill="00B0F0"/>
          </w:tcPr>
          <w:p w14:paraId="66466EDE"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Author &amp; Year</w:t>
            </w:r>
          </w:p>
        </w:tc>
        <w:tc>
          <w:tcPr>
            <w:tcW w:w="1418" w:type="dxa"/>
            <w:shd w:val="clear" w:color="auto" w:fill="00B0F0"/>
          </w:tcPr>
          <w:p w14:paraId="371824D3"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Title</w:t>
            </w:r>
          </w:p>
        </w:tc>
        <w:tc>
          <w:tcPr>
            <w:tcW w:w="2284" w:type="dxa"/>
            <w:shd w:val="clear" w:color="auto" w:fill="00B0F0"/>
          </w:tcPr>
          <w:p w14:paraId="344974E4"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Summary</w:t>
            </w:r>
          </w:p>
        </w:tc>
        <w:tc>
          <w:tcPr>
            <w:tcW w:w="2268" w:type="dxa"/>
            <w:shd w:val="clear" w:color="auto" w:fill="00B0F0"/>
          </w:tcPr>
          <w:p w14:paraId="01161830"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CRAAP Notes</w:t>
            </w:r>
          </w:p>
        </w:tc>
        <w:tc>
          <w:tcPr>
            <w:tcW w:w="951" w:type="dxa"/>
            <w:shd w:val="clear" w:color="auto" w:fill="00B0F0"/>
          </w:tcPr>
          <w:p w14:paraId="47AA963F"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File Name / Link</w:t>
            </w:r>
          </w:p>
        </w:tc>
      </w:tr>
      <w:tr w:rsidR="00057C9A" w:rsidRPr="00057C9A" w14:paraId="37981A32" w14:textId="77777777" w:rsidTr="006D24C3">
        <w:tc>
          <w:tcPr>
            <w:tcW w:w="760" w:type="dxa"/>
            <w:shd w:val="clear" w:color="auto" w:fill="D9E2F3" w:themeFill="accent1" w:themeFillTint="33"/>
          </w:tcPr>
          <w:p w14:paraId="5EBDBDC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3027066A"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World Health Organization (2023)</w:t>
            </w:r>
          </w:p>
        </w:tc>
        <w:tc>
          <w:tcPr>
            <w:tcW w:w="1418" w:type="dxa"/>
            <w:shd w:val="clear" w:color="auto" w:fill="D9E2F3" w:themeFill="accent1" w:themeFillTint="33"/>
          </w:tcPr>
          <w:p w14:paraId="642DD909"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Schizophrenia Fact Sheet</w:t>
            </w:r>
          </w:p>
        </w:tc>
        <w:tc>
          <w:tcPr>
            <w:tcW w:w="2284" w:type="dxa"/>
            <w:shd w:val="clear" w:color="auto" w:fill="D9E2F3" w:themeFill="accent1" w:themeFillTint="33"/>
          </w:tcPr>
          <w:p w14:paraId="4DEC27E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Provides a global overview of schizophrenia, including prevalence, symptoms, and recommended treatment approaches. Used to define schizophrenia and establish global relevance.</w:t>
            </w:r>
          </w:p>
        </w:tc>
        <w:tc>
          <w:tcPr>
            <w:tcW w:w="2268" w:type="dxa"/>
            <w:shd w:val="clear" w:color="auto" w:fill="D9E2F3" w:themeFill="accent1" w:themeFillTint="33"/>
          </w:tcPr>
          <w:p w14:paraId="77C2B502"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2023; Relevance: High; Authority: WHO; Accuracy: Evidence-based; Purpose: Informative</w:t>
            </w:r>
          </w:p>
        </w:tc>
        <w:tc>
          <w:tcPr>
            <w:tcW w:w="951" w:type="dxa"/>
            <w:shd w:val="clear" w:color="auto" w:fill="D9E2F3" w:themeFill="accent1" w:themeFillTint="33"/>
          </w:tcPr>
          <w:p w14:paraId="03A6F88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WHO_Schizophrenia_2023</w:t>
            </w:r>
          </w:p>
        </w:tc>
      </w:tr>
      <w:tr w:rsidR="00057C9A" w:rsidRPr="00057C9A" w14:paraId="592993AF" w14:textId="77777777" w:rsidTr="006D24C3">
        <w:tc>
          <w:tcPr>
            <w:tcW w:w="760" w:type="dxa"/>
            <w:shd w:val="clear" w:color="auto" w:fill="D9E2F3" w:themeFill="accent1" w:themeFillTint="33"/>
          </w:tcPr>
          <w:p w14:paraId="6131C5E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Yes</w:t>
            </w:r>
          </w:p>
        </w:tc>
        <w:tc>
          <w:tcPr>
            <w:tcW w:w="1175" w:type="dxa"/>
            <w:shd w:val="clear" w:color="auto" w:fill="D9E2F3" w:themeFill="accent1" w:themeFillTint="33"/>
          </w:tcPr>
          <w:p w14:paraId="4D814126"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NHS England (2022)</w:t>
            </w:r>
          </w:p>
        </w:tc>
        <w:tc>
          <w:tcPr>
            <w:tcW w:w="1418" w:type="dxa"/>
            <w:shd w:val="clear" w:color="auto" w:fill="D9E2F3" w:themeFill="accent1" w:themeFillTint="33"/>
          </w:tcPr>
          <w:p w14:paraId="72AD24A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Mental Health Services: Access and Waiting Times</w:t>
            </w:r>
          </w:p>
        </w:tc>
        <w:tc>
          <w:tcPr>
            <w:tcW w:w="2284" w:type="dxa"/>
            <w:shd w:val="clear" w:color="auto" w:fill="D9E2F3" w:themeFill="accent1" w:themeFillTint="33"/>
          </w:tcPr>
          <w:p w14:paraId="7764BA77"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Presents national data on access, waiting times, and performance of mental health services in England, including EIP standards.</w:t>
            </w:r>
          </w:p>
        </w:tc>
        <w:tc>
          <w:tcPr>
            <w:tcW w:w="2268" w:type="dxa"/>
            <w:shd w:val="clear" w:color="auto" w:fill="D9E2F3" w:themeFill="accent1" w:themeFillTint="33"/>
          </w:tcPr>
          <w:p w14:paraId="6E525B4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Recent; Relevance: UK services; Authority: NHS; Accuracy: Official data; Purpose: Evaluation</w:t>
            </w:r>
          </w:p>
        </w:tc>
        <w:tc>
          <w:tcPr>
            <w:tcW w:w="951" w:type="dxa"/>
            <w:shd w:val="clear" w:color="auto" w:fill="D9E2F3" w:themeFill="accent1" w:themeFillTint="33"/>
          </w:tcPr>
          <w:p w14:paraId="68853405"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NHS_MH_Access_2022</w:t>
            </w:r>
          </w:p>
        </w:tc>
      </w:tr>
      <w:tr w:rsidR="00057C9A" w:rsidRPr="00057C9A" w14:paraId="681F0295" w14:textId="77777777" w:rsidTr="006D24C3">
        <w:tc>
          <w:tcPr>
            <w:tcW w:w="760" w:type="dxa"/>
            <w:shd w:val="clear" w:color="auto" w:fill="D9E2F3" w:themeFill="accent1" w:themeFillTint="33"/>
          </w:tcPr>
          <w:p w14:paraId="2B1381AF"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2662D9A3"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Care Quality Commission (2023)</w:t>
            </w:r>
          </w:p>
        </w:tc>
        <w:tc>
          <w:tcPr>
            <w:tcW w:w="1418" w:type="dxa"/>
            <w:shd w:val="clear" w:color="auto" w:fill="D9E2F3" w:themeFill="accent1" w:themeFillTint="33"/>
          </w:tcPr>
          <w:p w14:paraId="39440B7F"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Mental Health Services Annual Report</w:t>
            </w:r>
          </w:p>
        </w:tc>
        <w:tc>
          <w:tcPr>
            <w:tcW w:w="2284" w:type="dxa"/>
            <w:shd w:val="clear" w:color="auto" w:fill="D9E2F3" w:themeFill="accent1" w:themeFillTint="33"/>
          </w:tcPr>
          <w:p w14:paraId="0279D358"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Examines quality, safety, workforce pressures, and inequalities across NHS mental health services.</w:t>
            </w:r>
          </w:p>
        </w:tc>
        <w:tc>
          <w:tcPr>
            <w:tcW w:w="2268" w:type="dxa"/>
            <w:shd w:val="clear" w:color="auto" w:fill="D9E2F3" w:themeFill="accent1" w:themeFillTint="33"/>
          </w:tcPr>
          <w:p w14:paraId="16AD8008"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Current; Relevance: Service delivery; Authority: Regulator; Accuracy: Inspection-based; Purpose: Monitoring</w:t>
            </w:r>
          </w:p>
        </w:tc>
        <w:tc>
          <w:tcPr>
            <w:tcW w:w="951" w:type="dxa"/>
            <w:shd w:val="clear" w:color="auto" w:fill="D9E2F3" w:themeFill="accent1" w:themeFillTint="33"/>
          </w:tcPr>
          <w:p w14:paraId="19157B1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CQC_MH_Report_2023</w:t>
            </w:r>
          </w:p>
        </w:tc>
      </w:tr>
      <w:tr w:rsidR="00057C9A" w:rsidRPr="00057C9A" w14:paraId="6F2F618A" w14:textId="77777777" w:rsidTr="006D24C3">
        <w:tc>
          <w:tcPr>
            <w:tcW w:w="760" w:type="dxa"/>
            <w:shd w:val="clear" w:color="auto" w:fill="D9E2F3" w:themeFill="accent1" w:themeFillTint="33"/>
          </w:tcPr>
          <w:p w14:paraId="08B2EBF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53123FE9"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NICE (2020)</w:t>
            </w:r>
          </w:p>
        </w:tc>
        <w:tc>
          <w:tcPr>
            <w:tcW w:w="1418" w:type="dxa"/>
            <w:shd w:val="clear" w:color="auto" w:fill="D9E2F3" w:themeFill="accent1" w:themeFillTint="33"/>
          </w:tcPr>
          <w:p w14:paraId="7E2AB2C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Psychosis and Schizophrenia in Adults (NG222)</w:t>
            </w:r>
          </w:p>
        </w:tc>
        <w:tc>
          <w:tcPr>
            <w:tcW w:w="2284" w:type="dxa"/>
            <w:shd w:val="clear" w:color="auto" w:fill="D9E2F3" w:themeFill="accent1" w:themeFillTint="33"/>
          </w:tcPr>
          <w:p w14:paraId="471A1E3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National clinical guideline outlining recommended pharmacological, psychological, and social interventions for schizophrenia.</w:t>
            </w:r>
          </w:p>
        </w:tc>
        <w:tc>
          <w:tcPr>
            <w:tcW w:w="2268" w:type="dxa"/>
            <w:shd w:val="clear" w:color="auto" w:fill="D9E2F3" w:themeFill="accent1" w:themeFillTint="33"/>
          </w:tcPr>
          <w:p w14:paraId="50050ECC"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Current; Relevance: Core guidance; Authority: NICE; Accuracy: Systematic reviews; Purpose: Clinical guidance</w:t>
            </w:r>
          </w:p>
        </w:tc>
        <w:tc>
          <w:tcPr>
            <w:tcW w:w="951" w:type="dxa"/>
            <w:shd w:val="clear" w:color="auto" w:fill="D9E2F3" w:themeFill="accent1" w:themeFillTint="33"/>
          </w:tcPr>
          <w:p w14:paraId="6D158F82"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NICE_NG222_2020</w:t>
            </w:r>
          </w:p>
        </w:tc>
      </w:tr>
      <w:tr w:rsidR="00057C9A" w:rsidRPr="00057C9A" w14:paraId="34216C9C" w14:textId="77777777" w:rsidTr="006D24C3">
        <w:tc>
          <w:tcPr>
            <w:tcW w:w="760" w:type="dxa"/>
            <w:shd w:val="clear" w:color="auto" w:fill="D9E2F3" w:themeFill="accent1" w:themeFillTint="33"/>
          </w:tcPr>
          <w:p w14:paraId="07BDD9F5"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195F31FF"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Thornicroft et al. (2022)</w:t>
            </w:r>
          </w:p>
        </w:tc>
        <w:tc>
          <w:tcPr>
            <w:tcW w:w="1418" w:type="dxa"/>
            <w:shd w:val="clear" w:color="auto" w:fill="D9E2F3" w:themeFill="accent1" w:themeFillTint="33"/>
          </w:tcPr>
          <w:p w14:paraId="740DBAA2"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Community Mental Health Care</w:t>
            </w:r>
          </w:p>
        </w:tc>
        <w:tc>
          <w:tcPr>
            <w:tcW w:w="2284" w:type="dxa"/>
            <w:shd w:val="clear" w:color="auto" w:fill="D9E2F3" w:themeFill="accent1" w:themeFillTint="33"/>
          </w:tcPr>
          <w:p w14:paraId="4DBDBF2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Explores effectiveness of community-based mental health services and continuity of care for severe mental illness.</w:t>
            </w:r>
          </w:p>
        </w:tc>
        <w:tc>
          <w:tcPr>
            <w:tcW w:w="2268" w:type="dxa"/>
            <w:shd w:val="clear" w:color="auto" w:fill="D9E2F3" w:themeFill="accent1" w:themeFillTint="33"/>
          </w:tcPr>
          <w:p w14:paraId="035A2C95"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Recent; Relevance: Community care; Authority: Academic experts; Accuracy: Evidence-based; Purpose: Scholarly</w:t>
            </w:r>
          </w:p>
        </w:tc>
        <w:tc>
          <w:tcPr>
            <w:tcW w:w="951" w:type="dxa"/>
            <w:shd w:val="clear" w:color="auto" w:fill="D9E2F3" w:themeFill="accent1" w:themeFillTint="33"/>
          </w:tcPr>
          <w:p w14:paraId="356D109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Thornicroft_2022</w:t>
            </w:r>
          </w:p>
        </w:tc>
      </w:tr>
      <w:tr w:rsidR="00057C9A" w:rsidRPr="00057C9A" w14:paraId="73D26F21" w14:textId="77777777" w:rsidTr="006D24C3">
        <w:tc>
          <w:tcPr>
            <w:tcW w:w="760" w:type="dxa"/>
            <w:shd w:val="clear" w:color="auto" w:fill="D9E2F3" w:themeFill="accent1" w:themeFillTint="33"/>
          </w:tcPr>
          <w:p w14:paraId="01505FA9"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037298B6"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Leucht et al. (2019)</w:t>
            </w:r>
          </w:p>
        </w:tc>
        <w:tc>
          <w:tcPr>
            <w:tcW w:w="1418" w:type="dxa"/>
            <w:shd w:val="clear" w:color="auto" w:fill="D9E2F3" w:themeFill="accent1" w:themeFillTint="33"/>
          </w:tcPr>
          <w:p w14:paraId="5E592814"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Antipsychotic Drugs versus Placebo for Relapse Prevention</w:t>
            </w:r>
          </w:p>
        </w:tc>
        <w:tc>
          <w:tcPr>
            <w:tcW w:w="2284" w:type="dxa"/>
            <w:shd w:val="clear" w:color="auto" w:fill="D9E2F3" w:themeFill="accent1" w:themeFillTint="33"/>
          </w:tcPr>
          <w:p w14:paraId="1D6361D0"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Meta-analysis demonstrating the effectiveness of antipsychotic medication in preventing relapse in schizophrenia.</w:t>
            </w:r>
          </w:p>
        </w:tc>
        <w:tc>
          <w:tcPr>
            <w:tcW w:w="2268" w:type="dxa"/>
            <w:shd w:val="clear" w:color="auto" w:fill="D9E2F3" w:themeFill="accent1" w:themeFillTint="33"/>
          </w:tcPr>
          <w:p w14:paraId="08AC3B49"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Seminal; Relevance: Treatment effectiveness; Authority: Lancet Psychiatry; Accuracy: Meta-analysis; Purpose: Scientific</w:t>
            </w:r>
          </w:p>
        </w:tc>
        <w:tc>
          <w:tcPr>
            <w:tcW w:w="951" w:type="dxa"/>
            <w:shd w:val="clear" w:color="auto" w:fill="D9E2F3" w:themeFill="accent1" w:themeFillTint="33"/>
          </w:tcPr>
          <w:p w14:paraId="526B2760"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Leucht_2019</w:t>
            </w:r>
          </w:p>
        </w:tc>
      </w:tr>
      <w:tr w:rsidR="00057C9A" w:rsidRPr="00057C9A" w14:paraId="48CB2215" w14:textId="77777777" w:rsidTr="006D24C3">
        <w:tc>
          <w:tcPr>
            <w:tcW w:w="760" w:type="dxa"/>
            <w:shd w:val="clear" w:color="auto" w:fill="D9E2F3" w:themeFill="accent1" w:themeFillTint="33"/>
          </w:tcPr>
          <w:p w14:paraId="6AFE3C59"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365E09CF"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Birchwood et al. (2000)</w:t>
            </w:r>
          </w:p>
        </w:tc>
        <w:tc>
          <w:tcPr>
            <w:tcW w:w="1418" w:type="dxa"/>
            <w:shd w:val="clear" w:color="auto" w:fill="D9E2F3" w:themeFill="accent1" w:themeFillTint="33"/>
          </w:tcPr>
          <w:p w14:paraId="50AB1E3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Early Intervention in Psychosis</w:t>
            </w:r>
          </w:p>
        </w:tc>
        <w:tc>
          <w:tcPr>
            <w:tcW w:w="2284" w:type="dxa"/>
            <w:shd w:val="clear" w:color="auto" w:fill="D9E2F3" w:themeFill="accent1" w:themeFillTint="33"/>
          </w:tcPr>
          <w:p w14:paraId="4FB22F64"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Seminal study establishing the critical period hypothesis underpinning Early Intervention in Psychosis services.</w:t>
            </w:r>
          </w:p>
        </w:tc>
        <w:tc>
          <w:tcPr>
            <w:tcW w:w="2268" w:type="dxa"/>
            <w:shd w:val="clear" w:color="auto" w:fill="D9E2F3" w:themeFill="accent1" w:themeFillTint="33"/>
          </w:tcPr>
          <w:p w14:paraId="01D0F742"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Seminal; Relevance: EIP foundation; Authority: Peer-reviewed; Accuracy: Empirical; Purpose: Theory development</w:t>
            </w:r>
          </w:p>
        </w:tc>
        <w:tc>
          <w:tcPr>
            <w:tcW w:w="951" w:type="dxa"/>
            <w:shd w:val="clear" w:color="auto" w:fill="D9E2F3" w:themeFill="accent1" w:themeFillTint="33"/>
          </w:tcPr>
          <w:p w14:paraId="48AA4FF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Birchwood_2000</w:t>
            </w:r>
          </w:p>
        </w:tc>
      </w:tr>
      <w:tr w:rsidR="00057C9A" w:rsidRPr="00057C9A" w14:paraId="02F74F79" w14:textId="77777777" w:rsidTr="006D24C3">
        <w:tc>
          <w:tcPr>
            <w:tcW w:w="760" w:type="dxa"/>
            <w:shd w:val="clear" w:color="auto" w:fill="D9E2F3" w:themeFill="accent1" w:themeFillTint="33"/>
          </w:tcPr>
          <w:p w14:paraId="33E75E90"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4E239979"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Rogers &amp; Pilgrim (2020)</w:t>
            </w:r>
          </w:p>
        </w:tc>
        <w:tc>
          <w:tcPr>
            <w:tcW w:w="1418" w:type="dxa"/>
            <w:shd w:val="clear" w:color="auto" w:fill="D9E2F3" w:themeFill="accent1" w:themeFillTint="33"/>
          </w:tcPr>
          <w:p w14:paraId="46C384A8"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Mental Health Policy in Britain</w:t>
            </w:r>
          </w:p>
        </w:tc>
        <w:tc>
          <w:tcPr>
            <w:tcW w:w="2284" w:type="dxa"/>
            <w:shd w:val="clear" w:color="auto" w:fill="D9E2F3" w:themeFill="accent1" w:themeFillTint="33"/>
          </w:tcPr>
          <w:p w14:paraId="55C508B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Provides historical and sociopolitical analysis of UK mental health policy and service development.</w:t>
            </w:r>
          </w:p>
        </w:tc>
        <w:tc>
          <w:tcPr>
            <w:tcW w:w="2268" w:type="dxa"/>
            <w:shd w:val="clear" w:color="auto" w:fill="D9E2F3" w:themeFill="accent1" w:themeFillTint="33"/>
          </w:tcPr>
          <w:p w14:paraId="02ECD6C3"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Updated edition; Relevance: Policy context; Authority: Established authors; Accuracy: Scholarly synthesis; Purpose: Academic</w:t>
            </w:r>
          </w:p>
        </w:tc>
        <w:tc>
          <w:tcPr>
            <w:tcW w:w="951" w:type="dxa"/>
            <w:shd w:val="clear" w:color="auto" w:fill="D9E2F3" w:themeFill="accent1" w:themeFillTint="33"/>
          </w:tcPr>
          <w:p w14:paraId="52F7AEBC"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Rogers_Pilgrim_2020</w:t>
            </w:r>
          </w:p>
        </w:tc>
      </w:tr>
      <w:tr w:rsidR="00057C9A" w:rsidRPr="00057C9A" w14:paraId="7379CF72" w14:textId="77777777" w:rsidTr="006D24C3">
        <w:tc>
          <w:tcPr>
            <w:tcW w:w="760" w:type="dxa"/>
            <w:shd w:val="clear" w:color="auto" w:fill="D9E2F3" w:themeFill="accent1" w:themeFillTint="33"/>
          </w:tcPr>
          <w:p w14:paraId="6F7E51F1"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5C1A8FC6"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Slade (2009)</w:t>
            </w:r>
          </w:p>
        </w:tc>
        <w:tc>
          <w:tcPr>
            <w:tcW w:w="1418" w:type="dxa"/>
            <w:shd w:val="clear" w:color="auto" w:fill="D9E2F3" w:themeFill="accent1" w:themeFillTint="33"/>
          </w:tcPr>
          <w:p w14:paraId="020A7746"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Personal Recovery and Mental Illness</w:t>
            </w:r>
          </w:p>
        </w:tc>
        <w:tc>
          <w:tcPr>
            <w:tcW w:w="2284" w:type="dxa"/>
            <w:shd w:val="clear" w:color="auto" w:fill="D9E2F3" w:themeFill="accent1" w:themeFillTint="33"/>
          </w:tcPr>
          <w:p w14:paraId="668E71D3"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Defines recovery-oriented practice, focusing on meaningful life outcomes beyond symptom reduction.</w:t>
            </w:r>
          </w:p>
        </w:tc>
        <w:tc>
          <w:tcPr>
            <w:tcW w:w="2268" w:type="dxa"/>
            <w:shd w:val="clear" w:color="auto" w:fill="D9E2F3" w:themeFill="accent1" w:themeFillTint="33"/>
          </w:tcPr>
          <w:p w14:paraId="01B18ABE"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Seminal; Relevance: Recovery framework; Authority: Leading scholar; Accuracy: Conceptual; Purpose: Theory</w:t>
            </w:r>
          </w:p>
        </w:tc>
        <w:tc>
          <w:tcPr>
            <w:tcW w:w="951" w:type="dxa"/>
            <w:shd w:val="clear" w:color="auto" w:fill="D9E2F3" w:themeFill="accent1" w:themeFillTint="33"/>
          </w:tcPr>
          <w:p w14:paraId="13245266"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Slade_2009</w:t>
            </w:r>
          </w:p>
        </w:tc>
      </w:tr>
      <w:tr w:rsidR="00057C9A" w:rsidRPr="00057C9A" w14:paraId="77F5E03B" w14:textId="77777777" w:rsidTr="006D24C3">
        <w:tc>
          <w:tcPr>
            <w:tcW w:w="760" w:type="dxa"/>
            <w:shd w:val="clear" w:color="auto" w:fill="D9E2F3" w:themeFill="accent1" w:themeFillTint="33"/>
          </w:tcPr>
          <w:p w14:paraId="231848B2"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75A986F0" w14:textId="77777777" w:rsidR="00057C9A" w:rsidRPr="00057C9A" w:rsidRDefault="00057C9A" w:rsidP="006D24C3">
            <w:pPr>
              <w:jc w:val="both"/>
              <w:rPr>
                <w:rFonts w:ascii="Arial" w:hAnsi="Arial" w:cs="Arial"/>
                <w:color w:val="1F4E79" w:themeColor="accent5" w:themeShade="80"/>
                <w:sz w:val="16"/>
                <w:szCs w:val="16"/>
              </w:rPr>
            </w:pPr>
            <w:proofErr w:type="spellStart"/>
            <w:r w:rsidRPr="00057C9A">
              <w:rPr>
                <w:rFonts w:ascii="Arial" w:hAnsi="Arial" w:cs="Arial"/>
                <w:color w:val="1F4E79" w:themeColor="accent5" w:themeShade="80"/>
                <w:sz w:val="16"/>
                <w:szCs w:val="16"/>
              </w:rPr>
              <w:t>Nazroo</w:t>
            </w:r>
            <w:proofErr w:type="spellEnd"/>
            <w:r w:rsidRPr="00057C9A">
              <w:rPr>
                <w:rFonts w:ascii="Arial" w:hAnsi="Arial" w:cs="Arial"/>
                <w:color w:val="1F4E79" w:themeColor="accent5" w:themeShade="80"/>
                <w:sz w:val="16"/>
                <w:szCs w:val="16"/>
              </w:rPr>
              <w:t xml:space="preserve"> et al. (2019)</w:t>
            </w:r>
          </w:p>
        </w:tc>
        <w:tc>
          <w:tcPr>
            <w:tcW w:w="1418" w:type="dxa"/>
            <w:shd w:val="clear" w:color="auto" w:fill="D9E2F3" w:themeFill="accent1" w:themeFillTint="33"/>
          </w:tcPr>
          <w:p w14:paraId="03AAA0D3"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Structural Racism and Mental Health Inequalities</w:t>
            </w:r>
          </w:p>
        </w:tc>
        <w:tc>
          <w:tcPr>
            <w:tcW w:w="2284" w:type="dxa"/>
            <w:shd w:val="clear" w:color="auto" w:fill="D9E2F3" w:themeFill="accent1" w:themeFillTint="33"/>
          </w:tcPr>
          <w:p w14:paraId="43E8670A"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Analyses how structural racism contributes to inequalities in mental health care, relevant to schizophrenia services.</w:t>
            </w:r>
          </w:p>
        </w:tc>
        <w:tc>
          <w:tcPr>
            <w:tcW w:w="2268" w:type="dxa"/>
            <w:shd w:val="clear" w:color="auto" w:fill="D9E2F3" w:themeFill="accent1" w:themeFillTint="33"/>
          </w:tcPr>
          <w:p w14:paraId="45C5C0CD"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Relevant; Relevance: Inequalities; Authority: Peer-reviewed; Accuracy: Empirical; Purpose: Analytical</w:t>
            </w:r>
          </w:p>
        </w:tc>
        <w:tc>
          <w:tcPr>
            <w:tcW w:w="951" w:type="dxa"/>
            <w:shd w:val="clear" w:color="auto" w:fill="D9E2F3" w:themeFill="accent1" w:themeFillTint="33"/>
          </w:tcPr>
          <w:p w14:paraId="4E824DF7"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Nazroo_2019</w:t>
            </w:r>
          </w:p>
        </w:tc>
      </w:tr>
      <w:tr w:rsidR="00057C9A" w:rsidRPr="00057C9A" w14:paraId="549E3B5E" w14:textId="77777777" w:rsidTr="006D24C3">
        <w:tc>
          <w:tcPr>
            <w:tcW w:w="760" w:type="dxa"/>
            <w:shd w:val="clear" w:color="auto" w:fill="D9E2F3" w:themeFill="accent1" w:themeFillTint="33"/>
          </w:tcPr>
          <w:p w14:paraId="2EA84007"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Yes</w:t>
            </w:r>
          </w:p>
        </w:tc>
        <w:tc>
          <w:tcPr>
            <w:tcW w:w="1175" w:type="dxa"/>
            <w:shd w:val="clear" w:color="auto" w:fill="D9E2F3" w:themeFill="accent1" w:themeFillTint="33"/>
          </w:tcPr>
          <w:p w14:paraId="07AD2B7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Braun &amp; Clarke (2019)</w:t>
            </w:r>
          </w:p>
        </w:tc>
        <w:tc>
          <w:tcPr>
            <w:tcW w:w="1418" w:type="dxa"/>
            <w:shd w:val="clear" w:color="auto" w:fill="D9E2F3" w:themeFill="accent1" w:themeFillTint="33"/>
          </w:tcPr>
          <w:p w14:paraId="1969C67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Reflexive Thematic Analysis</w:t>
            </w:r>
          </w:p>
        </w:tc>
        <w:tc>
          <w:tcPr>
            <w:tcW w:w="2284" w:type="dxa"/>
            <w:shd w:val="clear" w:color="auto" w:fill="D9E2F3" w:themeFill="accent1" w:themeFillTint="33"/>
          </w:tcPr>
          <w:p w14:paraId="09F02A63"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Provides methodological guidance for thematic analysis, supporting the analytical approach used in the dissertation.</w:t>
            </w:r>
          </w:p>
        </w:tc>
        <w:tc>
          <w:tcPr>
            <w:tcW w:w="2268" w:type="dxa"/>
            <w:shd w:val="clear" w:color="auto" w:fill="D9E2F3" w:themeFill="accent1" w:themeFillTint="33"/>
          </w:tcPr>
          <w:p w14:paraId="5D96D94D"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Currency: Current; Relevance: Methods; Authority: Leading methodologists; Accuracy: Widely cited; Purpose: Methodological</w:t>
            </w:r>
          </w:p>
        </w:tc>
        <w:tc>
          <w:tcPr>
            <w:tcW w:w="951" w:type="dxa"/>
            <w:shd w:val="clear" w:color="auto" w:fill="D9E2F3" w:themeFill="accent1" w:themeFillTint="33"/>
          </w:tcPr>
          <w:p w14:paraId="7F1B47CB" w14:textId="77777777" w:rsidR="00057C9A" w:rsidRPr="00057C9A" w:rsidRDefault="00057C9A" w:rsidP="006D24C3">
            <w:pPr>
              <w:jc w:val="both"/>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Braun_Clarke_2019</w:t>
            </w:r>
          </w:p>
        </w:tc>
      </w:tr>
    </w:tbl>
    <w:p w14:paraId="55587278" w14:textId="77777777" w:rsidR="00057C9A" w:rsidRPr="00057C9A" w:rsidRDefault="00057C9A" w:rsidP="00057C9A">
      <w:pPr>
        <w:jc w:val="both"/>
        <w:rPr>
          <w:rFonts w:ascii="Arial" w:hAnsi="Arial" w:cs="Arial"/>
          <w:color w:val="1F4E79" w:themeColor="accent5" w:themeShade="80"/>
          <w:sz w:val="16"/>
          <w:szCs w:val="16"/>
        </w:rPr>
      </w:pPr>
    </w:p>
    <w:p w14:paraId="3D2C3FF5" w14:textId="77777777" w:rsidR="00057C9A" w:rsidRPr="00057C9A" w:rsidRDefault="00057C9A" w:rsidP="00057C9A">
      <w:pPr>
        <w:rPr>
          <w:rFonts w:ascii="Arial" w:hAnsi="Arial" w:cs="Arial"/>
          <w:color w:val="1F4E79" w:themeColor="accent5" w:themeShade="80"/>
        </w:rPr>
      </w:pPr>
    </w:p>
    <w:p w14:paraId="659E7617" w14:textId="77777777" w:rsidR="00057C9A" w:rsidRPr="00057C9A" w:rsidRDefault="00057C9A" w:rsidP="00057C9A">
      <w:pPr>
        <w:rPr>
          <w:rFonts w:ascii="Arial" w:hAnsi="Arial" w:cs="Arial"/>
          <w:color w:val="1F4E79" w:themeColor="accent5" w:themeShade="80"/>
        </w:rPr>
      </w:pPr>
      <w:r w:rsidRPr="00057C9A">
        <w:rPr>
          <w:rFonts w:ascii="Arial" w:hAnsi="Arial" w:cs="Arial"/>
          <w:color w:val="1F4E79" w:themeColor="accent5" w:themeShade="80"/>
        </w:rPr>
        <w:t>This thematic coding table illustrates how descriptive codes were systematically organised into analytical categories and overarching themes, supporting transparency and methodological rigour in the findings presented in Chapter 4.</w:t>
      </w:r>
    </w:p>
    <w:p w14:paraId="0B253344" w14:textId="77777777" w:rsidR="00057C9A" w:rsidRPr="00057C9A" w:rsidRDefault="00057C9A" w:rsidP="00057C9A">
      <w:pPr>
        <w:keepNext/>
        <w:keepLines/>
        <w:spacing w:before="360" w:after="80"/>
        <w:outlineLvl w:val="0"/>
        <w:rPr>
          <w:rFonts w:ascii="Arial" w:eastAsiaTheme="majorEastAsia" w:hAnsi="Arial" w:cs="Arial"/>
          <w:color w:val="1F4E79" w:themeColor="accent5" w:themeShade="80"/>
          <w:sz w:val="16"/>
          <w:szCs w:val="16"/>
        </w:rPr>
      </w:pPr>
      <w:r w:rsidRPr="00057C9A">
        <w:rPr>
          <w:rFonts w:ascii="Arial" w:eastAsiaTheme="majorEastAsia" w:hAnsi="Arial" w:cs="Arial"/>
          <w:b/>
          <w:bCs/>
          <w:color w:val="1F4E79" w:themeColor="accent5" w:themeShade="80"/>
        </w:rPr>
        <w:t>Appendix -C</w:t>
      </w:r>
      <w:r w:rsidRPr="00057C9A">
        <w:rPr>
          <w:rFonts w:ascii="Arial" w:eastAsiaTheme="majorEastAsia" w:hAnsi="Arial" w:cs="Arial"/>
          <w:color w:val="1F4E79" w:themeColor="accent5" w:themeShade="80"/>
          <w:sz w:val="16"/>
          <w:szCs w:val="16"/>
        </w:rPr>
        <w:t xml:space="preserve"> Results Summary Table</w:t>
      </w:r>
    </w:p>
    <w:tbl>
      <w:tblPr>
        <w:tblStyle w:val="TableGrid"/>
        <w:tblW w:w="0" w:type="auto"/>
        <w:tblInd w:w="-113" w:type="dxa"/>
        <w:tblLayout w:type="fixed"/>
        <w:tblLook w:val="04A0" w:firstRow="1" w:lastRow="0" w:firstColumn="1" w:lastColumn="0" w:noHBand="0" w:noVBand="1"/>
      </w:tblPr>
      <w:tblGrid>
        <w:gridCol w:w="853"/>
        <w:gridCol w:w="1079"/>
        <w:gridCol w:w="1011"/>
        <w:gridCol w:w="1201"/>
        <w:gridCol w:w="1170"/>
        <w:gridCol w:w="1457"/>
        <w:gridCol w:w="1134"/>
        <w:gridCol w:w="951"/>
      </w:tblGrid>
      <w:tr w:rsidR="00057C9A" w:rsidRPr="00057C9A" w14:paraId="3ADB449D" w14:textId="77777777" w:rsidTr="006D24C3">
        <w:tc>
          <w:tcPr>
            <w:tcW w:w="853" w:type="dxa"/>
            <w:shd w:val="clear" w:color="auto" w:fill="00B0F0"/>
          </w:tcPr>
          <w:p w14:paraId="2D2C6230"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Author &amp; Year</w:t>
            </w:r>
          </w:p>
        </w:tc>
        <w:tc>
          <w:tcPr>
            <w:tcW w:w="1079" w:type="dxa"/>
            <w:shd w:val="clear" w:color="auto" w:fill="00B0F0"/>
          </w:tcPr>
          <w:p w14:paraId="1ABFA4E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Article Title</w:t>
            </w:r>
          </w:p>
        </w:tc>
        <w:tc>
          <w:tcPr>
            <w:tcW w:w="1011" w:type="dxa"/>
            <w:shd w:val="clear" w:color="auto" w:fill="00B0F0"/>
          </w:tcPr>
          <w:p w14:paraId="4526071D"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Type of Study</w:t>
            </w:r>
          </w:p>
        </w:tc>
        <w:tc>
          <w:tcPr>
            <w:tcW w:w="1201" w:type="dxa"/>
            <w:shd w:val="clear" w:color="auto" w:fill="00B0F0"/>
          </w:tcPr>
          <w:p w14:paraId="5EEBAB2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Research Method &amp; Sample Size</w:t>
            </w:r>
          </w:p>
        </w:tc>
        <w:tc>
          <w:tcPr>
            <w:tcW w:w="1170" w:type="dxa"/>
            <w:shd w:val="clear" w:color="auto" w:fill="00B0F0"/>
          </w:tcPr>
          <w:p w14:paraId="12125CF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Strengths &amp; Limitations</w:t>
            </w:r>
          </w:p>
        </w:tc>
        <w:tc>
          <w:tcPr>
            <w:tcW w:w="1457" w:type="dxa"/>
            <w:shd w:val="clear" w:color="auto" w:fill="00B0F0"/>
          </w:tcPr>
          <w:p w14:paraId="658599D1"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Main Findings</w:t>
            </w:r>
          </w:p>
        </w:tc>
        <w:tc>
          <w:tcPr>
            <w:tcW w:w="1134" w:type="dxa"/>
            <w:shd w:val="clear" w:color="auto" w:fill="00B0F0"/>
          </w:tcPr>
          <w:p w14:paraId="516ACD34"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Keywords &amp; Codes</w:t>
            </w:r>
          </w:p>
        </w:tc>
        <w:tc>
          <w:tcPr>
            <w:tcW w:w="951" w:type="dxa"/>
            <w:shd w:val="clear" w:color="auto" w:fill="00B0F0"/>
          </w:tcPr>
          <w:p w14:paraId="094F1B6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Notes and Comments</w:t>
            </w:r>
          </w:p>
        </w:tc>
      </w:tr>
      <w:tr w:rsidR="00057C9A" w:rsidRPr="00057C9A" w14:paraId="20C15366" w14:textId="77777777" w:rsidTr="006D24C3">
        <w:tc>
          <w:tcPr>
            <w:tcW w:w="853" w:type="dxa"/>
            <w:shd w:val="clear" w:color="auto" w:fill="D5DCE4" w:themeFill="text2" w:themeFillTint="33"/>
          </w:tcPr>
          <w:p w14:paraId="08E42117"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WHO (2023)</w:t>
            </w:r>
          </w:p>
        </w:tc>
        <w:tc>
          <w:tcPr>
            <w:tcW w:w="1079" w:type="dxa"/>
            <w:shd w:val="clear" w:color="auto" w:fill="D5DCE4" w:themeFill="text2" w:themeFillTint="33"/>
          </w:tcPr>
          <w:p w14:paraId="32D631F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Schizophrenia Fact Sheet</w:t>
            </w:r>
          </w:p>
        </w:tc>
        <w:tc>
          <w:tcPr>
            <w:tcW w:w="1011" w:type="dxa"/>
            <w:shd w:val="clear" w:color="auto" w:fill="D5DCE4" w:themeFill="text2" w:themeFillTint="33"/>
          </w:tcPr>
          <w:p w14:paraId="5E47BCED"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Global epidemiolo</w:t>
            </w:r>
            <w:r w:rsidRPr="00057C9A">
              <w:rPr>
                <w:rFonts w:ascii="Arial" w:hAnsi="Arial" w:cs="Arial"/>
                <w:color w:val="1F4E79" w:themeColor="accent5" w:themeShade="80"/>
                <w:sz w:val="16"/>
                <w:szCs w:val="16"/>
              </w:rPr>
              <w:lastRenderedPageBreak/>
              <w:t>gical review</w:t>
            </w:r>
          </w:p>
        </w:tc>
        <w:tc>
          <w:tcPr>
            <w:tcW w:w="1201" w:type="dxa"/>
            <w:shd w:val="clear" w:color="auto" w:fill="D5DCE4" w:themeFill="text2" w:themeFillTint="33"/>
          </w:tcPr>
          <w:p w14:paraId="0127B50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 xml:space="preserve">Secondary analysis of international </w:t>
            </w:r>
            <w:r w:rsidRPr="00057C9A">
              <w:rPr>
                <w:rFonts w:ascii="Arial" w:hAnsi="Arial" w:cs="Arial"/>
                <w:color w:val="1F4E79" w:themeColor="accent5" w:themeShade="80"/>
                <w:sz w:val="16"/>
                <w:szCs w:val="16"/>
              </w:rPr>
              <w:lastRenderedPageBreak/>
              <w:t>health data; population-level data</w:t>
            </w:r>
          </w:p>
        </w:tc>
        <w:tc>
          <w:tcPr>
            <w:tcW w:w="1170" w:type="dxa"/>
            <w:shd w:val="clear" w:color="auto" w:fill="D5DCE4" w:themeFill="text2" w:themeFillTint="33"/>
          </w:tcPr>
          <w:p w14:paraId="6B589AB7"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 xml:space="preserve">Strength: Authoritative global </w:t>
            </w:r>
            <w:r w:rsidRPr="00057C9A">
              <w:rPr>
                <w:rFonts w:ascii="Arial" w:hAnsi="Arial" w:cs="Arial"/>
                <w:color w:val="1F4E79" w:themeColor="accent5" w:themeShade="80"/>
                <w:sz w:val="16"/>
                <w:szCs w:val="16"/>
              </w:rPr>
              <w:lastRenderedPageBreak/>
              <w:t>source. Limitation: Not UK-specific.</w:t>
            </w:r>
          </w:p>
        </w:tc>
        <w:tc>
          <w:tcPr>
            <w:tcW w:w="1457" w:type="dxa"/>
            <w:shd w:val="clear" w:color="auto" w:fill="D5DCE4" w:themeFill="text2" w:themeFillTint="33"/>
          </w:tcPr>
          <w:p w14:paraId="41346222"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 xml:space="preserve">Schizophrenia is a severe, chronic disorder with </w:t>
            </w:r>
            <w:r w:rsidRPr="00057C9A">
              <w:rPr>
                <w:rFonts w:ascii="Arial" w:hAnsi="Arial" w:cs="Arial"/>
                <w:color w:val="1F4E79" w:themeColor="accent5" w:themeShade="80"/>
                <w:sz w:val="16"/>
                <w:szCs w:val="16"/>
              </w:rPr>
              <w:lastRenderedPageBreak/>
              <w:t>high global burden; effective treatment requires integrated medical and social care.</w:t>
            </w:r>
          </w:p>
        </w:tc>
        <w:tc>
          <w:tcPr>
            <w:tcW w:w="1134" w:type="dxa"/>
            <w:shd w:val="clear" w:color="auto" w:fill="D5DCE4" w:themeFill="text2" w:themeFillTint="33"/>
          </w:tcPr>
          <w:p w14:paraId="11A576E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 xml:space="preserve">Prevalence; Global burden; </w:t>
            </w:r>
            <w:r w:rsidRPr="00057C9A">
              <w:rPr>
                <w:rFonts w:ascii="Arial" w:hAnsi="Arial" w:cs="Arial"/>
                <w:color w:val="1F4E79" w:themeColor="accent5" w:themeShade="80"/>
                <w:sz w:val="16"/>
                <w:szCs w:val="16"/>
              </w:rPr>
              <w:lastRenderedPageBreak/>
              <w:t>Treatment pathways</w:t>
            </w:r>
          </w:p>
        </w:tc>
        <w:tc>
          <w:tcPr>
            <w:tcW w:w="951" w:type="dxa"/>
            <w:shd w:val="clear" w:color="auto" w:fill="D5DCE4" w:themeFill="text2" w:themeFillTint="33"/>
          </w:tcPr>
          <w:p w14:paraId="13CFAA34"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 xml:space="preserve">Used for definitions and </w:t>
            </w:r>
            <w:r w:rsidRPr="00057C9A">
              <w:rPr>
                <w:rFonts w:ascii="Arial" w:hAnsi="Arial" w:cs="Arial"/>
                <w:color w:val="1F4E79" w:themeColor="accent5" w:themeShade="80"/>
                <w:sz w:val="16"/>
                <w:szCs w:val="16"/>
              </w:rPr>
              <w:lastRenderedPageBreak/>
              <w:t>global context</w:t>
            </w:r>
          </w:p>
        </w:tc>
      </w:tr>
      <w:tr w:rsidR="00057C9A" w:rsidRPr="00057C9A" w14:paraId="2DAA907D" w14:textId="77777777" w:rsidTr="006D24C3">
        <w:tc>
          <w:tcPr>
            <w:tcW w:w="853" w:type="dxa"/>
            <w:shd w:val="clear" w:color="auto" w:fill="D5DCE4" w:themeFill="text2" w:themeFillTint="33"/>
          </w:tcPr>
          <w:p w14:paraId="33A946F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lastRenderedPageBreak/>
              <w:t>NHS England (2022)</w:t>
            </w:r>
          </w:p>
        </w:tc>
        <w:tc>
          <w:tcPr>
            <w:tcW w:w="1079" w:type="dxa"/>
            <w:shd w:val="clear" w:color="auto" w:fill="D5DCE4" w:themeFill="text2" w:themeFillTint="33"/>
          </w:tcPr>
          <w:p w14:paraId="00148CE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Mental Health Services: Access and Waiting Times</w:t>
            </w:r>
          </w:p>
        </w:tc>
        <w:tc>
          <w:tcPr>
            <w:tcW w:w="1011" w:type="dxa"/>
            <w:shd w:val="clear" w:color="auto" w:fill="D5DCE4" w:themeFill="text2" w:themeFillTint="33"/>
          </w:tcPr>
          <w:p w14:paraId="2F6E80F1"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National service evaluation</w:t>
            </w:r>
          </w:p>
        </w:tc>
        <w:tc>
          <w:tcPr>
            <w:tcW w:w="1201" w:type="dxa"/>
            <w:shd w:val="clear" w:color="auto" w:fill="D5DCE4" w:themeFill="text2" w:themeFillTint="33"/>
          </w:tcPr>
          <w:p w14:paraId="3D555D2B"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Analysis of NHS administrative datasets across England</w:t>
            </w:r>
          </w:p>
        </w:tc>
        <w:tc>
          <w:tcPr>
            <w:tcW w:w="1170" w:type="dxa"/>
            <w:shd w:val="clear" w:color="auto" w:fill="D5DCE4" w:themeFill="text2" w:themeFillTint="33"/>
          </w:tcPr>
          <w:p w14:paraId="0EE403E7"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 Comprehensive national data. Limitation: Limited qualitative insight.</w:t>
            </w:r>
          </w:p>
        </w:tc>
        <w:tc>
          <w:tcPr>
            <w:tcW w:w="1457" w:type="dxa"/>
            <w:shd w:val="clear" w:color="auto" w:fill="D5DCE4" w:themeFill="text2" w:themeFillTint="33"/>
          </w:tcPr>
          <w:p w14:paraId="5C76811E"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Significant variation in access and waiting times for psychosis services across regions.</w:t>
            </w:r>
          </w:p>
        </w:tc>
        <w:tc>
          <w:tcPr>
            <w:tcW w:w="1134" w:type="dxa"/>
            <w:shd w:val="clear" w:color="auto" w:fill="D5DCE4" w:themeFill="text2" w:themeFillTint="33"/>
          </w:tcPr>
          <w:p w14:paraId="494451AF"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Accessibility; Waiting times; EIP</w:t>
            </w:r>
          </w:p>
        </w:tc>
        <w:tc>
          <w:tcPr>
            <w:tcW w:w="951" w:type="dxa"/>
            <w:shd w:val="clear" w:color="auto" w:fill="D5DCE4" w:themeFill="text2" w:themeFillTint="33"/>
          </w:tcPr>
          <w:p w14:paraId="5CFE951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Key UK evidence for service access</w:t>
            </w:r>
          </w:p>
        </w:tc>
      </w:tr>
      <w:tr w:rsidR="00057C9A" w:rsidRPr="00057C9A" w14:paraId="5D368A02" w14:textId="77777777" w:rsidTr="006D24C3">
        <w:tc>
          <w:tcPr>
            <w:tcW w:w="853" w:type="dxa"/>
            <w:shd w:val="clear" w:color="auto" w:fill="D5DCE4" w:themeFill="text2" w:themeFillTint="33"/>
          </w:tcPr>
          <w:p w14:paraId="0375CBED"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CQC (2023)</w:t>
            </w:r>
          </w:p>
        </w:tc>
        <w:tc>
          <w:tcPr>
            <w:tcW w:w="1079" w:type="dxa"/>
            <w:shd w:val="clear" w:color="auto" w:fill="D5DCE4" w:themeFill="text2" w:themeFillTint="33"/>
          </w:tcPr>
          <w:p w14:paraId="591D05A2"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Mental Health Services Annual Report</w:t>
            </w:r>
          </w:p>
        </w:tc>
        <w:tc>
          <w:tcPr>
            <w:tcW w:w="1011" w:type="dxa"/>
            <w:shd w:val="clear" w:color="auto" w:fill="D5DCE4" w:themeFill="text2" w:themeFillTint="33"/>
          </w:tcPr>
          <w:p w14:paraId="496DFD14"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Regulatory inspection report</w:t>
            </w:r>
          </w:p>
        </w:tc>
        <w:tc>
          <w:tcPr>
            <w:tcW w:w="1201" w:type="dxa"/>
            <w:shd w:val="clear" w:color="auto" w:fill="D5DCE4" w:themeFill="text2" w:themeFillTint="33"/>
          </w:tcPr>
          <w:p w14:paraId="1B92D151"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National inspection findings across NHS Trusts</w:t>
            </w:r>
          </w:p>
        </w:tc>
        <w:tc>
          <w:tcPr>
            <w:tcW w:w="1170" w:type="dxa"/>
            <w:shd w:val="clear" w:color="auto" w:fill="D5DCE4" w:themeFill="text2" w:themeFillTint="33"/>
          </w:tcPr>
          <w:p w14:paraId="6A74DD3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 Independent regulator. Limitation: Snapshot rather than longitudinal.</w:t>
            </w:r>
          </w:p>
        </w:tc>
        <w:tc>
          <w:tcPr>
            <w:tcW w:w="1457" w:type="dxa"/>
            <w:shd w:val="clear" w:color="auto" w:fill="D5DCE4" w:themeFill="text2" w:themeFillTint="33"/>
          </w:tcPr>
          <w:p w14:paraId="2057DAE1"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Identifies workforce shortages, fragmented care, and inequalities in schizophrenia services.</w:t>
            </w:r>
          </w:p>
        </w:tc>
        <w:tc>
          <w:tcPr>
            <w:tcW w:w="1134" w:type="dxa"/>
            <w:shd w:val="clear" w:color="auto" w:fill="D5DCE4" w:themeFill="text2" w:themeFillTint="33"/>
          </w:tcPr>
          <w:p w14:paraId="6574B74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Service quality; Inequality; Workforce</w:t>
            </w:r>
          </w:p>
        </w:tc>
        <w:tc>
          <w:tcPr>
            <w:tcW w:w="951" w:type="dxa"/>
            <w:shd w:val="clear" w:color="auto" w:fill="D5DCE4" w:themeFill="text2" w:themeFillTint="33"/>
          </w:tcPr>
          <w:p w14:paraId="49A86BA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Central to service delivery critique</w:t>
            </w:r>
          </w:p>
        </w:tc>
      </w:tr>
      <w:tr w:rsidR="00057C9A" w:rsidRPr="00057C9A" w14:paraId="7E9CBBB5" w14:textId="77777777" w:rsidTr="006D24C3">
        <w:tc>
          <w:tcPr>
            <w:tcW w:w="853" w:type="dxa"/>
            <w:shd w:val="clear" w:color="auto" w:fill="D5DCE4" w:themeFill="text2" w:themeFillTint="33"/>
          </w:tcPr>
          <w:p w14:paraId="10594C3E"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NICE (2020)</w:t>
            </w:r>
          </w:p>
        </w:tc>
        <w:tc>
          <w:tcPr>
            <w:tcW w:w="1079" w:type="dxa"/>
            <w:shd w:val="clear" w:color="auto" w:fill="D5DCE4" w:themeFill="text2" w:themeFillTint="33"/>
          </w:tcPr>
          <w:p w14:paraId="4CCE8E03"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Psychosis and Schizophrenia in Adults (NG222)</w:t>
            </w:r>
          </w:p>
        </w:tc>
        <w:tc>
          <w:tcPr>
            <w:tcW w:w="1011" w:type="dxa"/>
            <w:shd w:val="clear" w:color="auto" w:fill="D5DCE4" w:themeFill="text2" w:themeFillTint="33"/>
          </w:tcPr>
          <w:p w14:paraId="2B2AD85E"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Clinical guideline</w:t>
            </w:r>
          </w:p>
        </w:tc>
        <w:tc>
          <w:tcPr>
            <w:tcW w:w="1201" w:type="dxa"/>
            <w:shd w:val="clear" w:color="auto" w:fill="D5DCE4" w:themeFill="text2" w:themeFillTint="33"/>
          </w:tcPr>
          <w:p w14:paraId="25BB485F"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Systematic evidence review; guideline development</w:t>
            </w:r>
          </w:p>
        </w:tc>
        <w:tc>
          <w:tcPr>
            <w:tcW w:w="1170" w:type="dxa"/>
            <w:shd w:val="clear" w:color="auto" w:fill="D5DCE4" w:themeFill="text2" w:themeFillTint="33"/>
          </w:tcPr>
          <w:p w14:paraId="1CD41D2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 Gold-standard guidance. Limitation: Implementation variability.</w:t>
            </w:r>
          </w:p>
        </w:tc>
        <w:tc>
          <w:tcPr>
            <w:tcW w:w="1457" w:type="dxa"/>
            <w:shd w:val="clear" w:color="auto" w:fill="D5DCE4" w:themeFill="text2" w:themeFillTint="33"/>
          </w:tcPr>
          <w:p w14:paraId="106F6DA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Recommends combined pharmacological, psychological, and social interventions.</w:t>
            </w:r>
          </w:p>
        </w:tc>
        <w:tc>
          <w:tcPr>
            <w:tcW w:w="1134" w:type="dxa"/>
            <w:shd w:val="clear" w:color="auto" w:fill="D5DCE4" w:themeFill="text2" w:themeFillTint="33"/>
          </w:tcPr>
          <w:p w14:paraId="1DCEB5F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 xml:space="preserve">Treatment pathways; </w:t>
            </w:r>
            <w:proofErr w:type="spellStart"/>
            <w:r w:rsidRPr="00057C9A">
              <w:rPr>
                <w:rFonts w:ascii="Arial" w:hAnsi="Arial" w:cs="Arial"/>
                <w:color w:val="1F4E79" w:themeColor="accent5" w:themeShade="80"/>
                <w:sz w:val="16"/>
                <w:szCs w:val="16"/>
              </w:rPr>
              <w:t>CBTp</w:t>
            </w:r>
            <w:proofErr w:type="spellEnd"/>
            <w:r w:rsidRPr="00057C9A">
              <w:rPr>
                <w:rFonts w:ascii="Arial" w:hAnsi="Arial" w:cs="Arial"/>
                <w:color w:val="1F4E79" w:themeColor="accent5" w:themeShade="80"/>
                <w:sz w:val="16"/>
                <w:szCs w:val="16"/>
              </w:rPr>
              <w:t>; Antipsychotics</w:t>
            </w:r>
          </w:p>
        </w:tc>
        <w:tc>
          <w:tcPr>
            <w:tcW w:w="951" w:type="dxa"/>
            <w:shd w:val="clear" w:color="auto" w:fill="D5DCE4" w:themeFill="text2" w:themeFillTint="33"/>
          </w:tcPr>
          <w:p w14:paraId="1E27F98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Benchmark for UK treatment pathways</w:t>
            </w:r>
          </w:p>
        </w:tc>
      </w:tr>
      <w:tr w:rsidR="00057C9A" w:rsidRPr="00057C9A" w14:paraId="0BA7AD2D" w14:textId="77777777" w:rsidTr="006D24C3">
        <w:tc>
          <w:tcPr>
            <w:tcW w:w="853" w:type="dxa"/>
            <w:shd w:val="clear" w:color="auto" w:fill="D5DCE4" w:themeFill="text2" w:themeFillTint="33"/>
          </w:tcPr>
          <w:p w14:paraId="5DD9FEC5"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Leucht et al. (2019)</w:t>
            </w:r>
          </w:p>
        </w:tc>
        <w:tc>
          <w:tcPr>
            <w:tcW w:w="1079" w:type="dxa"/>
            <w:shd w:val="clear" w:color="auto" w:fill="D5DCE4" w:themeFill="text2" w:themeFillTint="33"/>
          </w:tcPr>
          <w:p w14:paraId="0F0FBAB0"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Antipsychotic Drugs versus Placebo for Relapse Prevention</w:t>
            </w:r>
          </w:p>
        </w:tc>
        <w:tc>
          <w:tcPr>
            <w:tcW w:w="1011" w:type="dxa"/>
            <w:shd w:val="clear" w:color="auto" w:fill="D5DCE4" w:themeFill="text2" w:themeFillTint="33"/>
          </w:tcPr>
          <w:p w14:paraId="6979B3B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Systematic review and meta-analysis</w:t>
            </w:r>
          </w:p>
        </w:tc>
        <w:tc>
          <w:tcPr>
            <w:tcW w:w="1201" w:type="dxa"/>
            <w:shd w:val="clear" w:color="auto" w:fill="D5DCE4" w:themeFill="text2" w:themeFillTint="33"/>
          </w:tcPr>
          <w:p w14:paraId="7CF0AC7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Meta-analysis of RCTs; large pooled samples</w:t>
            </w:r>
          </w:p>
        </w:tc>
        <w:tc>
          <w:tcPr>
            <w:tcW w:w="1170" w:type="dxa"/>
            <w:shd w:val="clear" w:color="auto" w:fill="D5DCE4" w:themeFill="text2" w:themeFillTint="33"/>
          </w:tcPr>
          <w:p w14:paraId="3815B03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 xml:space="preserve">Strength: High methodological </w:t>
            </w:r>
            <w:proofErr w:type="spellStart"/>
            <w:r w:rsidRPr="00057C9A">
              <w:rPr>
                <w:rFonts w:ascii="Arial" w:hAnsi="Arial" w:cs="Arial"/>
                <w:color w:val="1F4E79" w:themeColor="accent5" w:themeShade="80"/>
                <w:sz w:val="16"/>
                <w:szCs w:val="16"/>
              </w:rPr>
              <w:t>rigour</w:t>
            </w:r>
            <w:proofErr w:type="spellEnd"/>
            <w:r w:rsidRPr="00057C9A">
              <w:rPr>
                <w:rFonts w:ascii="Arial" w:hAnsi="Arial" w:cs="Arial"/>
                <w:color w:val="1F4E79" w:themeColor="accent5" w:themeShade="80"/>
                <w:sz w:val="16"/>
                <w:szCs w:val="16"/>
              </w:rPr>
              <w:t>. Limitation: Focus on medication only.</w:t>
            </w:r>
          </w:p>
        </w:tc>
        <w:tc>
          <w:tcPr>
            <w:tcW w:w="1457" w:type="dxa"/>
            <w:shd w:val="clear" w:color="auto" w:fill="D5DCE4" w:themeFill="text2" w:themeFillTint="33"/>
          </w:tcPr>
          <w:p w14:paraId="33161D6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Antipsychotics significantly reduce relapse risk compared to placebo.</w:t>
            </w:r>
          </w:p>
        </w:tc>
        <w:tc>
          <w:tcPr>
            <w:tcW w:w="1134" w:type="dxa"/>
            <w:shd w:val="clear" w:color="auto" w:fill="D5DCE4" w:themeFill="text2" w:themeFillTint="33"/>
          </w:tcPr>
          <w:p w14:paraId="7272AFB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Effectiveness; Medication; Relapse prevention</w:t>
            </w:r>
          </w:p>
        </w:tc>
        <w:tc>
          <w:tcPr>
            <w:tcW w:w="951" w:type="dxa"/>
            <w:shd w:val="clear" w:color="auto" w:fill="D5DCE4" w:themeFill="text2" w:themeFillTint="33"/>
          </w:tcPr>
          <w:p w14:paraId="34CBDB45"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Supports pharmacological effectiveness</w:t>
            </w:r>
          </w:p>
        </w:tc>
      </w:tr>
      <w:tr w:rsidR="00057C9A" w:rsidRPr="00057C9A" w14:paraId="4FEED158" w14:textId="77777777" w:rsidTr="006D24C3">
        <w:tc>
          <w:tcPr>
            <w:tcW w:w="853" w:type="dxa"/>
            <w:shd w:val="clear" w:color="auto" w:fill="D5DCE4" w:themeFill="text2" w:themeFillTint="33"/>
          </w:tcPr>
          <w:p w14:paraId="3AAB594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Birchwood et al. (2000)</w:t>
            </w:r>
          </w:p>
        </w:tc>
        <w:tc>
          <w:tcPr>
            <w:tcW w:w="1079" w:type="dxa"/>
            <w:shd w:val="clear" w:color="auto" w:fill="D5DCE4" w:themeFill="text2" w:themeFillTint="33"/>
          </w:tcPr>
          <w:p w14:paraId="5A8D195D"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Early Intervention in Psychosis</w:t>
            </w:r>
          </w:p>
        </w:tc>
        <w:tc>
          <w:tcPr>
            <w:tcW w:w="1011" w:type="dxa"/>
            <w:shd w:val="clear" w:color="auto" w:fill="D5DCE4" w:themeFill="text2" w:themeFillTint="33"/>
          </w:tcPr>
          <w:p w14:paraId="7212E870"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Longitudinal cohort study</w:t>
            </w:r>
          </w:p>
        </w:tc>
        <w:tc>
          <w:tcPr>
            <w:tcW w:w="1201" w:type="dxa"/>
            <w:shd w:val="clear" w:color="auto" w:fill="D5DCE4" w:themeFill="text2" w:themeFillTint="33"/>
          </w:tcPr>
          <w:p w14:paraId="5A6C00DB"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Clinical outcome comparison of EIP vs standard care</w:t>
            </w:r>
          </w:p>
        </w:tc>
        <w:tc>
          <w:tcPr>
            <w:tcW w:w="1170" w:type="dxa"/>
            <w:shd w:val="clear" w:color="auto" w:fill="D5DCE4" w:themeFill="text2" w:themeFillTint="33"/>
          </w:tcPr>
          <w:p w14:paraId="7C69A83F"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 Foundational evidence. Limitation: Older study.</w:t>
            </w:r>
          </w:p>
        </w:tc>
        <w:tc>
          <w:tcPr>
            <w:tcW w:w="1457" w:type="dxa"/>
            <w:shd w:val="clear" w:color="auto" w:fill="D5DCE4" w:themeFill="text2" w:themeFillTint="33"/>
          </w:tcPr>
          <w:p w14:paraId="7C687F2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Early intervention improves long-term clinical and social outcomes.</w:t>
            </w:r>
          </w:p>
        </w:tc>
        <w:tc>
          <w:tcPr>
            <w:tcW w:w="1134" w:type="dxa"/>
            <w:shd w:val="clear" w:color="auto" w:fill="D5DCE4" w:themeFill="text2" w:themeFillTint="33"/>
          </w:tcPr>
          <w:p w14:paraId="4FE30E8D"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EIP; Early treatment; Outcomes</w:t>
            </w:r>
          </w:p>
        </w:tc>
        <w:tc>
          <w:tcPr>
            <w:tcW w:w="951" w:type="dxa"/>
            <w:shd w:val="clear" w:color="auto" w:fill="D5DCE4" w:themeFill="text2" w:themeFillTint="33"/>
          </w:tcPr>
          <w:p w14:paraId="54B21C2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Justifies EIP model historically</w:t>
            </w:r>
          </w:p>
        </w:tc>
      </w:tr>
      <w:tr w:rsidR="00057C9A" w:rsidRPr="00057C9A" w14:paraId="5B0DEF4F" w14:textId="77777777" w:rsidTr="006D24C3">
        <w:tc>
          <w:tcPr>
            <w:tcW w:w="853" w:type="dxa"/>
            <w:shd w:val="clear" w:color="auto" w:fill="D5DCE4" w:themeFill="text2" w:themeFillTint="33"/>
          </w:tcPr>
          <w:p w14:paraId="17E1FA42" w14:textId="77777777" w:rsidR="00057C9A" w:rsidRPr="00057C9A" w:rsidRDefault="00057C9A" w:rsidP="006D24C3">
            <w:pPr>
              <w:rPr>
                <w:rFonts w:ascii="Arial" w:hAnsi="Arial" w:cs="Arial"/>
                <w:color w:val="1F4E79" w:themeColor="accent5" w:themeShade="80"/>
                <w:sz w:val="16"/>
                <w:szCs w:val="16"/>
              </w:rPr>
            </w:pPr>
            <w:proofErr w:type="spellStart"/>
            <w:r w:rsidRPr="00057C9A">
              <w:rPr>
                <w:rFonts w:ascii="Arial" w:hAnsi="Arial" w:cs="Arial"/>
                <w:color w:val="1F4E79" w:themeColor="accent5" w:themeShade="80"/>
                <w:sz w:val="16"/>
                <w:szCs w:val="16"/>
              </w:rPr>
              <w:t>Nazroo</w:t>
            </w:r>
            <w:proofErr w:type="spellEnd"/>
            <w:r w:rsidRPr="00057C9A">
              <w:rPr>
                <w:rFonts w:ascii="Arial" w:hAnsi="Arial" w:cs="Arial"/>
                <w:color w:val="1F4E79" w:themeColor="accent5" w:themeShade="80"/>
                <w:sz w:val="16"/>
                <w:szCs w:val="16"/>
              </w:rPr>
              <w:t xml:space="preserve"> et al. (2019)</w:t>
            </w:r>
          </w:p>
        </w:tc>
        <w:tc>
          <w:tcPr>
            <w:tcW w:w="1079" w:type="dxa"/>
            <w:shd w:val="clear" w:color="auto" w:fill="D5DCE4" w:themeFill="text2" w:themeFillTint="33"/>
          </w:tcPr>
          <w:p w14:paraId="534A6EEC"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Structural Racism and Mental Health Inequalities</w:t>
            </w:r>
          </w:p>
        </w:tc>
        <w:tc>
          <w:tcPr>
            <w:tcW w:w="1011" w:type="dxa"/>
            <w:shd w:val="clear" w:color="auto" w:fill="D5DCE4" w:themeFill="text2" w:themeFillTint="33"/>
          </w:tcPr>
          <w:p w14:paraId="698E2F5F"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Sociological empirical study</w:t>
            </w:r>
          </w:p>
        </w:tc>
        <w:tc>
          <w:tcPr>
            <w:tcW w:w="1201" w:type="dxa"/>
            <w:shd w:val="clear" w:color="auto" w:fill="D5DCE4" w:themeFill="text2" w:themeFillTint="33"/>
          </w:tcPr>
          <w:p w14:paraId="0EBC2EF9"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Analysis of population and service-use data</w:t>
            </w:r>
          </w:p>
        </w:tc>
        <w:tc>
          <w:tcPr>
            <w:tcW w:w="1170" w:type="dxa"/>
            <w:shd w:val="clear" w:color="auto" w:fill="D5DCE4" w:themeFill="text2" w:themeFillTint="33"/>
          </w:tcPr>
          <w:p w14:paraId="6462C9A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 Strong inequality focus. Limitation: Broad mental health scope.</w:t>
            </w:r>
          </w:p>
        </w:tc>
        <w:tc>
          <w:tcPr>
            <w:tcW w:w="1457" w:type="dxa"/>
            <w:shd w:val="clear" w:color="auto" w:fill="D5DCE4" w:themeFill="text2" w:themeFillTint="33"/>
          </w:tcPr>
          <w:p w14:paraId="3CDF7C57"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Structural racism contributes to unequal mental health outcomes and detention rates.</w:t>
            </w:r>
          </w:p>
        </w:tc>
        <w:tc>
          <w:tcPr>
            <w:tcW w:w="1134" w:type="dxa"/>
            <w:shd w:val="clear" w:color="auto" w:fill="D5DCE4" w:themeFill="text2" w:themeFillTint="33"/>
          </w:tcPr>
          <w:p w14:paraId="64B1D990"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Ethnicity; Inequality; Detention</w:t>
            </w:r>
          </w:p>
        </w:tc>
        <w:tc>
          <w:tcPr>
            <w:tcW w:w="951" w:type="dxa"/>
            <w:shd w:val="clear" w:color="auto" w:fill="D5DCE4" w:themeFill="text2" w:themeFillTint="33"/>
          </w:tcPr>
          <w:p w14:paraId="15F45FDA"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Supports intersectionality analysis</w:t>
            </w:r>
          </w:p>
        </w:tc>
      </w:tr>
      <w:tr w:rsidR="00057C9A" w:rsidRPr="00057C9A" w14:paraId="1F8B0430" w14:textId="77777777" w:rsidTr="006D24C3">
        <w:tc>
          <w:tcPr>
            <w:tcW w:w="853" w:type="dxa"/>
            <w:shd w:val="clear" w:color="auto" w:fill="D5DCE4" w:themeFill="text2" w:themeFillTint="33"/>
          </w:tcPr>
          <w:p w14:paraId="40A27D9F"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Braun &amp; Clarke (2019)</w:t>
            </w:r>
          </w:p>
        </w:tc>
        <w:tc>
          <w:tcPr>
            <w:tcW w:w="1079" w:type="dxa"/>
            <w:shd w:val="clear" w:color="auto" w:fill="D5DCE4" w:themeFill="text2" w:themeFillTint="33"/>
          </w:tcPr>
          <w:p w14:paraId="34BA010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Reflecting on Reflexive Thematic Analysis</w:t>
            </w:r>
          </w:p>
        </w:tc>
        <w:tc>
          <w:tcPr>
            <w:tcW w:w="1011" w:type="dxa"/>
            <w:shd w:val="clear" w:color="auto" w:fill="D5DCE4" w:themeFill="text2" w:themeFillTint="33"/>
          </w:tcPr>
          <w:p w14:paraId="5EC608DD"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Methodological paper</w:t>
            </w:r>
          </w:p>
        </w:tc>
        <w:tc>
          <w:tcPr>
            <w:tcW w:w="1201" w:type="dxa"/>
            <w:shd w:val="clear" w:color="auto" w:fill="D5DCE4" w:themeFill="text2" w:themeFillTint="33"/>
          </w:tcPr>
          <w:p w14:paraId="6E4EDD4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Conceptual and applied qualitative methodology</w:t>
            </w:r>
          </w:p>
        </w:tc>
        <w:tc>
          <w:tcPr>
            <w:tcW w:w="1170" w:type="dxa"/>
            <w:shd w:val="clear" w:color="auto" w:fill="D5DCE4" w:themeFill="text2" w:themeFillTint="33"/>
          </w:tcPr>
          <w:p w14:paraId="628BC236"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Strength: Widely cited method. Limitation: Not condition-specific.</w:t>
            </w:r>
          </w:p>
        </w:tc>
        <w:tc>
          <w:tcPr>
            <w:tcW w:w="1457" w:type="dxa"/>
            <w:shd w:val="clear" w:color="auto" w:fill="D5DCE4" w:themeFill="text2" w:themeFillTint="33"/>
          </w:tcPr>
          <w:p w14:paraId="26A66E28"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Provides a rigorous framework for thematic analysis in qualitative research.</w:t>
            </w:r>
          </w:p>
        </w:tc>
        <w:tc>
          <w:tcPr>
            <w:tcW w:w="1134" w:type="dxa"/>
            <w:shd w:val="clear" w:color="auto" w:fill="D5DCE4" w:themeFill="text2" w:themeFillTint="33"/>
          </w:tcPr>
          <w:p w14:paraId="59DCB485"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Thematic analysis; Coding; Qualitative methods</w:t>
            </w:r>
          </w:p>
        </w:tc>
        <w:tc>
          <w:tcPr>
            <w:tcW w:w="951" w:type="dxa"/>
            <w:shd w:val="clear" w:color="auto" w:fill="D5DCE4" w:themeFill="text2" w:themeFillTint="33"/>
          </w:tcPr>
          <w:p w14:paraId="030630CE" w14:textId="77777777" w:rsidR="00057C9A" w:rsidRPr="00057C9A" w:rsidRDefault="00057C9A" w:rsidP="006D24C3">
            <w:pPr>
              <w:rPr>
                <w:rFonts w:ascii="Arial" w:hAnsi="Arial" w:cs="Arial"/>
                <w:color w:val="1F4E79" w:themeColor="accent5" w:themeShade="80"/>
                <w:sz w:val="16"/>
                <w:szCs w:val="16"/>
              </w:rPr>
            </w:pPr>
            <w:r w:rsidRPr="00057C9A">
              <w:rPr>
                <w:rFonts w:ascii="Arial" w:hAnsi="Arial" w:cs="Arial"/>
                <w:color w:val="1F4E79" w:themeColor="accent5" w:themeShade="80"/>
                <w:sz w:val="16"/>
                <w:szCs w:val="16"/>
              </w:rPr>
              <w:t>Justifies analytical approach in Chapter 4</w:t>
            </w:r>
          </w:p>
        </w:tc>
      </w:tr>
    </w:tbl>
    <w:p w14:paraId="332C6581" w14:textId="77777777" w:rsidR="00057C9A" w:rsidRPr="00057C9A" w:rsidRDefault="00057C9A" w:rsidP="00057C9A">
      <w:pPr>
        <w:spacing w:before="100" w:beforeAutospacing="1" w:after="100" w:afterAutospacing="1" w:line="240" w:lineRule="auto"/>
        <w:outlineLvl w:val="0"/>
        <w:rPr>
          <w:rFonts w:ascii="Arial" w:eastAsia="Times New Roman" w:hAnsi="Arial" w:cs="Arial"/>
          <w:b/>
          <w:bCs/>
          <w:color w:val="1F4E79" w:themeColor="accent5" w:themeShade="80"/>
          <w:kern w:val="36"/>
          <w:sz w:val="48"/>
          <w:szCs w:val="48"/>
          <w:lang w:eastAsia="en-GB"/>
          <w14:ligatures w14:val="none"/>
        </w:rPr>
      </w:pPr>
    </w:p>
    <w:p w14:paraId="493EDBF5" w14:textId="77777777" w:rsidR="00057C9A" w:rsidRPr="00057C9A" w:rsidRDefault="00057C9A" w:rsidP="00057C9A">
      <w:pPr>
        <w:keepNext/>
        <w:keepLines/>
        <w:spacing w:before="360" w:after="80"/>
        <w:outlineLvl w:val="0"/>
        <w:rPr>
          <w:rFonts w:ascii="Arial" w:eastAsiaTheme="majorEastAsia" w:hAnsi="Arial" w:cs="Arial"/>
          <w:color w:val="1F4E79" w:themeColor="accent5" w:themeShade="80"/>
          <w:sz w:val="40"/>
          <w:szCs w:val="40"/>
        </w:rPr>
      </w:pPr>
      <w:r w:rsidRPr="00057C9A">
        <w:rPr>
          <w:rFonts w:ascii="Arial" w:eastAsiaTheme="majorEastAsia" w:hAnsi="Arial" w:cs="Arial"/>
          <w:color w:val="1F4E79" w:themeColor="accent5" w:themeShade="80"/>
          <w:sz w:val="40"/>
          <w:szCs w:val="40"/>
        </w:rPr>
        <w:t>Appendix A: Literature Search Tracking Sheet</w:t>
      </w:r>
    </w:p>
    <w:p w14:paraId="0B891488" w14:textId="77777777" w:rsidR="00057C9A" w:rsidRPr="00057C9A" w:rsidRDefault="00057C9A" w:rsidP="00057C9A">
      <w:pPr>
        <w:rPr>
          <w:rFonts w:ascii="Arial" w:hAnsi="Arial" w:cs="Arial"/>
          <w:color w:val="1F4E79" w:themeColor="accent5" w:themeShade="80"/>
        </w:rPr>
      </w:pPr>
      <w:r w:rsidRPr="00057C9A">
        <w:rPr>
          <w:rFonts w:ascii="Arial" w:hAnsi="Arial" w:cs="Arial"/>
          <w:color w:val="1F4E79" w:themeColor="accent5" w:themeShade="80"/>
        </w:rPr>
        <w:t>This tracking sheet documents the systematic search strategy used to identify relevant literature for the dissertation. It records databases searched, keywords used, search strings applied, and the number of results retrieved, supporting transparency and replicability.</w:t>
      </w:r>
    </w:p>
    <w:tbl>
      <w:tblPr>
        <w:tblStyle w:val="TableGrid"/>
        <w:tblW w:w="0" w:type="auto"/>
        <w:tblInd w:w="0" w:type="dxa"/>
        <w:tblLook w:val="04A0" w:firstRow="1" w:lastRow="0" w:firstColumn="1" w:lastColumn="0" w:noHBand="0" w:noVBand="1"/>
      </w:tblPr>
      <w:tblGrid>
        <w:gridCol w:w="1164"/>
        <w:gridCol w:w="1540"/>
        <w:gridCol w:w="1453"/>
        <w:gridCol w:w="1227"/>
        <w:gridCol w:w="1174"/>
        <w:gridCol w:w="1955"/>
      </w:tblGrid>
      <w:tr w:rsidR="00057C9A" w:rsidRPr="00057C9A" w14:paraId="5AC7529B" w14:textId="77777777" w:rsidTr="006D24C3">
        <w:tc>
          <w:tcPr>
            <w:tcW w:w="1164" w:type="dxa"/>
            <w:shd w:val="clear" w:color="auto" w:fill="DBDBDB" w:themeFill="accent3" w:themeFillTint="66"/>
          </w:tcPr>
          <w:p w14:paraId="24E566AC"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Database / Source</w:t>
            </w:r>
          </w:p>
        </w:tc>
        <w:tc>
          <w:tcPr>
            <w:tcW w:w="1540" w:type="dxa"/>
            <w:shd w:val="clear" w:color="auto" w:fill="DBDBDB" w:themeFill="accent3" w:themeFillTint="66"/>
          </w:tcPr>
          <w:p w14:paraId="0FA08FFB"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Key Terms Used</w:t>
            </w:r>
          </w:p>
        </w:tc>
        <w:tc>
          <w:tcPr>
            <w:tcW w:w="1453" w:type="dxa"/>
            <w:shd w:val="clear" w:color="auto" w:fill="DBDBDB" w:themeFill="accent3" w:themeFillTint="66"/>
          </w:tcPr>
          <w:p w14:paraId="1DC04C34"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Search String</w:t>
            </w:r>
          </w:p>
        </w:tc>
        <w:tc>
          <w:tcPr>
            <w:tcW w:w="1227" w:type="dxa"/>
            <w:shd w:val="clear" w:color="auto" w:fill="DBDBDB" w:themeFill="accent3" w:themeFillTint="66"/>
          </w:tcPr>
          <w:p w14:paraId="75382D52"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Filters Applied</w:t>
            </w:r>
          </w:p>
        </w:tc>
        <w:tc>
          <w:tcPr>
            <w:tcW w:w="1174" w:type="dxa"/>
            <w:shd w:val="clear" w:color="auto" w:fill="DBDBDB" w:themeFill="accent3" w:themeFillTint="66"/>
          </w:tcPr>
          <w:p w14:paraId="072F991B"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Results Retrieved</w:t>
            </w:r>
          </w:p>
        </w:tc>
        <w:tc>
          <w:tcPr>
            <w:tcW w:w="1955" w:type="dxa"/>
            <w:shd w:val="clear" w:color="auto" w:fill="DBDBDB" w:themeFill="accent3" w:themeFillTint="66"/>
          </w:tcPr>
          <w:p w14:paraId="48114D17"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Notes / Relevance</w:t>
            </w:r>
          </w:p>
        </w:tc>
      </w:tr>
      <w:tr w:rsidR="00057C9A" w:rsidRPr="00057C9A" w14:paraId="532ECBB5" w14:textId="77777777" w:rsidTr="006D24C3">
        <w:tc>
          <w:tcPr>
            <w:tcW w:w="1164" w:type="dxa"/>
            <w:shd w:val="clear" w:color="auto" w:fill="DBDBDB" w:themeFill="accent3" w:themeFillTint="66"/>
          </w:tcPr>
          <w:p w14:paraId="2BB8E9B0"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lastRenderedPageBreak/>
              <w:t>PubMed</w:t>
            </w:r>
          </w:p>
        </w:tc>
        <w:tc>
          <w:tcPr>
            <w:tcW w:w="1540" w:type="dxa"/>
            <w:shd w:val="clear" w:color="auto" w:fill="DBDBDB" w:themeFill="accent3" w:themeFillTint="66"/>
          </w:tcPr>
          <w:p w14:paraId="6FE9D58F"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Schizophrenia; treatment pathways; service delivery</w:t>
            </w:r>
          </w:p>
        </w:tc>
        <w:tc>
          <w:tcPr>
            <w:tcW w:w="1453" w:type="dxa"/>
            <w:shd w:val="clear" w:color="auto" w:fill="DBDBDB" w:themeFill="accent3" w:themeFillTint="66"/>
          </w:tcPr>
          <w:p w14:paraId="78B2B9DE"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schizophrenia AND treatment pathways AND service delivery</w:t>
            </w:r>
          </w:p>
        </w:tc>
        <w:tc>
          <w:tcPr>
            <w:tcW w:w="1227" w:type="dxa"/>
            <w:shd w:val="clear" w:color="auto" w:fill="DBDBDB" w:themeFill="accent3" w:themeFillTint="66"/>
          </w:tcPr>
          <w:p w14:paraId="7B9181A4"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UK; English; 2015–2025</w:t>
            </w:r>
          </w:p>
        </w:tc>
        <w:tc>
          <w:tcPr>
            <w:tcW w:w="1174" w:type="dxa"/>
            <w:shd w:val="clear" w:color="auto" w:fill="DBDBDB" w:themeFill="accent3" w:themeFillTint="66"/>
          </w:tcPr>
          <w:p w14:paraId="1827647F"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245</w:t>
            </w:r>
          </w:p>
        </w:tc>
        <w:tc>
          <w:tcPr>
            <w:tcW w:w="1955" w:type="dxa"/>
            <w:shd w:val="clear" w:color="auto" w:fill="DBDBDB" w:themeFill="accent3" w:themeFillTint="66"/>
          </w:tcPr>
          <w:p w14:paraId="3A470F9D"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Too broad – refined search</w:t>
            </w:r>
          </w:p>
        </w:tc>
      </w:tr>
      <w:tr w:rsidR="00057C9A" w:rsidRPr="00057C9A" w14:paraId="7A7FEE08" w14:textId="77777777" w:rsidTr="006D24C3">
        <w:tc>
          <w:tcPr>
            <w:tcW w:w="1164" w:type="dxa"/>
            <w:shd w:val="clear" w:color="auto" w:fill="DBDBDB" w:themeFill="accent3" w:themeFillTint="66"/>
          </w:tcPr>
          <w:p w14:paraId="4549B825"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PsycINFO</w:t>
            </w:r>
          </w:p>
        </w:tc>
        <w:tc>
          <w:tcPr>
            <w:tcW w:w="1540" w:type="dxa"/>
            <w:shd w:val="clear" w:color="auto" w:fill="DBDBDB" w:themeFill="accent3" w:themeFillTint="66"/>
          </w:tcPr>
          <w:p w14:paraId="382A31AB"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Psychosis; EIP; outcomes</w:t>
            </w:r>
          </w:p>
        </w:tc>
        <w:tc>
          <w:tcPr>
            <w:tcW w:w="1453" w:type="dxa"/>
            <w:shd w:val="clear" w:color="auto" w:fill="DBDBDB" w:themeFill="accent3" w:themeFillTint="66"/>
          </w:tcPr>
          <w:p w14:paraId="45C038E0"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psychosis AND early intervention AND outcomes</w:t>
            </w:r>
          </w:p>
        </w:tc>
        <w:tc>
          <w:tcPr>
            <w:tcW w:w="1227" w:type="dxa"/>
            <w:shd w:val="clear" w:color="auto" w:fill="DBDBDB" w:themeFill="accent3" w:themeFillTint="66"/>
          </w:tcPr>
          <w:p w14:paraId="7A52B559"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Peer-reviewed; UK</w:t>
            </w:r>
          </w:p>
        </w:tc>
        <w:tc>
          <w:tcPr>
            <w:tcW w:w="1174" w:type="dxa"/>
            <w:shd w:val="clear" w:color="auto" w:fill="DBDBDB" w:themeFill="accent3" w:themeFillTint="66"/>
          </w:tcPr>
          <w:p w14:paraId="52041E94"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112</w:t>
            </w:r>
          </w:p>
        </w:tc>
        <w:tc>
          <w:tcPr>
            <w:tcW w:w="1955" w:type="dxa"/>
            <w:shd w:val="clear" w:color="auto" w:fill="DBDBDB" w:themeFill="accent3" w:themeFillTint="66"/>
          </w:tcPr>
          <w:p w14:paraId="0315E85D"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Highly relevant</w:t>
            </w:r>
          </w:p>
        </w:tc>
      </w:tr>
      <w:tr w:rsidR="00057C9A" w:rsidRPr="00057C9A" w14:paraId="686E6155" w14:textId="77777777" w:rsidTr="006D24C3">
        <w:tc>
          <w:tcPr>
            <w:tcW w:w="1164" w:type="dxa"/>
            <w:shd w:val="clear" w:color="auto" w:fill="DBDBDB" w:themeFill="accent3" w:themeFillTint="66"/>
          </w:tcPr>
          <w:p w14:paraId="18DB963B"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CINAHL</w:t>
            </w:r>
          </w:p>
        </w:tc>
        <w:tc>
          <w:tcPr>
            <w:tcW w:w="1540" w:type="dxa"/>
            <w:shd w:val="clear" w:color="auto" w:fill="DBDBDB" w:themeFill="accent3" w:themeFillTint="66"/>
          </w:tcPr>
          <w:p w14:paraId="3B1F2070"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SMI; community mental health; accessibility</w:t>
            </w:r>
          </w:p>
        </w:tc>
        <w:tc>
          <w:tcPr>
            <w:tcW w:w="1453" w:type="dxa"/>
            <w:shd w:val="clear" w:color="auto" w:fill="DBDBDB" w:themeFill="accent3" w:themeFillTint="66"/>
          </w:tcPr>
          <w:p w14:paraId="342C3BB6"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SMI AND community mental health AND accessibility</w:t>
            </w:r>
          </w:p>
        </w:tc>
        <w:tc>
          <w:tcPr>
            <w:tcW w:w="1227" w:type="dxa"/>
            <w:shd w:val="clear" w:color="auto" w:fill="DBDBDB" w:themeFill="accent3" w:themeFillTint="66"/>
          </w:tcPr>
          <w:p w14:paraId="1FFB727C"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UK; full text</w:t>
            </w:r>
          </w:p>
        </w:tc>
        <w:tc>
          <w:tcPr>
            <w:tcW w:w="1174" w:type="dxa"/>
            <w:shd w:val="clear" w:color="auto" w:fill="DBDBDB" w:themeFill="accent3" w:themeFillTint="66"/>
          </w:tcPr>
          <w:p w14:paraId="0C63CFD3"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78</w:t>
            </w:r>
          </w:p>
        </w:tc>
        <w:tc>
          <w:tcPr>
            <w:tcW w:w="1955" w:type="dxa"/>
            <w:shd w:val="clear" w:color="auto" w:fill="DBDBDB" w:themeFill="accent3" w:themeFillTint="66"/>
          </w:tcPr>
          <w:p w14:paraId="6C287DC8"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Useful service-delivery studies</w:t>
            </w:r>
          </w:p>
        </w:tc>
      </w:tr>
      <w:tr w:rsidR="00057C9A" w:rsidRPr="00057C9A" w14:paraId="0191E084" w14:textId="77777777" w:rsidTr="006D24C3">
        <w:tc>
          <w:tcPr>
            <w:tcW w:w="1164" w:type="dxa"/>
            <w:shd w:val="clear" w:color="auto" w:fill="DBDBDB" w:themeFill="accent3" w:themeFillTint="66"/>
          </w:tcPr>
          <w:p w14:paraId="6D98E77F"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NHS England / GOV.UK</w:t>
            </w:r>
          </w:p>
        </w:tc>
        <w:tc>
          <w:tcPr>
            <w:tcW w:w="1540" w:type="dxa"/>
            <w:shd w:val="clear" w:color="auto" w:fill="DBDBDB" w:themeFill="accent3" w:themeFillTint="66"/>
          </w:tcPr>
          <w:p w14:paraId="1DF5E960"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Schizophrenia; policy; NICE; ICS</w:t>
            </w:r>
          </w:p>
        </w:tc>
        <w:tc>
          <w:tcPr>
            <w:tcW w:w="1453" w:type="dxa"/>
            <w:shd w:val="clear" w:color="auto" w:fill="DBDBDB" w:themeFill="accent3" w:themeFillTint="66"/>
          </w:tcPr>
          <w:p w14:paraId="7E06D3A0"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schizophrenia AND NHS AND policy</w:t>
            </w:r>
          </w:p>
        </w:tc>
        <w:tc>
          <w:tcPr>
            <w:tcW w:w="1227" w:type="dxa"/>
            <w:shd w:val="clear" w:color="auto" w:fill="DBDBDB" w:themeFill="accent3" w:themeFillTint="66"/>
          </w:tcPr>
          <w:p w14:paraId="66F19377"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Policy documents</w:t>
            </w:r>
          </w:p>
        </w:tc>
        <w:tc>
          <w:tcPr>
            <w:tcW w:w="1174" w:type="dxa"/>
            <w:shd w:val="clear" w:color="auto" w:fill="DBDBDB" w:themeFill="accent3" w:themeFillTint="66"/>
          </w:tcPr>
          <w:p w14:paraId="5CB31D43"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34</w:t>
            </w:r>
          </w:p>
        </w:tc>
        <w:tc>
          <w:tcPr>
            <w:tcW w:w="1955" w:type="dxa"/>
            <w:shd w:val="clear" w:color="auto" w:fill="DBDBDB" w:themeFill="accent3" w:themeFillTint="66"/>
          </w:tcPr>
          <w:p w14:paraId="5E7675CB" w14:textId="77777777" w:rsidR="00057C9A" w:rsidRPr="00057C9A" w:rsidRDefault="00057C9A" w:rsidP="006D24C3">
            <w:pPr>
              <w:rPr>
                <w:rFonts w:ascii="Arial" w:hAnsi="Arial" w:cs="Arial"/>
                <w:color w:val="1F4E79" w:themeColor="accent5" w:themeShade="80"/>
                <w:sz w:val="20"/>
                <w:szCs w:val="20"/>
              </w:rPr>
            </w:pPr>
            <w:r w:rsidRPr="00057C9A">
              <w:rPr>
                <w:rFonts w:ascii="Arial" w:hAnsi="Arial" w:cs="Arial"/>
                <w:color w:val="1F4E79" w:themeColor="accent5" w:themeShade="80"/>
                <w:sz w:val="20"/>
                <w:szCs w:val="20"/>
              </w:rPr>
              <w:t>Key national guidance</w:t>
            </w:r>
          </w:p>
        </w:tc>
      </w:tr>
    </w:tbl>
    <w:p w14:paraId="6E64D19A" w14:textId="77777777" w:rsidR="002906B1" w:rsidRDefault="002906B1" w:rsidP="00057C9A">
      <w:pPr>
        <w:spacing w:line="360" w:lineRule="auto"/>
        <w:jc w:val="both"/>
      </w:pPr>
    </w:p>
    <w:sectPr w:rsidR="002906B1" w:rsidSect="00F67AE0">
      <w:footerReference w:type="default" r:id="rId3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85CC" w14:textId="77777777" w:rsidR="00D61BAD" w:rsidRDefault="00D61BAD" w:rsidP="00F67AE0">
      <w:pPr>
        <w:spacing w:after="0" w:line="240" w:lineRule="auto"/>
      </w:pPr>
      <w:r>
        <w:separator/>
      </w:r>
    </w:p>
  </w:endnote>
  <w:endnote w:type="continuationSeparator" w:id="0">
    <w:p w14:paraId="61B0AC46" w14:textId="77777777" w:rsidR="00D61BAD" w:rsidRDefault="00D61BAD" w:rsidP="00F6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058906"/>
      <w:docPartObj>
        <w:docPartGallery w:val="Page Numbers (Bottom of Page)"/>
        <w:docPartUnique/>
      </w:docPartObj>
    </w:sdtPr>
    <w:sdtEndPr>
      <w:rPr>
        <w:noProof/>
      </w:rPr>
    </w:sdtEndPr>
    <w:sdtContent>
      <w:p w14:paraId="3F863C75" w14:textId="37F8E547" w:rsidR="00F67AE0" w:rsidRDefault="00F67A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61A115" w14:textId="77777777" w:rsidR="00F67AE0" w:rsidRDefault="00F67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5FD18" w14:textId="77777777" w:rsidR="00D61BAD" w:rsidRDefault="00D61BAD" w:rsidP="00F67AE0">
      <w:pPr>
        <w:spacing w:after="0" w:line="240" w:lineRule="auto"/>
      </w:pPr>
      <w:r>
        <w:separator/>
      </w:r>
    </w:p>
  </w:footnote>
  <w:footnote w:type="continuationSeparator" w:id="0">
    <w:p w14:paraId="50E01EF9" w14:textId="77777777" w:rsidR="00D61BAD" w:rsidRDefault="00D61BAD" w:rsidP="00F6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94CBE"/>
    <w:multiLevelType w:val="multilevel"/>
    <w:tmpl w:val="CFAE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93D79"/>
    <w:multiLevelType w:val="multilevel"/>
    <w:tmpl w:val="2656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42267"/>
    <w:multiLevelType w:val="multilevel"/>
    <w:tmpl w:val="E692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BA64F3"/>
    <w:multiLevelType w:val="hybridMultilevel"/>
    <w:tmpl w:val="02B2AE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247423">
    <w:abstractNumId w:val="0"/>
  </w:num>
  <w:num w:numId="2" w16cid:durableId="646787407">
    <w:abstractNumId w:val="3"/>
  </w:num>
  <w:num w:numId="3" w16cid:durableId="1240485696">
    <w:abstractNumId w:val="2"/>
  </w:num>
  <w:num w:numId="4" w16cid:durableId="665865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C9A"/>
    <w:rsid w:val="00010A1F"/>
    <w:rsid w:val="00057C9A"/>
    <w:rsid w:val="000D4511"/>
    <w:rsid w:val="002906B1"/>
    <w:rsid w:val="002A00D0"/>
    <w:rsid w:val="004228EA"/>
    <w:rsid w:val="005A7E19"/>
    <w:rsid w:val="00676FA7"/>
    <w:rsid w:val="00691AE8"/>
    <w:rsid w:val="006A0C41"/>
    <w:rsid w:val="00A132FC"/>
    <w:rsid w:val="00B173CF"/>
    <w:rsid w:val="00BC4C27"/>
    <w:rsid w:val="00BC5857"/>
    <w:rsid w:val="00C51000"/>
    <w:rsid w:val="00C920DC"/>
    <w:rsid w:val="00D61BAD"/>
    <w:rsid w:val="00F67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A6E5C"/>
  <w15:chartTrackingRefBased/>
  <w15:docId w15:val="{4B32E7C8-1040-479C-A837-F61AA2177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C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7C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7C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7C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7C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7C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C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C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C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C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7C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7C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7C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7C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7C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C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C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C9A"/>
    <w:rPr>
      <w:rFonts w:eastAsiaTheme="majorEastAsia" w:cstheme="majorBidi"/>
      <w:color w:val="272727" w:themeColor="text1" w:themeTint="D8"/>
    </w:rPr>
  </w:style>
  <w:style w:type="paragraph" w:styleId="Title">
    <w:name w:val="Title"/>
    <w:basedOn w:val="Normal"/>
    <w:next w:val="Normal"/>
    <w:link w:val="TitleChar"/>
    <w:uiPriority w:val="10"/>
    <w:qFormat/>
    <w:rsid w:val="00057C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C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C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C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C9A"/>
    <w:pPr>
      <w:spacing w:before="160"/>
      <w:jc w:val="center"/>
    </w:pPr>
    <w:rPr>
      <w:i/>
      <w:iCs/>
      <w:color w:val="404040" w:themeColor="text1" w:themeTint="BF"/>
    </w:rPr>
  </w:style>
  <w:style w:type="character" w:customStyle="1" w:styleId="QuoteChar">
    <w:name w:val="Quote Char"/>
    <w:basedOn w:val="DefaultParagraphFont"/>
    <w:link w:val="Quote"/>
    <w:uiPriority w:val="29"/>
    <w:rsid w:val="00057C9A"/>
    <w:rPr>
      <w:i/>
      <w:iCs/>
      <w:color w:val="404040" w:themeColor="text1" w:themeTint="BF"/>
    </w:rPr>
  </w:style>
  <w:style w:type="paragraph" w:styleId="ListParagraph">
    <w:name w:val="List Paragraph"/>
    <w:basedOn w:val="Normal"/>
    <w:uiPriority w:val="34"/>
    <w:qFormat/>
    <w:rsid w:val="00057C9A"/>
    <w:pPr>
      <w:ind w:left="720"/>
      <w:contextualSpacing/>
    </w:pPr>
  </w:style>
  <w:style w:type="character" w:styleId="IntenseEmphasis">
    <w:name w:val="Intense Emphasis"/>
    <w:basedOn w:val="DefaultParagraphFont"/>
    <w:uiPriority w:val="21"/>
    <w:qFormat/>
    <w:rsid w:val="00057C9A"/>
    <w:rPr>
      <w:i/>
      <w:iCs/>
      <w:color w:val="2F5496" w:themeColor="accent1" w:themeShade="BF"/>
    </w:rPr>
  </w:style>
  <w:style w:type="paragraph" w:styleId="IntenseQuote">
    <w:name w:val="Intense Quote"/>
    <w:basedOn w:val="Normal"/>
    <w:next w:val="Normal"/>
    <w:link w:val="IntenseQuoteChar"/>
    <w:uiPriority w:val="30"/>
    <w:qFormat/>
    <w:rsid w:val="00057C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7C9A"/>
    <w:rPr>
      <w:i/>
      <w:iCs/>
      <w:color w:val="2F5496" w:themeColor="accent1" w:themeShade="BF"/>
    </w:rPr>
  </w:style>
  <w:style w:type="character" w:styleId="IntenseReference">
    <w:name w:val="Intense Reference"/>
    <w:basedOn w:val="DefaultParagraphFont"/>
    <w:uiPriority w:val="32"/>
    <w:qFormat/>
    <w:rsid w:val="00057C9A"/>
    <w:rPr>
      <w:b/>
      <w:bCs/>
      <w:smallCaps/>
      <w:color w:val="2F5496" w:themeColor="accent1" w:themeShade="BF"/>
      <w:spacing w:val="5"/>
    </w:rPr>
  </w:style>
  <w:style w:type="paragraph" w:styleId="NormalWeb">
    <w:name w:val="Normal (Web)"/>
    <w:basedOn w:val="Normal"/>
    <w:uiPriority w:val="99"/>
    <w:unhideWhenUsed/>
    <w:rsid w:val="00057C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57C9A"/>
    <w:rPr>
      <w:i/>
      <w:iCs/>
    </w:rPr>
  </w:style>
  <w:style w:type="character" w:styleId="Hyperlink">
    <w:name w:val="Hyperlink"/>
    <w:basedOn w:val="DefaultParagraphFont"/>
    <w:uiPriority w:val="99"/>
    <w:semiHidden/>
    <w:unhideWhenUsed/>
    <w:rsid w:val="00057C9A"/>
    <w:rPr>
      <w:color w:val="0000FF"/>
      <w:u w:val="single"/>
    </w:rPr>
  </w:style>
  <w:style w:type="character" w:styleId="Strong">
    <w:name w:val="Strong"/>
    <w:basedOn w:val="DefaultParagraphFont"/>
    <w:uiPriority w:val="22"/>
    <w:qFormat/>
    <w:rsid w:val="00057C9A"/>
    <w:rPr>
      <w:b/>
      <w:bCs/>
    </w:rPr>
  </w:style>
  <w:style w:type="table" w:styleId="TableGrid">
    <w:name w:val="Table Grid"/>
    <w:basedOn w:val="TableNormal"/>
    <w:uiPriority w:val="59"/>
    <w:rsid w:val="00057C9A"/>
    <w:pPr>
      <w:spacing w:after="0" w:line="240" w:lineRule="auto"/>
    </w:pPr>
    <w:rPr>
      <w:rFonts w:eastAsiaTheme="minorEastAsia"/>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67AE0"/>
    <w:pPr>
      <w:spacing w:after="0" w:line="240" w:lineRule="auto"/>
    </w:pPr>
  </w:style>
  <w:style w:type="paragraph" w:styleId="Header">
    <w:name w:val="header"/>
    <w:basedOn w:val="Normal"/>
    <w:link w:val="HeaderChar"/>
    <w:uiPriority w:val="99"/>
    <w:unhideWhenUsed/>
    <w:rsid w:val="00F67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E0"/>
  </w:style>
  <w:style w:type="paragraph" w:styleId="Footer">
    <w:name w:val="footer"/>
    <w:basedOn w:val="Normal"/>
    <w:link w:val="FooterChar"/>
    <w:uiPriority w:val="99"/>
    <w:unhideWhenUsed/>
    <w:rsid w:val="00F67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gov.uk/government/statistics/mental-health-act-statistics-england" TargetMode="External"/><Relationship Id="rId26" Type="http://schemas.openxmlformats.org/officeDocument/2006/relationships/hyperlink" Target="https://www.england.nhs.uk/integratedcare/ics-design-framework" TargetMode="External"/><Relationship Id="rId39" Type="http://schemas.openxmlformats.org/officeDocument/2006/relationships/fontTable" Target="fontTable.xml"/><Relationship Id="rId21" Type="http://schemas.openxmlformats.org/officeDocument/2006/relationships/hyperlink" Target="https://www.kingsfund.org.uk/insight-and-analysis/long-reads/integrated-care-systems-explained" TargetMode="External"/><Relationship Id="rId34" Type="http://schemas.openxmlformats.org/officeDocument/2006/relationships/hyperlink" Target="https://www.gov.scot/publications/mental-health-strategy-progress-repor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ov.uk/government/publications/care-programme-approach" TargetMode="External"/><Relationship Id="rId25" Type="http://schemas.openxmlformats.org/officeDocument/2006/relationships/hyperlink" Target="https://www.england.nhs.uk/statistics/statistical-work-areas/mental-health-services" TargetMode="External"/><Relationship Id="rId33" Type="http://schemas.openxmlformats.org/officeDocument/2006/relationships/hyperlink" Target="https://www.rcpsych.ac.uk/improving-care/ccqi/audit-and-quality-improvement/eip"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qc.org.uk/publications/mental-health-act-monitoring" TargetMode="External"/><Relationship Id="rId20" Type="http://schemas.openxmlformats.org/officeDocument/2006/relationships/hyperlink" Target="https://headspace.org.au/about-us" TargetMode="External"/><Relationship Id="rId29" Type="http://schemas.openxmlformats.org/officeDocument/2006/relationships/hyperlink" Target="https://www.oecd.org/health/mental-health-and-work-united-kingd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longtermplan.nhs.uk" TargetMode="External"/><Relationship Id="rId32" Type="http://schemas.openxmlformats.org/officeDocument/2006/relationships/hyperlink" Target="https://www.rcpsych.ac.uk/workforce" TargetMode="External"/><Relationship Id="rId37" Type="http://schemas.openxmlformats.org/officeDocument/2006/relationships/hyperlink" Target="https://www.who.int/news-room/fact-sheets/detail/schizophrenia"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qc.org.uk/publications/mental-health-services-annual-report" TargetMode="External"/><Relationship Id="rId23" Type="http://schemas.openxmlformats.org/officeDocument/2006/relationships/hyperlink" Target="https://www.nhsconfed.org/publications/impact-integrated-care-systems" TargetMode="External"/><Relationship Id="rId28" Type="http://schemas.openxmlformats.org/officeDocument/2006/relationships/hyperlink" Target="https://www.nice.org.uk/guidance/ng197" TargetMode="External"/><Relationship Id="rId36" Type="http://schemas.openxmlformats.org/officeDocument/2006/relationships/hyperlink" Target="https://www.who.int/publications/i/item/9789240036703" TargetMode="External"/><Relationship Id="rId10" Type="http://schemas.openxmlformats.org/officeDocument/2006/relationships/image" Target="media/image4.png"/><Relationship Id="rId19" Type="http://schemas.openxmlformats.org/officeDocument/2006/relationships/hyperlink" Target="https://www.gov.uk/government/publications/mental-health-act-reform" TargetMode="External"/><Relationship Id="rId31" Type="http://schemas.openxmlformats.org/officeDocument/2006/relationships/hyperlink" Target="https://www.niehs.nih.gov/research/resources/bioethics/whatis/index.cf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entalhealth.org.uk/publications/austerity-and-mental-health" TargetMode="External"/><Relationship Id="rId27" Type="http://schemas.openxmlformats.org/officeDocument/2006/relationships/hyperlink" Target="https://www.nice.org.uk/guidance/ng222" TargetMode="External"/><Relationship Id="rId30" Type="http://schemas.openxmlformats.org/officeDocument/2006/relationships/hyperlink" Target="https://www.england.nhs.uk/mental-health/adults/open-dialogue" TargetMode="External"/><Relationship Id="rId35" Type="http://schemas.openxmlformats.org/officeDocument/2006/relationships/hyperlink" Target="https://www.gov.wales/together-for-mental-health"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35</Pages>
  <Words>9316</Words>
  <Characters>53103</Characters>
  <Application>Microsoft Office Word</Application>
  <DocSecurity>0</DocSecurity>
  <Lines>442</Lines>
  <Paragraphs>124</Paragraphs>
  <ScaleCrop>false</ScaleCrop>
  <Company/>
  <LinksUpToDate>false</LinksUpToDate>
  <CharactersWithSpaces>62295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ARIF ULLAH</dc:creator>
  <cp:keywords/>
  <dc:description/>
  <cp:lastModifiedBy>MD ARIF ULLAH</cp:lastModifiedBy>
  <cp:revision>7</cp:revision>
  <dcterms:created xsi:type="dcterms:W3CDTF">2026-02-17T15:29:00Z</dcterms:created>
  <dcterms:modified xsi:type="dcterms:W3CDTF">2026-02-18T02:02:00Z</dcterms:modified>
</cp:coreProperties>
</file>