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04747D" w:rsidRDefault="51DC8CA0" w:rsidP="559C7451">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559C7451">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559C745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3B33C224" w:rsidP="559C7451">
      <w:pPr>
        <w:pStyle w:val="ListParagraph"/>
        <w:numPr>
          <w:ilvl w:val="0"/>
          <w:numId w:val="6"/>
        </w:numPr>
        <w:spacing w:after="0"/>
        <w:ind w:left="567" w:right="384" w:hanging="567"/>
        <w:jc w:val="both"/>
        <w:rPr>
          <w:rFonts w:ascii="Arial" w:eastAsia="Arial" w:hAnsi="Arial" w:cs="Arial"/>
          <w:sz w:val="24"/>
          <w:szCs w:val="24"/>
        </w:rPr>
      </w:pPr>
      <w:hyperlink r:id="rId13">
        <w:r w:rsidRPr="0004747D">
          <w:rPr>
            <w:rStyle w:val="Hyperlink"/>
            <w:rFonts w:ascii="Arial" w:eastAsia="Arial" w:hAnsi="Arial" w:cs="Arial"/>
            <w:b/>
            <w:bCs/>
            <w:color w:val="0087B5"/>
            <w:sz w:val="24"/>
            <w:szCs w:val="24"/>
            <w:u w:val="none"/>
          </w:rPr>
          <w:t>Fellowship Applicant Guidance</w:t>
        </w:r>
      </w:hyperlink>
      <w:r w:rsidRPr="0004747D">
        <w:rPr>
          <w:rStyle w:val="hyperlink1Char"/>
          <w:rFonts w:ascii="Arial" w:eastAsia="Arial" w:hAnsi="Arial" w:cs="Arial"/>
          <w:b/>
          <w:bCs/>
        </w:rPr>
        <w:t xml:space="preserve"> </w:t>
      </w:r>
      <w:r w:rsidRPr="0004747D">
        <w:rPr>
          <w:rFonts w:ascii="Arial" w:eastAsia="Arial" w:hAnsi="Arial" w:cs="Arial"/>
          <w:color w:val="A6A402"/>
          <w:sz w:val="24"/>
          <w:szCs w:val="24"/>
        </w:rPr>
        <w:t xml:space="preserve">and </w:t>
      </w:r>
      <w:hyperlink r:id="rId14">
        <w:r w:rsidRPr="0004747D">
          <w:rPr>
            <w:rStyle w:val="Hyperlink"/>
            <w:rFonts w:ascii="Arial" w:eastAsia="Arial" w:hAnsi="Arial" w:cs="Arial"/>
            <w:b/>
            <w:bCs/>
            <w:color w:val="0087B5"/>
            <w:sz w:val="24"/>
            <w:szCs w:val="24"/>
            <w:u w:val="none"/>
          </w:rPr>
          <w:t xml:space="preserve">Guide to the PSF 2023 Dimensions </w:t>
        </w:r>
        <w:proofErr w:type="gramStart"/>
        <w:r w:rsidRPr="0004747D">
          <w:rPr>
            <w:rStyle w:val="Hyperlink"/>
            <w:rFonts w:ascii="Arial" w:eastAsia="Arial" w:hAnsi="Arial" w:cs="Arial"/>
            <w:b/>
            <w:bCs/>
            <w:color w:val="0087B5"/>
            <w:sz w:val="24"/>
            <w:szCs w:val="24"/>
            <w:u w:val="none"/>
          </w:rPr>
          <w:t>-  Fellowship</w:t>
        </w:r>
        <w:proofErr w:type="gramEnd"/>
        <w:r w:rsidRPr="0004747D">
          <w:rPr>
            <w:rStyle w:val="Hyperlink"/>
            <w:rFonts w:ascii="Arial" w:eastAsia="Arial" w:hAnsi="Arial" w:cs="Arial"/>
            <w:b/>
            <w:bCs/>
            <w:color w:val="0087B5"/>
            <w:sz w:val="24"/>
            <w:szCs w:val="24"/>
            <w:u w:val="none"/>
          </w:rPr>
          <w:t xml:space="preserve"> (D2)</w:t>
        </w:r>
      </w:hyperlink>
      <w:r w:rsidRPr="0004747D">
        <w:rPr>
          <w:rFonts w:ascii="Arial" w:eastAsia="Arial" w:hAnsi="Arial" w:cs="Arial"/>
          <w:color w:val="A6A402"/>
          <w:sz w:val="24"/>
          <w:szCs w:val="24"/>
        </w:rPr>
        <w:t>.</w:t>
      </w:r>
    </w:p>
    <w:p w14:paraId="575057B5" w14:textId="249E350E" w:rsidR="559C7451" w:rsidRPr="0004747D"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798FF03A">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798FF03A">
            <w:pPr>
              <w:ind w:right="384"/>
              <w:jc w:val="both"/>
              <w:rPr>
                <w:rFonts w:eastAsia="Arial" w:cs="Arial"/>
                <w:color w:val="000000" w:themeColor="text1"/>
                <w:sz w:val="24"/>
                <w:szCs w:val="24"/>
              </w:rPr>
            </w:pPr>
          </w:p>
          <w:p w14:paraId="17F832EF" w14:textId="22377F75" w:rsidR="7F467122" w:rsidRPr="0004747D" w:rsidRDefault="7F467122" w:rsidP="798FF03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798FF03A">
            <w:pPr>
              <w:ind w:right="384"/>
              <w:jc w:val="both"/>
              <w:rPr>
                <w:rFonts w:eastAsia="Arial" w:cs="Arial"/>
                <w:color w:val="000000" w:themeColor="text1"/>
                <w:sz w:val="24"/>
                <w:szCs w:val="24"/>
              </w:rPr>
            </w:pPr>
          </w:p>
          <w:p w14:paraId="04E4E9BA" w14:textId="53D70091" w:rsidR="7F467122" w:rsidRPr="0004747D" w:rsidRDefault="7F467122" w:rsidP="798FF03A">
            <w:pPr>
              <w:pStyle w:val="ListParagraph"/>
              <w:numPr>
                <w:ilvl w:val="0"/>
                <w:numId w:val="1"/>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798FF03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proofErr w:type="gramStart"/>
            <w:r w:rsidR="75B3AC19" w:rsidRPr="0004747D">
              <w:rPr>
                <w:rFonts w:eastAsia="Arial" w:cs="Arial"/>
                <w:b/>
                <w:bCs/>
                <w:color w:val="000000" w:themeColor="text1"/>
                <w:sz w:val="24"/>
                <w:szCs w:val="24"/>
              </w:rPr>
              <w:t>3,000 word</w:t>
            </w:r>
            <w:proofErr w:type="gramEnd"/>
            <w:r w:rsidR="75B3AC19" w:rsidRPr="0004747D">
              <w:rPr>
                <w:rFonts w:eastAsia="Arial" w:cs="Arial"/>
                <w:b/>
                <w:bCs/>
                <w:color w:val="000000" w:themeColor="text1"/>
                <w:sz w:val="24"/>
                <w:szCs w:val="24"/>
              </w:rPr>
              <w:t xml:space="preserve">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798FF03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798FF03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798FF03A">
            <w:pPr>
              <w:ind w:right="384"/>
              <w:jc w:val="both"/>
              <w:rPr>
                <w:rFonts w:eastAsia="Arial" w:cs="Arial"/>
                <w:b/>
                <w:bCs/>
                <w:color w:val="000000" w:themeColor="text1"/>
                <w:sz w:val="24"/>
                <w:szCs w:val="24"/>
              </w:rPr>
            </w:pPr>
          </w:p>
          <w:p w14:paraId="3D84BA08" w14:textId="4FF925E9"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798FF03A">
            <w:pPr>
              <w:ind w:right="384"/>
              <w:jc w:val="both"/>
              <w:rPr>
                <w:rFonts w:eastAsia="Arial" w:cs="Arial"/>
                <w:b/>
                <w:bCs/>
                <w:color w:val="000000" w:themeColor="text1"/>
                <w:sz w:val="24"/>
                <w:szCs w:val="24"/>
              </w:rPr>
            </w:pPr>
          </w:p>
          <w:p w14:paraId="285FDDFB" w14:textId="31509513" w:rsidR="08D60EB8" w:rsidRPr="0004747D" w:rsidRDefault="08D60EB8" w:rsidP="798FF03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798FF03A">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798FF03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 xml:space="preserve">When you have finalised your </w:t>
            </w:r>
            <w:proofErr w:type="gramStart"/>
            <w:r w:rsidRPr="0004747D">
              <w:rPr>
                <w:rFonts w:eastAsia="Arial" w:cs="Arial"/>
                <w:color w:val="000000" w:themeColor="text1"/>
                <w:sz w:val="24"/>
                <w:szCs w:val="24"/>
              </w:rPr>
              <w:t>application</w:t>
            </w:r>
            <w:proofErr w:type="gramEnd"/>
            <w:r w:rsidRPr="0004747D">
              <w:rPr>
                <w:rFonts w:eastAsia="Arial" w:cs="Arial"/>
                <w:color w:val="000000" w:themeColor="text1"/>
                <w:sz w:val="24"/>
                <w:szCs w:val="24"/>
              </w:rPr>
              <w:t xml:space="preserve">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798FF03A">
            <w:pPr>
              <w:ind w:right="384"/>
              <w:jc w:val="both"/>
              <w:rPr>
                <w:rFonts w:eastAsia="Arial" w:cs="Arial"/>
                <w:color w:val="000000" w:themeColor="text1"/>
                <w:sz w:val="24"/>
                <w:szCs w:val="24"/>
              </w:rPr>
            </w:pPr>
          </w:p>
          <w:p w14:paraId="2CCC5899" w14:textId="079553BA" w:rsidR="406B08D3" w:rsidRPr="0004747D" w:rsidRDefault="406B08D3" w:rsidP="798FF03A">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p w14:paraId="14AE7702" w14:textId="2BFA4B57" w:rsidR="798FF03A" w:rsidRPr="0004747D" w:rsidRDefault="798FF03A" w:rsidP="798FF03A">
            <w:pPr>
              <w:ind w:right="384"/>
              <w:jc w:val="both"/>
              <w:rPr>
                <w:rFonts w:eastAsia="Arial" w:cs="Arial"/>
                <w:b/>
                <w:bCs/>
                <w:color w:val="000000" w:themeColor="text1"/>
                <w:sz w:val="24"/>
                <w:szCs w:val="24"/>
              </w:rPr>
            </w:pPr>
          </w:p>
          <w:p w14:paraId="589E53B5" w14:textId="30BDF7D0" w:rsidR="798FF03A" w:rsidRPr="0004747D" w:rsidRDefault="798FF03A" w:rsidP="798FF03A">
            <w:pPr>
              <w:rPr>
                <w:rFonts w:cs="Arial"/>
                <w:b/>
                <w:bCs/>
                <w:sz w:val="32"/>
                <w:szCs w:val="32"/>
              </w:rPr>
            </w:pPr>
          </w:p>
        </w:tc>
      </w:tr>
    </w:tbl>
    <w:p w14:paraId="671BEFD9" w14:textId="77777777" w:rsidR="00CA12DC" w:rsidRPr="0004747D" w:rsidRDefault="00CA12DC" w:rsidP="00CA12DC">
      <w:pPr>
        <w:rPr>
          <w:rFonts w:cs="Arial"/>
          <w:sz w:val="24"/>
          <w:szCs w:val="24"/>
        </w:rPr>
      </w:pPr>
    </w:p>
    <w:p w14:paraId="6336628B" w14:textId="3DB96EE8" w:rsidR="077CD1DA" w:rsidRPr="0004747D" w:rsidRDefault="077CD1DA" w:rsidP="077CD1DA">
      <w:pPr>
        <w:rPr>
          <w:rFonts w:cs="Arial"/>
          <w:b/>
          <w:bCs/>
          <w:sz w:val="32"/>
          <w:szCs w:val="32"/>
          <w:u w:val="single"/>
        </w:rPr>
      </w:pPr>
    </w:p>
    <w:p w14:paraId="7F04D90F" w14:textId="7DAB7577" w:rsidR="077CD1DA" w:rsidRPr="0004747D" w:rsidRDefault="077CD1DA" w:rsidP="077CD1DA">
      <w:pPr>
        <w:rPr>
          <w:rFonts w:cs="Arial"/>
          <w:b/>
          <w:bCs/>
          <w:sz w:val="32"/>
          <w:szCs w:val="32"/>
          <w:u w:val="single"/>
        </w:rPr>
      </w:pPr>
    </w:p>
    <w:p w14:paraId="671BEFDA" w14:textId="77777777" w:rsidR="00CA12DC" w:rsidRPr="0004747D" w:rsidRDefault="00CA12DC" w:rsidP="00CA12DC">
      <w:pPr>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2FB1369C" w:rsidR="00CA12DC" w:rsidRPr="0004747D" w:rsidRDefault="000819D4" w:rsidP="007E4DA3">
            <w:pPr>
              <w:rPr>
                <w:rFonts w:cs="Arial"/>
                <w:sz w:val="24"/>
                <w:szCs w:val="24"/>
              </w:rPr>
            </w:pPr>
            <w:r>
              <w:rPr>
                <w:rFonts w:cs="Arial"/>
                <w:sz w:val="24"/>
                <w:szCs w:val="24"/>
              </w:rPr>
              <w:t>Balendran Kandasamy</w:t>
            </w:r>
          </w:p>
          <w:p w14:paraId="671BEFDE" w14:textId="77777777" w:rsidR="00CA12DC" w:rsidRPr="0004747D" w:rsidRDefault="00CA12DC" w:rsidP="007E4DA3">
            <w:pPr>
              <w:rPr>
                <w:rFonts w:cs="Arial"/>
                <w:sz w:val="24"/>
                <w:szCs w:val="24"/>
              </w:rPr>
            </w:pPr>
          </w:p>
        </w:tc>
      </w:tr>
      <w:tr w:rsidR="00CA12DC" w:rsidRPr="0004747D" w14:paraId="671BEFE4" w14:textId="77777777" w:rsidTr="70A6C109">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77777777" w:rsidR="00CA12DC" w:rsidRPr="0004747D" w:rsidRDefault="00CA12DC" w:rsidP="007E4DA3">
            <w:pPr>
              <w:rPr>
                <w:rFonts w:cs="Arial"/>
                <w:sz w:val="24"/>
                <w:szCs w:val="24"/>
              </w:rPr>
            </w:pPr>
          </w:p>
          <w:p w14:paraId="671BEFE3" w14:textId="3587856B" w:rsidR="00CA12DC" w:rsidRPr="0004747D" w:rsidRDefault="00321D31" w:rsidP="007E4DA3">
            <w:pPr>
              <w:rPr>
                <w:rFonts w:cs="Arial"/>
                <w:sz w:val="24"/>
                <w:szCs w:val="24"/>
              </w:rPr>
            </w:pPr>
            <w:r w:rsidRPr="00321D31">
              <w:rPr>
                <w:rFonts w:cs="Arial"/>
                <w:sz w:val="24"/>
                <w:szCs w:val="24"/>
              </w:rPr>
              <w:t>Institute of Inner-City Learning</w:t>
            </w:r>
          </w:p>
        </w:tc>
      </w:tr>
      <w:tr w:rsidR="00CA12DC" w:rsidRPr="0004747D" w14:paraId="671BEFE9" w14:textId="77777777" w:rsidTr="70A6C109">
        <w:tc>
          <w:tcPr>
            <w:tcW w:w="5353" w:type="dxa"/>
          </w:tcPr>
          <w:p w14:paraId="671BEFE5" w14:textId="7B4856E5"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77777777" w:rsidR="00CA12DC" w:rsidRPr="0004747D" w:rsidRDefault="00CA12DC" w:rsidP="007E4DA3">
            <w:pPr>
              <w:rPr>
                <w:rFonts w:cs="Arial"/>
                <w:sz w:val="24"/>
                <w:szCs w:val="24"/>
              </w:rPr>
            </w:pPr>
          </w:p>
          <w:p w14:paraId="671BEFE8" w14:textId="0A91CF0F" w:rsidR="00CA12DC" w:rsidRPr="0004747D" w:rsidRDefault="002B429A" w:rsidP="007E4DA3">
            <w:pPr>
              <w:rPr>
                <w:rFonts w:cs="Arial"/>
                <w:sz w:val="24"/>
                <w:szCs w:val="24"/>
              </w:rPr>
            </w:pPr>
            <w:r>
              <w:rPr>
                <w:rFonts w:cs="Arial"/>
                <w:sz w:val="24"/>
                <w:szCs w:val="24"/>
              </w:rPr>
              <w:t>Lecturer</w:t>
            </w:r>
          </w:p>
        </w:tc>
      </w:tr>
      <w:tr w:rsidR="00CA12DC" w:rsidRPr="0004747D" w14:paraId="671BEFEE" w14:textId="77777777" w:rsidTr="70A6C109">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77777777" w:rsidR="00CA12DC" w:rsidRPr="0004747D" w:rsidRDefault="00CA12DC" w:rsidP="007E4DA3">
            <w:pPr>
              <w:rPr>
                <w:rFonts w:cs="Arial"/>
                <w:sz w:val="24"/>
                <w:szCs w:val="24"/>
              </w:rPr>
            </w:pPr>
          </w:p>
          <w:p w14:paraId="671BEFED" w14:textId="558D59A9" w:rsidR="00CA12DC" w:rsidRPr="0004747D" w:rsidRDefault="00B956F3" w:rsidP="007E4DA3">
            <w:pPr>
              <w:rPr>
                <w:rFonts w:cs="Arial"/>
                <w:sz w:val="24"/>
                <w:szCs w:val="24"/>
              </w:rPr>
            </w:pPr>
            <w:r>
              <w:rPr>
                <w:rFonts w:cs="Arial"/>
                <w:sz w:val="24"/>
                <w:szCs w:val="24"/>
              </w:rPr>
              <w:t>Lecturer / Module Leader</w:t>
            </w:r>
          </w:p>
        </w:tc>
      </w:tr>
      <w:tr w:rsidR="007E4DA3" w:rsidRPr="0004747D" w14:paraId="20985166" w14:textId="77777777" w:rsidTr="70A6C109">
        <w:tc>
          <w:tcPr>
            <w:tcW w:w="5353" w:type="dxa"/>
          </w:tcPr>
          <w:p w14:paraId="6477497A" w14:textId="753025A3" w:rsidR="007E4DA3" w:rsidRPr="0004747D" w:rsidRDefault="007E4DA3" w:rsidP="007E4DA3">
            <w:pPr>
              <w:rPr>
                <w:rFonts w:cs="Arial"/>
                <w:b/>
                <w:sz w:val="24"/>
                <w:szCs w:val="24"/>
              </w:rPr>
            </w:pPr>
            <w:r w:rsidRPr="0004747D">
              <w:rPr>
                <w:rFonts w:cs="Arial"/>
                <w:b/>
                <w:sz w:val="24"/>
                <w:szCs w:val="24"/>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500F3280" w:rsidR="007E4DA3" w:rsidRPr="0004747D" w:rsidRDefault="007E4DA3" w:rsidP="007E4DA3">
            <w:pPr>
              <w:rPr>
                <w:rFonts w:cs="Arial"/>
                <w:b/>
                <w:sz w:val="24"/>
                <w:szCs w:val="24"/>
              </w:rPr>
            </w:pPr>
            <w:r w:rsidRPr="0004747D">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767458">
                  <w:rPr>
                    <w:rFonts w:ascii="Times New Roman" w:hAnsi="Times New Roman"/>
                    <w:b/>
                    <w:sz w:val="24"/>
                    <w:szCs w:val="24"/>
                  </w:rPr>
                  <w:t>√</w:t>
                </w:r>
              </w:sdtContent>
            </w:sdt>
            <w:r w:rsidRPr="0004747D">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sidR="00AA1F2A">
                  <w:rPr>
                    <w:rFonts w:ascii="MS Gothic" w:eastAsia="MS Gothic" w:hAnsi="MS Gothic" w:cs="Arial" w:hint="eastAsia"/>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7E4DA3">
            <w:pPr>
              <w:rPr>
                <w:rFonts w:cs="Arial"/>
                <w:b/>
                <w:sz w:val="24"/>
                <w:szCs w:val="24"/>
              </w:rPr>
            </w:pPr>
            <w:r w:rsidRPr="0004747D">
              <w:rPr>
                <w:rFonts w:cs="Arial"/>
                <w:b/>
                <w:sz w:val="24"/>
                <w:szCs w:val="24"/>
              </w:rPr>
              <w:t>Date of Training</w:t>
            </w:r>
          </w:p>
        </w:tc>
        <w:tc>
          <w:tcPr>
            <w:tcW w:w="5387" w:type="dxa"/>
          </w:tcPr>
          <w:p w14:paraId="0DFFB628" w14:textId="63FB73D8" w:rsidR="00161D34" w:rsidRPr="0004747D" w:rsidRDefault="00E8618F" w:rsidP="007E4DA3">
            <w:pPr>
              <w:rPr>
                <w:rFonts w:cs="Arial"/>
                <w:b/>
                <w:sz w:val="24"/>
                <w:szCs w:val="24"/>
              </w:rPr>
            </w:pPr>
            <w:r>
              <w:rPr>
                <w:rFonts w:cs="Arial"/>
                <w:b/>
                <w:sz w:val="24"/>
                <w:szCs w:val="24"/>
              </w:rPr>
              <w:t>31/01/2025</w:t>
            </w:r>
          </w:p>
        </w:tc>
      </w:tr>
      <w:tr w:rsidR="00B5152A" w:rsidRPr="0004747D" w14:paraId="4BBE062F" w14:textId="77777777" w:rsidTr="70A6C109">
        <w:tc>
          <w:tcPr>
            <w:tcW w:w="5353" w:type="dxa"/>
          </w:tcPr>
          <w:p w14:paraId="7FB4C937" w14:textId="23E71B89" w:rsidR="00B5152A" w:rsidRPr="0004747D" w:rsidRDefault="00DC64F2" w:rsidP="007E4DA3">
            <w:pPr>
              <w:rPr>
                <w:rFonts w:cs="Arial"/>
                <w:b/>
                <w:sz w:val="24"/>
                <w:szCs w:val="24"/>
              </w:rPr>
            </w:pPr>
            <w:r w:rsidRPr="0004747D">
              <w:rPr>
                <w:rFonts w:cs="Arial"/>
                <w:b/>
                <w:sz w:val="24"/>
                <w:szCs w:val="24"/>
              </w:rPr>
              <w:t>Mentor</w:t>
            </w:r>
          </w:p>
        </w:tc>
        <w:tc>
          <w:tcPr>
            <w:tcW w:w="5387" w:type="dxa"/>
          </w:tcPr>
          <w:p w14:paraId="5598388B" w14:textId="5D3BEE19" w:rsidR="00B5152A" w:rsidRPr="007C1EA3" w:rsidRDefault="007C1EA3" w:rsidP="007E4DA3">
            <w:pPr>
              <w:rPr>
                <w:rFonts w:cs="Arial"/>
                <w:bCs/>
                <w:sz w:val="24"/>
                <w:szCs w:val="24"/>
              </w:rPr>
            </w:pPr>
            <w:r w:rsidRPr="007C1EA3">
              <w:rPr>
                <w:rFonts w:cs="Arial"/>
                <w:bCs/>
                <w:sz w:val="24"/>
                <w:szCs w:val="24"/>
              </w:rPr>
              <w:t>Julie Thomas</w:t>
            </w: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0004747D">
        <w:tc>
          <w:tcPr>
            <w:tcW w:w="10343" w:type="dxa"/>
          </w:tcPr>
          <w:p w14:paraId="671BEFF6" w14:textId="4367980A" w:rsidR="000E3A5B" w:rsidRPr="0004747D" w:rsidRDefault="000E3A5B" w:rsidP="798FF03A">
            <w:pPr>
              <w:rPr>
                <w:rFonts w:cs="Arial"/>
                <w:b/>
                <w:bCs/>
                <w:sz w:val="24"/>
                <w:szCs w:val="24"/>
              </w:rPr>
            </w:pPr>
          </w:p>
          <w:p w14:paraId="240D77CD" w14:textId="77777777" w:rsidR="00585724" w:rsidRPr="00585724" w:rsidRDefault="00A139C9" w:rsidP="00585724">
            <w:pPr>
              <w:spacing w:line="276" w:lineRule="auto"/>
              <w:jc w:val="both"/>
              <w:rPr>
                <w:rFonts w:cs="Arial"/>
                <w:highlight w:val="yellow"/>
              </w:rPr>
            </w:pPr>
            <w:r w:rsidRPr="00585724">
              <w:rPr>
                <w:rFonts w:cs="Arial"/>
                <w:highlight w:val="yellow"/>
              </w:rPr>
              <w:t>I am a Business Lecturer at UWTSD London Campus. I joined the University in February 2018 as a Computing Lecturer, bringing prior higher education teaching experience alongside industry experience in computing and management. In October 2025, I moved into a Business Lecturer role, drawing on my interdisciplinary experience in digital skills, business intelligence, project management and research methods.</w:t>
            </w:r>
          </w:p>
          <w:p w14:paraId="79682ED8" w14:textId="77777777" w:rsidR="00585724" w:rsidRPr="00585724" w:rsidRDefault="00585724" w:rsidP="00585724">
            <w:pPr>
              <w:spacing w:line="276" w:lineRule="auto"/>
              <w:rPr>
                <w:rFonts w:cs="Arial"/>
                <w:highlight w:val="yellow"/>
              </w:rPr>
            </w:pPr>
          </w:p>
          <w:p w14:paraId="29D7BBF4" w14:textId="62BF1BED" w:rsidR="00A139C9" w:rsidRPr="00585724" w:rsidRDefault="00A139C9" w:rsidP="00585724">
            <w:pPr>
              <w:spacing w:line="276" w:lineRule="auto"/>
              <w:jc w:val="both"/>
              <w:rPr>
                <w:rFonts w:cs="Arial"/>
                <w:highlight w:val="yellow"/>
              </w:rPr>
            </w:pPr>
            <w:r w:rsidRPr="00585724">
              <w:rPr>
                <w:rFonts w:cs="Arial"/>
                <w:highlight w:val="yellow"/>
              </w:rPr>
              <w:t xml:space="preserve">My current and recent teaching spans undergraduate provision, including Levels 4 and 5, and postgraduate MBA study. Modules include Enterprise and Entrepreneurship, Effective Teamworking and Communication, Essentials of Accounting and Finance, Strategic Management, Data Handling and Business Intelligence, and Data Warehousing and Data Mining. I also supervise undergraduate and MBA dissertations and MBA Business Development </w:t>
            </w:r>
            <w:r w:rsidR="00585724" w:rsidRPr="00585724">
              <w:rPr>
                <w:rFonts w:cs="Arial"/>
                <w:highlight w:val="yellow"/>
              </w:rPr>
              <w:t>Proposal and</w:t>
            </w:r>
            <w:r w:rsidRPr="00585724">
              <w:rPr>
                <w:rFonts w:cs="Arial"/>
                <w:highlight w:val="yellow"/>
              </w:rPr>
              <w:t xml:space="preserve"> deliver dissertation workshops. This involves supporting research questions, literature reviews, methodological choices, ethical considerations, data analysis, critical writing and assessment preparation.</w:t>
            </w:r>
          </w:p>
          <w:p w14:paraId="15F59784" w14:textId="77777777" w:rsidR="00585724" w:rsidRPr="00585724" w:rsidRDefault="00585724" w:rsidP="00585724">
            <w:pPr>
              <w:spacing w:line="276" w:lineRule="auto"/>
              <w:jc w:val="both"/>
              <w:rPr>
                <w:rFonts w:cs="Arial"/>
                <w:highlight w:val="yellow"/>
              </w:rPr>
            </w:pPr>
          </w:p>
          <w:p w14:paraId="54524805" w14:textId="77777777" w:rsidR="00A139C9" w:rsidRDefault="00A139C9" w:rsidP="00585724">
            <w:pPr>
              <w:spacing w:line="276" w:lineRule="auto"/>
              <w:jc w:val="both"/>
              <w:rPr>
                <w:rFonts w:cs="Arial"/>
                <w:highlight w:val="yellow"/>
              </w:rPr>
            </w:pPr>
            <w:r w:rsidRPr="00585724">
              <w:rPr>
                <w:rFonts w:cs="Arial"/>
                <w:highlight w:val="yellow"/>
              </w:rPr>
              <w:t>The students I teach are diverse in age, ethnicity, educational background, English language confidence, digital capability, professional experience and learning needs. Many are mature learners balancing study with employment and family responsibilities. Some are returning to formal education after a substantial break, while others have limited experience of UK higher education or academic writing in English. My teaching and support take place through classroom sessions, practical workshops, group activities, individual supervision and online resources.</w:t>
            </w:r>
          </w:p>
          <w:p w14:paraId="4742A4F5" w14:textId="77777777" w:rsidR="00585724" w:rsidRPr="00585724" w:rsidRDefault="00585724" w:rsidP="00585724">
            <w:pPr>
              <w:spacing w:line="276" w:lineRule="auto"/>
              <w:jc w:val="both"/>
              <w:rPr>
                <w:rFonts w:cs="Arial"/>
                <w:highlight w:val="yellow"/>
              </w:rPr>
            </w:pPr>
          </w:p>
          <w:p w14:paraId="73A1D37C" w14:textId="77777777" w:rsidR="00A139C9" w:rsidRPr="00585724" w:rsidRDefault="00A139C9" w:rsidP="00585724">
            <w:pPr>
              <w:spacing w:line="276" w:lineRule="auto"/>
              <w:jc w:val="both"/>
              <w:rPr>
                <w:rFonts w:cs="Arial"/>
              </w:rPr>
            </w:pPr>
            <w:r w:rsidRPr="00585724">
              <w:rPr>
                <w:rFonts w:cs="Arial"/>
                <w:highlight w:val="yellow"/>
              </w:rPr>
              <w:t>My responsibilities include planning and delivering teaching, developing learning materials, preparing assessment guidance, supporting learners individually and in groups, marking, providing formative and summative feedback, and contributing to moderation. As a module leader, I also coordinate materials and assessment guidance with colleagues and contribute to standardisation and academic support. These responsibilities provide the context for the examples of planning, teaching, assessment, learner support and professional development discussed in my reflective narrative.</w:t>
            </w:r>
          </w:p>
          <w:p w14:paraId="1CE6005C" w14:textId="6D9965D4" w:rsidR="000E3A5B" w:rsidRPr="00585724" w:rsidRDefault="000E3A5B" w:rsidP="798FF03A">
            <w:pPr>
              <w:jc w:val="both"/>
              <w:rPr>
                <w:rFonts w:cs="Arial"/>
              </w:rPr>
            </w:pPr>
          </w:p>
          <w:p w14:paraId="6B6F4F64" w14:textId="58C326CB" w:rsidR="000E3A5B" w:rsidRPr="0004747D" w:rsidRDefault="000E3A5B" w:rsidP="798FF03A">
            <w:pPr>
              <w:jc w:val="both"/>
              <w:rPr>
                <w:rFonts w:cs="Arial"/>
                <w:sz w:val="24"/>
                <w:szCs w:val="24"/>
              </w:rPr>
            </w:pPr>
          </w:p>
          <w:p w14:paraId="20191B02" w14:textId="6363541E" w:rsidR="000E3A5B" w:rsidRPr="0004747D" w:rsidRDefault="000E3A5B" w:rsidP="798FF03A">
            <w:pPr>
              <w:jc w:val="both"/>
              <w:rPr>
                <w:rFonts w:cs="Arial"/>
                <w:sz w:val="24"/>
                <w:szCs w:val="24"/>
              </w:rPr>
            </w:pPr>
          </w:p>
          <w:p w14:paraId="671BEFFD" w14:textId="5F7183F7" w:rsidR="000E3A5B" w:rsidRPr="0004747D" w:rsidRDefault="000E3A5B" w:rsidP="798FF03A">
            <w:pPr>
              <w:jc w:val="both"/>
              <w:rPr>
                <w:rFonts w:cs="Arial"/>
                <w:sz w:val="24"/>
                <w:szCs w:val="24"/>
              </w:rPr>
            </w:pPr>
          </w:p>
        </w:tc>
      </w:tr>
    </w:tbl>
    <w:p w14:paraId="671BEFFF" w14:textId="77777777" w:rsidR="001C6B3E" w:rsidRPr="0004747D" w:rsidRDefault="001C6B3E">
      <w:pPr>
        <w:rPr>
          <w:rFonts w:cs="Arial"/>
        </w:rPr>
      </w:pPr>
    </w:p>
    <w:p w14:paraId="7239EBD8" w14:textId="79CB372A" w:rsidR="00FE7642" w:rsidRPr="00D7443C" w:rsidRDefault="001500B6" w:rsidP="00D7443C">
      <w:pPr>
        <w:spacing w:after="200" w:line="276" w:lineRule="auto"/>
        <w:rPr>
          <w:rFonts w:eastAsia="Arial" w:cs="Arial"/>
          <w:color w:val="009999"/>
          <w:sz w:val="32"/>
          <w:szCs w:val="32"/>
        </w:rPr>
      </w:pPr>
      <w:r w:rsidRPr="0004747D">
        <w:rPr>
          <w:rFonts w:eastAsia="Arial" w:cs="Arial"/>
          <w:color w:val="009999"/>
          <w:sz w:val="32"/>
          <w:szCs w:val="32"/>
        </w:rPr>
        <w:br w:type="page"/>
      </w:r>
      <w:r w:rsidR="32B408D5" w:rsidRPr="0004747D">
        <w:rPr>
          <w:rFonts w:eastAsia="Arial" w:cs="Arial"/>
          <w:sz w:val="32"/>
          <w:szCs w:val="32"/>
        </w:rPr>
        <w:lastRenderedPageBreak/>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077CD1DA">
        <w:trPr>
          <w:trHeight w:val="300"/>
        </w:trPr>
        <w:tc>
          <w:tcPr>
            <w:tcW w:w="10455" w:type="dxa"/>
          </w:tcPr>
          <w:p w14:paraId="0DCD48CB" w14:textId="42C2B20D" w:rsidR="0873B665" w:rsidRPr="0004747D" w:rsidRDefault="0873B665" w:rsidP="006B476D">
            <w:pPr>
              <w:rPr>
                <w:rFonts w:cs="Arial"/>
              </w:rPr>
            </w:pPr>
          </w:p>
          <w:p w14:paraId="7F8436D7" w14:textId="77777777" w:rsidR="0057366E" w:rsidRPr="0057366E" w:rsidRDefault="0057366E" w:rsidP="00792FF7">
            <w:pPr>
              <w:spacing w:after="160" w:line="276" w:lineRule="auto"/>
              <w:jc w:val="both"/>
              <w:rPr>
                <w:highlight w:val="yellow"/>
              </w:rPr>
            </w:pPr>
            <w:r w:rsidRPr="0057366E">
              <w:rPr>
                <w:highlight w:val="yellow"/>
              </w:rPr>
              <w:t>As module leader for Level 4 Enterprise and Entrepreneurship, I investigated low assessment submission rates through conversations with students and my teaching team. Many students described balancing full-time employment and parental responsibilities, postponing assignment writing until close to the deadline. Students in resit classes also reported difficulty interpreting requirements and feeling overwhelmed by the combined tasks and word count. These accounts highlighted how employment and caring responsibilities could constrain opportunities for assessment preparation. I therefore embedded support within weekly teaching, giving students opportunities to begin their assignments and receive feedback alongside their other commitments (V1, V4).</w:t>
            </w:r>
          </w:p>
          <w:p w14:paraId="0E38E23A" w14:textId="77777777" w:rsidR="0057366E" w:rsidRPr="0057366E" w:rsidRDefault="0057366E" w:rsidP="00792FF7">
            <w:pPr>
              <w:spacing w:after="160" w:line="276" w:lineRule="auto"/>
              <w:jc w:val="both"/>
              <w:rPr>
                <w:highlight w:val="yellow"/>
              </w:rPr>
            </w:pPr>
            <w:r w:rsidRPr="0057366E">
              <w:rPr>
                <w:highlight w:val="yellow"/>
              </w:rPr>
              <w:t>I initially organised resit assessment preparation into manageable, connected stages, providing clarification and formative feedback. Students subsequently submitted work attracting marks well above the pass threshold before resit capping. Their feedback indicated that the staged approach made the assignment more manageable. Although these outcomes did not establish the contribution of staged preparation alone, they informed my planning for subsequent cohorts, combining milestones with guidance on assessment requirements (K3).</w:t>
            </w:r>
          </w:p>
          <w:p w14:paraId="374B71F5" w14:textId="77777777" w:rsidR="0057366E" w:rsidRPr="0057366E" w:rsidRDefault="0057366E" w:rsidP="00792FF7">
            <w:pPr>
              <w:spacing w:after="160" w:line="276" w:lineRule="auto"/>
              <w:jc w:val="both"/>
              <w:rPr>
                <w:highlight w:val="yellow"/>
              </w:rPr>
            </w:pPr>
            <w:r w:rsidRPr="0057366E">
              <w:rPr>
                <w:highlight w:val="yellow"/>
              </w:rPr>
              <w:t>I redesigned weekly lessons to align module learning outcomes, lesson objectives, classroom activities and assessment requirements, drawing on constructive alignment (Biggs and Tang, 2011). Group tasks enabled students to consolidate concepts and practise their application before developing corresponding sections of their individual assignments and uploading them to Moodle for formative feedback. Linking these stages to the brief and marking criteria provided structured support while maintaining Level 4 assessment standards (K2, K5).</w:t>
            </w:r>
          </w:p>
          <w:p w14:paraId="645FA842" w14:textId="42665DB7" w:rsidR="0057366E" w:rsidRPr="0057366E" w:rsidRDefault="00994A61" w:rsidP="00792FF7">
            <w:pPr>
              <w:spacing w:after="160" w:line="276" w:lineRule="auto"/>
              <w:jc w:val="both"/>
              <w:rPr>
                <w:highlight w:val="yellow"/>
              </w:rPr>
            </w:pPr>
            <w:r w:rsidRPr="00994A61">
              <w:rPr>
                <w:highlight w:val="yellow"/>
              </w:rPr>
              <w:t xml:space="preserve">The University’s Engagement Policy, introduced in September 2023 and communicated through campus leadership and subsequent discussions, also informed my planning </w:t>
            </w:r>
            <w:r w:rsidRPr="00994A61">
              <w:rPr>
                <w:b/>
                <w:bCs/>
                <w:highlight w:val="yellow"/>
              </w:rPr>
              <w:t>(University of Wales Trinity Saint David, 2025/26)</w:t>
            </w:r>
            <w:r w:rsidRPr="00994A61">
              <w:rPr>
                <w:highlight w:val="yellow"/>
              </w:rPr>
              <w:t>.</w:t>
            </w:r>
            <w:r w:rsidR="0057366E" w:rsidRPr="0057366E">
              <w:rPr>
                <w:highlight w:val="yellow"/>
              </w:rPr>
              <w:t xml:space="preserve"> Its shift from attendance monitoring to broader engagement monitoring recognised Moodle activity and assessment submission alongside attendance. I responded by embedding weekly activities, staged assignment submissions and uploads of classroom tasks into module planning, giving students purposeful reasons to engage between classes. Quizzes and drag-and-drop activities enabled students to check understanding and revisit concepts independently. This connected institutional expectations with structured opportunities for learning and feedback, supporting students balancing study with employment and caring responsibilities (V4, K4).</w:t>
            </w:r>
          </w:p>
          <w:p w14:paraId="44C6C72A" w14:textId="77777777" w:rsidR="0057366E" w:rsidRPr="0057366E" w:rsidRDefault="0057366E" w:rsidP="00792FF7">
            <w:pPr>
              <w:spacing w:after="160" w:line="276" w:lineRule="auto"/>
              <w:jc w:val="both"/>
              <w:rPr>
                <w:highlight w:val="yellow"/>
              </w:rPr>
            </w:pPr>
            <w:r w:rsidRPr="0057366E">
              <w:rPr>
                <w:highlight w:val="yellow"/>
              </w:rPr>
              <w:t>Chiu, Moss and Richards (2024) support the potential of appropriately designed deadlines to improve submission timeliness, although their self-paced online context differs from mine. McDowell’s (2025) work on assessment literacy also helps explain the importance of developing students’ understanding of requirements alongside a manageable schedule (V3).</w:t>
            </w:r>
          </w:p>
          <w:p w14:paraId="18D37246" w14:textId="77777777" w:rsidR="0057366E" w:rsidRPr="0057366E" w:rsidRDefault="0057366E" w:rsidP="00792FF7">
            <w:pPr>
              <w:spacing w:after="160" w:line="276" w:lineRule="auto"/>
              <w:jc w:val="both"/>
              <w:rPr>
                <w:highlight w:val="yellow"/>
              </w:rPr>
            </w:pPr>
            <w:r w:rsidRPr="0057366E">
              <w:rPr>
                <w:highlight w:val="yellow"/>
              </w:rPr>
              <w:t xml:space="preserve">During module meetings, I sought colleagues’ observations across teaching groups. They reported active engagement and found the activities helpful. Students reported greater confidence than in other modules, and Programme Manager </w:t>
            </w:r>
            <w:proofErr w:type="spellStart"/>
            <w:r w:rsidRPr="0057366E">
              <w:rPr>
                <w:highlight w:val="yellow"/>
              </w:rPr>
              <w:t>Lizeta</w:t>
            </w:r>
            <w:proofErr w:type="spellEnd"/>
            <w:r w:rsidRPr="0057366E">
              <w:rPr>
                <w:highlight w:val="yellow"/>
              </w:rPr>
              <w:t xml:space="preserve"> reported increased Moodle engagement. These observations suggested benefits for participation and confidence, although they did not establish the extent of conceptual learning. I learned that encouraging engagement required giving students a clear purpose for returning to the learning environment, alongside making resources available (K3, V5).</w:t>
            </w:r>
          </w:p>
          <w:p w14:paraId="02D39D02" w14:textId="77777777" w:rsidR="0057366E" w:rsidRPr="0057366E" w:rsidRDefault="0057366E" w:rsidP="00792FF7">
            <w:pPr>
              <w:spacing w:after="160" w:line="276" w:lineRule="auto"/>
              <w:jc w:val="both"/>
              <w:rPr>
                <w:highlight w:val="yellow"/>
              </w:rPr>
            </w:pPr>
            <w:r w:rsidRPr="0057366E">
              <w:rPr>
                <w:highlight w:val="yellow"/>
              </w:rPr>
              <w:t xml:space="preserve">A contrasting example arose from MBA dissertation supervision. Reviewing drafts and asking students to explain their analyses revealed gaps in practical data-analysis knowledge. Existing workshops addressed </w:t>
            </w:r>
            <w:r w:rsidRPr="0057366E">
              <w:rPr>
                <w:highlight w:val="yellow"/>
              </w:rPr>
              <w:lastRenderedPageBreak/>
              <w:t>dissertation structure and data collection but did not teach students how to analyse data and present findings. Waiting until students collected their own data left limited time to develop these skills.</w:t>
            </w:r>
          </w:p>
          <w:p w14:paraId="0B3B0456" w14:textId="77777777" w:rsidR="0057366E" w:rsidRPr="0057366E" w:rsidRDefault="0057366E" w:rsidP="00792FF7">
            <w:pPr>
              <w:spacing w:after="160" w:line="276" w:lineRule="auto"/>
              <w:jc w:val="both"/>
              <w:rPr>
                <w:highlight w:val="yellow"/>
              </w:rPr>
            </w:pPr>
            <w:r w:rsidRPr="0057366E">
              <w:rPr>
                <w:highlight w:val="yellow"/>
              </w:rPr>
              <w:t>In April 2026, I incorporated a practical mini-dissertation activity into Workshop 5 for the groups I taught, alongside the scheduled content. I prepared a questionnaire, dataset, data dictionary and guidance on charts and statistics. Using supplied data enabled students to practise before completing their own data collection. I designed the activity to develop analysis in Excel, chart selection, statistical interpretation and discussion of findings in relation to research questions (K2, K4).</w:t>
            </w:r>
          </w:p>
          <w:p w14:paraId="722209F8" w14:textId="77777777" w:rsidR="0057366E" w:rsidRPr="0057366E" w:rsidRDefault="0057366E" w:rsidP="00792FF7">
            <w:pPr>
              <w:spacing w:after="160" w:line="276" w:lineRule="auto"/>
              <w:jc w:val="both"/>
              <w:rPr>
                <w:highlight w:val="yellow"/>
              </w:rPr>
            </w:pPr>
            <w:r w:rsidRPr="0057366E">
              <w:rPr>
                <w:highlight w:val="yellow"/>
              </w:rPr>
              <w:t>All groups completed and uploaded their work. Presenting findings and comparing approaches created opportunities to explain interpretations and receive feedback. Students reported increased confidence in analysing and presenting data and motivation to begin their dissertations. These responses indicated perceived readiness, although completing the supported activity did not establish their ability to analyse their own data independently.</w:t>
            </w:r>
          </w:p>
          <w:p w14:paraId="1EE55ECE" w14:textId="77777777" w:rsidR="0057366E" w:rsidRPr="0057366E" w:rsidRDefault="0057366E" w:rsidP="00792FF7">
            <w:pPr>
              <w:spacing w:after="160" w:line="276" w:lineRule="auto"/>
              <w:jc w:val="both"/>
            </w:pPr>
            <w:r w:rsidRPr="0057366E">
              <w:rPr>
                <w:highlight w:val="yellow"/>
              </w:rPr>
              <w:t>Reflecting on the session, I recognised that students would benefit from more time to practise the analysis techniques. I shared the activity and supporting resources with the Programme Manager and invited feedback. He welcomed the contribution to improving workshop quality and, in our telephone discussion, particularly praised the integration of Excel charts and correlation coefficients to explore relationships within the data. His response supported the relevance of the activity, while my reflection identified additional practice time as a priority for future planning (K3, V5).</w:t>
            </w:r>
          </w:p>
          <w:p w14:paraId="6072C8CB" w14:textId="77777777" w:rsidR="0057366E" w:rsidRDefault="0057366E" w:rsidP="0057366E"/>
          <w:p w14:paraId="3907C3FE" w14:textId="10D55F55" w:rsidR="798FF03A" w:rsidRPr="0004747D" w:rsidRDefault="798FF03A" w:rsidP="798FF03A"/>
          <w:p w14:paraId="0A019045" w14:textId="69822CCE" w:rsidR="798FF03A" w:rsidRPr="0004747D" w:rsidRDefault="798FF03A" w:rsidP="798FF03A"/>
          <w:p w14:paraId="406F6E47" w14:textId="5797600B" w:rsidR="798FF03A" w:rsidRPr="0004747D" w:rsidRDefault="798FF03A" w:rsidP="798FF03A"/>
          <w:p w14:paraId="105BA826" w14:textId="084EF947" w:rsidR="798FF03A" w:rsidRPr="0004747D" w:rsidRDefault="798FF03A" w:rsidP="798FF03A"/>
          <w:p w14:paraId="08A2B30E" w14:textId="606DA0AB" w:rsidR="798FF03A" w:rsidRPr="0004747D" w:rsidRDefault="798FF03A" w:rsidP="798FF03A"/>
          <w:p w14:paraId="3E5F4865" w14:textId="35B38272" w:rsidR="798FF03A" w:rsidRPr="0004747D" w:rsidRDefault="798FF03A" w:rsidP="798FF03A"/>
          <w:p w14:paraId="49C314FB" w14:textId="764C23E1" w:rsidR="798FF03A" w:rsidRPr="0004747D" w:rsidRDefault="798FF03A" w:rsidP="798FF03A"/>
          <w:p w14:paraId="5C91E5D1" w14:textId="5386F48A" w:rsidR="798FF03A" w:rsidRPr="0004747D" w:rsidRDefault="798FF03A" w:rsidP="798FF03A"/>
          <w:p w14:paraId="5754DD83" w14:textId="207DFB6C" w:rsidR="798FF03A" w:rsidRPr="0004747D" w:rsidRDefault="798FF03A" w:rsidP="798FF03A"/>
          <w:p w14:paraId="727E7B9A" w14:textId="4B32E4AD" w:rsidR="798FF03A" w:rsidRPr="0004747D" w:rsidRDefault="798FF03A" w:rsidP="798FF03A"/>
          <w:p w14:paraId="17CCDC6C" w14:textId="405FC475" w:rsidR="077CD1DA" w:rsidRPr="0004747D" w:rsidRDefault="077CD1DA" w:rsidP="077CD1DA"/>
          <w:p w14:paraId="0B10FAC1" w14:textId="1932B036" w:rsidR="077CD1DA" w:rsidRPr="0004747D" w:rsidRDefault="077CD1DA" w:rsidP="077CD1DA"/>
          <w:p w14:paraId="14C1785B" w14:textId="6C94D218" w:rsidR="077CD1DA" w:rsidRPr="0004747D" w:rsidRDefault="077CD1DA" w:rsidP="077CD1DA"/>
          <w:p w14:paraId="1EF87A0C" w14:textId="71FA9990" w:rsidR="798FF03A" w:rsidRPr="0004747D" w:rsidRDefault="798FF03A" w:rsidP="798FF03A"/>
          <w:p w14:paraId="76D1B098" w14:textId="7FF04DB3" w:rsidR="798FF03A" w:rsidRPr="0004747D" w:rsidRDefault="798FF03A" w:rsidP="798FF03A"/>
          <w:p w14:paraId="60FF5282" w14:textId="52FD4949" w:rsidR="798FF03A" w:rsidRPr="0004747D" w:rsidRDefault="798FF03A" w:rsidP="798FF03A"/>
          <w:p w14:paraId="26D06281" w14:textId="16C0BBA7" w:rsidR="798FF03A" w:rsidRPr="0004747D" w:rsidRDefault="798FF03A" w:rsidP="798FF03A"/>
        </w:tc>
      </w:tr>
    </w:tbl>
    <w:p w14:paraId="36B9A69C" w14:textId="77777777" w:rsidR="00D06A7D" w:rsidRPr="0004747D" w:rsidRDefault="00D06A7D" w:rsidP="798FF03A">
      <w:pPr>
        <w:jc w:val="both"/>
        <w:rPr>
          <w:rFonts w:eastAsia="Arial" w:cs="Arial"/>
          <w:color w:val="009999"/>
          <w:sz w:val="32"/>
          <w:szCs w:val="32"/>
        </w:rPr>
      </w:pPr>
      <w:bookmarkStart w:id="1" w:name="_Int_f5VKueqd"/>
    </w:p>
    <w:p w14:paraId="1A20A60A" w14:textId="77777777" w:rsidR="0004747D" w:rsidRDefault="0004747D">
      <w:pPr>
        <w:spacing w:after="200" w:line="276" w:lineRule="auto"/>
        <w:rPr>
          <w:rFonts w:eastAsia="Arial" w:cs="Arial"/>
          <w:sz w:val="32"/>
          <w:szCs w:val="32"/>
        </w:rPr>
      </w:pPr>
      <w:r>
        <w:rPr>
          <w:rFonts w:eastAsia="Arial" w:cs="Arial"/>
          <w:sz w:val="32"/>
          <w:szCs w:val="32"/>
        </w:rPr>
        <w:br w:type="page"/>
      </w:r>
    </w:p>
    <w:p w14:paraId="671BF004" w14:textId="16C83832" w:rsidR="00FE7642" w:rsidRPr="0004747D" w:rsidRDefault="4CFAFFD8" w:rsidP="798FF03A">
      <w:pPr>
        <w:jc w:val="both"/>
        <w:rPr>
          <w:rFonts w:eastAsia="Arial" w:cs="Arial"/>
        </w:rPr>
      </w:pPr>
      <w:r w:rsidRPr="0004747D">
        <w:rPr>
          <w:rFonts w:eastAsia="Arial" w:cs="Arial"/>
          <w:sz w:val="32"/>
          <w:szCs w:val="32"/>
        </w:rPr>
        <w:lastRenderedPageBreak/>
        <w:t>Evidencing Area of Activity 2 (A2): Teach and/or support learning through appropriate approaches and environments</w:t>
      </w:r>
      <w:bookmarkEnd w:id="1"/>
    </w:p>
    <w:tbl>
      <w:tblPr>
        <w:tblStyle w:val="TableGrid"/>
        <w:tblW w:w="0" w:type="auto"/>
        <w:tblLayout w:type="fixed"/>
        <w:tblLook w:val="06A0" w:firstRow="1" w:lastRow="0" w:firstColumn="1" w:lastColumn="0" w:noHBand="1" w:noVBand="1"/>
      </w:tblPr>
      <w:tblGrid>
        <w:gridCol w:w="10455"/>
      </w:tblGrid>
      <w:tr w:rsidR="798FF03A" w:rsidRPr="0004747D" w14:paraId="710CCA44" w14:textId="77777777" w:rsidTr="077CD1DA">
        <w:trPr>
          <w:trHeight w:val="300"/>
        </w:trPr>
        <w:tc>
          <w:tcPr>
            <w:tcW w:w="10455" w:type="dxa"/>
          </w:tcPr>
          <w:p w14:paraId="49AAE255" w14:textId="6119872E" w:rsidR="32B408D5" w:rsidRPr="0004747D" w:rsidRDefault="32B408D5" w:rsidP="798FF03A">
            <w:pPr>
              <w:rPr>
                <w:rFonts w:cs="Arial"/>
              </w:rPr>
            </w:pPr>
          </w:p>
          <w:p w14:paraId="46F0E93B" w14:textId="7F6C7C31" w:rsidR="00104925" w:rsidRPr="001F23B4" w:rsidRDefault="00104925" w:rsidP="00792FF7">
            <w:pPr>
              <w:spacing w:line="276" w:lineRule="auto"/>
              <w:jc w:val="both"/>
              <w:rPr>
                <w:rFonts w:cs="Arial"/>
                <w:highlight w:val="yellow"/>
              </w:rPr>
            </w:pPr>
            <w:r w:rsidRPr="001F23B4">
              <w:rPr>
                <w:rFonts w:cs="Arial"/>
                <w:highlight w:val="yellow"/>
              </w:rPr>
              <w:t>In Level 4 Effective Teamworking and Communication, I combine practical activities, theoretical explanation and guided reflection to help students understand and apply abstract concepts. Students bring varied educational backgrounds, professional experiences and levels of academic confidence. The existing resources relied heavily on text-based slides and lengthy readings. I supplemented these with practical tasks, verbal explanations and structured reflection, providing different ways to engage with the subject (V1, V2).</w:t>
            </w:r>
            <w:r w:rsidRPr="001F23B4">
              <w:rPr>
                <w:rFonts w:cs="Arial"/>
                <w:highlight w:val="yellow"/>
              </w:rPr>
              <w:br/>
            </w:r>
          </w:p>
          <w:p w14:paraId="2330457E" w14:textId="77777777" w:rsidR="00104925" w:rsidRDefault="00104925" w:rsidP="00792FF7">
            <w:pPr>
              <w:spacing w:line="276" w:lineRule="auto"/>
              <w:jc w:val="both"/>
              <w:rPr>
                <w:rFonts w:cs="Arial"/>
                <w:highlight w:val="yellow"/>
              </w:rPr>
            </w:pPr>
            <w:r w:rsidRPr="001F23B4">
              <w:rPr>
                <w:rFonts w:cs="Arial"/>
                <w:highlight w:val="yellow"/>
              </w:rPr>
              <w:t xml:space="preserve">My approach is consistent with adult-learning principles emphasising experience, practical relevance and problem-centred learning (Knowles et al., 2020). I used these principles to understand the value of practical engagement, rather than </w:t>
            </w:r>
            <w:proofErr w:type="gramStart"/>
            <w:r w:rsidRPr="001F23B4">
              <w:rPr>
                <w:rFonts w:cs="Arial"/>
                <w:highlight w:val="yellow"/>
              </w:rPr>
              <w:t>assuming that</w:t>
            </w:r>
            <w:proofErr w:type="gramEnd"/>
            <w:r w:rsidRPr="001F23B4">
              <w:rPr>
                <w:rFonts w:cs="Arial"/>
                <w:highlight w:val="yellow"/>
              </w:rPr>
              <w:t xml:space="preserve"> age determines how an individual learns. Collaborative tasks gave students a shared experience to examine, while explanations and written prompts supported their interpretation (K1, K2).</w:t>
            </w:r>
          </w:p>
          <w:p w14:paraId="20F09D97" w14:textId="77777777" w:rsidR="00B45D5F" w:rsidRPr="001F23B4" w:rsidRDefault="00B45D5F" w:rsidP="00792FF7">
            <w:pPr>
              <w:spacing w:line="276" w:lineRule="auto"/>
              <w:jc w:val="both"/>
              <w:rPr>
                <w:rFonts w:cs="Arial"/>
                <w:highlight w:val="yellow"/>
              </w:rPr>
            </w:pPr>
          </w:p>
          <w:p w14:paraId="0DE6AA13" w14:textId="77777777" w:rsidR="00104925" w:rsidRDefault="00104925" w:rsidP="00792FF7">
            <w:pPr>
              <w:spacing w:line="276" w:lineRule="auto"/>
              <w:jc w:val="both"/>
              <w:rPr>
                <w:rFonts w:cs="Arial"/>
                <w:highlight w:val="yellow"/>
              </w:rPr>
            </w:pPr>
            <w:r w:rsidRPr="001F23B4">
              <w:rPr>
                <w:rFonts w:cs="Arial"/>
                <w:highlight w:val="yellow"/>
              </w:rPr>
              <w:t>When teaching Tuckman’s model, I first asked students to complete a classroom task in groups of four or five. After introducing the theory, I guided them back through their experience using questions about initial uncertainty, disagreements, emerging roles, effective working and the conclusion of the task. I also asked how their leader had been selected and what that person contributed. These prompts helped students connect theoretical terminology with specific interactions. My final question asked whether the stages occurred in sequence, overlapped or were not clearly apparent, encouraging critical application rather than assuming every group must demonstrate each stage distinctly (K2).</w:t>
            </w:r>
          </w:p>
          <w:p w14:paraId="5466C996" w14:textId="77777777" w:rsidR="004B73F5" w:rsidRPr="001F23B4" w:rsidRDefault="004B73F5" w:rsidP="00792FF7">
            <w:pPr>
              <w:spacing w:line="276" w:lineRule="auto"/>
              <w:jc w:val="both"/>
              <w:rPr>
                <w:rFonts w:cs="Arial"/>
                <w:highlight w:val="yellow"/>
              </w:rPr>
            </w:pPr>
          </w:p>
          <w:p w14:paraId="65175053" w14:textId="77777777" w:rsidR="00104925" w:rsidRPr="001F23B4" w:rsidRDefault="00104925" w:rsidP="00792FF7">
            <w:pPr>
              <w:spacing w:line="276" w:lineRule="auto"/>
              <w:jc w:val="both"/>
              <w:rPr>
                <w:rFonts w:cs="Arial"/>
                <w:highlight w:val="yellow"/>
              </w:rPr>
            </w:pPr>
            <w:r w:rsidRPr="001F23B4">
              <w:rPr>
                <w:rFonts w:cs="Arial"/>
                <w:highlight w:val="yellow"/>
              </w:rPr>
              <w:t>For Belbin’s nine team roles, I began with the Marshmallow Tower Challenge. Teams had 18 minutes to construct the tallest free-standing tower using spaghetti, a marshmallow, masking tape and string. The task created opportunities for discussion, experimentation and collective problem-solving. I then introduced Belbin’s roles and connected the framework to students’ experiences.</w:t>
            </w:r>
          </w:p>
          <w:p w14:paraId="28A27F33" w14:textId="77777777" w:rsidR="00285545" w:rsidRDefault="00104925" w:rsidP="00792FF7">
            <w:pPr>
              <w:spacing w:line="276" w:lineRule="auto"/>
              <w:jc w:val="both"/>
              <w:rPr>
                <w:rFonts w:cs="Arial"/>
                <w:highlight w:val="yellow"/>
              </w:rPr>
            </w:pPr>
            <w:r w:rsidRPr="001F23B4">
              <w:rPr>
                <w:rFonts w:cs="Arial"/>
                <w:highlight w:val="yellow"/>
              </w:rPr>
              <w:t xml:space="preserve">I provided a table linking the roles to observable behaviours during the challenge. Students reflected on their own contributions and anonymously assessed their teammates, identifying up to two roles each person had demonstrated. </w:t>
            </w:r>
          </w:p>
          <w:p w14:paraId="1F4AB245" w14:textId="77777777" w:rsidR="00285545" w:rsidRDefault="00285545" w:rsidP="00792FF7">
            <w:pPr>
              <w:spacing w:line="276" w:lineRule="auto"/>
              <w:jc w:val="both"/>
              <w:rPr>
                <w:rFonts w:cs="Arial"/>
                <w:highlight w:val="yellow"/>
              </w:rPr>
            </w:pPr>
          </w:p>
          <w:p w14:paraId="41DAE6CE" w14:textId="77777777" w:rsidR="006E0F54" w:rsidRPr="006E0F54" w:rsidRDefault="006E0F54" w:rsidP="00792FF7">
            <w:pPr>
              <w:spacing w:line="276" w:lineRule="auto"/>
              <w:jc w:val="both"/>
              <w:rPr>
                <w:rFonts w:cs="Arial"/>
                <w:highlight w:val="yellow"/>
              </w:rPr>
            </w:pPr>
            <w:r w:rsidRPr="006E0F54">
              <w:rPr>
                <w:rFonts w:cs="Arial"/>
                <w:b/>
                <w:bCs/>
                <w:highlight w:val="yellow"/>
              </w:rPr>
              <w:t>The table gave concrete reference points for their judgements. I used anonymity to reduce the social pressure of commenting on classmates’ contributions and encourage candid observations. The focus remained on behaviour demonstrated during the task, rather than assigning fixed identities to students (K2).</w:t>
            </w:r>
          </w:p>
          <w:p w14:paraId="26129065" w14:textId="77777777" w:rsidR="006E0F54" w:rsidRPr="001F23B4" w:rsidRDefault="006E0F54" w:rsidP="00792FF7">
            <w:pPr>
              <w:spacing w:line="276" w:lineRule="auto"/>
              <w:jc w:val="both"/>
              <w:rPr>
                <w:rFonts w:cs="Arial"/>
                <w:highlight w:val="yellow"/>
              </w:rPr>
            </w:pPr>
          </w:p>
          <w:p w14:paraId="7C847530" w14:textId="77777777" w:rsidR="00104925" w:rsidRDefault="00104925" w:rsidP="00792FF7">
            <w:pPr>
              <w:spacing w:line="276" w:lineRule="auto"/>
              <w:jc w:val="both"/>
              <w:rPr>
                <w:rFonts w:cs="Arial"/>
                <w:highlight w:val="yellow"/>
              </w:rPr>
            </w:pPr>
            <w:r w:rsidRPr="001F23B4">
              <w:rPr>
                <w:rFonts w:cs="Arial"/>
                <w:highlight w:val="yellow"/>
              </w:rPr>
              <w:t xml:space="preserve">This sequence reflects experiential learning theory: practical experience followed by reflection and conceptual understanding (Kolb, Boyatzis and </w:t>
            </w:r>
            <w:proofErr w:type="spellStart"/>
            <w:r w:rsidRPr="001F23B4">
              <w:rPr>
                <w:rFonts w:cs="Arial"/>
                <w:highlight w:val="yellow"/>
              </w:rPr>
              <w:t>Mainemelis</w:t>
            </w:r>
            <w:proofErr w:type="spellEnd"/>
            <w:r w:rsidRPr="001F23B4">
              <w:rPr>
                <w:rFonts w:cs="Arial"/>
                <w:highlight w:val="yellow"/>
              </w:rPr>
              <w:t>, 1999). Prince’s (2004) review also supports active and collaborative learning, although its engineering-education context differs from my own. These perspectives informed my decision to connect practical participation with explicit explanation and guided reflection (V3).</w:t>
            </w:r>
          </w:p>
          <w:p w14:paraId="73B32A81" w14:textId="77777777" w:rsidR="0034556B" w:rsidRPr="001F23B4" w:rsidRDefault="0034556B" w:rsidP="00792FF7">
            <w:pPr>
              <w:spacing w:line="276" w:lineRule="auto"/>
              <w:jc w:val="both"/>
              <w:rPr>
                <w:rFonts w:cs="Arial"/>
                <w:highlight w:val="yellow"/>
              </w:rPr>
            </w:pPr>
          </w:p>
          <w:p w14:paraId="0090B0C5" w14:textId="77777777" w:rsidR="00104925" w:rsidRDefault="00104925" w:rsidP="00792FF7">
            <w:pPr>
              <w:spacing w:line="276" w:lineRule="auto"/>
              <w:jc w:val="both"/>
              <w:rPr>
                <w:rFonts w:cs="Arial"/>
                <w:highlight w:val="yellow"/>
              </w:rPr>
            </w:pPr>
            <w:r w:rsidRPr="001F23B4">
              <w:rPr>
                <w:rFonts w:cs="Arial"/>
                <w:highlight w:val="yellow"/>
              </w:rPr>
              <w:t xml:space="preserve">I evaluated the approach through participation, students’ application of the framework, informal feedback and subsequent attendance. When one student commented, “This is how learning should be,” the other eight agreed, valuing practical participation and reflection on their own experience. Students shared photographs and positive messages in their class WhatsApp group. Attendance increased from nine to thirteen the following week, approximately 44%. Newly attending students said these posts had motivated them to attend, while returning students recalled the challenge. Their explanations suggested that the shared experience had encouraged attendance, although I could not attribute the increase solely to the </w:t>
            </w:r>
            <w:r w:rsidRPr="001F23B4">
              <w:rPr>
                <w:rFonts w:cs="Arial"/>
                <w:highlight w:val="yellow"/>
              </w:rPr>
              <w:lastRenderedPageBreak/>
              <w:t>activity. Students’ role identifications offered an initial indication of connecting theory with observed behaviour, rather than enjoyment alone (K3).</w:t>
            </w:r>
          </w:p>
          <w:p w14:paraId="74B73881" w14:textId="77777777" w:rsidR="0034556B" w:rsidRPr="001F23B4" w:rsidRDefault="0034556B" w:rsidP="00792FF7">
            <w:pPr>
              <w:spacing w:line="276" w:lineRule="auto"/>
              <w:jc w:val="both"/>
              <w:rPr>
                <w:rFonts w:cs="Arial"/>
                <w:highlight w:val="yellow"/>
              </w:rPr>
            </w:pPr>
          </w:p>
          <w:p w14:paraId="49DA32A2" w14:textId="77777777" w:rsidR="00104925" w:rsidRPr="001F23B4" w:rsidRDefault="00104925" w:rsidP="00792FF7">
            <w:pPr>
              <w:spacing w:line="276" w:lineRule="auto"/>
              <w:jc w:val="both"/>
              <w:rPr>
                <w:rFonts w:cs="Arial"/>
              </w:rPr>
            </w:pPr>
            <w:r w:rsidRPr="001F23B4">
              <w:rPr>
                <w:rFonts w:cs="Arial"/>
                <w:highlight w:val="yellow"/>
              </w:rPr>
              <w:t>Reflecting on these sessions, I recognised that developing teamwork and communication skills requires opportunities to practise and reflect alongside understanding theory. The activity’s educational value depended on explicitly connecting participation to concepts through explanations, questions and the behaviour table. Positive feedback and attendance indicated engagement, while the role-identification exercise offered an initial indication of theoretical application. Neither established lasting learning. In future sessions, I would ask students to justify their role identifications with specific examples of behaviour, enabling me to evaluate their understanding more precisely. This reinforced my rationale for combining practical tasks with guided interpretation when teaching abstract concepts to this cohort (K3).</w:t>
            </w:r>
          </w:p>
          <w:p w14:paraId="4D053A94" w14:textId="4DAE3E68" w:rsidR="798FF03A" w:rsidRPr="0004747D" w:rsidRDefault="798FF03A" w:rsidP="798FF03A">
            <w:pPr>
              <w:rPr>
                <w:rFonts w:cs="Arial"/>
              </w:rPr>
            </w:pPr>
          </w:p>
          <w:p w14:paraId="1EF031D9" w14:textId="7E76C3F1" w:rsidR="798FF03A" w:rsidRPr="0004747D" w:rsidRDefault="798FF03A" w:rsidP="798FF03A">
            <w:pPr>
              <w:rPr>
                <w:rFonts w:cs="Arial"/>
              </w:rPr>
            </w:pPr>
          </w:p>
          <w:p w14:paraId="3485F6DF" w14:textId="13075395" w:rsidR="798FF03A" w:rsidRPr="0004747D" w:rsidRDefault="798FF03A" w:rsidP="798FF03A">
            <w:pPr>
              <w:rPr>
                <w:rFonts w:cs="Arial"/>
              </w:rPr>
            </w:pPr>
          </w:p>
        </w:tc>
      </w:tr>
    </w:tbl>
    <w:p w14:paraId="14708FCB" w14:textId="718E993C" w:rsidR="5617CBD9" w:rsidRPr="0004747D" w:rsidRDefault="5617CBD9" w:rsidP="004B73F5">
      <w:pPr>
        <w:jc w:val="both"/>
        <w:rPr>
          <w:rFonts w:eastAsia="Arial" w:cs="Arial"/>
          <w:sz w:val="32"/>
          <w:szCs w:val="32"/>
        </w:rPr>
      </w:pPr>
      <w:r w:rsidRPr="0004747D">
        <w:rPr>
          <w:rFonts w:eastAsia="Arial" w:cs="Arial"/>
          <w:sz w:val="32"/>
          <w:szCs w:val="32"/>
        </w:rPr>
        <w:t>Evidencing Area of Activity 3 (A3): Assess and give feedback for learning</w:t>
      </w:r>
    </w:p>
    <w:tbl>
      <w:tblPr>
        <w:tblStyle w:val="TableGrid"/>
        <w:tblW w:w="0" w:type="auto"/>
        <w:tblLayout w:type="fixed"/>
        <w:tblLook w:val="06A0" w:firstRow="1" w:lastRow="0" w:firstColumn="1" w:lastColumn="0" w:noHBand="1" w:noVBand="1"/>
      </w:tblPr>
      <w:tblGrid>
        <w:gridCol w:w="10455"/>
      </w:tblGrid>
      <w:tr w:rsidR="798FF03A" w:rsidRPr="0004747D" w14:paraId="67C3AA83" w14:textId="77777777" w:rsidTr="077CD1DA">
        <w:trPr>
          <w:trHeight w:val="300"/>
        </w:trPr>
        <w:tc>
          <w:tcPr>
            <w:tcW w:w="10455" w:type="dxa"/>
          </w:tcPr>
          <w:p w14:paraId="5DD9283C" w14:textId="77777777" w:rsidR="00104925" w:rsidRPr="006A15BD" w:rsidRDefault="00277221" w:rsidP="004B73F5">
            <w:pPr>
              <w:spacing w:after="160" w:line="276" w:lineRule="auto"/>
              <w:jc w:val="both"/>
              <w:rPr>
                <w:highlight w:val="yellow"/>
              </w:rPr>
            </w:pPr>
            <w:r>
              <w:rPr>
                <w:rFonts w:cs="Arial"/>
              </w:rPr>
              <w:br/>
            </w:r>
            <w:r w:rsidR="00104925" w:rsidRPr="006A15BD">
              <w:rPr>
                <w:highlight w:val="yellow"/>
              </w:rPr>
              <w:t>I use assessment and feedback to identify learning needs, clarify expectations and help students improve before final submission. In MBA Strategic Management, students bring different levels of subject knowledge, professional experience and familiarity with postgraduate assessment. An initial written diagnostic task identifies understanding and support needs. Progressive submissions then enable me to respond to individual difficulties while students can still develop their assignments (K1, V1).</w:t>
            </w:r>
          </w:p>
          <w:p w14:paraId="6EE971D7" w14:textId="77777777" w:rsidR="00104925" w:rsidRPr="006A15BD" w:rsidRDefault="00104925" w:rsidP="004B73F5">
            <w:pPr>
              <w:spacing w:after="160" w:line="276" w:lineRule="auto"/>
              <w:jc w:val="both"/>
              <w:rPr>
                <w:highlight w:val="yellow"/>
              </w:rPr>
            </w:pPr>
            <w:r w:rsidRPr="006A15BD">
              <w:rPr>
                <w:highlight w:val="yellow"/>
              </w:rPr>
              <w:t>A significant difficulty concerned Task 4, where some students treated strategic frameworks as separate exercises. Their drafts moved from SWOT or environmental analysis directly to a recommendation without adequately evaluating the current business-level strategy, comparing realistic alternatives or justifying their preferred option. This showed that students needed support in constructing an evidence-based strategic argument.</w:t>
            </w:r>
          </w:p>
          <w:p w14:paraId="0CC14277" w14:textId="77777777" w:rsidR="00104925" w:rsidRPr="006A15BD" w:rsidRDefault="00104925" w:rsidP="004B73F5">
            <w:pPr>
              <w:spacing w:after="160" w:line="276" w:lineRule="auto"/>
              <w:jc w:val="both"/>
              <w:rPr>
                <w:highlight w:val="yellow"/>
              </w:rPr>
            </w:pPr>
            <w:r w:rsidRPr="006A15BD">
              <w:rPr>
                <w:highlight w:val="yellow"/>
              </w:rPr>
              <w:t xml:space="preserve">Because the assessment wording allowed different interpretations, I discussed the requirements with the Programme Manager and Module Leader before clarifying them for students. The challenge was to make the expected reasoning explicit while ensuring that my interpretation remained aligned with the agreed assessment requirements. I translated the task into a connected sequence: identify the current strategy, evaluate its effectiveness, compare alternatives, recommend a strategy, apply </w:t>
            </w:r>
            <w:proofErr w:type="spellStart"/>
            <w:r w:rsidRPr="006A15BD">
              <w:rPr>
                <w:highlight w:val="yellow"/>
              </w:rPr>
              <w:t>SAFe</w:t>
            </w:r>
            <w:proofErr w:type="spellEnd"/>
            <w:r w:rsidRPr="006A15BD">
              <w:rPr>
                <w:highlight w:val="yellow"/>
              </w:rPr>
              <w:t xml:space="preserve"> to assess suitability, acceptability and feasibility, and explain its contribution to performance and competitive advantage. This consultation supported consistent guidance aligned with assessment requirements (V5, K5).</w:t>
            </w:r>
          </w:p>
          <w:p w14:paraId="6D1F7E5C" w14:textId="77777777" w:rsidR="00104925" w:rsidRPr="006A15BD" w:rsidRDefault="00104925" w:rsidP="004B73F5">
            <w:pPr>
              <w:spacing w:after="160" w:line="276" w:lineRule="auto"/>
              <w:jc w:val="both"/>
              <w:rPr>
                <w:highlight w:val="yellow"/>
              </w:rPr>
            </w:pPr>
            <w:r w:rsidRPr="006A15BD">
              <w:rPr>
                <w:highlight w:val="yellow"/>
              </w:rPr>
              <w:t xml:space="preserve">During the Week 8–9 progressive assignment activity, students applied </w:t>
            </w:r>
            <w:proofErr w:type="spellStart"/>
            <w:r w:rsidRPr="006A15BD">
              <w:rPr>
                <w:highlight w:val="yellow"/>
              </w:rPr>
              <w:t>SAFe</w:t>
            </w:r>
            <w:proofErr w:type="spellEnd"/>
            <w:r w:rsidRPr="006A15BD">
              <w:rPr>
                <w:highlight w:val="yellow"/>
              </w:rPr>
              <w:t xml:space="preserve"> alongside gap analysis and McKinsey 7S to consider organisational changes and implementation challenges. My individual feedback directed students to derive alternatives from their earlier analysis, explain the evidence supporting their choice and connect implementation proposals to organisational capabilities. I identified missing reasoning and explained what needed development, making feedback actionable while preserving students’ responsibility for their analysis (K2).</w:t>
            </w:r>
          </w:p>
          <w:p w14:paraId="066246A6" w14:textId="77777777" w:rsidR="00063C68" w:rsidRPr="00063C68" w:rsidRDefault="00104925" w:rsidP="004B73F5">
            <w:pPr>
              <w:spacing w:after="160" w:line="276" w:lineRule="auto"/>
              <w:jc w:val="both"/>
              <w:rPr>
                <w:highlight w:val="yellow"/>
              </w:rPr>
            </w:pPr>
            <w:r w:rsidRPr="006A15BD">
              <w:rPr>
                <w:highlight w:val="yellow"/>
              </w:rPr>
              <w:t xml:space="preserve">I linked comments to assessment criteria so students could understand the weakness and expected standard. This reflects Nicol and Macfarlane-Dick’s (2006) emphasis on feedback that clarifies expectations and helps learners close the gap between current and desired performance. </w:t>
            </w:r>
            <w:r w:rsidR="00063C68" w:rsidRPr="00063C68">
              <w:rPr>
                <w:highlight w:val="yellow"/>
              </w:rPr>
              <w:t>Progressive submissions gave students opportunities to interpret criterion-linked feedback and use it to revise their reasoning before final assessment. This reflects Carless and Boud’s (2018) emphasis on feedback literacy as learners’ capacity to understand and act on feedback (V3).</w:t>
            </w:r>
          </w:p>
          <w:p w14:paraId="6C3F72ED" w14:textId="033D02FC" w:rsidR="00104925" w:rsidRPr="006A15BD" w:rsidRDefault="00104925" w:rsidP="004B73F5">
            <w:pPr>
              <w:spacing w:after="160" w:line="276" w:lineRule="auto"/>
              <w:jc w:val="both"/>
            </w:pPr>
          </w:p>
          <w:p w14:paraId="5928D054" w14:textId="77777777" w:rsidR="00104925" w:rsidRPr="00581DDA" w:rsidRDefault="00104925" w:rsidP="004B73F5">
            <w:pPr>
              <w:spacing w:after="160" w:line="276" w:lineRule="auto"/>
              <w:jc w:val="both"/>
            </w:pPr>
            <w:r w:rsidRPr="00581DDA">
              <w:rPr>
                <w:highlight w:val="yellow"/>
              </w:rPr>
              <w:lastRenderedPageBreak/>
              <w:t>I evaluated effectiveness by reviewing subsequent work against the criteria. Many students whose formative drafts were below the pass standard subsequently produced work at a clear pass level, and no students in the cohort I taught failed the module. These outcomes were consistent with the intended benefits of progressive feedback, although they did not establish its contribution independently of other teaching and student effort. Where implementation proposals remained broad, my final feedback identified the need for clearer responsibilities, timescales and performance measures (K3).</w:t>
            </w:r>
          </w:p>
          <w:p w14:paraId="0DCD0574" w14:textId="77777777" w:rsidR="00104925" w:rsidRPr="008E3AD5" w:rsidRDefault="00104925" w:rsidP="004B73F5">
            <w:pPr>
              <w:spacing w:after="160" w:line="276" w:lineRule="auto"/>
              <w:jc w:val="both"/>
            </w:pPr>
            <w:r w:rsidRPr="008E3AD5">
              <w:rPr>
                <w:highlight w:val="yellow"/>
              </w:rPr>
              <w:t>Alongside formative support, I facilitated meetings with colleagues to discuss and clarify marking criteria and guidance across teaching groups. The aim was to ensure that students’ work was assessed against consistent standards regardless of who taught or marked it. These discussions provided opportunities to examine interpretations of the criteria and clarify expectations collectively (V5, K5).</w:t>
            </w:r>
          </w:p>
          <w:p w14:paraId="12EFBD17" w14:textId="6A47773D" w:rsidR="004E40EF" w:rsidRPr="004E40EF" w:rsidRDefault="00104925" w:rsidP="004B73F5">
            <w:pPr>
              <w:spacing w:after="160" w:line="276" w:lineRule="auto"/>
              <w:jc w:val="both"/>
              <w:rPr>
                <w:highlight w:val="yellow"/>
              </w:rPr>
            </w:pPr>
            <w:r w:rsidRPr="008E3AD5">
              <w:rPr>
                <w:highlight w:val="yellow"/>
              </w:rPr>
              <w:t xml:space="preserve">In Strategic Management standardisation, I examined the university’s generic criteria alongside task-specific guidance and compared my judgement on a shared sample with a senior lecturer’s assessment. </w:t>
            </w:r>
            <w:r w:rsidR="004E40EF" w:rsidRPr="004E40EF">
              <w:rPr>
                <w:highlight w:val="yellow"/>
              </w:rPr>
              <w:t>A challenge in collaborative standardisation was reconciling different interpretations of the same criteria. Discussing the evidence underlying our judgements helped me refine my decisions and showed me that consistency requires professional dialogue, rather than shared criteria alone.</w:t>
            </w:r>
          </w:p>
          <w:p w14:paraId="0D56EBF1" w14:textId="1CC992B6" w:rsidR="00104925" w:rsidRPr="008E3AD5" w:rsidRDefault="00104925" w:rsidP="004B73F5">
            <w:pPr>
              <w:spacing w:after="160" w:line="276" w:lineRule="auto"/>
              <w:jc w:val="both"/>
              <w:rPr>
                <w:highlight w:val="yellow"/>
              </w:rPr>
            </w:pPr>
            <w:r w:rsidRPr="008E3AD5">
              <w:rPr>
                <w:highlight w:val="yellow"/>
              </w:rPr>
              <w:t>I also reviewed the previous term’s marking spreadsheet and revised the grid so that criterion-level feedback matched the current tasks and could be entered clearly into Moodle (K5).</w:t>
            </w:r>
          </w:p>
          <w:p w14:paraId="5AA623E3" w14:textId="77777777" w:rsidR="00104925" w:rsidRPr="008E3AD5" w:rsidRDefault="00104925" w:rsidP="004B73F5">
            <w:pPr>
              <w:spacing w:after="160" w:line="276" w:lineRule="auto"/>
              <w:jc w:val="both"/>
            </w:pPr>
            <w:r w:rsidRPr="008E3AD5">
              <w:rPr>
                <w:highlight w:val="yellow"/>
              </w:rPr>
              <w:t>Reflecting on these experiences, I recognised that clear criteria need to be accompanied by opportunities for both learners and assessors to interpret them. Progressive feedback helped students understand how to strengthen their work, while collaborative standardisation helped me apply expectations consistently. Together, these processes reinforced the value of explaining assessment judgements and providing a practical basis for improvement (K3, K5).</w:t>
            </w:r>
          </w:p>
          <w:p w14:paraId="4CF516E3" w14:textId="77777777" w:rsidR="006563AD" w:rsidRPr="006563AD" w:rsidRDefault="006563AD" w:rsidP="004B73F5">
            <w:pPr>
              <w:spacing w:after="160" w:line="276" w:lineRule="auto"/>
              <w:jc w:val="both"/>
            </w:pPr>
            <w:r w:rsidRPr="006563AD">
              <w:rPr>
                <w:highlight w:val="yellow"/>
              </w:rPr>
              <w:t>These processes helped me translate quality assurance requirements into consistent assessment judgements, while revising the marking grid enhanced the clarity of criterion-level feedback (K5).</w:t>
            </w:r>
          </w:p>
          <w:p w14:paraId="5451C507" w14:textId="28534E09" w:rsidR="00990616" w:rsidRPr="00990616" w:rsidRDefault="00990616" w:rsidP="00BB5973">
            <w:pPr>
              <w:spacing w:after="160" w:line="360" w:lineRule="auto"/>
            </w:pPr>
          </w:p>
          <w:p w14:paraId="781EB1B4" w14:textId="60006DB7" w:rsidR="006A3D8B" w:rsidRPr="003B5ECE" w:rsidRDefault="006A3D8B" w:rsidP="00990616">
            <w:pPr>
              <w:spacing w:after="160" w:line="360" w:lineRule="auto"/>
            </w:pPr>
          </w:p>
          <w:p w14:paraId="34ED7AD9" w14:textId="5CF2A69F" w:rsidR="798FF03A" w:rsidRPr="007169A3" w:rsidRDefault="798FF03A" w:rsidP="00990616">
            <w:pPr>
              <w:spacing w:after="160" w:line="360" w:lineRule="auto"/>
              <w:rPr>
                <w:rFonts w:cs="Arial"/>
                <w:sz w:val="24"/>
                <w:szCs w:val="24"/>
              </w:rPr>
            </w:pPr>
          </w:p>
        </w:tc>
      </w:tr>
    </w:tbl>
    <w:p w14:paraId="191F2ED2" w14:textId="3F7B0F24" w:rsidR="798FF03A" w:rsidRPr="0004747D" w:rsidRDefault="798FF03A" w:rsidP="798FF03A">
      <w:pPr>
        <w:rPr>
          <w:rFonts w:cs="Arial"/>
          <w:b/>
          <w:bCs/>
          <w:sz w:val="32"/>
          <w:szCs w:val="32"/>
        </w:rPr>
      </w:pPr>
    </w:p>
    <w:p w14:paraId="42E48270" w14:textId="77777777" w:rsidR="0004747D" w:rsidRDefault="0004747D">
      <w:pPr>
        <w:spacing w:after="200" w:line="276" w:lineRule="auto"/>
        <w:rPr>
          <w:rFonts w:eastAsia="Arial" w:cs="Arial"/>
          <w:sz w:val="32"/>
          <w:szCs w:val="32"/>
        </w:rPr>
      </w:pPr>
      <w:r>
        <w:rPr>
          <w:rFonts w:eastAsia="Arial" w:cs="Arial"/>
          <w:sz w:val="32"/>
          <w:szCs w:val="32"/>
        </w:rPr>
        <w:br w:type="page"/>
      </w:r>
    </w:p>
    <w:p w14:paraId="4C83E7E8" w14:textId="487EC8A7" w:rsidR="67D46217" w:rsidRPr="0004747D" w:rsidRDefault="67D46217" w:rsidP="798FF03A">
      <w:pPr>
        <w:rPr>
          <w:rFonts w:eastAsia="Arial" w:cs="Arial"/>
          <w:sz w:val="32"/>
          <w:szCs w:val="32"/>
        </w:rPr>
      </w:pPr>
      <w:r w:rsidRPr="0004747D">
        <w:rPr>
          <w:rFonts w:eastAsia="Arial" w:cs="Arial"/>
          <w:sz w:val="32"/>
          <w:szCs w:val="32"/>
        </w:rPr>
        <w:lastRenderedPageBreak/>
        <w:t>Evidencing Area of Activity 4 (A4): Support and guide learners</w:t>
      </w: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077CD1DA">
        <w:trPr>
          <w:trHeight w:val="300"/>
        </w:trPr>
        <w:tc>
          <w:tcPr>
            <w:tcW w:w="10455" w:type="dxa"/>
          </w:tcPr>
          <w:p w14:paraId="01148DD0" w14:textId="7CA71E75" w:rsidR="798FF03A" w:rsidRDefault="798FF03A" w:rsidP="798FF03A"/>
          <w:p w14:paraId="7D27F124" w14:textId="77777777" w:rsidR="00467099" w:rsidRPr="001F23B4" w:rsidRDefault="00467099" w:rsidP="000D535B">
            <w:pPr>
              <w:spacing w:after="160" w:line="276" w:lineRule="auto"/>
              <w:jc w:val="both"/>
              <w:rPr>
                <w:highlight w:val="yellow"/>
              </w:rPr>
            </w:pPr>
            <w:r w:rsidRPr="001F23B4">
              <w:rPr>
                <w:highlight w:val="yellow"/>
              </w:rPr>
              <w:t>Supporting learners is central to my practice at UWTSD London Campus, where students have varied educational experiences, academic confidence and competing commitments. I provide guidance through academic support tutorials, assessment workshops, dissertation supervision, Moodle resources and individual feedback. My aim is to help students understand expectations and develop the knowledge, skills and confidence to apply their learning independently, while recognising that the type and amount of support required differ between learners (V1, V2).</w:t>
            </w:r>
          </w:p>
          <w:p w14:paraId="005AFF06" w14:textId="77777777" w:rsidR="00467099" w:rsidRPr="001F23B4" w:rsidRDefault="00467099" w:rsidP="000D535B">
            <w:pPr>
              <w:spacing w:after="160" w:line="276" w:lineRule="auto"/>
              <w:jc w:val="both"/>
              <w:rPr>
                <w:highlight w:val="yellow"/>
              </w:rPr>
            </w:pPr>
            <w:r w:rsidRPr="001F23B4">
              <w:rPr>
                <w:highlight w:val="yellow"/>
              </w:rPr>
              <w:t>I identify support needs through conversations, questions during teaching, students’ work and their responses to feedback. In individual discussions, I help learners interpret assessment requirements, develop research ideas and identify practical steps for improving their work. For students who are uncertain about a task, I break explanations into manageable steps; where students demonstrate greater confidence, I use extension questions to encourage further development. Several mature students have told me that being able to ask basic questions privately made them more willing to attend subsequent support sessions. This reinforced the importance of providing opportunities to seek clarification without embarrassment (V1, K1).</w:t>
            </w:r>
          </w:p>
          <w:p w14:paraId="3DF62FEB" w14:textId="77777777" w:rsidR="00467099" w:rsidRPr="001F23B4" w:rsidRDefault="00467099" w:rsidP="000D535B">
            <w:pPr>
              <w:spacing w:after="160" w:line="276" w:lineRule="auto"/>
              <w:jc w:val="both"/>
              <w:rPr>
                <w:highlight w:val="yellow"/>
              </w:rPr>
            </w:pPr>
            <w:r w:rsidRPr="001F23B4">
              <w:rPr>
                <w:highlight w:val="yellow"/>
              </w:rPr>
              <w:t>A specific example arose in the Level 4 Learning in the Digital Era module, where students were required to create an e-portfolio and a short video presentation. Some students with limited computing experience struggled to keep pace with practical demonstrations and recall the steps independently afterwards. I responded by producing short tutorial videos explaining the purpose of each task, demonstrating the procedures and connecting them to the assessment requirements. Separate assessment guidance videos helped students understand the expected outputs and relevant criteria.</w:t>
            </w:r>
          </w:p>
          <w:p w14:paraId="289920B1" w14:textId="77777777" w:rsidR="00467099" w:rsidRPr="001F23B4" w:rsidRDefault="00467099" w:rsidP="000D535B">
            <w:pPr>
              <w:spacing w:after="160" w:line="276" w:lineRule="auto"/>
              <w:jc w:val="both"/>
              <w:rPr>
                <w:highlight w:val="yellow"/>
              </w:rPr>
            </w:pPr>
            <w:r w:rsidRPr="001F23B4">
              <w:rPr>
                <w:highlight w:val="yellow"/>
              </w:rPr>
              <w:t>I chose this format because students could pause, replay and practise individual steps at their own pace. It extended access to guidance beyond the classroom and allowed students to revisit unfamiliar processes privately. Providing visual demonstrations alongside verbal explanations, with opportunities to pause and revisit unfamiliar steps, is consistent with Universal Design for Learning principles concerning multiple means of representation (CAST, 2018). The support addressed an identified difficulty with practical procedures while helping students work towards the same assessment expectations (V2, K4).</w:t>
            </w:r>
          </w:p>
          <w:p w14:paraId="1587F1C2" w14:textId="77777777" w:rsidR="00467099" w:rsidRPr="001F23B4" w:rsidRDefault="00467099" w:rsidP="000D535B">
            <w:pPr>
              <w:spacing w:after="160" w:line="276" w:lineRule="auto"/>
              <w:jc w:val="both"/>
              <w:rPr>
                <w:highlight w:val="yellow"/>
              </w:rPr>
            </w:pPr>
            <w:r w:rsidRPr="001F23B4">
              <w:rPr>
                <w:highlight w:val="yellow"/>
              </w:rPr>
              <w:t>I applied a similar approach in Database Application Development (ACCA5026). Four-hour laboratory sessions combined theory, algorithms, demonstrations and individual troubleshooting. Although full lecture recordings were available, students reported that they rarely used them because relevant explanations were difficult to locate and the audio was sometimes unclear when I moved away from the lecturer’s desk to assist individuals. This showed that providing a recording did not necessarily make the guidance usable.</w:t>
            </w:r>
          </w:p>
          <w:p w14:paraId="1B524F95" w14:textId="77777777" w:rsidR="00467099" w:rsidRPr="001F23B4" w:rsidRDefault="00467099" w:rsidP="000D535B">
            <w:pPr>
              <w:spacing w:after="160" w:line="276" w:lineRule="auto"/>
              <w:jc w:val="both"/>
              <w:rPr>
                <w:highlight w:val="yellow"/>
              </w:rPr>
            </w:pPr>
            <w:r w:rsidRPr="001F23B4">
              <w:rPr>
                <w:highlight w:val="yellow"/>
              </w:rPr>
              <w:t xml:space="preserve">I therefore created shorter tutorials with clear titles linked to </w:t>
            </w:r>
            <w:proofErr w:type="gramStart"/>
            <w:r w:rsidRPr="001F23B4">
              <w:rPr>
                <w:highlight w:val="yellow"/>
              </w:rPr>
              <w:t>particular tasks</w:t>
            </w:r>
            <w:proofErr w:type="gramEnd"/>
            <w:r w:rsidRPr="001F23B4">
              <w:rPr>
                <w:highlight w:val="yellow"/>
              </w:rPr>
              <w:t>, lesson objectives and assessment requirements. Students could select the explanation they needed without searching through a lengthy recording. Their feedback indicated that these resources helped them understand procedures, develop confidence and complete assignments. This experience strengthened my understanding that the educational value of technology depends on its suitability for the learner’s task and circumstances, rather than simply its availability (K4, K3).</w:t>
            </w:r>
          </w:p>
          <w:p w14:paraId="3FC3D222" w14:textId="77777777" w:rsidR="00467099" w:rsidRPr="001F23B4" w:rsidRDefault="00467099" w:rsidP="000D535B">
            <w:pPr>
              <w:spacing w:after="160" w:line="276" w:lineRule="auto"/>
              <w:jc w:val="both"/>
            </w:pPr>
            <w:r w:rsidRPr="001F23B4">
              <w:rPr>
                <w:highlight w:val="yellow"/>
              </w:rPr>
              <w:t xml:space="preserve">I evaluated support through informal feedback and by reviewing students’ progressive submissions and final summative submissions for the department’s formal assessments. These provided evidence of how students applied the knowledge and skills developed through classroom activities and video explanations to their individual assessed work. Progressive submissions helped me identify remaining difficulties and provide further guidance while revision was possible; final submissions enabled me to judge their application against the assessment criteria. My purpose was to equip students to interpret requirements and develop their own responses independently. Reflecting across these examples, I have become more deliberate about distinguishing access to resources from access to usable support. I now combine focused </w:t>
            </w:r>
            <w:r w:rsidRPr="001F23B4">
              <w:rPr>
                <w:highlight w:val="yellow"/>
              </w:rPr>
              <w:lastRenderedPageBreak/>
              <w:t>guidance that learners can revisit with practical activities and individual discussion, while preserving students’ responsibility for applying their learning and producing their own work (K3).</w:t>
            </w:r>
          </w:p>
          <w:p w14:paraId="5661355F" w14:textId="77777777" w:rsidR="00467099" w:rsidRDefault="00467099" w:rsidP="00467099"/>
          <w:p w14:paraId="0A3049C0" w14:textId="77777777" w:rsidR="009621CC" w:rsidRPr="0004747D" w:rsidRDefault="009621CC" w:rsidP="798FF03A">
            <w:pPr>
              <w:rPr>
                <w:rFonts w:eastAsia="Arial" w:cs="Arial"/>
                <w:color w:val="009999"/>
                <w:sz w:val="32"/>
                <w:szCs w:val="32"/>
              </w:rPr>
            </w:pPr>
          </w:p>
          <w:p w14:paraId="22DB3C4C" w14:textId="47510A0A" w:rsidR="798FF03A" w:rsidRPr="0004747D" w:rsidRDefault="798FF03A" w:rsidP="798FF03A">
            <w:pPr>
              <w:rPr>
                <w:rFonts w:eastAsia="Arial" w:cs="Arial"/>
                <w:color w:val="009999"/>
                <w:sz w:val="32"/>
                <w:szCs w:val="32"/>
              </w:rPr>
            </w:pPr>
          </w:p>
        </w:tc>
      </w:tr>
    </w:tbl>
    <w:p w14:paraId="5F12D00B" w14:textId="62D613D9" w:rsidR="798FF03A" w:rsidRPr="0004747D" w:rsidRDefault="798FF03A" w:rsidP="798FF03A">
      <w:pPr>
        <w:rPr>
          <w:rFonts w:eastAsia="Arial" w:cs="Arial"/>
          <w:color w:val="009999"/>
          <w:sz w:val="32"/>
          <w:szCs w:val="32"/>
        </w:rPr>
      </w:pPr>
    </w:p>
    <w:p w14:paraId="18BDC4DD" w14:textId="52E63FFA" w:rsidR="67D46217" w:rsidRPr="0004747D" w:rsidRDefault="0004747D" w:rsidP="001D6566">
      <w:pPr>
        <w:spacing w:after="200" w:line="276" w:lineRule="auto"/>
        <w:rPr>
          <w:rFonts w:eastAsia="Arial" w:cs="Arial"/>
          <w:sz w:val="32"/>
          <w:szCs w:val="32"/>
        </w:rPr>
      </w:pPr>
      <w:bookmarkStart w:id="2" w:name="_Int_GMU7shk2"/>
      <w:r>
        <w:rPr>
          <w:rFonts w:eastAsia="Arial" w:cs="Arial"/>
          <w:sz w:val="32"/>
          <w:szCs w:val="32"/>
        </w:rPr>
        <w:br w:type="page"/>
      </w:r>
      <w:r w:rsidR="67D46217" w:rsidRPr="0004747D">
        <w:rPr>
          <w:rFonts w:eastAsia="Arial" w:cs="Arial"/>
          <w:sz w:val="32"/>
          <w:szCs w:val="32"/>
        </w:rPr>
        <w:lastRenderedPageBreak/>
        <w:t>Evidencing Area of Activity 5 (A5):</w:t>
      </w:r>
      <w:r w:rsidR="67D46217" w:rsidRPr="0004747D">
        <w:rPr>
          <w:rFonts w:eastAsia="Arial" w:cs="Arial"/>
          <w:sz w:val="24"/>
          <w:szCs w:val="24"/>
        </w:rPr>
        <w:t xml:space="preserve"> </w:t>
      </w:r>
      <w:r w:rsidR="67D46217" w:rsidRPr="0004747D">
        <w:rPr>
          <w:rFonts w:eastAsia="Arial" w:cs="Arial"/>
          <w:sz w:val="32"/>
          <w:szCs w:val="32"/>
        </w:rPr>
        <w:t>Enhance practice through own continuing professional development </w:t>
      </w:r>
      <w:bookmarkEnd w:id="2"/>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077CD1DA">
        <w:trPr>
          <w:trHeight w:val="300"/>
        </w:trPr>
        <w:tc>
          <w:tcPr>
            <w:tcW w:w="10455" w:type="dxa"/>
          </w:tcPr>
          <w:p w14:paraId="389E00B8" w14:textId="00E810A7" w:rsidR="798FF03A" w:rsidRDefault="798FF03A" w:rsidP="798FF03A">
            <w:pPr>
              <w:rPr>
                <w:rFonts w:cs="Arial"/>
              </w:rPr>
            </w:pPr>
          </w:p>
          <w:p w14:paraId="7FD772E4" w14:textId="22BB1135" w:rsidR="004B3909" w:rsidRPr="000D535B" w:rsidRDefault="004B3909" w:rsidP="000D535B">
            <w:pPr>
              <w:spacing w:line="276" w:lineRule="auto"/>
              <w:jc w:val="both"/>
              <w:rPr>
                <w:rFonts w:cs="Arial"/>
                <w:highlight w:val="yellow"/>
              </w:rPr>
            </w:pPr>
            <w:r w:rsidRPr="000D535B">
              <w:rPr>
                <w:rFonts w:cs="Arial"/>
                <w:highlight w:val="yellow"/>
              </w:rPr>
              <w:t>My teaching spans business, management, digital skills and research methods, requiring continuing development of both subject knowledge and teaching approaches. I identify development needs through students’ work, questions, feedback and discussions with colleagues. I use these alongside formal CPD and relevant literature to examine my practice. This is consistent with Brookfield’s (2017) emphasis on considering teaching through personal experience, learners’ perspectives, colleagues’ insights and scholarship (V3).</w:t>
            </w:r>
            <w:r w:rsidRPr="000D535B">
              <w:rPr>
                <w:rFonts w:cs="Arial"/>
                <w:highlight w:val="yellow"/>
              </w:rPr>
              <w:br/>
            </w:r>
          </w:p>
          <w:p w14:paraId="075F8A3F" w14:textId="7D8FD8E2" w:rsidR="004B3909" w:rsidRPr="000D535B" w:rsidRDefault="004B3909" w:rsidP="000D535B">
            <w:pPr>
              <w:spacing w:line="276" w:lineRule="auto"/>
              <w:jc w:val="both"/>
              <w:rPr>
                <w:rFonts w:cs="Arial"/>
                <w:highlight w:val="yellow"/>
              </w:rPr>
            </w:pPr>
            <w:r w:rsidRPr="000D535B">
              <w:rPr>
                <w:rFonts w:cs="Arial"/>
                <w:highlight w:val="yellow"/>
              </w:rPr>
              <w:t>A significant example is the Google Advanced Data Analytics Professional Certificate, which I undertook from November 2025 and completed in May 2026. The programme strengthened my understanding of data preparation, statistical analysis and visualisation. During MBA supervision, students’ difficulties interpreting results highlighted the importance of translating this knowledge into accessible explanations. Learning undertaken during the certificate informed the practical dissertation activity I delivered in April 2026, before completing the programme. I used a prepared dataset and guidance on charts and statistics to help students practise analysis and connect outputs to research questions (K2, K4).</w:t>
            </w:r>
            <w:r w:rsidRPr="000D535B">
              <w:rPr>
                <w:rFonts w:cs="Arial"/>
                <w:highlight w:val="yellow"/>
              </w:rPr>
              <w:br/>
            </w:r>
          </w:p>
          <w:p w14:paraId="0CD2C90A" w14:textId="3E62E372" w:rsidR="007E69B4" w:rsidRPr="000D535B" w:rsidRDefault="004B3909" w:rsidP="000D535B">
            <w:pPr>
              <w:spacing w:line="276" w:lineRule="auto"/>
              <w:jc w:val="both"/>
              <w:rPr>
                <w:rFonts w:cs="Arial"/>
                <w:highlight w:val="yellow"/>
              </w:rPr>
            </w:pPr>
            <w:r w:rsidRPr="000D535B">
              <w:rPr>
                <w:rFonts w:cs="Arial"/>
                <w:highlight w:val="yellow"/>
              </w:rPr>
              <w:t xml:space="preserve">Students completed group analyses and reported increased confidence in analysing and presenting findings. The Programme Manager reviewed the resources positively and particularly valued the integration of Excel charts and correlation coefficients. </w:t>
            </w:r>
            <w:r w:rsidR="007E69B4" w:rsidRPr="000D535B">
              <w:rPr>
                <w:rFonts w:cs="Arial"/>
                <w:highlight w:val="yellow"/>
              </w:rPr>
              <w:t xml:space="preserve"> Considering </w:t>
            </w:r>
            <w:proofErr w:type="gramStart"/>
            <w:r w:rsidR="006C0770" w:rsidRPr="000D535B">
              <w:rPr>
                <w:rFonts w:cs="Arial"/>
                <w:highlight w:val="yellow"/>
              </w:rPr>
              <w:t>students’</w:t>
            </w:r>
            <w:proofErr w:type="gramEnd"/>
            <w:r w:rsidR="007E69B4" w:rsidRPr="000D535B">
              <w:rPr>
                <w:rFonts w:cs="Arial"/>
                <w:highlight w:val="yellow"/>
              </w:rPr>
              <w:t xml:space="preserve"> completed analyses alongside their feedback and the Programme Manager’s observations helped me evaluate how I had translated my professional learning into teaching.</w:t>
            </w:r>
          </w:p>
          <w:p w14:paraId="7DE23923" w14:textId="0D774646" w:rsidR="007E69B4" w:rsidRPr="000D535B" w:rsidRDefault="007E69B4" w:rsidP="000D535B">
            <w:pPr>
              <w:spacing w:line="276" w:lineRule="auto"/>
              <w:jc w:val="both"/>
              <w:rPr>
                <w:rFonts w:cs="Arial"/>
                <w:highlight w:val="yellow"/>
              </w:rPr>
            </w:pPr>
          </w:p>
          <w:p w14:paraId="081FCB77" w14:textId="77777777" w:rsidR="007E69B4" w:rsidRPr="000D535B" w:rsidRDefault="007E69B4" w:rsidP="000D535B">
            <w:pPr>
              <w:spacing w:line="276" w:lineRule="auto"/>
              <w:jc w:val="both"/>
              <w:rPr>
                <w:rFonts w:cs="Arial"/>
                <w:highlight w:val="yellow"/>
              </w:rPr>
            </w:pPr>
          </w:p>
          <w:p w14:paraId="77473846" w14:textId="6AB6F69D" w:rsidR="004B3909" w:rsidRPr="000D535B" w:rsidRDefault="004B3909" w:rsidP="000D535B">
            <w:pPr>
              <w:spacing w:line="276" w:lineRule="auto"/>
              <w:jc w:val="both"/>
              <w:rPr>
                <w:rFonts w:cs="Arial"/>
                <w:highlight w:val="yellow"/>
              </w:rPr>
            </w:pPr>
            <w:r w:rsidRPr="000D535B">
              <w:rPr>
                <w:rFonts w:cs="Arial"/>
                <w:highlight w:val="yellow"/>
              </w:rPr>
              <w:t>I also recognised that subject expertise alone was insufficient: students needed guided practice and opportunities to explain their interpretations</w:t>
            </w:r>
            <w:r w:rsidRPr="000D535B">
              <w:rPr>
                <w:rFonts w:cs="Arial"/>
                <w:b/>
                <w:bCs/>
                <w:highlight w:val="yellow"/>
              </w:rPr>
              <w:t>.</w:t>
            </w:r>
            <w:r w:rsidRPr="000D535B">
              <w:rPr>
                <w:rFonts w:cs="Arial"/>
                <w:highlight w:val="yellow"/>
              </w:rPr>
              <w:t xml:space="preserve"> Recurring questions about statistical interpretation subsequently prompted me to revisit course materials and refine my explanations. CPD therefore became an ongoing resource for responding to learning needs, rather than ending with certification (K3).</w:t>
            </w:r>
            <w:r w:rsidRPr="000D535B">
              <w:rPr>
                <w:rFonts w:cs="Arial"/>
                <w:b/>
                <w:bCs/>
                <w:highlight w:val="yellow"/>
              </w:rPr>
              <w:br/>
            </w:r>
          </w:p>
          <w:p w14:paraId="1A9DABBB" w14:textId="77777777" w:rsidR="003E794A" w:rsidRPr="000D535B" w:rsidRDefault="004B3909" w:rsidP="000D535B">
            <w:pPr>
              <w:spacing w:line="276" w:lineRule="auto"/>
              <w:jc w:val="both"/>
              <w:rPr>
                <w:rFonts w:cs="Arial"/>
                <w:highlight w:val="yellow"/>
              </w:rPr>
            </w:pPr>
            <w:r w:rsidRPr="000D535B">
              <w:rPr>
                <w:rFonts w:cs="Arial"/>
                <w:highlight w:val="yellow"/>
              </w:rPr>
              <w:t xml:space="preserve">I completed the University of London’s Understanding Research Methods course in February 2026. This refreshed my knowledge of research design, methodology, ethics and research writing. I applied this learning when guiding undergraduate and MBA students on the relationship between research questions, objectives and methodological choices. For students with limited research experience, this meant explaining how decisions fitted together rather than treating dissertation sections as isolated requirements. </w:t>
            </w:r>
          </w:p>
          <w:p w14:paraId="3981C30E" w14:textId="0A4F2DD3" w:rsidR="008A59D1" w:rsidRPr="000D535B" w:rsidRDefault="008A59D1" w:rsidP="000D535B">
            <w:pPr>
              <w:spacing w:line="276" w:lineRule="auto"/>
              <w:jc w:val="both"/>
              <w:rPr>
                <w:rFonts w:cs="Arial"/>
                <w:highlight w:val="yellow"/>
              </w:rPr>
            </w:pPr>
            <w:r w:rsidRPr="000D535B">
              <w:rPr>
                <w:rFonts w:cs="Arial"/>
                <w:highlight w:val="yellow"/>
              </w:rPr>
              <w:t>This refreshed understanding helped me explain the reasoning behind methodological choices and identify inconsistencies between students’ research questions and proposed methods, making my supervisory guidance more coherent and responsive to their starting points (K1, V3).</w:t>
            </w:r>
          </w:p>
          <w:p w14:paraId="0246C7C6" w14:textId="4224B180" w:rsidR="004B3909" w:rsidRPr="000D535B" w:rsidRDefault="004B3909" w:rsidP="000D535B">
            <w:pPr>
              <w:spacing w:line="276" w:lineRule="auto"/>
              <w:jc w:val="both"/>
              <w:rPr>
                <w:rFonts w:cs="Arial"/>
                <w:highlight w:val="yellow"/>
              </w:rPr>
            </w:pPr>
            <w:r w:rsidRPr="000D535B">
              <w:rPr>
                <w:rFonts w:cs="Arial"/>
                <w:highlight w:val="yellow"/>
              </w:rPr>
              <w:br/>
            </w:r>
          </w:p>
          <w:p w14:paraId="1C99F42C" w14:textId="77777777" w:rsidR="003437EE" w:rsidRPr="000D535B" w:rsidRDefault="003437EE" w:rsidP="000D535B">
            <w:pPr>
              <w:spacing w:line="276" w:lineRule="auto"/>
              <w:jc w:val="both"/>
              <w:rPr>
                <w:rFonts w:cs="Arial"/>
                <w:highlight w:val="yellow"/>
              </w:rPr>
            </w:pPr>
            <w:r w:rsidRPr="000D535B">
              <w:rPr>
                <w:rFonts w:cs="Arial"/>
                <w:highlight w:val="yellow"/>
              </w:rPr>
              <w:t>Collaborative standardisation and student feedback also contributed to my professional learning. Comparing assessment judgements taught me to examine the evidence underpinning decisions, while students’ responses to digital resources challenged my assumption that availability ensured usability. These experiences strengthened my practice of questioning established approaches and revising them through colleague and learner perspectives, complementing formal CPD with learning from practice (V1, V5, K3, K5).</w:t>
            </w:r>
          </w:p>
          <w:p w14:paraId="482C1D0A" w14:textId="792034CF" w:rsidR="004B3909" w:rsidRPr="000D535B" w:rsidRDefault="004B3909" w:rsidP="000D535B">
            <w:pPr>
              <w:spacing w:line="276" w:lineRule="auto"/>
              <w:jc w:val="both"/>
              <w:rPr>
                <w:rFonts w:cs="Arial"/>
                <w:highlight w:val="yellow"/>
              </w:rPr>
            </w:pPr>
            <w:r w:rsidRPr="000D535B">
              <w:rPr>
                <w:rFonts w:cs="Arial"/>
                <w:highlight w:val="yellow"/>
              </w:rPr>
              <w:br/>
            </w:r>
          </w:p>
          <w:p w14:paraId="0C77D974" w14:textId="0E57B275" w:rsidR="798FF03A" w:rsidRPr="000D535B" w:rsidRDefault="004B3909" w:rsidP="000D535B">
            <w:pPr>
              <w:spacing w:line="276" w:lineRule="auto"/>
              <w:jc w:val="both"/>
              <w:rPr>
                <w:rFonts w:cs="Arial"/>
                <w:highlight w:val="yellow"/>
              </w:rPr>
            </w:pPr>
            <w:r w:rsidRPr="000D535B">
              <w:rPr>
                <w:rFonts w:cs="Arial"/>
                <w:highlight w:val="yellow"/>
              </w:rPr>
              <w:lastRenderedPageBreak/>
              <w:t>Across these experiences, I have learned to judge CPD by the changes it enables in teaching, assessment and learner support. I now connect development needs more explicitly to evidence from practice and consider student and colleague responses when evaluating its application</w:t>
            </w:r>
            <w:r w:rsidRPr="000D535B">
              <w:rPr>
                <w:rFonts w:cs="Arial"/>
                <w:b/>
                <w:bCs/>
                <w:highlight w:val="yellow"/>
              </w:rPr>
              <w:t>.</w:t>
            </w:r>
            <w:r w:rsidRPr="000D535B">
              <w:rPr>
                <w:rFonts w:cs="Arial"/>
                <w:highlight w:val="yellow"/>
              </w:rPr>
              <w:t xml:space="preserve"> </w:t>
            </w:r>
          </w:p>
          <w:p w14:paraId="40BEC528" w14:textId="77777777" w:rsidR="00B16BAA" w:rsidRPr="000D535B" w:rsidRDefault="00B16BAA" w:rsidP="000D535B">
            <w:pPr>
              <w:spacing w:line="276" w:lineRule="auto"/>
              <w:jc w:val="both"/>
              <w:rPr>
                <w:rFonts w:cs="Arial"/>
                <w:highlight w:val="yellow"/>
              </w:rPr>
            </w:pPr>
          </w:p>
          <w:p w14:paraId="24008400" w14:textId="77777777" w:rsidR="00B16BAA" w:rsidRPr="000D535B" w:rsidRDefault="00B16BAA" w:rsidP="000D535B">
            <w:pPr>
              <w:spacing w:line="276" w:lineRule="auto"/>
              <w:jc w:val="both"/>
              <w:rPr>
                <w:rFonts w:cs="Arial"/>
              </w:rPr>
            </w:pPr>
            <w:r w:rsidRPr="000D535B">
              <w:rPr>
                <w:rFonts w:cs="Arial"/>
                <w:highlight w:val="yellow"/>
              </w:rPr>
              <w:t>My next priority is further development in inclusive assessment design, particularly how to make requirements accessible to students with differing academic and digital confidence while maintaining the intended learning outcomes and assessment standards. This builds on the needs identified through teaching and supervision and gives my continuing development a specific focus (V2, V3).</w:t>
            </w:r>
          </w:p>
          <w:p w14:paraId="677EF930" w14:textId="77777777" w:rsidR="00B16BAA" w:rsidRPr="000D535B" w:rsidRDefault="00B16BAA" w:rsidP="000D535B">
            <w:pPr>
              <w:spacing w:line="276" w:lineRule="auto"/>
              <w:jc w:val="both"/>
              <w:rPr>
                <w:rFonts w:cs="Arial"/>
              </w:rPr>
            </w:pPr>
          </w:p>
          <w:p w14:paraId="7CD4401A" w14:textId="4C2C3710" w:rsidR="077CD1DA" w:rsidRPr="0004747D" w:rsidRDefault="077CD1DA" w:rsidP="077CD1DA">
            <w:pPr>
              <w:rPr>
                <w:rFonts w:cs="Arial"/>
                <w:b/>
                <w:bCs/>
                <w:sz w:val="32"/>
                <w:szCs w:val="32"/>
              </w:rPr>
            </w:pPr>
          </w:p>
          <w:p w14:paraId="1A9811E2" w14:textId="5E179080" w:rsidR="798FF03A" w:rsidRPr="0004747D" w:rsidRDefault="798FF03A" w:rsidP="798FF03A">
            <w:pPr>
              <w:rPr>
                <w:rFonts w:cs="Arial"/>
                <w:b/>
                <w:bCs/>
                <w:sz w:val="32"/>
                <w:szCs w:val="32"/>
              </w:rPr>
            </w:pPr>
          </w:p>
          <w:p w14:paraId="7F43A2B2" w14:textId="19C52FF5" w:rsidR="798FF03A" w:rsidRPr="0004747D" w:rsidRDefault="798FF03A" w:rsidP="798FF03A">
            <w:pPr>
              <w:rPr>
                <w:rFonts w:cs="Arial"/>
                <w:b/>
                <w:bCs/>
                <w:sz w:val="32"/>
                <w:szCs w:val="32"/>
              </w:rPr>
            </w:pPr>
          </w:p>
          <w:p w14:paraId="008E3CF5" w14:textId="591FB383" w:rsidR="798FF03A" w:rsidRPr="0004747D" w:rsidRDefault="798FF03A" w:rsidP="798FF03A">
            <w:pPr>
              <w:rPr>
                <w:rFonts w:cs="Arial"/>
                <w:b/>
                <w:bCs/>
                <w:sz w:val="32"/>
                <w:szCs w:val="32"/>
              </w:rPr>
            </w:pPr>
          </w:p>
          <w:p w14:paraId="11BBD980" w14:textId="7F940080" w:rsidR="798FF03A" w:rsidRPr="0004747D" w:rsidRDefault="798FF03A" w:rsidP="798FF03A">
            <w:pPr>
              <w:rPr>
                <w:rFonts w:cs="Arial"/>
                <w:b/>
                <w:bCs/>
                <w:sz w:val="32"/>
                <w:szCs w:val="32"/>
              </w:rPr>
            </w:pPr>
          </w:p>
          <w:p w14:paraId="0460E437" w14:textId="426EE9A3" w:rsidR="798FF03A" w:rsidRPr="0004747D" w:rsidRDefault="798FF03A" w:rsidP="798FF03A">
            <w:pPr>
              <w:rPr>
                <w:rFonts w:cs="Arial"/>
                <w:b/>
                <w:bCs/>
                <w:sz w:val="32"/>
                <w:szCs w:val="32"/>
              </w:rPr>
            </w:pPr>
          </w:p>
          <w:p w14:paraId="52630AA8" w14:textId="2E9B534C" w:rsidR="798FF03A" w:rsidRPr="0004747D" w:rsidRDefault="798FF03A" w:rsidP="798FF03A">
            <w:pPr>
              <w:rPr>
                <w:rFonts w:cs="Arial"/>
                <w:b/>
                <w:bCs/>
                <w:sz w:val="32"/>
                <w:szCs w:val="32"/>
              </w:rPr>
            </w:pPr>
          </w:p>
          <w:p w14:paraId="455E0146" w14:textId="3D7978F9" w:rsidR="798FF03A" w:rsidRPr="0004747D" w:rsidRDefault="798FF03A" w:rsidP="798FF03A">
            <w:pPr>
              <w:rPr>
                <w:rFonts w:cs="Arial"/>
                <w:b/>
                <w:bCs/>
                <w:sz w:val="32"/>
                <w:szCs w:val="32"/>
              </w:rPr>
            </w:pPr>
          </w:p>
          <w:p w14:paraId="433C3EA9" w14:textId="2762C849" w:rsidR="798FF03A" w:rsidRPr="0004747D" w:rsidRDefault="798FF03A" w:rsidP="798FF03A">
            <w:pPr>
              <w:rPr>
                <w:rFonts w:cs="Arial"/>
                <w:b/>
                <w:bCs/>
                <w:sz w:val="32"/>
                <w:szCs w:val="32"/>
              </w:rPr>
            </w:pPr>
          </w:p>
          <w:p w14:paraId="54BF1ACE" w14:textId="5BA96E13" w:rsidR="798FF03A" w:rsidRPr="0004747D" w:rsidRDefault="798FF03A" w:rsidP="798FF03A">
            <w:pPr>
              <w:rPr>
                <w:rFonts w:cs="Arial"/>
                <w:b/>
                <w:bCs/>
                <w:sz w:val="32"/>
                <w:szCs w:val="32"/>
              </w:rPr>
            </w:pPr>
          </w:p>
          <w:p w14:paraId="7624B18F" w14:textId="5863D27E" w:rsidR="798FF03A" w:rsidRPr="0004747D" w:rsidRDefault="798FF03A" w:rsidP="798FF03A">
            <w:pPr>
              <w:rPr>
                <w:rFonts w:cs="Arial"/>
                <w:b/>
                <w:bCs/>
                <w:sz w:val="32"/>
                <w:szCs w:val="32"/>
              </w:rPr>
            </w:pPr>
          </w:p>
          <w:p w14:paraId="17ACBF76" w14:textId="05CE799E" w:rsidR="798FF03A" w:rsidRPr="0004747D" w:rsidRDefault="798FF03A" w:rsidP="798FF03A">
            <w:pPr>
              <w:rPr>
                <w:rFonts w:cs="Arial"/>
                <w:b/>
                <w:bCs/>
                <w:sz w:val="32"/>
                <w:szCs w:val="32"/>
              </w:rPr>
            </w:pPr>
          </w:p>
          <w:p w14:paraId="16859999" w14:textId="163FB93B" w:rsidR="798FF03A" w:rsidRPr="0004747D" w:rsidRDefault="798FF03A" w:rsidP="798FF03A">
            <w:pPr>
              <w:rPr>
                <w:rFonts w:cs="Arial"/>
                <w:b/>
                <w:bCs/>
                <w:sz w:val="32"/>
                <w:szCs w:val="32"/>
              </w:rPr>
            </w:pPr>
          </w:p>
          <w:p w14:paraId="733E7F89" w14:textId="1D8AB289" w:rsidR="798FF03A" w:rsidRPr="0004747D" w:rsidRDefault="798FF03A" w:rsidP="798FF03A">
            <w:pPr>
              <w:rPr>
                <w:rFonts w:cs="Arial"/>
                <w:b/>
                <w:bCs/>
                <w:sz w:val="32"/>
                <w:szCs w:val="32"/>
              </w:rPr>
            </w:pPr>
          </w:p>
        </w:tc>
      </w:tr>
    </w:tbl>
    <w:p w14:paraId="039E4237" w14:textId="690BA305" w:rsidR="798FF03A" w:rsidRPr="0004747D" w:rsidRDefault="798FF03A" w:rsidP="798FF03A">
      <w:pPr>
        <w:rPr>
          <w:rFonts w:cs="Arial"/>
          <w:b/>
          <w:bCs/>
          <w:sz w:val="32"/>
          <w:szCs w:val="32"/>
        </w:rPr>
      </w:pPr>
    </w:p>
    <w:p w14:paraId="69BF0BAE" w14:textId="3976F0D2" w:rsidR="798FF03A" w:rsidRPr="0004747D" w:rsidRDefault="798FF03A" w:rsidP="798FF03A">
      <w:pPr>
        <w:rPr>
          <w:rFonts w:cs="Arial"/>
          <w:b/>
          <w:bCs/>
          <w:sz w:val="32"/>
          <w:szCs w:val="32"/>
        </w:rPr>
      </w:pPr>
    </w:p>
    <w:p w14:paraId="182FE9F2" w14:textId="77777777" w:rsidR="0004747D" w:rsidRDefault="0004747D">
      <w:pPr>
        <w:spacing w:after="200" w:line="276" w:lineRule="auto"/>
        <w:rPr>
          <w:rFonts w:eastAsia="Arial" w:cs="Arial"/>
          <w:sz w:val="32"/>
          <w:szCs w:val="32"/>
        </w:rPr>
      </w:pPr>
      <w:bookmarkStart w:id="3" w:name="_Int_4QuNaHnV"/>
      <w:r>
        <w:rPr>
          <w:rFonts w:eastAsia="Arial" w:cs="Arial"/>
          <w:sz w:val="32"/>
          <w:szCs w:val="32"/>
        </w:rPr>
        <w:br w:type="page"/>
      </w:r>
    </w:p>
    <w:p w14:paraId="6440299F" w14:textId="3F4A15B7" w:rsidR="67D46217" w:rsidRPr="0004747D" w:rsidRDefault="67D46217" w:rsidP="798FF03A">
      <w:pPr>
        <w:jc w:val="both"/>
        <w:rPr>
          <w:rFonts w:eastAsia="Arial" w:cs="Arial"/>
          <w:sz w:val="32"/>
          <w:szCs w:val="32"/>
        </w:rPr>
      </w:pPr>
      <w:r w:rsidRPr="0004747D">
        <w:rPr>
          <w:rFonts w:eastAsia="Arial" w:cs="Arial"/>
          <w:sz w:val="32"/>
          <w:szCs w:val="32"/>
        </w:rPr>
        <w:lastRenderedPageBreak/>
        <w:t xml:space="preserve">References/Citations:   </w:t>
      </w:r>
      <w:bookmarkEnd w:id="3"/>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p w14:paraId="49ECDC19" w14:textId="0C7CA370" w:rsidR="67D46217" w:rsidRDefault="67D46217" w:rsidP="798FF03A">
            <w:pPr>
              <w:rPr>
                <w:rFonts w:eastAsia="Arial" w:cs="Arial"/>
                <w:color w:val="000000" w:themeColor="text1"/>
                <w:sz w:val="24"/>
                <w:szCs w:val="24"/>
              </w:rPr>
            </w:pPr>
          </w:p>
          <w:p w14:paraId="39F47C1F" w14:textId="39EF0561"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rPr>
              <w:t xml:space="preserve">Biggs, J. and Tang, C. (2011) </w:t>
            </w:r>
            <w:r w:rsidRPr="00CE58BF">
              <w:rPr>
                <w:rFonts w:eastAsia="Arial" w:cs="Arial"/>
                <w:i/>
                <w:iCs/>
                <w:color w:val="000000" w:themeColor="text1"/>
                <w:highlight w:val="yellow"/>
              </w:rPr>
              <w:t>Teaching for quality learning at university: what the student does</w:t>
            </w:r>
            <w:r w:rsidRPr="00CE58BF">
              <w:rPr>
                <w:rFonts w:eastAsia="Arial" w:cs="Arial"/>
                <w:color w:val="000000" w:themeColor="text1"/>
              </w:rPr>
              <w:t xml:space="preserve">. 4th </w:t>
            </w:r>
            <w:proofErr w:type="spellStart"/>
            <w:r w:rsidRPr="00CE58BF">
              <w:rPr>
                <w:rFonts w:eastAsia="Arial" w:cs="Arial"/>
                <w:color w:val="000000" w:themeColor="text1"/>
              </w:rPr>
              <w:t>edn</w:t>
            </w:r>
            <w:proofErr w:type="spellEnd"/>
            <w:r w:rsidRPr="00CE58BF">
              <w:rPr>
                <w:rFonts w:eastAsia="Arial" w:cs="Arial"/>
                <w:color w:val="000000" w:themeColor="text1"/>
              </w:rPr>
              <w:t>. Open University Press.</w:t>
            </w:r>
            <w:r w:rsidRPr="00CE58BF">
              <w:rPr>
                <w:rFonts w:eastAsia="Arial" w:cs="Arial"/>
                <w:color w:val="000000" w:themeColor="text1"/>
              </w:rPr>
              <w:br/>
            </w:r>
          </w:p>
          <w:p w14:paraId="734A7E0F" w14:textId="77777777"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rPr>
              <w:t xml:space="preserve">Brookfield, S.D. (2017) </w:t>
            </w:r>
            <w:r w:rsidRPr="00CE58BF">
              <w:rPr>
                <w:rFonts w:eastAsia="Arial" w:cs="Arial"/>
                <w:i/>
                <w:iCs/>
                <w:color w:val="000000" w:themeColor="text1"/>
              </w:rPr>
              <w:t>Becoming a critically reflective teacher</w:t>
            </w:r>
            <w:r w:rsidRPr="00CE58BF">
              <w:rPr>
                <w:rFonts w:eastAsia="Arial" w:cs="Arial"/>
                <w:color w:val="000000" w:themeColor="text1"/>
              </w:rPr>
              <w:t xml:space="preserve">. 2nd </w:t>
            </w:r>
            <w:proofErr w:type="spellStart"/>
            <w:r w:rsidRPr="00CE58BF">
              <w:rPr>
                <w:rFonts w:eastAsia="Arial" w:cs="Arial"/>
                <w:color w:val="000000" w:themeColor="text1"/>
              </w:rPr>
              <w:t>edn</w:t>
            </w:r>
            <w:proofErr w:type="spellEnd"/>
            <w:r w:rsidRPr="00CE58BF">
              <w:rPr>
                <w:rFonts w:eastAsia="Arial" w:cs="Arial"/>
                <w:color w:val="000000" w:themeColor="text1"/>
              </w:rPr>
              <w:t>. Jossey-Bass.</w:t>
            </w:r>
          </w:p>
          <w:p w14:paraId="0BD30CA0" w14:textId="21AE37AD"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rPr>
              <w:t xml:space="preserve">Carless, D. and Boud, D. (2018) ‘The development of student feedback literacy: enabling uptake of feedback’, </w:t>
            </w:r>
            <w:r w:rsidRPr="00CE58BF">
              <w:rPr>
                <w:rFonts w:eastAsia="Arial" w:cs="Arial"/>
                <w:i/>
                <w:iCs/>
                <w:color w:val="000000" w:themeColor="text1"/>
              </w:rPr>
              <w:t>Assessment &amp; Evaluation in Higher Education</w:t>
            </w:r>
            <w:r w:rsidRPr="00CE58BF">
              <w:rPr>
                <w:rFonts w:eastAsia="Arial" w:cs="Arial"/>
                <w:color w:val="000000" w:themeColor="text1"/>
              </w:rPr>
              <w:t xml:space="preserve">, 43(8), pp. 1315–1325. Available at: </w:t>
            </w:r>
            <w:hyperlink r:id="rId15" w:history="1">
              <w:r w:rsidRPr="00CE58BF">
                <w:rPr>
                  <w:rStyle w:val="Hyperlink"/>
                  <w:rFonts w:eastAsia="Arial" w:cs="Arial"/>
                </w:rPr>
                <w:t>https://doi.org/10.1080/02602938.2018.1463354</w:t>
              </w:r>
            </w:hyperlink>
            <w:r w:rsidRPr="00CE58BF">
              <w:rPr>
                <w:rFonts w:eastAsia="Arial" w:cs="Arial"/>
                <w:color w:val="000000" w:themeColor="text1"/>
              </w:rPr>
              <w:t>.</w:t>
            </w:r>
            <w:r w:rsidRPr="00CE58BF">
              <w:rPr>
                <w:rFonts w:eastAsia="Arial" w:cs="Arial"/>
                <w:color w:val="000000" w:themeColor="text1"/>
              </w:rPr>
              <w:br/>
            </w:r>
          </w:p>
          <w:p w14:paraId="3A97FD50" w14:textId="502E0F54"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rPr>
              <w:t xml:space="preserve">CAST (2018) </w:t>
            </w:r>
            <w:r w:rsidRPr="00CE58BF">
              <w:rPr>
                <w:rFonts w:eastAsia="Arial" w:cs="Arial"/>
                <w:i/>
                <w:iCs/>
                <w:color w:val="000000" w:themeColor="text1"/>
              </w:rPr>
              <w:t>Universal Design for Learning Guidelines version 2.2</w:t>
            </w:r>
            <w:r w:rsidRPr="00CE58BF">
              <w:rPr>
                <w:rFonts w:eastAsia="Arial" w:cs="Arial"/>
                <w:color w:val="000000" w:themeColor="text1"/>
              </w:rPr>
              <w:t xml:space="preserve">. </w:t>
            </w:r>
            <w:r w:rsidRPr="00CE58BF">
              <w:rPr>
                <w:rFonts w:eastAsia="Arial" w:cs="Arial"/>
                <w:color w:val="000000" w:themeColor="text1"/>
                <w:highlight w:val="yellow"/>
              </w:rPr>
              <w:t xml:space="preserve">Available at: </w:t>
            </w:r>
            <w:hyperlink r:id="rId16" w:history="1">
              <w:r w:rsidRPr="00CE58BF">
                <w:rPr>
                  <w:rStyle w:val="Hyperlink"/>
                  <w:rFonts w:eastAsia="Arial" w:cs="Arial"/>
                  <w:highlight w:val="yellow"/>
                </w:rPr>
                <w:t>https://udlguidelines.cast.org/static/udlg2.2-text-a11y.pdf</w:t>
              </w:r>
            </w:hyperlink>
            <w:r w:rsidRPr="00CE58BF">
              <w:rPr>
                <w:rFonts w:eastAsia="Arial" w:cs="Arial"/>
                <w:color w:val="000000" w:themeColor="text1"/>
              </w:rPr>
              <w:t xml:space="preserve"> (Accessed: 24 October 2026).</w:t>
            </w:r>
            <w:r w:rsidRPr="00CE58BF">
              <w:rPr>
                <w:rFonts w:eastAsia="Arial" w:cs="Arial"/>
                <w:color w:val="000000" w:themeColor="text1"/>
              </w:rPr>
              <w:br/>
            </w:r>
          </w:p>
          <w:p w14:paraId="73DDBFD3" w14:textId="339AAEBB"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rPr>
              <w:t xml:space="preserve">Chiu, M.-C., Moss, E. and Richards, T. (2024) </w:t>
            </w:r>
            <w:r w:rsidRPr="00CE58BF">
              <w:rPr>
                <w:rFonts w:eastAsia="Arial" w:cs="Arial"/>
                <w:color w:val="000000" w:themeColor="text1"/>
                <w:highlight w:val="yellow"/>
              </w:rPr>
              <w:t xml:space="preserve">‘Effect of deadlines on student submission timelines and success in a </w:t>
            </w:r>
            <w:proofErr w:type="gramStart"/>
            <w:r w:rsidRPr="00CE58BF">
              <w:rPr>
                <w:rFonts w:eastAsia="Arial" w:cs="Arial"/>
                <w:color w:val="000000" w:themeColor="text1"/>
                <w:highlight w:val="yellow"/>
              </w:rPr>
              <w:t>fully-online</w:t>
            </w:r>
            <w:proofErr w:type="gramEnd"/>
            <w:r w:rsidRPr="00CE58BF">
              <w:rPr>
                <w:rFonts w:eastAsia="Arial" w:cs="Arial"/>
                <w:color w:val="000000" w:themeColor="text1"/>
                <w:highlight w:val="yellow"/>
              </w:rPr>
              <w:t xml:space="preserve"> self-paced course’, in </w:t>
            </w:r>
            <w:r w:rsidRPr="00CE58BF">
              <w:rPr>
                <w:rFonts w:eastAsia="Arial" w:cs="Arial"/>
                <w:i/>
                <w:iCs/>
                <w:color w:val="000000" w:themeColor="text1"/>
                <w:highlight w:val="yellow"/>
              </w:rPr>
              <w:t>Proceedings of the 55th ACM Technical Symposium on Computer Science Education V. 1</w:t>
            </w:r>
            <w:r w:rsidRPr="00CE58BF">
              <w:rPr>
                <w:rFonts w:eastAsia="Arial" w:cs="Arial"/>
                <w:color w:val="000000" w:themeColor="text1"/>
                <w:highlight w:val="yellow"/>
              </w:rPr>
              <w:t>. Portland, Oregon</w:t>
            </w:r>
            <w:r w:rsidRPr="00CE58BF">
              <w:rPr>
                <w:rFonts w:eastAsia="Arial" w:cs="Arial"/>
                <w:color w:val="000000" w:themeColor="text1"/>
              </w:rPr>
              <w:t xml:space="preserve">, USA, 20–23 March. Association for Computing Machinery, pp. 207–213. Available at: </w:t>
            </w:r>
            <w:hyperlink r:id="rId17" w:history="1">
              <w:r w:rsidRPr="00CE58BF">
                <w:rPr>
                  <w:rStyle w:val="Hyperlink"/>
                  <w:rFonts w:eastAsia="Arial" w:cs="Arial"/>
                  <w:highlight w:val="yellow"/>
                </w:rPr>
                <w:t>https://doi.org/10.1145/3626252.3630837</w:t>
              </w:r>
            </w:hyperlink>
            <w:r w:rsidRPr="00CE58BF">
              <w:rPr>
                <w:rFonts w:eastAsia="Arial" w:cs="Arial"/>
                <w:color w:val="000000" w:themeColor="text1"/>
                <w:highlight w:val="yellow"/>
              </w:rPr>
              <w:t>.</w:t>
            </w:r>
            <w:r w:rsidRPr="00CE58BF">
              <w:rPr>
                <w:rFonts w:eastAsia="Arial" w:cs="Arial"/>
                <w:color w:val="000000" w:themeColor="text1"/>
              </w:rPr>
              <w:br/>
            </w:r>
          </w:p>
          <w:p w14:paraId="1D14F2B9" w14:textId="77777777"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highlight w:val="yellow"/>
              </w:rPr>
              <w:t xml:space="preserve">Knowles, M.S., Holton III, E.F., Swanson, R.A. and Robinson, P.A. (2020) </w:t>
            </w:r>
            <w:r w:rsidRPr="00CE58BF">
              <w:rPr>
                <w:rFonts w:eastAsia="Arial" w:cs="Arial"/>
                <w:i/>
                <w:iCs/>
                <w:color w:val="000000" w:themeColor="text1"/>
                <w:highlight w:val="yellow"/>
              </w:rPr>
              <w:t>The adult learner: the definitive classic in adult education and human resource development</w:t>
            </w:r>
            <w:r w:rsidRPr="00CE58BF">
              <w:rPr>
                <w:rFonts w:eastAsia="Arial" w:cs="Arial"/>
                <w:color w:val="000000" w:themeColor="text1"/>
                <w:highlight w:val="yellow"/>
              </w:rPr>
              <w:t xml:space="preserve">. 9th </w:t>
            </w:r>
            <w:proofErr w:type="spellStart"/>
            <w:r w:rsidRPr="00CE58BF">
              <w:rPr>
                <w:rFonts w:eastAsia="Arial" w:cs="Arial"/>
                <w:color w:val="000000" w:themeColor="text1"/>
                <w:highlight w:val="yellow"/>
              </w:rPr>
              <w:t>edn</w:t>
            </w:r>
            <w:proofErr w:type="spellEnd"/>
            <w:r w:rsidRPr="00CE58BF">
              <w:rPr>
                <w:rFonts w:eastAsia="Arial" w:cs="Arial"/>
                <w:color w:val="000000" w:themeColor="text1"/>
                <w:highlight w:val="yellow"/>
              </w:rPr>
              <w:t>. Routledge.</w:t>
            </w:r>
          </w:p>
          <w:p w14:paraId="5B092061" w14:textId="77777777" w:rsidR="00B32197" w:rsidRPr="00CE58BF" w:rsidRDefault="00B32197" w:rsidP="00CE58BF">
            <w:pPr>
              <w:spacing w:line="276" w:lineRule="auto"/>
              <w:rPr>
                <w:rFonts w:eastAsia="Arial" w:cs="Arial"/>
                <w:color w:val="000000" w:themeColor="text1"/>
              </w:rPr>
            </w:pPr>
          </w:p>
          <w:p w14:paraId="47B05A6E" w14:textId="120EE9BA"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highlight w:val="yellow"/>
              </w:rPr>
              <w:t xml:space="preserve">Kolb, D.A., Boyatzis, R.E. and </w:t>
            </w:r>
            <w:proofErr w:type="spellStart"/>
            <w:r w:rsidRPr="00CE58BF">
              <w:rPr>
                <w:rFonts w:eastAsia="Arial" w:cs="Arial"/>
                <w:color w:val="000000" w:themeColor="text1"/>
                <w:highlight w:val="yellow"/>
              </w:rPr>
              <w:t>Mainemelis</w:t>
            </w:r>
            <w:proofErr w:type="spellEnd"/>
            <w:r w:rsidRPr="00CE58BF">
              <w:rPr>
                <w:rFonts w:eastAsia="Arial" w:cs="Arial"/>
                <w:color w:val="000000" w:themeColor="text1"/>
                <w:highlight w:val="yellow"/>
              </w:rPr>
              <w:t xml:space="preserve">, C. (1999) </w:t>
            </w:r>
            <w:r w:rsidRPr="00CE58BF">
              <w:rPr>
                <w:rFonts w:eastAsia="Arial" w:cs="Arial"/>
                <w:i/>
                <w:iCs/>
                <w:color w:val="000000" w:themeColor="text1"/>
                <w:highlight w:val="yellow"/>
              </w:rPr>
              <w:t>Experiential learning theory: previous research and new directions</w:t>
            </w:r>
            <w:r w:rsidRPr="00CE58BF">
              <w:rPr>
                <w:rFonts w:eastAsia="Arial" w:cs="Arial"/>
                <w:color w:val="000000" w:themeColor="text1"/>
                <w:highlight w:val="yellow"/>
              </w:rPr>
              <w:t xml:space="preserve">. Working paper. Case Western Reserve University. Available at: </w:t>
            </w:r>
            <w:hyperlink r:id="rId18" w:history="1">
              <w:r w:rsidRPr="00CE58BF">
                <w:rPr>
                  <w:rStyle w:val="Hyperlink"/>
                  <w:rFonts w:eastAsia="Arial" w:cs="Arial"/>
                  <w:highlight w:val="yellow"/>
                </w:rPr>
                <w:t>https://learningfromexperience.com/downloads/research-library/experiential-learning-theory.pdf</w:t>
              </w:r>
            </w:hyperlink>
            <w:r w:rsidRPr="00CE58BF">
              <w:rPr>
                <w:rFonts w:eastAsia="Arial" w:cs="Arial"/>
                <w:color w:val="000000" w:themeColor="text1"/>
                <w:highlight w:val="yellow"/>
              </w:rPr>
              <w:t xml:space="preserve"> (Accessed: 24 October 2026).</w:t>
            </w:r>
            <w:r w:rsidRPr="00CE58BF">
              <w:rPr>
                <w:rFonts w:eastAsia="Arial" w:cs="Arial"/>
                <w:color w:val="000000" w:themeColor="text1"/>
              </w:rPr>
              <w:br/>
            </w:r>
          </w:p>
          <w:p w14:paraId="538A02C7" w14:textId="612940BC"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highlight w:val="yellow"/>
              </w:rPr>
              <w:t xml:space="preserve">McDowell, J. (2025) ‘From anxiety to agency: enhancing student confidence and engagement with assessments via the </w:t>
            </w:r>
            <w:proofErr w:type="spellStart"/>
            <w:r w:rsidRPr="00CE58BF">
              <w:rPr>
                <w:rFonts w:eastAsia="Arial" w:cs="Arial"/>
                <w:color w:val="000000" w:themeColor="text1"/>
                <w:highlight w:val="yellow"/>
              </w:rPr>
              <w:t>SkillSense</w:t>
            </w:r>
            <w:proofErr w:type="spellEnd"/>
            <w:r w:rsidRPr="00CE58BF">
              <w:rPr>
                <w:rFonts w:eastAsia="Arial" w:cs="Arial"/>
                <w:color w:val="000000" w:themeColor="text1"/>
                <w:highlight w:val="yellow"/>
              </w:rPr>
              <w:t xml:space="preserve"> Programme’, </w:t>
            </w:r>
            <w:r w:rsidRPr="00CE58BF">
              <w:rPr>
                <w:rFonts w:eastAsia="Arial" w:cs="Arial"/>
                <w:i/>
                <w:iCs/>
                <w:color w:val="000000" w:themeColor="text1"/>
                <w:highlight w:val="yellow"/>
              </w:rPr>
              <w:t>Cogent Education</w:t>
            </w:r>
            <w:r w:rsidRPr="00CE58BF">
              <w:rPr>
                <w:rFonts w:eastAsia="Arial" w:cs="Arial"/>
                <w:color w:val="000000" w:themeColor="text1"/>
                <w:highlight w:val="yellow"/>
              </w:rPr>
              <w:t xml:space="preserve">, 12(1), article 2554323. Available at: </w:t>
            </w:r>
            <w:hyperlink r:id="rId19" w:history="1">
              <w:r w:rsidRPr="00CE58BF">
                <w:rPr>
                  <w:rStyle w:val="Hyperlink"/>
                  <w:rFonts w:eastAsia="Arial" w:cs="Arial"/>
                  <w:highlight w:val="yellow"/>
                </w:rPr>
                <w:t>https://doi.org/10.1080/2331186X.2025.2554323</w:t>
              </w:r>
            </w:hyperlink>
            <w:r w:rsidRPr="00CE58BF">
              <w:rPr>
                <w:rFonts w:eastAsia="Arial" w:cs="Arial"/>
                <w:color w:val="000000" w:themeColor="text1"/>
                <w:highlight w:val="yellow"/>
              </w:rPr>
              <w:t>.</w:t>
            </w:r>
            <w:r w:rsidRPr="00CE58BF">
              <w:rPr>
                <w:rFonts w:eastAsia="Arial" w:cs="Arial"/>
                <w:color w:val="000000" w:themeColor="text1"/>
              </w:rPr>
              <w:br/>
            </w:r>
          </w:p>
          <w:p w14:paraId="70997DCF" w14:textId="06A56709"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rPr>
              <w:t xml:space="preserve">Nicol, D.J. and Macfarlane-Dick, D. (2006) ‘Formative assessment and self-regulated learning: a model and seven principles of good feedback practice’, </w:t>
            </w:r>
            <w:r w:rsidRPr="00CE58BF">
              <w:rPr>
                <w:rFonts w:eastAsia="Arial" w:cs="Arial"/>
                <w:i/>
                <w:iCs/>
                <w:color w:val="000000" w:themeColor="text1"/>
              </w:rPr>
              <w:t>Studies in Higher Education</w:t>
            </w:r>
            <w:r w:rsidRPr="00CE58BF">
              <w:rPr>
                <w:rFonts w:eastAsia="Arial" w:cs="Arial"/>
                <w:color w:val="000000" w:themeColor="text1"/>
              </w:rPr>
              <w:t xml:space="preserve">, 31(2), pp. 199–218. Available at: </w:t>
            </w:r>
            <w:hyperlink r:id="rId20" w:history="1">
              <w:r w:rsidRPr="00CE58BF">
                <w:rPr>
                  <w:rStyle w:val="Hyperlink"/>
                  <w:rFonts w:eastAsia="Arial" w:cs="Arial"/>
                </w:rPr>
                <w:t>https://doi.org/10.1080/03075070600572090</w:t>
              </w:r>
            </w:hyperlink>
            <w:r w:rsidRPr="00CE58BF">
              <w:rPr>
                <w:rFonts w:eastAsia="Arial" w:cs="Arial"/>
                <w:color w:val="000000" w:themeColor="text1"/>
              </w:rPr>
              <w:t>.</w:t>
            </w:r>
            <w:r w:rsidRPr="00CE58BF">
              <w:rPr>
                <w:rFonts w:eastAsia="Arial" w:cs="Arial"/>
                <w:color w:val="000000" w:themeColor="text1"/>
              </w:rPr>
              <w:br/>
            </w:r>
          </w:p>
          <w:p w14:paraId="4B7C4F28" w14:textId="126E659E"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rPr>
              <w:t xml:space="preserve">Prince, M. (2004) ‘Does active learning work? A review of the research’, </w:t>
            </w:r>
            <w:r w:rsidRPr="00CE58BF">
              <w:rPr>
                <w:rFonts w:eastAsia="Arial" w:cs="Arial"/>
                <w:i/>
                <w:iCs/>
                <w:color w:val="000000" w:themeColor="text1"/>
              </w:rPr>
              <w:t>Journal of Engineering Education</w:t>
            </w:r>
            <w:r w:rsidRPr="00CE58BF">
              <w:rPr>
                <w:rFonts w:eastAsia="Arial" w:cs="Arial"/>
                <w:color w:val="000000" w:themeColor="text1"/>
              </w:rPr>
              <w:t xml:space="preserve">, 93(3), pp. 223–231. Available at: </w:t>
            </w:r>
            <w:hyperlink r:id="rId21" w:history="1">
              <w:r w:rsidRPr="00CE58BF">
                <w:rPr>
                  <w:rStyle w:val="Hyperlink"/>
                  <w:rFonts w:eastAsia="Arial" w:cs="Arial"/>
                </w:rPr>
                <w:t>https://doi.org/10.1002/j.2168-9830.2004.tb00809.x</w:t>
              </w:r>
            </w:hyperlink>
            <w:r w:rsidRPr="00CE58BF">
              <w:rPr>
                <w:rFonts w:eastAsia="Arial" w:cs="Arial"/>
                <w:color w:val="000000" w:themeColor="text1"/>
              </w:rPr>
              <w:t>.</w:t>
            </w:r>
            <w:r w:rsidRPr="00CE58BF">
              <w:rPr>
                <w:rFonts w:eastAsia="Arial" w:cs="Arial"/>
                <w:color w:val="000000" w:themeColor="text1"/>
              </w:rPr>
              <w:br/>
            </w:r>
          </w:p>
          <w:p w14:paraId="7AF58D2A" w14:textId="77777777" w:rsidR="00BA1AEF" w:rsidRPr="00CE58BF" w:rsidRDefault="00BA1AEF" w:rsidP="00CE58BF">
            <w:pPr>
              <w:spacing w:line="276" w:lineRule="auto"/>
              <w:rPr>
                <w:rFonts w:eastAsia="Arial" w:cs="Arial"/>
                <w:color w:val="000000" w:themeColor="text1"/>
              </w:rPr>
            </w:pPr>
            <w:r w:rsidRPr="00CE58BF">
              <w:rPr>
                <w:rFonts w:eastAsia="Arial" w:cs="Arial"/>
                <w:color w:val="000000" w:themeColor="text1"/>
                <w:highlight w:val="yellow"/>
              </w:rPr>
              <w:t xml:space="preserve">University of Wales Trinity Saint David (2025/26) </w:t>
            </w:r>
            <w:r w:rsidRPr="00CE58BF">
              <w:rPr>
                <w:rFonts w:eastAsia="Arial" w:cs="Arial"/>
                <w:i/>
                <w:iCs/>
                <w:color w:val="000000" w:themeColor="text1"/>
                <w:highlight w:val="yellow"/>
              </w:rPr>
              <w:t>Academic Quality Handbook</w:t>
            </w:r>
            <w:r w:rsidRPr="00CE58BF">
              <w:rPr>
                <w:rFonts w:eastAsia="Arial" w:cs="Arial"/>
                <w:color w:val="000000" w:themeColor="text1"/>
                <w:highlight w:val="yellow"/>
              </w:rPr>
              <w:t>. Chapter 12: Student Policies, pp. 146–148.</w:t>
            </w:r>
          </w:p>
          <w:p w14:paraId="2D050840" w14:textId="77777777" w:rsidR="00A6352B" w:rsidRPr="0004747D" w:rsidRDefault="00A6352B" w:rsidP="0010347D">
            <w:pPr>
              <w:spacing w:line="360" w:lineRule="auto"/>
              <w:rPr>
                <w:rFonts w:eastAsia="Arial" w:cs="Arial"/>
                <w:color w:val="000000" w:themeColor="text1"/>
                <w:sz w:val="24"/>
                <w:szCs w:val="24"/>
              </w:rPr>
            </w:pPr>
          </w:p>
          <w:p w14:paraId="672D0441" w14:textId="533A961D" w:rsidR="798FF03A" w:rsidRPr="0004747D" w:rsidRDefault="798FF03A" w:rsidP="798FF03A">
            <w:pPr>
              <w:rPr>
                <w:rFonts w:eastAsia="Arial" w:cs="Arial"/>
                <w:color w:val="000000" w:themeColor="text1"/>
                <w:sz w:val="24"/>
                <w:szCs w:val="24"/>
              </w:rPr>
            </w:pPr>
          </w:p>
          <w:p w14:paraId="024ED155" w14:textId="77777777" w:rsidR="008D4F55" w:rsidRDefault="008D4F55" w:rsidP="798FF03A">
            <w:pPr>
              <w:rPr>
                <w:rFonts w:eastAsia="Arial" w:cs="Arial"/>
                <w:color w:val="000000" w:themeColor="text1"/>
                <w:sz w:val="24"/>
                <w:szCs w:val="24"/>
              </w:rPr>
            </w:pPr>
          </w:p>
          <w:p w14:paraId="2042386B" w14:textId="77777777" w:rsidR="008D4F55" w:rsidRDefault="008D4F55" w:rsidP="798FF03A">
            <w:pPr>
              <w:rPr>
                <w:rFonts w:eastAsia="Arial" w:cs="Arial"/>
                <w:color w:val="000000" w:themeColor="text1"/>
                <w:sz w:val="24"/>
                <w:szCs w:val="24"/>
              </w:rPr>
            </w:pPr>
          </w:p>
          <w:p w14:paraId="7E3449F4" w14:textId="59966632" w:rsidR="008D4F55" w:rsidRPr="0004747D" w:rsidRDefault="008D4F55" w:rsidP="798FF03A">
            <w:pPr>
              <w:rPr>
                <w:rFonts w:eastAsia="Arial" w:cs="Arial"/>
                <w:color w:val="000000" w:themeColor="text1"/>
                <w:sz w:val="24"/>
                <w:szCs w:val="24"/>
              </w:rPr>
            </w:pPr>
          </w:p>
        </w:tc>
      </w:tr>
    </w:tbl>
    <w:p w14:paraId="59DEDD9E" w14:textId="4BED6093" w:rsidR="798FF03A" w:rsidRPr="0004747D" w:rsidRDefault="798FF03A" w:rsidP="798FF03A">
      <w:pPr>
        <w:rPr>
          <w:rFonts w:cs="Arial"/>
          <w:b/>
          <w:bCs/>
          <w:sz w:val="32"/>
          <w:szCs w:val="32"/>
        </w:rPr>
      </w:pPr>
    </w:p>
    <w:p w14:paraId="14155459" w14:textId="3FB4EBA8" w:rsidR="00A3006E" w:rsidRDefault="55A1D2D1" w:rsidP="009536CB">
      <w:pPr>
        <w:widowControl w:val="0"/>
        <w:jc w:val="both"/>
        <w:rPr>
          <w:rFonts w:eastAsia="Arial" w:cs="Arial"/>
          <w:b/>
          <w:bCs/>
          <w:color w:val="000000" w:themeColor="text1"/>
          <w:sz w:val="24"/>
          <w:szCs w:val="24"/>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r w:rsidR="00A3006E">
        <w:rPr>
          <w:rFonts w:eastAsia="Arial" w:cs="Arial"/>
          <w:b/>
          <w:bCs/>
          <w:color w:val="000000" w:themeColor="text1"/>
          <w:sz w:val="24"/>
          <w:szCs w:val="24"/>
        </w:rPr>
        <w:br w:type="page"/>
      </w:r>
    </w:p>
    <w:p w14:paraId="4711095B" w14:textId="77777777" w:rsidR="00A3006E" w:rsidRPr="00044F47" w:rsidRDefault="00A3006E" w:rsidP="00A3006E">
      <w:pPr>
        <w:jc w:val="both"/>
        <w:rPr>
          <w:rFonts w:cs="Arial"/>
          <w:b/>
          <w:bCs/>
          <w:sz w:val="32"/>
          <w:szCs w:val="32"/>
        </w:rPr>
      </w:pPr>
      <w:r w:rsidRPr="00044F47">
        <w:rPr>
          <w:rFonts w:cs="Arial"/>
          <w:b/>
          <w:bCs/>
          <w:sz w:val="32"/>
          <w:szCs w:val="32"/>
        </w:rPr>
        <w:lastRenderedPageBreak/>
        <w:t xml:space="preserve">SECTION FOUR: </w:t>
      </w:r>
      <w:r w:rsidRPr="00044F47">
        <w:tab/>
      </w:r>
      <w:r w:rsidRPr="00044F47">
        <w:rPr>
          <w:rFonts w:cs="Arial"/>
          <w:b/>
          <w:bCs/>
          <w:sz w:val="32"/>
          <w:szCs w:val="32"/>
        </w:rPr>
        <w:t>Referee</w:t>
      </w:r>
      <w:r>
        <w:rPr>
          <w:rFonts w:cs="Arial"/>
          <w:b/>
          <w:bCs/>
          <w:sz w:val="32"/>
          <w:szCs w:val="32"/>
        </w:rPr>
        <w:t>s</w:t>
      </w:r>
    </w:p>
    <w:p w14:paraId="73A0BF7F" w14:textId="77777777" w:rsidR="00A3006E" w:rsidRPr="00044F47" w:rsidRDefault="00A3006E" w:rsidP="00A3006E">
      <w:pPr>
        <w:jc w:val="both"/>
        <w:rPr>
          <w:rFonts w:cs="Arial"/>
          <w:sz w:val="24"/>
          <w:szCs w:val="24"/>
        </w:rPr>
      </w:pPr>
    </w:p>
    <w:p w14:paraId="78DF6A5D" w14:textId="77777777" w:rsidR="00A3006E" w:rsidRPr="00044F47" w:rsidRDefault="00A3006E" w:rsidP="00A3006E">
      <w:pPr>
        <w:jc w:val="both"/>
        <w:rPr>
          <w:rFonts w:cs="Arial"/>
          <w:sz w:val="24"/>
          <w:szCs w:val="24"/>
        </w:rPr>
      </w:pPr>
      <w:r w:rsidRPr="00044F47">
        <w:rPr>
          <w:rFonts w:cs="Arial"/>
          <w:sz w:val="24"/>
          <w:szCs w:val="24"/>
        </w:rPr>
        <w:t xml:space="preserve">Your application must be accompanied by </w:t>
      </w:r>
      <w:r>
        <w:rPr>
          <w:rFonts w:cs="Arial"/>
          <w:sz w:val="24"/>
          <w:szCs w:val="24"/>
        </w:rPr>
        <w:t>two</w:t>
      </w:r>
      <w:r w:rsidRPr="00044F47">
        <w:rPr>
          <w:rFonts w:cs="Arial"/>
          <w:b/>
          <w:bCs/>
          <w:sz w:val="24"/>
          <w:szCs w:val="24"/>
        </w:rPr>
        <w:t xml:space="preserve"> supporting statement</w:t>
      </w:r>
      <w:r>
        <w:rPr>
          <w:rFonts w:cs="Arial"/>
          <w:b/>
          <w:bCs/>
          <w:sz w:val="24"/>
          <w:szCs w:val="24"/>
        </w:rPr>
        <w:t>s</w:t>
      </w:r>
      <w:r w:rsidRPr="00044F47">
        <w:rPr>
          <w:rFonts w:cs="Arial"/>
          <w:b/>
          <w:bCs/>
          <w:sz w:val="24"/>
          <w:szCs w:val="24"/>
        </w:rPr>
        <w:t xml:space="preserve"> </w:t>
      </w:r>
      <w:proofErr w:type="gramStart"/>
      <w:r w:rsidRPr="00044F47">
        <w:rPr>
          <w:rFonts w:cs="Arial"/>
          <w:sz w:val="24"/>
          <w:szCs w:val="24"/>
        </w:rPr>
        <w:t>from  person</w:t>
      </w:r>
      <w:r>
        <w:rPr>
          <w:rFonts w:cs="Arial"/>
          <w:sz w:val="24"/>
          <w:szCs w:val="24"/>
        </w:rPr>
        <w:t>s</w:t>
      </w:r>
      <w:proofErr w:type="gramEnd"/>
      <w:r w:rsidRPr="00044F47">
        <w:rPr>
          <w:rFonts w:cs="Arial"/>
          <w:sz w:val="24"/>
          <w:szCs w:val="24"/>
        </w:rPr>
        <w:t xml:space="preserve"> who </w:t>
      </w:r>
      <w:proofErr w:type="gramStart"/>
      <w:r>
        <w:rPr>
          <w:rFonts w:cs="Arial"/>
          <w:sz w:val="24"/>
          <w:szCs w:val="24"/>
        </w:rPr>
        <w:t>are</w:t>
      </w:r>
      <w:r w:rsidRPr="00044F47">
        <w:rPr>
          <w:rFonts w:cs="Arial"/>
          <w:sz w:val="24"/>
          <w:szCs w:val="24"/>
        </w:rPr>
        <w:t xml:space="preserve"> in a position to</w:t>
      </w:r>
      <w:proofErr w:type="gramEnd"/>
      <w:r w:rsidRPr="00044F47">
        <w:rPr>
          <w:rFonts w:cs="Arial"/>
          <w:sz w:val="24"/>
          <w:szCs w:val="24"/>
        </w:rPr>
        <w:t xml:space="preserve"> comment on your teaching and learning practices and achievements.</w:t>
      </w:r>
    </w:p>
    <w:p w14:paraId="2E005C1C" w14:textId="77777777" w:rsidR="00A3006E" w:rsidRPr="00044F47" w:rsidRDefault="00A3006E" w:rsidP="00A3006E">
      <w:pPr>
        <w:jc w:val="both"/>
        <w:rPr>
          <w:rFonts w:cs="Arial"/>
          <w:sz w:val="24"/>
          <w:szCs w:val="24"/>
        </w:rPr>
      </w:pPr>
    </w:p>
    <w:p w14:paraId="5EDA6E6B" w14:textId="4FE71164" w:rsidR="00A3006E" w:rsidRPr="00044F47" w:rsidRDefault="00A3006E" w:rsidP="00A3006E">
      <w:pPr>
        <w:jc w:val="both"/>
        <w:rPr>
          <w:rFonts w:cs="Arial"/>
          <w:sz w:val="24"/>
          <w:szCs w:val="24"/>
        </w:rPr>
      </w:pPr>
      <w:r w:rsidRPr="00044F47">
        <w:rPr>
          <w:rFonts w:cs="Arial"/>
          <w:sz w:val="24"/>
          <w:szCs w:val="24"/>
        </w:rPr>
        <w:t xml:space="preserve">The function of </w:t>
      </w:r>
      <w:r>
        <w:rPr>
          <w:rFonts w:cs="Arial"/>
          <w:sz w:val="24"/>
          <w:szCs w:val="24"/>
        </w:rPr>
        <w:t>a</w:t>
      </w:r>
      <w:r w:rsidRPr="00044F47">
        <w:rPr>
          <w:rFonts w:cs="Arial"/>
          <w:sz w:val="24"/>
          <w:szCs w:val="24"/>
        </w:rPr>
        <w:t xml:space="preserve"> Referee is to provide an informed peer review of your eligibility for Fellow, using their knowledge of your work and the context in which you teach and/or support learning. </w:t>
      </w:r>
      <w:r>
        <w:rPr>
          <w:rFonts w:cs="Arial"/>
          <w:sz w:val="24"/>
          <w:szCs w:val="24"/>
        </w:rPr>
        <w:t>Each</w:t>
      </w:r>
      <w:r w:rsidRPr="00044F47">
        <w:rPr>
          <w:rFonts w:cs="Arial"/>
          <w:sz w:val="24"/>
          <w:szCs w:val="24"/>
        </w:rPr>
        <w:t xml:space="preserve"> Referee </w:t>
      </w:r>
      <w:proofErr w:type="gramStart"/>
      <w:r w:rsidRPr="00044F47">
        <w:rPr>
          <w:rFonts w:cs="Arial"/>
          <w:sz w:val="24"/>
          <w:szCs w:val="24"/>
        </w:rPr>
        <w:t>are</w:t>
      </w:r>
      <w:proofErr w:type="gramEnd"/>
      <w:r w:rsidRPr="00044F47">
        <w:rPr>
          <w:rFonts w:cs="Arial"/>
          <w:sz w:val="24"/>
          <w:szCs w:val="24"/>
        </w:rPr>
        <w:t xml:space="preserve"> expected to </w:t>
      </w:r>
      <w:r w:rsidRPr="00044F47">
        <w:rPr>
          <w:rFonts w:cs="Arial"/>
          <w:b/>
          <w:bCs/>
          <w:sz w:val="24"/>
          <w:szCs w:val="24"/>
        </w:rPr>
        <w:t>authenticate your application</w:t>
      </w:r>
      <w:r w:rsidRPr="00044F47">
        <w:rPr>
          <w:rFonts w:cs="Arial"/>
          <w:sz w:val="24"/>
          <w:szCs w:val="24"/>
        </w:rPr>
        <w:t xml:space="preserve"> by commenting directly on the content of your application and to make additional, relevant comments, as they wish.</w:t>
      </w:r>
    </w:p>
    <w:p w14:paraId="7CCAED50" w14:textId="77777777" w:rsidR="00A3006E" w:rsidRPr="00044F47" w:rsidRDefault="00A3006E" w:rsidP="00A3006E">
      <w:pPr>
        <w:jc w:val="both"/>
        <w:rPr>
          <w:rFonts w:cs="Arial"/>
          <w:sz w:val="24"/>
          <w:szCs w:val="24"/>
        </w:rPr>
      </w:pPr>
    </w:p>
    <w:p w14:paraId="0FFF0C3A" w14:textId="77777777" w:rsidR="00A3006E" w:rsidRPr="00044F47" w:rsidRDefault="00A3006E" w:rsidP="00A3006E">
      <w:pPr>
        <w:jc w:val="both"/>
        <w:rPr>
          <w:rFonts w:cs="Arial"/>
          <w:sz w:val="24"/>
          <w:szCs w:val="24"/>
        </w:rPr>
      </w:pPr>
      <w:r w:rsidRPr="00044F47">
        <w:rPr>
          <w:rFonts w:cs="Arial"/>
          <w:sz w:val="24"/>
          <w:szCs w:val="24"/>
        </w:rPr>
        <w:t xml:space="preserve">Referees should be experienced staff and be able to comment knowledgeably, and from first-hand experience, on your current role and any other relevant activities recently undertaken. </w:t>
      </w:r>
      <w:r w:rsidRPr="00044F47">
        <w:rPr>
          <w:rFonts w:cs="Arial"/>
          <w:b/>
          <w:bCs/>
          <w:sz w:val="24"/>
          <w:szCs w:val="24"/>
        </w:rPr>
        <w:t xml:space="preserve"> Your Referee</w:t>
      </w:r>
      <w:r>
        <w:rPr>
          <w:rFonts w:cs="Arial"/>
          <w:b/>
          <w:bCs/>
          <w:sz w:val="24"/>
          <w:szCs w:val="24"/>
        </w:rPr>
        <w:t>s</w:t>
      </w:r>
      <w:r w:rsidRPr="00044F47">
        <w:rPr>
          <w:rFonts w:cs="Arial"/>
          <w:b/>
          <w:bCs/>
          <w:sz w:val="24"/>
          <w:szCs w:val="24"/>
        </w:rPr>
        <w:t xml:space="preserve"> should either be Fellow</w:t>
      </w:r>
      <w:r>
        <w:rPr>
          <w:rFonts w:cs="Arial"/>
          <w:b/>
          <w:bCs/>
          <w:sz w:val="24"/>
          <w:szCs w:val="24"/>
        </w:rPr>
        <w:t>s</w:t>
      </w:r>
      <w:r w:rsidRPr="00044F47">
        <w:rPr>
          <w:rFonts w:cs="Arial"/>
          <w:b/>
          <w:bCs/>
          <w:sz w:val="24"/>
          <w:szCs w:val="24"/>
        </w:rPr>
        <w:t>, Senior Fellow</w:t>
      </w:r>
      <w:r>
        <w:rPr>
          <w:rFonts w:cs="Arial"/>
          <w:b/>
          <w:bCs/>
          <w:sz w:val="24"/>
          <w:szCs w:val="24"/>
        </w:rPr>
        <w:t>s</w:t>
      </w:r>
      <w:r w:rsidRPr="00044F47">
        <w:rPr>
          <w:rFonts w:cs="Arial"/>
          <w:b/>
          <w:bCs/>
          <w:sz w:val="24"/>
          <w:szCs w:val="24"/>
        </w:rPr>
        <w:t xml:space="preserve"> or Principal Fellow</w:t>
      </w:r>
      <w:r>
        <w:rPr>
          <w:rFonts w:cs="Arial"/>
          <w:b/>
          <w:bCs/>
          <w:sz w:val="24"/>
          <w:szCs w:val="24"/>
        </w:rPr>
        <w:t>s</w:t>
      </w:r>
      <w:r w:rsidRPr="00044F47">
        <w:rPr>
          <w:rFonts w:cs="Arial"/>
          <w:b/>
          <w:bCs/>
          <w:sz w:val="24"/>
          <w:szCs w:val="24"/>
        </w:rPr>
        <w:t xml:space="preserve"> of Advance HE</w:t>
      </w:r>
      <w:r w:rsidRPr="00044F47">
        <w:rPr>
          <w:rFonts w:cs="Arial"/>
          <w:sz w:val="24"/>
          <w:szCs w:val="24"/>
        </w:rPr>
        <w:t>, or an appropriately experienced member of staff working for a UK Higher Education Institution (HEI). All Referees need to be familiar with the PSF2023.</w:t>
      </w:r>
    </w:p>
    <w:p w14:paraId="4684D1C8" w14:textId="77777777" w:rsidR="00A3006E" w:rsidRPr="00044F47" w:rsidRDefault="00A3006E" w:rsidP="00A3006E">
      <w:pPr>
        <w:jc w:val="both"/>
        <w:rPr>
          <w:rFonts w:cs="Arial"/>
          <w:sz w:val="24"/>
          <w:szCs w:val="24"/>
        </w:rPr>
      </w:pPr>
    </w:p>
    <w:p w14:paraId="7070AEC9" w14:textId="77777777" w:rsidR="00A3006E" w:rsidRPr="00044F47" w:rsidRDefault="00A3006E" w:rsidP="00A3006E">
      <w:pPr>
        <w:jc w:val="both"/>
        <w:rPr>
          <w:rFonts w:cs="Arial"/>
          <w:b/>
          <w:sz w:val="24"/>
          <w:szCs w:val="24"/>
        </w:rPr>
      </w:pPr>
      <w:r w:rsidRPr="00044F47">
        <w:rPr>
          <w:rFonts w:cs="Arial"/>
          <w:b/>
          <w:sz w:val="24"/>
          <w:szCs w:val="24"/>
        </w:rPr>
        <w:t>Referees should be provided with a copy of the Guidance Notes for Referees – please speak to your mentor regarding this document.</w:t>
      </w:r>
    </w:p>
    <w:p w14:paraId="2DEE39A6" w14:textId="77777777" w:rsidR="00A3006E" w:rsidRPr="00044F47" w:rsidRDefault="00A3006E" w:rsidP="00A3006E">
      <w:pPr>
        <w:jc w:val="both"/>
        <w:rPr>
          <w:rFonts w:cs="Arial"/>
          <w:sz w:val="24"/>
          <w:szCs w:val="24"/>
        </w:rPr>
      </w:pPr>
    </w:p>
    <w:tbl>
      <w:tblPr>
        <w:tblStyle w:val="TableGrid"/>
        <w:tblW w:w="0" w:type="auto"/>
        <w:tblLook w:val="04A0" w:firstRow="1" w:lastRow="0" w:firstColumn="1" w:lastColumn="0" w:noHBand="0" w:noVBand="1"/>
      </w:tblPr>
      <w:tblGrid>
        <w:gridCol w:w="4581"/>
        <w:gridCol w:w="5875"/>
      </w:tblGrid>
      <w:tr w:rsidR="00A3006E" w:rsidRPr="00044F47" w14:paraId="08F78CFD" w14:textId="77777777" w:rsidTr="00051966">
        <w:tc>
          <w:tcPr>
            <w:tcW w:w="10598" w:type="dxa"/>
            <w:gridSpan w:val="2"/>
          </w:tcPr>
          <w:p w14:paraId="27266D0C" w14:textId="77777777" w:rsidR="00A3006E" w:rsidRPr="00044F47" w:rsidRDefault="00A3006E" w:rsidP="00051966">
            <w:pPr>
              <w:jc w:val="both"/>
              <w:rPr>
                <w:rFonts w:cs="Arial"/>
                <w:b/>
                <w:bCs/>
                <w:sz w:val="24"/>
                <w:szCs w:val="24"/>
              </w:rPr>
            </w:pPr>
            <w:r w:rsidRPr="00044F47">
              <w:rPr>
                <w:rFonts w:cs="Arial"/>
                <w:b/>
                <w:bCs/>
                <w:sz w:val="24"/>
                <w:szCs w:val="24"/>
              </w:rPr>
              <w:t>Referee</w:t>
            </w:r>
            <w:r>
              <w:rPr>
                <w:rFonts w:cs="Arial"/>
                <w:b/>
                <w:bCs/>
                <w:sz w:val="24"/>
                <w:szCs w:val="24"/>
              </w:rPr>
              <w:t xml:space="preserve"> 1</w:t>
            </w:r>
            <w:r w:rsidRPr="00044F47">
              <w:rPr>
                <w:rFonts w:cs="Arial"/>
                <w:b/>
                <w:bCs/>
                <w:sz w:val="24"/>
                <w:szCs w:val="24"/>
              </w:rPr>
              <w:t>:</w:t>
            </w:r>
          </w:p>
          <w:p w14:paraId="083233BD" w14:textId="77777777" w:rsidR="00A3006E" w:rsidRPr="00044F47" w:rsidRDefault="00A3006E" w:rsidP="00051966">
            <w:pPr>
              <w:jc w:val="both"/>
              <w:rPr>
                <w:rFonts w:cs="Arial"/>
                <w:sz w:val="24"/>
                <w:szCs w:val="24"/>
              </w:rPr>
            </w:pPr>
          </w:p>
        </w:tc>
      </w:tr>
      <w:tr w:rsidR="00A3006E" w:rsidRPr="00044F47" w14:paraId="5A86B4E0" w14:textId="77777777" w:rsidTr="00051966">
        <w:tc>
          <w:tcPr>
            <w:tcW w:w="4621" w:type="dxa"/>
          </w:tcPr>
          <w:p w14:paraId="1BE889A6"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42F56093" w14:textId="190A18F7" w:rsidR="00A3006E" w:rsidRPr="00044F47" w:rsidRDefault="00946817" w:rsidP="00051966">
            <w:pPr>
              <w:jc w:val="both"/>
              <w:rPr>
                <w:rFonts w:cs="Arial"/>
                <w:sz w:val="24"/>
                <w:szCs w:val="24"/>
              </w:rPr>
            </w:pPr>
            <w:r w:rsidRPr="00946817">
              <w:rPr>
                <w:rFonts w:cs="Arial"/>
                <w:sz w:val="24"/>
                <w:szCs w:val="24"/>
              </w:rPr>
              <w:t>Renuga Jayakumar</w:t>
            </w:r>
          </w:p>
        </w:tc>
      </w:tr>
      <w:tr w:rsidR="00A3006E" w:rsidRPr="00044F47" w14:paraId="6FB1C05A" w14:textId="77777777" w:rsidTr="00051966">
        <w:tc>
          <w:tcPr>
            <w:tcW w:w="4621" w:type="dxa"/>
          </w:tcPr>
          <w:p w14:paraId="7CD5EE88"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62CCC98" w14:textId="1D2DA5D0" w:rsidR="00A3006E" w:rsidRPr="00044F47" w:rsidRDefault="00946817" w:rsidP="00051966">
            <w:pPr>
              <w:jc w:val="both"/>
              <w:rPr>
                <w:rFonts w:cs="Arial"/>
                <w:sz w:val="24"/>
                <w:szCs w:val="24"/>
              </w:rPr>
            </w:pPr>
            <w:r w:rsidRPr="00946817">
              <w:rPr>
                <w:rFonts w:cs="Arial"/>
                <w:sz w:val="24"/>
                <w:szCs w:val="24"/>
              </w:rPr>
              <w:t>Programme Manager / Senior Lecturer in Computing</w:t>
            </w:r>
          </w:p>
        </w:tc>
      </w:tr>
      <w:tr w:rsidR="00A3006E" w:rsidRPr="00044F47" w14:paraId="78DA2D8E" w14:textId="77777777" w:rsidTr="00051966">
        <w:tc>
          <w:tcPr>
            <w:tcW w:w="4621" w:type="dxa"/>
          </w:tcPr>
          <w:p w14:paraId="112D346F"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0E4143FE" w14:textId="5F087B8E" w:rsidR="00A3006E" w:rsidRPr="00044F47" w:rsidRDefault="00946817" w:rsidP="00051966">
            <w:pPr>
              <w:jc w:val="both"/>
              <w:rPr>
                <w:rFonts w:cs="Arial"/>
                <w:sz w:val="24"/>
                <w:szCs w:val="24"/>
              </w:rPr>
            </w:pPr>
            <w:r w:rsidRPr="00946817">
              <w:rPr>
                <w:rFonts w:cs="Arial"/>
                <w:sz w:val="24"/>
                <w:szCs w:val="24"/>
              </w:rPr>
              <w:t>Senior Fellow of the Higher Education Academy</w:t>
            </w:r>
          </w:p>
        </w:tc>
      </w:tr>
      <w:tr w:rsidR="00A3006E" w:rsidRPr="00044F47" w14:paraId="5F6B441D" w14:textId="77777777" w:rsidTr="00051966">
        <w:tc>
          <w:tcPr>
            <w:tcW w:w="4621" w:type="dxa"/>
          </w:tcPr>
          <w:p w14:paraId="651288F6"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131D2042" w14:textId="13EB6369" w:rsidR="00A3006E" w:rsidRPr="00044F47" w:rsidRDefault="00CE4B98" w:rsidP="00051966">
            <w:pPr>
              <w:jc w:val="both"/>
              <w:rPr>
                <w:rFonts w:cs="Arial"/>
                <w:sz w:val="24"/>
                <w:szCs w:val="24"/>
              </w:rPr>
            </w:pPr>
            <w:r w:rsidRPr="00321D31">
              <w:rPr>
                <w:rFonts w:cs="Arial"/>
                <w:sz w:val="24"/>
                <w:szCs w:val="24"/>
              </w:rPr>
              <w:t>Institute of Inner-City Learning</w:t>
            </w:r>
          </w:p>
        </w:tc>
      </w:tr>
      <w:tr w:rsidR="00A3006E" w:rsidRPr="00044F47" w14:paraId="4894E322" w14:textId="77777777" w:rsidTr="00051966">
        <w:tc>
          <w:tcPr>
            <w:tcW w:w="4621" w:type="dxa"/>
          </w:tcPr>
          <w:p w14:paraId="3120F8F5"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58FBA279" w14:textId="5FDAEAB8" w:rsidR="00A3006E" w:rsidRPr="00044F47" w:rsidRDefault="00726C53" w:rsidP="00051966">
            <w:pPr>
              <w:jc w:val="both"/>
              <w:rPr>
                <w:rFonts w:cs="Arial"/>
                <w:sz w:val="24"/>
                <w:szCs w:val="24"/>
              </w:rPr>
            </w:pPr>
            <w:r w:rsidRPr="00726C53">
              <w:rPr>
                <w:rFonts w:cs="Arial"/>
                <w:sz w:val="24"/>
                <w:szCs w:val="24"/>
              </w:rPr>
              <w:t>r.jayakumar@uwtsd.ac.uk</w:t>
            </w:r>
          </w:p>
        </w:tc>
      </w:tr>
      <w:tr w:rsidR="00A3006E" w:rsidRPr="00044F47" w14:paraId="4FEA3836" w14:textId="77777777" w:rsidTr="00051966">
        <w:tc>
          <w:tcPr>
            <w:tcW w:w="10598" w:type="dxa"/>
            <w:gridSpan w:val="2"/>
          </w:tcPr>
          <w:p w14:paraId="12DA6DC4" w14:textId="77777777" w:rsidR="00A3006E" w:rsidRPr="00044F47"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60B1A695" w14:textId="77777777" w:rsidR="00A3006E" w:rsidRPr="00044F47" w:rsidRDefault="00A3006E" w:rsidP="00051966">
            <w:pPr>
              <w:jc w:val="both"/>
              <w:rPr>
                <w:rFonts w:cs="Arial"/>
                <w:sz w:val="24"/>
                <w:szCs w:val="24"/>
              </w:rPr>
            </w:pPr>
          </w:p>
          <w:p w14:paraId="1A508CAE" w14:textId="2CD70C8C" w:rsidR="00A3006E" w:rsidRPr="00044F47" w:rsidRDefault="00E42A41" w:rsidP="00051966">
            <w:pPr>
              <w:jc w:val="both"/>
              <w:rPr>
                <w:rFonts w:cs="Arial"/>
                <w:sz w:val="24"/>
                <w:szCs w:val="24"/>
              </w:rPr>
            </w:pPr>
            <w:r w:rsidRPr="00E42A41">
              <w:rPr>
                <w:rFonts w:cs="Arial"/>
                <w:sz w:val="24"/>
                <w:szCs w:val="24"/>
              </w:rPr>
              <w:t>Renuga can comment on my professional practice as a Programme Manager and Senior Lecturer in Computing who is familiar with my teaching, assessment practice, use of digital learning resources, student support, and contribution to computing-related modules at UWTSD London Campus</w:t>
            </w:r>
          </w:p>
          <w:p w14:paraId="1F31ADEE" w14:textId="77777777" w:rsidR="00A3006E" w:rsidRPr="00044F47" w:rsidRDefault="00A3006E" w:rsidP="00051966">
            <w:pPr>
              <w:jc w:val="both"/>
              <w:rPr>
                <w:rFonts w:cs="Arial"/>
                <w:sz w:val="24"/>
                <w:szCs w:val="24"/>
              </w:rPr>
            </w:pPr>
          </w:p>
        </w:tc>
      </w:tr>
    </w:tbl>
    <w:p w14:paraId="677B44A9" w14:textId="77777777" w:rsidR="00A3006E" w:rsidRPr="00044F47" w:rsidRDefault="00A3006E" w:rsidP="00A3006E">
      <w:pPr>
        <w:rPr>
          <w:rFonts w:cs="Arial"/>
        </w:rPr>
      </w:pPr>
    </w:p>
    <w:p w14:paraId="7F05E773" w14:textId="77777777" w:rsidR="00A3006E" w:rsidRDefault="00A3006E" w:rsidP="00A3006E">
      <w:pPr>
        <w:spacing w:after="200" w:line="276" w:lineRule="auto"/>
        <w:rPr>
          <w:rFonts w:ascii="Calibri" w:eastAsia="Calibri" w:hAnsi="Calibri" w:cs="Calibri"/>
          <w:b/>
          <w:bCs/>
          <w:color w:val="000000" w:themeColor="text1"/>
        </w:rPr>
      </w:pPr>
    </w:p>
    <w:tbl>
      <w:tblPr>
        <w:tblStyle w:val="TableGrid"/>
        <w:tblW w:w="0" w:type="auto"/>
        <w:tblLook w:val="04A0" w:firstRow="1" w:lastRow="0" w:firstColumn="1" w:lastColumn="0" w:noHBand="0" w:noVBand="1"/>
      </w:tblPr>
      <w:tblGrid>
        <w:gridCol w:w="4581"/>
        <w:gridCol w:w="5875"/>
      </w:tblGrid>
      <w:tr w:rsidR="00A3006E" w:rsidRPr="00044F47" w14:paraId="6F766278" w14:textId="77777777" w:rsidTr="00051966">
        <w:tc>
          <w:tcPr>
            <w:tcW w:w="10598" w:type="dxa"/>
            <w:gridSpan w:val="2"/>
          </w:tcPr>
          <w:p w14:paraId="208D21BD" w14:textId="77777777" w:rsidR="00A3006E" w:rsidRPr="00044F47" w:rsidRDefault="00A3006E" w:rsidP="00051966">
            <w:pPr>
              <w:jc w:val="both"/>
              <w:rPr>
                <w:rFonts w:cs="Arial"/>
                <w:b/>
                <w:bCs/>
                <w:sz w:val="24"/>
                <w:szCs w:val="24"/>
              </w:rPr>
            </w:pPr>
            <w:r w:rsidRPr="00044F47">
              <w:rPr>
                <w:rFonts w:cs="Arial"/>
                <w:b/>
                <w:bCs/>
                <w:sz w:val="24"/>
                <w:szCs w:val="24"/>
              </w:rPr>
              <w:t>Referee</w:t>
            </w:r>
            <w:r>
              <w:rPr>
                <w:rFonts w:cs="Arial"/>
                <w:b/>
                <w:bCs/>
                <w:sz w:val="24"/>
                <w:szCs w:val="24"/>
              </w:rPr>
              <w:t xml:space="preserve"> 2</w:t>
            </w:r>
            <w:r w:rsidRPr="00044F47">
              <w:rPr>
                <w:rFonts w:cs="Arial"/>
                <w:b/>
                <w:bCs/>
                <w:sz w:val="24"/>
                <w:szCs w:val="24"/>
              </w:rPr>
              <w:t>:</w:t>
            </w:r>
          </w:p>
          <w:p w14:paraId="615405FB" w14:textId="77777777" w:rsidR="00A3006E" w:rsidRPr="00044F47" w:rsidRDefault="00A3006E" w:rsidP="00051966">
            <w:pPr>
              <w:jc w:val="both"/>
              <w:rPr>
                <w:rFonts w:cs="Arial"/>
                <w:sz w:val="24"/>
                <w:szCs w:val="24"/>
              </w:rPr>
            </w:pPr>
          </w:p>
        </w:tc>
      </w:tr>
      <w:tr w:rsidR="00A3006E" w:rsidRPr="00044F47" w14:paraId="1CF0CB2B" w14:textId="77777777" w:rsidTr="00051966">
        <w:tc>
          <w:tcPr>
            <w:tcW w:w="4621" w:type="dxa"/>
          </w:tcPr>
          <w:p w14:paraId="2BAC9233" w14:textId="77777777" w:rsidR="00A3006E" w:rsidRPr="00044F47" w:rsidRDefault="00A3006E" w:rsidP="00051966">
            <w:pPr>
              <w:jc w:val="both"/>
              <w:rPr>
                <w:rFonts w:cs="Arial"/>
                <w:sz w:val="24"/>
                <w:szCs w:val="24"/>
              </w:rPr>
            </w:pPr>
            <w:r w:rsidRPr="00044F47">
              <w:rPr>
                <w:rFonts w:cs="Arial"/>
                <w:sz w:val="24"/>
                <w:szCs w:val="24"/>
              </w:rPr>
              <w:t>Name</w:t>
            </w:r>
          </w:p>
        </w:tc>
        <w:tc>
          <w:tcPr>
            <w:tcW w:w="5977" w:type="dxa"/>
          </w:tcPr>
          <w:p w14:paraId="16718B11" w14:textId="5FE4A167" w:rsidR="00A3006E" w:rsidRPr="00044F47" w:rsidRDefault="00A300E7" w:rsidP="00051966">
            <w:pPr>
              <w:jc w:val="both"/>
              <w:rPr>
                <w:rFonts w:cs="Arial"/>
                <w:sz w:val="24"/>
                <w:szCs w:val="24"/>
              </w:rPr>
            </w:pPr>
            <w:proofErr w:type="spellStart"/>
            <w:r w:rsidRPr="00A300E7">
              <w:rPr>
                <w:rFonts w:cs="Arial"/>
                <w:sz w:val="24"/>
                <w:szCs w:val="24"/>
              </w:rPr>
              <w:t>Lizeta</w:t>
            </w:r>
            <w:proofErr w:type="spellEnd"/>
            <w:r w:rsidRPr="00A300E7">
              <w:rPr>
                <w:rFonts w:cs="Arial"/>
                <w:sz w:val="24"/>
                <w:szCs w:val="24"/>
              </w:rPr>
              <w:t xml:space="preserve"> Demetriou</w:t>
            </w:r>
          </w:p>
        </w:tc>
      </w:tr>
      <w:tr w:rsidR="00A3006E" w:rsidRPr="00044F47" w14:paraId="1A40BEBA" w14:textId="77777777" w:rsidTr="00051966">
        <w:tc>
          <w:tcPr>
            <w:tcW w:w="4621" w:type="dxa"/>
          </w:tcPr>
          <w:p w14:paraId="5CAEE8BE" w14:textId="77777777" w:rsidR="00A3006E" w:rsidRPr="00044F47" w:rsidRDefault="00A3006E" w:rsidP="00051966">
            <w:pPr>
              <w:jc w:val="both"/>
              <w:rPr>
                <w:rFonts w:cs="Arial"/>
                <w:sz w:val="24"/>
                <w:szCs w:val="24"/>
              </w:rPr>
            </w:pPr>
            <w:r w:rsidRPr="00044F47">
              <w:rPr>
                <w:rFonts w:cs="Arial"/>
                <w:sz w:val="24"/>
                <w:szCs w:val="24"/>
              </w:rPr>
              <w:t>Job Title</w:t>
            </w:r>
          </w:p>
        </w:tc>
        <w:tc>
          <w:tcPr>
            <w:tcW w:w="5977" w:type="dxa"/>
          </w:tcPr>
          <w:p w14:paraId="3D239CBC" w14:textId="71A104D0" w:rsidR="00A3006E" w:rsidRPr="00044F47" w:rsidRDefault="00A300E7" w:rsidP="00051966">
            <w:pPr>
              <w:jc w:val="both"/>
              <w:rPr>
                <w:rFonts w:cs="Arial"/>
                <w:sz w:val="24"/>
                <w:szCs w:val="24"/>
              </w:rPr>
            </w:pPr>
            <w:r w:rsidRPr="00A300E7">
              <w:rPr>
                <w:rFonts w:cs="Arial"/>
                <w:sz w:val="24"/>
                <w:szCs w:val="24"/>
              </w:rPr>
              <w:t xml:space="preserve">PM </w:t>
            </w:r>
            <w:proofErr w:type="spellStart"/>
            <w:r w:rsidRPr="00A300E7">
              <w:rPr>
                <w:rFonts w:cs="Arial"/>
                <w:sz w:val="24"/>
                <w:szCs w:val="24"/>
              </w:rPr>
              <w:t>CertHE</w:t>
            </w:r>
            <w:proofErr w:type="spellEnd"/>
            <w:r w:rsidRPr="00A300E7">
              <w:rPr>
                <w:rFonts w:cs="Arial"/>
                <w:sz w:val="24"/>
                <w:szCs w:val="24"/>
              </w:rPr>
              <w:t xml:space="preserve"> Business Skills for the Workplace</w:t>
            </w:r>
          </w:p>
        </w:tc>
      </w:tr>
      <w:tr w:rsidR="00A3006E" w:rsidRPr="00044F47" w14:paraId="0589B05A" w14:textId="77777777" w:rsidTr="00051966">
        <w:tc>
          <w:tcPr>
            <w:tcW w:w="4621" w:type="dxa"/>
          </w:tcPr>
          <w:p w14:paraId="40E1A4A9" w14:textId="77777777" w:rsidR="00A3006E" w:rsidRPr="00044F47" w:rsidRDefault="00A3006E" w:rsidP="00051966">
            <w:pPr>
              <w:jc w:val="both"/>
              <w:rPr>
                <w:rFonts w:cs="Arial"/>
                <w:sz w:val="24"/>
                <w:szCs w:val="24"/>
              </w:rPr>
            </w:pPr>
            <w:r w:rsidRPr="00044F47">
              <w:rPr>
                <w:rFonts w:cs="Arial"/>
                <w:sz w:val="24"/>
                <w:szCs w:val="24"/>
              </w:rPr>
              <w:t>Fellowship Status</w:t>
            </w:r>
          </w:p>
        </w:tc>
        <w:tc>
          <w:tcPr>
            <w:tcW w:w="5977" w:type="dxa"/>
          </w:tcPr>
          <w:p w14:paraId="2B76BEFD" w14:textId="77777777" w:rsidR="00A3006E" w:rsidRPr="00044F47" w:rsidRDefault="00A3006E" w:rsidP="00051966">
            <w:pPr>
              <w:jc w:val="both"/>
              <w:rPr>
                <w:rFonts w:cs="Arial"/>
                <w:sz w:val="24"/>
                <w:szCs w:val="24"/>
              </w:rPr>
            </w:pPr>
          </w:p>
        </w:tc>
      </w:tr>
      <w:tr w:rsidR="00A3006E" w:rsidRPr="00044F47" w14:paraId="02ADF79E" w14:textId="77777777" w:rsidTr="00051966">
        <w:tc>
          <w:tcPr>
            <w:tcW w:w="4621" w:type="dxa"/>
          </w:tcPr>
          <w:p w14:paraId="0E3F2844" w14:textId="77777777" w:rsidR="00A3006E" w:rsidRPr="00044F47" w:rsidRDefault="00A3006E" w:rsidP="00051966">
            <w:pPr>
              <w:jc w:val="both"/>
              <w:rPr>
                <w:rFonts w:cs="Arial"/>
                <w:sz w:val="24"/>
                <w:szCs w:val="24"/>
              </w:rPr>
            </w:pPr>
            <w:r w:rsidRPr="00044F47">
              <w:rPr>
                <w:rFonts w:cs="Arial"/>
                <w:sz w:val="24"/>
                <w:szCs w:val="24"/>
              </w:rPr>
              <w:t>Institution/Institute/Centre/Unit</w:t>
            </w:r>
          </w:p>
        </w:tc>
        <w:tc>
          <w:tcPr>
            <w:tcW w:w="5977" w:type="dxa"/>
          </w:tcPr>
          <w:p w14:paraId="27F87BB1" w14:textId="2416669A" w:rsidR="00A3006E" w:rsidRPr="00044F47" w:rsidRDefault="003A15AC" w:rsidP="00051966">
            <w:pPr>
              <w:jc w:val="both"/>
              <w:rPr>
                <w:rFonts w:cs="Arial"/>
                <w:sz w:val="24"/>
                <w:szCs w:val="24"/>
              </w:rPr>
            </w:pPr>
            <w:r w:rsidRPr="00321D31">
              <w:rPr>
                <w:rFonts w:cs="Arial"/>
                <w:sz w:val="24"/>
                <w:szCs w:val="24"/>
              </w:rPr>
              <w:t>Institute of Inner-City Learning</w:t>
            </w:r>
          </w:p>
        </w:tc>
      </w:tr>
      <w:tr w:rsidR="00A3006E" w:rsidRPr="00044F47" w14:paraId="7E795EA2" w14:textId="77777777" w:rsidTr="00051966">
        <w:tc>
          <w:tcPr>
            <w:tcW w:w="4621" w:type="dxa"/>
          </w:tcPr>
          <w:p w14:paraId="6701125B" w14:textId="77777777" w:rsidR="00A3006E" w:rsidRPr="00044F47" w:rsidRDefault="00A3006E" w:rsidP="00051966">
            <w:pPr>
              <w:jc w:val="both"/>
              <w:rPr>
                <w:rFonts w:cs="Arial"/>
                <w:sz w:val="24"/>
                <w:szCs w:val="24"/>
              </w:rPr>
            </w:pPr>
            <w:r w:rsidRPr="00044F47">
              <w:rPr>
                <w:rFonts w:cs="Arial"/>
                <w:sz w:val="24"/>
                <w:szCs w:val="24"/>
              </w:rPr>
              <w:t>Email address</w:t>
            </w:r>
          </w:p>
        </w:tc>
        <w:tc>
          <w:tcPr>
            <w:tcW w:w="5977" w:type="dxa"/>
          </w:tcPr>
          <w:p w14:paraId="2F2A227A" w14:textId="238A4F3D" w:rsidR="00A3006E" w:rsidRPr="00044F47" w:rsidRDefault="00A300E7" w:rsidP="00051966">
            <w:pPr>
              <w:jc w:val="both"/>
              <w:rPr>
                <w:rFonts w:cs="Arial"/>
                <w:sz w:val="24"/>
                <w:szCs w:val="24"/>
              </w:rPr>
            </w:pPr>
            <w:r w:rsidRPr="00A300E7">
              <w:rPr>
                <w:rFonts w:cs="Arial"/>
                <w:sz w:val="24"/>
                <w:szCs w:val="24"/>
              </w:rPr>
              <w:t>l.demetriou@uwtsd.ac.uk</w:t>
            </w:r>
          </w:p>
        </w:tc>
      </w:tr>
      <w:tr w:rsidR="00A3006E" w:rsidRPr="00044F47" w14:paraId="0A7D09D4" w14:textId="77777777" w:rsidTr="00051966">
        <w:tc>
          <w:tcPr>
            <w:tcW w:w="10598" w:type="dxa"/>
            <w:gridSpan w:val="2"/>
          </w:tcPr>
          <w:p w14:paraId="11307586" w14:textId="77777777" w:rsidR="00A3006E" w:rsidRPr="00044F47" w:rsidRDefault="00A3006E" w:rsidP="00051966">
            <w:pPr>
              <w:jc w:val="both"/>
              <w:rPr>
                <w:rFonts w:cs="Arial"/>
                <w:sz w:val="24"/>
                <w:szCs w:val="24"/>
              </w:rPr>
            </w:pPr>
            <w:r w:rsidRPr="00044F47">
              <w:rPr>
                <w:rFonts w:cs="Arial"/>
                <w:sz w:val="24"/>
                <w:szCs w:val="24"/>
              </w:rPr>
              <w:t>In what capacity can this individual comment on your professional practice?</w:t>
            </w:r>
          </w:p>
          <w:p w14:paraId="0B195526" w14:textId="77777777" w:rsidR="00A3006E" w:rsidRPr="00044F47" w:rsidRDefault="00A3006E" w:rsidP="00051966">
            <w:pPr>
              <w:jc w:val="both"/>
              <w:rPr>
                <w:rFonts w:cs="Arial"/>
                <w:sz w:val="24"/>
                <w:szCs w:val="24"/>
              </w:rPr>
            </w:pPr>
          </w:p>
          <w:p w14:paraId="65E44082" w14:textId="4F674A53" w:rsidR="00A3006E" w:rsidRPr="00044F47" w:rsidRDefault="00965672" w:rsidP="00051966">
            <w:pPr>
              <w:jc w:val="both"/>
              <w:rPr>
                <w:rFonts w:cs="Arial"/>
                <w:sz w:val="24"/>
                <w:szCs w:val="24"/>
              </w:rPr>
            </w:pPr>
            <w:proofErr w:type="spellStart"/>
            <w:r w:rsidRPr="00965672">
              <w:rPr>
                <w:rFonts w:cs="Arial"/>
                <w:sz w:val="24"/>
                <w:szCs w:val="24"/>
              </w:rPr>
              <w:t>Lizeta</w:t>
            </w:r>
            <w:proofErr w:type="spellEnd"/>
            <w:r w:rsidRPr="00965672">
              <w:rPr>
                <w:rFonts w:cs="Arial"/>
                <w:sz w:val="24"/>
                <w:szCs w:val="24"/>
              </w:rPr>
              <w:t xml:space="preserve"> can comment on my professional practice as Programme Manager for </w:t>
            </w:r>
            <w:proofErr w:type="spellStart"/>
            <w:r w:rsidRPr="00965672">
              <w:rPr>
                <w:rFonts w:cs="Arial"/>
                <w:sz w:val="24"/>
                <w:szCs w:val="24"/>
              </w:rPr>
              <w:t>CertHE</w:t>
            </w:r>
            <w:proofErr w:type="spellEnd"/>
            <w:r w:rsidRPr="00965672">
              <w:rPr>
                <w:rFonts w:cs="Arial"/>
                <w:sz w:val="24"/>
                <w:szCs w:val="24"/>
              </w:rPr>
              <w:t xml:space="preserve"> Business Skills for the Workplace, particularly in relation to my module leadership, redesign of weekly Moodle learning activities, staged formative submissions, assessment support, student engagement and contribution to teaching and learning within </w:t>
            </w:r>
            <w:proofErr w:type="spellStart"/>
            <w:r w:rsidRPr="00965672">
              <w:rPr>
                <w:rFonts w:cs="Arial"/>
                <w:sz w:val="24"/>
                <w:szCs w:val="24"/>
              </w:rPr>
              <w:t>CertHE</w:t>
            </w:r>
            <w:proofErr w:type="spellEnd"/>
            <w:r w:rsidRPr="00965672">
              <w:rPr>
                <w:rFonts w:cs="Arial"/>
                <w:sz w:val="24"/>
                <w:szCs w:val="24"/>
              </w:rPr>
              <w:t xml:space="preserve"> business provision at UWTSD London Campus.</w:t>
            </w:r>
          </w:p>
          <w:p w14:paraId="008BB3CA" w14:textId="77777777" w:rsidR="00A3006E" w:rsidRPr="00044F47" w:rsidRDefault="00A3006E" w:rsidP="00051966">
            <w:pPr>
              <w:jc w:val="both"/>
              <w:rPr>
                <w:rFonts w:cs="Arial"/>
                <w:sz w:val="24"/>
                <w:szCs w:val="24"/>
              </w:rPr>
            </w:pPr>
          </w:p>
        </w:tc>
      </w:tr>
    </w:tbl>
    <w:p w14:paraId="79EEBB64" w14:textId="77777777" w:rsidR="00A3006E" w:rsidRPr="00044F47" w:rsidRDefault="00A3006E" w:rsidP="00A3006E">
      <w:pPr>
        <w:spacing w:after="200" w:line="276" w:lineRule="auto"/>
        <w:rPr>
          <w:rFonts w:ascii="Calibri" w:eastAsia="Calibri" w:hAnsi="Calibri" w:cs="Calibri"/>
          <w:b/>
          <w:bCs/>
          <w:color w:val="000000" w:themeColor="text1"/>
        </w:rPr>
      </w:pPr>
      <w:r w:rsidRPr="00044F47">
        <w:rPr>
          <w:rFonts w:ascii="Calibri" w:eastAsia="Calibri" w:hAnsi="Calibri" w:cs="Calibri"/>
          <w:b/>
          <w:bCs/>
          <w:color w:val="000000" w:themeColor="text1"/>
        </w:rPr>
        <w:br w:type="page"/>
      </w:r>
    </w:p>
    <w:p w14:paraId="5697EB91" w14:textId="77777777" w:rsidR="00A3006E" w:rsidRPr="00044F47" w:rsidRDefault="00A3006E" w:rsidP="00A3006E">
      <w:pPr>
        <w:rPr>
          <w:rFonts w:ascii="Calibri" w:eastAsia="Calibri" w:hAnsi="Calibri" w:cs="Calibri"/>
          <w:b/>
          <w:bCs/>
          <w:color w:val="000000" w:themeColor="text1"/>
        </w:rPr>
      </w:pPr>
    </w:p>
    <w:p w14:paraId="1D35020E" w14:textId="77777777" w:rsidR="00A3006E" w:rsidRPr="00044F47" w:rsidRDefault="00A3006E" w:rsidP="00A3006E">
      <w:pPr>
        <w:rPr>
          <w:rFonts w:cs="Arial"/>
        </w:rPr>
      </w:pPr>
      <w:r w:rsidRPr="00044F47">
        <w:rPr>
          <w:rFonts w:eastAsia="Calibri" w:cs="Arial"/>
          <w:b/>
          <w:bCs/>
          <w:color w:val="000000" w:themeColor="text1"/>
        </w:rPr>
        <w:t>GDPR on data sharing with ADVANCE HE</w:t>
      </w:r>
      <w:r w:rsidRPr="00044F47">
        <w:rPr>
          <w:rFonts w:eastAsia="Calibri" w:cs="Arial"/>
          <w:color w:val="000000" w:themeColor="text1"/>
        </w:rPr>
        <w:t xml:space="preserve"> </w:t>
      </w:r>
    </w:p>
    <w:p w14:paraId="159C878A" w14:textId="77777777" w:rsidR="00A3006E" w:rsidRPr="00044F47" w:rsidRDefault="00A3006E" w:rsidP="00A3006E">
      <w:pPr>
        <w:rPr>
          <w:rFonts w:cs="Arial"/>
        </w:rPr>
      </w:pPr>
      <w:r w:rsidRPr="00044F47">
        <w:rPr>
          <w:rFonts w:eastAsia="Calibri" w:cs="Arial"/>
          <w:color w:val="000000" w:themeColor="text1"/>
        </w:rPr>
        <w:t xml:space="preserve">Following the implementation of GDPR you should be aware that successful recognition at </w:t>
      </w:r>
      <w:proofErr w:type="gramStart"/>
      <w:r w:rsidRPr="00044F47">
        <w:rPr>
          <w:rFonts w:eastAsia="Calibri" w:cs="Arial"/>
          <w:color w:val="000000" w:themeColor="text1"/>
        </w:rPr>
        <w:t>UWTSD,  personal</w:t>
      </w:r>
      <w:proofErr w:type="gramEnd"/>
      <w:r w:rsidRPr="00044F47">
        <w:rPr>
          <w:rFonts w:eastAsia="Calibri" w:cs="Arial"/>
          <w:color w:val="000000" w:themeColor="text1"/>
        </w:rPr>
        <w:t xml:space="preserve"> data including your name and email address will be supplied to Advance HE. This is </w:t>
      </w:r>
      <w:proofErr w:type="gramStart"/>
      <w:r w:rsidRPr="00044F47">
        <w:rPr>
          <w:rFonts w:eastAsia="Calibri" w:cs="Arial"/>
          <w:color w:val="000000" w:themeColor="text1"/>
        </w:rPr>
        <w:t>in order to</w:t>
      </w:r>
      <w:proofErr w:type="gramEnd"/>
      <w:r w:rsidRPr="00044F47">
        <w:rPr>
          <w:rFonts w:eastAsia="Calibri" w:cs="Arial"/>
          <w:color w:val="000000" w:themeColor="text1"/>
        </w:rPr>
        <w:t xml:space="preserve"> trigger your fellowship registration and certificate being recorded on their </w:t>
      </w:r>
      <w:proofErr w:type="spellStart"/>
      <w:r w:rsidRPr="00044F47">
        <w:rPr>
          <w:rFonts w:eastAsia="Calibri" w:cs="Arial"/>
          <w:color w:val="000000" w:themeColor="text1"/>
        </w:rPr>
        <w:t>MyAdvanceHE</w:t>
      </w:r>
      <w:proofErr w:type="spellEnd"/>
      <w:r w:rsidRPr="00044F47">
        <w:rPr>
          <w:rFonts w:eastAsia="Calibri" w:cs="Arial"/>
          <w:color w:val="000000" w:themeColor="text1"/>
        </w:rPr>
        <w:t xml:space="preserve"> database. </w:t>
      </w:r>
    </w:p>
    <w:p w14:paraId="3108724E" w14:textId="77777777" w:rsidR="00A3006E" w:rsidRPr="00044F47" w:rsidRDefault="00A3006E" w:rsidP="00A3006E">
      <w:pPr>
        <w:rPr>
          <w:rFonts w:eastAsia="Calibri" w:cs="Arial"/>
          <w:color w:val="000000" w:themeColor="text1"/>
        </w:rPr>
      </w:pPr>
      <w:r w:rsidRPr="00044F47">
        <w:rPr>
          <w:rFonts w:eastAsia="Calibri" w:cs="Arial"/>
          <w:color w:val="000000" w:themeColor="text1"/>
        </w:rPr>
        <w:t>https://my.advance-he.ac.uk/</w:t>
      </w:r>
    </w:p>
    <w:p w14:paraId="2C15E484" w14:textId="77777777" w:rsidR="00A3006E" w:rsidRPr="00044F47" w:rsidRDefault="00A3006E" w:rsidP="00A3006E">
      <w:pPr>
        <w:rPr>
          <w:rFonts w:cs="Arial"/>
        </w:rPr>
      </w:pPr>
      <w:r w:rsidRPr="00044F47">
        <w:rPr>
          <w:rFonts w:eastAsia="Calibri" w:cs="Arial"/>
          <w:color w:val="000000" w:themeColor="text1"/>
        </w:rPr>
        <w:t xml:space="preserve">Advance HE will make use of this data </w:t>
      </w:r>
      <w:proofErr w:type="gramStart"/>
      <w:r w:rsidRPr="00044F47">
        <w:rPr>
          <w:rFonts w:eastAsia="Calibri" w:cs="Arial"/>
          <w:color w:val="000000" w:themeColor="text1"/>
        </w:rPr>
        <w:t>in the course of</w:t>
      </w:r>
      <w:proofErr w:type="gramEnd"/>
      <w:r w:rsidRPr="00044F47">
        <w:rPr>
          <w:rFonts w:eastAsia="Calibri" w:cs="Arial"/>
          <w:color w:val="000000" w:themeColor="text1"/>
        </w:rPr>
        <w:t xml:space="preserve"> providing their Accreditation Services to UWTSD, and potentially in any reviews they might carry out of our accredited provision. </w:t>
      </w:r>
    </w:p>
    <w:p w14:paraId="5EEC6F0C" w14:textId="77777777" w:rsidR="00A3006E" w:rsidRPr="00044F47" w:rsidRDefault="00A3006E" w:rsidP="00A3006E">
      <w:pPr>
        <w:rPr>
          <w:rFonts w:cs="Arial"/>
        </w:rPr>
      </w:pPr>
      <w:r w:rsidRPr="00044F47">
        <w:rPr>
          <w:rFonts w:eastAsia="Calibri" w:cs="Arial"/>
          <w:color w:val="000000" w:themeColor="text1"/>
        </w:rPr>
        <w:t>By submitting your coursework and appendices you are confirming you agree to this data sharing.</w:t>
      </w:r>
    </w:p>
    <w:p w14:paraId="2F6D0A0F" w14:textId="77777777" w:rsidR="00A3006E" w:rsidRPr="00044F47" w:rsidRDefault="00A3006E" w:rsidP="00A3006E">
      <w:pPr>
        <w:rPr>
          <w:rFonts w:cs="Arial"/>
        </w:rPr>
      </w:pPr>
    </w:p>
    <w:p w14:paraId="0527AE1B" w14:textId="77777777" w:rsidR="00A3006E" w:rsidRPr="00044F47" w:rsidRDefault="00A3006E" w:rsidP="00A3006E">
      <w:pPr>
        <w:jc w:val="both"/>
        <w:rPr>
          <w:rFonts w:cs="Arial"/>
          <w:b/>
          <w:bCs/>
          <w:sz w:val="32"/>
          <w:szCs w:val="32"/>
        </w:rPr>
      </w:pPr>
      <w:r w:rsidRPr="00044F47">
        <w:rPr>
          <w:rFonts w:cs="Arial"/>
          <w:b/>
          <w:bCs/>
          <w:sz w:val="32"/>
          <w:szCs w:val="32"/>
        </w:rPr>
        <w:t xml:space="preserve">SECTION FIVE: </w:t>
      </w:r>
      <w:r w:rsidRPr="00044F47">
        <w:tab/>
      </w:r>
      <w:r w:rsidRPr="00044F47">
        <w:rPr>
          <w:rFonts w:cs="Arial"/>
          <w:b/>
          <w:bCs/>
          <w:sz w:val="32"/>
          <w:szCs w:val="32"/>
        </w:rPr>
        <w:t>Declaration</w:t>
      </w:r>
    </w:p>
    <w:p w14:paraId="5E4EEE51" w14:textId="77777777" w:rsidR="00A3006E" w:rsidRPr="00044F47" w:rsidRDefault="00A3006E" w:rsidP="00A3006E">
      <w:pPr>
        <w:jc w:val="both"/>
        <w:rPr>
          <w:rFonts w:cs="Arial"/>
          <w:b/>
          <w:sz w:val="32"/>
          <w:szCs w:val="32"/>
        </w:rPr>
      </w:pPr>
    </w:p>
    <w:p w14:paraId="15196F39" w14:textId="77777777" w:rsidR="00A3006E" w:rsidRPr="00044F47" w:rsidRDefault="00A3006E" w:rsidP="00A3006E">
      <w:pPr>
        <w:jc w:val="both"/>
        <w:rPr>
          <w:rFonts w:cs="Arial"/>
          <w:sz w:val="24"/>
          <w:szCs w:val="24"/>
        </w:rPr>
      </w:pPr>
      <w:r w:rsidRPr="00044F47">
        <w:rPr>
          <w:rFonts w:cs="Arial"/>
          <w:sz w:val="24"/>
          <w:szCs w:val="24"/>
        </w:rPr>
        <w:t>Please sign and date in the box below to confirm that the application you are submitting is your own work.</w:t>
      </w:r>
    </w:p>
    <w:p w14:paraId="0BCC905D" w14:textId="77777777" w:rsidR="00A3006E" w:rsidRPr="00044F47" w:rsidRDefault="00A3006E" w:rsidP="00A3006E">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A3006E" w:rsidRPr="00044F47" w14:paraId="1C0E574A" w14:textId="77777777" w:rsidTr="00051966">
        <w:tc>
          <w:tcPr>
            <w:tcW w:w="1271" w:type="dxa"/>
          </w:tcPr>
          <w:p w14:paraId="41CAEB2B" w14:textId="77777777" w:rsidR="00A3006E" w:rsidRPr="00044F47" w:rsidRDefault="00A3006E" w:rsidP="00051966">
            <w:pPr>
              <w:jc w:val="both"/>
              <w:rPr>
                <w:rFonts w:cs="Arial"/>
                <w:sz w:val="24"/>
                <w:szCs w:val="24"/>
              </w:rPr>
            </w:pPr>
            <w:r w:rsidRPr="00044F47">
              <w:rPr>
                <w:rFonts w:cs="Arial"/>
                <w:sz w:val="24"/>
                <w:szCs w:val="24"/>
              </w:rPr>
              <w:t xml:space="preserve">Signature </w:t>
            </w:r>
          </w:p>
        </w:tc>
        <w:tc>
          <w:tcPr>
            <w:tcW w:w="9327" w:type="dxa"/>
          </w:tcPr>
          <w:p w14:paraId="20ACB0FB" w14:textId="31E24E12" w:rsidR="00A3006E" w:rsidRPr="00044F47" w:rsidRDefault="00031CB8" w:rsidP="00051966">
            <w:pPr>
              <w:jc w:val="both"/>
              <w:rPr>
                <w:rFonts w:cs="Arial"/>
                <w:sz w:val="24"/>
                <w:szCs w:val="24"/>
              </w:rPr>
            </w:pPr>
            <w:r>
              <w:rPr>
                <w:rFonts w:cs="Arial"/>
                <w:sz w:val="24"/>
                <w:szCs w:val="24"/>
              </w:rPr>
              <w:t>Balendran Kandasamy</w:t>
            </w:r>
          </w:p>
        </w:tc>
      </w:tr>
      <w:tr w:rsidR="00A3006E" w:rsidRPr="00D77198" w14:paraId="204A2437" w14:textId="77777777" w:rsidTr="00051966">
        <w:tc>
          <w:tcPr>
            <w:tcW w:w="1271" w:type="dxa"/>
          </w:tcPr>
          <w:p w14:paraId="6D377E02" w14:textId="77777777" w:rsidR="00A3006E" w:rsidRPr="00D77198" w:rsidRDefault="00A3006E" w:rsidP="00051966">
            <w:pPr>
              <w:jc w:val="both"/>
              <w:rPr>
                <w:rFonts w:cs="Arial"/>
                <w:sz w:val="24"/>
                <w:szCs w:val="24"/>
              </w:rPr>
            </w:pPr>
            <w:r w:rsidRPr="00044F47">
              <w:rPr>
                <w:rFonts w:cs="Arial"/>
                <w:sz w:val="24"/>
                <w:szCs w:val="24"/>
              </w:rPr>
              <w:t>Date</w:t>
            </w:r>
            <w:r>
              <w:rPr>
                <w:rFonts w:cs="Arial"/>
                <w:sz w:val="24"/>
                <w:szCs w:val="24"/>
              </w:rPr>
              <w:t xml:space="preserve"> </w:t>
            </w:r>
          </w:p>
        </w:tc>
        <w:tc>
          <w:tcPr>
            <w:tcW w:w="9327" w:type="dxa"/>
          </w:tcPr>
          <w:p w14:paraId="04EA018D" w14:textId="10235633" w:rsidR="00A3006E" w:rsidRPr="00D77198" w:rsidRDefault="008F760F" w:rsidP="00051966">
            <w:pPr>
              <w:jc w:val="both"/>
              <w:rPr>
                <w:rFonts w:cs="Arial"/>
                <w:sz w:val="24"/>
                <w:szCs w:val="24"/>
              </w:rPr>
            </w:pPr>
            <w:r>
              <w:rPr>
                <w:rFonts w:cs="Arial"/>
                <w:sz w:val="24"/>
                <w:szCs w:val="24"/>
              </w:rPr>
              <w:t>24</w:t>
            </w:r>
            <w:r w:rsidR="00031CB8">
              <w:rPr>
                <w:rFonts w:cs="Arial"/>
                <w:sz w:val="24"/>
                <w:szCs w:val="24"/>
              </w:rPr>
              <w:t>/</w:t>
            </w:r>
            <w:r w:rsidR="008073EB">
              <w:rPr>
                <w:rFonts w:cs="Arial"/>
                <w:sz w:val="24"/>
                <w:szCs w:val="24"/>
              </w:rPr>
              <w:t>10</w:t>
            </w:r>
            <w:r w:rsidR="00031CB8">
              <w:rPr>
                <w:rFonts w:cs="Arial"/>
                <w:sz w:val="24"/>
                <w:szCs w:val="24"/>
              </w:rPr>
              <w:t>/2026</w:t>
            </w:r>
          </w:p>
        </w:tc>
      </w:tr>
    </w:tbl>
    <w:p w14:paraId="575C08FA" w14:textId="77777777" w:rsidR="00A3006E" w:rsidRDefault="00A3006E" w:rsidP="00A3006E">
      <w:pPr>
        <w:jc w:val="both"/>
        <w:rPr>
          <w:rFonts w:cs="Arial"/>
          <w:sz w:val="24"/>
          <w:szCs w:val="24"/>
        </w:rPr>
      </w:pPr>
    </w:p>
    <w:p w14:paraId="00D1451A" w14:textId="77777777" w:rsidR="00A3006E" w:rsidRDefault="00A3006E" w:rsidP="00A3006E">
      <w:pPr>
        <w:widowControl w:val="0"/>
        <w:jc w:val="both"/>
        <w:rPr>
          <w:rFonts w:eastAsia="Arial" w:cs="Arial"/>
          <w:sz w:val="32"/>
          <w:szCs w:val="32"/>
        </w:rPr>
      </w:pPr>
    </w:p>
    <w:p w14:paraId="03E4AB68" w14:textId="77777777" w:rsidR="00A3006E" w:rsidRDefault="00A3006E" w:rsidP="798FF03A">
      <w:pPr>
        <w:widowControl w:val="0"/>
        <w:jc w:val="both"/>
        <w:rPr>
          <w:rFonts w:eastAsia="Arial" w:cs="Arial"/>
          <w:sz w:val="32"/>
          <w:szCs w:val="32"/>
        </w:rPr>
      </w:pPr>
    </w:p>
    <w:sectPr w:rsidR="00A3006E" w:rsidSect="008E51B9">
      <w:headerReference w:type="default" r:id="rId22"/>
      <w:footerReference w:type="default" r:id="rId23"/>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B09017" w14:textId="77777777" w:rsidR="00AE7156" w:rsidRDefault="00AE7156" w:rsidP="00CA12DC">
      <w:r>
        <w:separator/>
      </w:r>
    </w:p>
  </w:endnote>
  <w:endnote w:type="continuationSeparator" w:id="0">
    <w:p w14:paraId="3721A5DA" w14:textId="77777777" w:rsidR="00AE7156" w:rsidRDefault="00AE7156" w:rsidP="00CA12DC">
      <w:r>
        <w:continuationSeparator/>
      </w:r>
    </w:p>
  </w:endnote>
  <w:endnote w:type="continuationNotice" w:id="1">
    <w:p w14:paraId="75FE9B0B" w14:textId="77777777" w:rsidR="00AE7156" w:rsidRDefault="00AE71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330BC4" w14:textId="77777777" w:rsidR="00AE7156" w:rsidRDefault="00AE7156" w:rsidP="00CA12DC">
      <w:r>
        <w:separator/>
      </w:r>
    </w:p>
  </w:footnote>
  <w:footnote w:type="continuationSeparator" w:id="0">
    <w:p w14:paraId="2E4441B4" w14:textId="77777777" w:rsidR="00AE7156" w:rsidRDefault="00AE7156" w:rsidP="00CA12DC">
      <w:r>
        <w:continuationSeparator/>
      </w:r>
    </w:p>
  </w:footnote>
  <w:footnote w:type="continuationNotice" w:id="1">
    <w:p w14:paraId="14ECD01A" w14:textId="77777777" w:rsidR="00AE7156" w:rsidRDefault="00AE71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2"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3"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12"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1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1"/>
  </w:num>
  <w:num w:numId="2" w16cid:durableId="908807257">
    <w:abstractNumId w:val="14"/>
  </w:num>
  <w:num w:numId="3" w16cid:durableId="1026714507">
    <w:abstractNumId w:val="6"/>
  </w:num>
  <w:num w:numId="4" w16cid:durableId="1815291234">
    <w:abstractNumId w:val="11"/>
  </w:num>
  <w:num w:numId="5" w16cid:durableId="1704475177">
    <w:abstractNumId w:val="2"/>
  </w:num>
  <w:num w:numId="6" w16cid:durableId="1951549749">
    <w:abstractNumId w:val="0"/>
  </w:num>
  <w:num w:numId="7" w16cid:durableId="1980257823">
    <w:abstractNumId w:val="5"/>
  </w:num>
  <w:num w:numId="8" w16cid:durableId="1499468345">
    <w:abstractNumId w:val="3"/>
  </w:num>
  <w:num w:numId="9" w16cid:durableId="746999901">
    <w:abstractNumId w:val="4"/>
  </w:num>
  <w:num w:numId="10" w16cid:durableId="1751461249">
    <w:abstractNumId w:val="9"/>
  </w:num>
  <w:num w:numId="11" w16cid:durableId="2095005134">
    <w:abstractNumId w:val="8"/>
  </w:num>
  <w:num w:numId="12" w16cid:durableId="2146775718">
    <w:abstractNumId w:val="15"/>
  </w:num>
  <w:num w:numId="13" w16cid:durableId="1900243520">
    <w:abstractNumId w:val="10"/>
  </w:num>
  <w:num w:numId="14" w16cid:durableId="128667244">
    <w:abstractNumId w:val="7"/>
  </w:num>
  <w:num w:numId="15" w16cid:durableId="154886020">
    <w:abstractNumId w:val="12"/>
  </w:num>
  <w:num w:numId="16" w16cid:durableId="65491590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31CB8"/>
    <w:rsid w:val="00041909"/>
    <w:rsid w:val="00041DC2"/>
    <w:rsid w:val="00042744"/>
    <w:rsid w:val="0004747D"/>
    <w:rsid w:val="00051148"/>
    <w:rsid w:val="00063C68"/>
    <w:rsid w:val="0007173C"/>
    <w:rsid w:val="000819D4"/>
    <w:rsid w:val="0009217C"/>
    <w:rsid w:val="00095E81"/>
    <w:rsid w:val="000A74C0"/>
    <w:rsid w:val="000B7E1D"/>
    <w:rsid w:val="000D274B"/>
    <w:rsid w:val="000D535B"/>
    <w:rsid w:val="000E3A5B"/>
    <w:rsid w:val="000F44D3"/>
    <w:rsid w:val="0010347D"/>
    <w:rsid w:val="00104925"/>
    <w:rsid w:val="00107E0C"/>
    <w:rsid w:val="001145BF"/>
    <w:rsid w:val="0012312D"/>
    <w:rsid w:val="001377B1"/>
    <w:rsid w:val="001500B6"/>
    <w:rsid w:val="00150A2A"/>
    <w:rsid w:val="00155A97"/>
    <w:rsid w:val="00156A93"/>
    <w:rsid w:val="00161D34"/>
    <w:rsid w:val="0017066B"/>
    <w:rsid w:val="00170DDA"/>
    <w:rsid w:val="0017458B"/>
    <w:rsid w:val="00185A1C"/>
    <w:rsid w:val="00186395"/>
    <w:rsid w:val="0018655D"/>
    <w:rsid w:val="001A375D"/>
    <w:rsid w:val="001A3812"/>
    <w:rsid w:val="001A689C"/>
    <w:rsid w:val="001C6B3E"/>
    <w:rsid w:val="001D2322"/>
    <w:rsid w:val="001D25D0"/>
    <w:rsid w:val="001D6566"/>
    <w:rsid w:val="001D748B"/>
    <w:rsid w:val="001F23B4"/>
    <w:rsid w:val="001F5E39"/>
    <w:rsid w:val="002067BB"/>
    <w:rsid w:val="00214B92"/>
    <w:rsid w:val="00223BB8"/>
    <w:rsid w:val="00244CC6"/>
    <w:rsid w:val="00266E26"/>
    <w:rsid w:val="002748C1"/>
    <w:rsid w:val="00277221"/>
    <w:rsid w:val="00285545"/>
    <w:rsid w:val="00297F6F"/>
    <w:rsid w:val="002B3C84"/>
    <w:rsid w:val="002B429A"/>
    <w:rsid w:val="002B7BF9"/>
    <w:rsid w:val="002C03DD"/>
    <w:rsid w:val="002C482D"/>
    <w:rsid w:val="002C7503"/>
    <w:rsid w:val="002E1493"/>
    <w:rsid w:val="002E5D24"/>
    <w:rsid w:val="002F0B6C"/>
    <w:rsid w:val="002F5EDD"/>
    <w:rsid w:val="00321D31"/>
    <w:rsid w:val="003237F7"/>
    <w:rsid w:val="003437EE"/>
    <w:rsid w:val="0034556B"/>
    <w:rsid w:val="003473CA"/>
    <w:rsid w:val="003538CF"/>
    <w:rsid w:val="00356BA8"/>
    <w:rsid w:val="003A15AC"/>
    <w:rsid w:val="003B0ACD"/>
    <w:rsid w:val="003B29BD"/>
    <w:rsid w:val="003D0E94"/>
    <w:rsid w:val="003E1147"/>
    <w:rsid w:val="003E794A"/>
    <w:rsid w:val="00407E26"/>
    <w:rsid w:val="00411FBC"/>
    <w:rsid w:val="00413122"/>
    <w:rsid w:val="004466D6"/>
    <w:rsid w:val="00456766"/>
    <w:rsid w:val="00460E2E"/>
    <w:rsid w:val="00467099"/>
    <w:rsid w:val="00481853"/>
    <w:rsid w:val="004836D4"/>
    <w:rsid w:val="00491B75"/>
    <w:rsid w:val="004B3909"/>
    <w:rsid w:val="004B73F5"/>
    <w:rsid w:val="004C61A3"/>
    <w:rsid w:val="004D09E1"/>
    <w:rsid w:val="004E40EF"/>
    <w:rsid w:val="004E6D0F"/>
    <w:rsid w:val="004F306C"/>
    <w:rsid w:val="004F687F"/>
    <w:rsid w:val="00502713"/>
    <w:rsid w:val="00502F2D"/>
    <w:rsid w:val="00510694"/>
    <w:rsid w:val="00515F87"/>
    <w:rsid w:val="00534CB0"/>
    <w:rsid w:val="00540671"/>
    <w:rsid w:val="005407DE"/>
    <w:rsid w:val="00546D5A"/>
    <w:rsid w:val="005575A5"/>
    <w:rsid w:val="0056012A"/>
    <w:rsid w:val="0057366E"/>
    <w:rsid w:val="00581DDA"/>
    <w:rsid w:val="00585724"/>
    <w:rsid w:val="005865CE"/>
    <w:rsid w:val="00587F45"/>
    <w:rsid w:val="005944F5"/>
    <w:rsid w:val="00594F89"/>
    <w:rsid w:val="00596EA3"/>
    <w:rsid w:val="005A3269"/>
    <w:rsid w:val="005F1278"/>
    <w:rsid w:val="00601EC7"/>
    <w:rsid w:val="00616DEB"/>
    <w:rsid w:val="00623BE9"/>
    <w:rsid w:val="006247B6"/>
    <w:rsid w:val="00642F37"/>
    <w:rsid w:val="006519FD"/>
    <w:rsid w:val="00654E13"/>
    <w:rsid w:val="006563AD"/>
    <w:rsid w:val="00666309"/>
    <w:rsid w:val="006809A6"/>
    <w:rsid w:val="0068771C"/>
    <w:rsid w:val="006A15BD"/>
    <w:rsid w:val="006A3D8B"/>
    <w:rsid w:val="006A70BD"/>
    <w:rsid w:val="006B476D"/>
    <w:rsid w:val="006C0770"/>
    <w:rsid w:val="006C3E36"/>
    <w:rsid w:val="006C4989"/>
    <w:rsid w:val="006E0F54"/>
    <w:rsid w:val="006E775C"/>
    <w:rsid w:val="006E7EA2"/>
    <w:rsid w:val="00706492"/>
    <w:rsid w:val="007169A3"/>
    <w:rsid w:val="0072072D"/>
    <w:rsid w:val="0072537E"/>
    <w:rsid w:val="00726C53"/>
    <w:rsid w:val="00733AAD"/>
    <w:rsid w:val="00740EE5"/>
    <w:rsid w:val="007427FC"/>
    <w:rsid w:val="00742EFE"/>
    <w:rsid w:val="00754156"/>
    <w:rsid w:val="0076012B"/>
    <w:rsid w:val="00767458"/>
    <w:rsid w:val="00774DCD"/>
    <w:rsid w:val="00787060"/>
    <w:rsid w:val="007916DD"/>
    <w:rsid w:val="00792FF7"/>
    <w:rsid w:val="007B5DD9"/>
    <w:rsid w:val="007B5E33"/>
    <w:rsid w:val="007C1EA3"/>
    <w:rsid w:val="007D2728"/>
    <w:rsid w:val="007E48EF"/>
    <w:rsid w:val="007E4DA3"/>
    <w:rsid w:val="007E55A3"/>
    <w:rsid w:val="007E69B4"/>
    <w:rsid w:val="00801AAF"/>
    <w:rsid w:val="008048CD"/>
    <w:rsid w:val="00804B61"/>
    <w:rsid w:val="008073EB"/>
    <w:rsid w:val="0084197C"/>
    <w:rsid w:val="008718B2"/>
    <w:rsid w:val="008A59D1"/>
    <w:rsid w:val="008B1083"/>
    <w:rsid w:val="008B734C"/>
    <w:rsid w:val="008D0A1B"/>
    <w:rsid w:val="008D32A1"/>
    <w:rsid w:val="008D4F55"/>
    <w:rsid w:val="008E3AD5"/>
    <w:rsid w:val="008E51B9"/>
    <w:rsid w:val="008F760F"/>
    <w:rsid w:val="00905E84"/>
    <w:rsid w:val="00912165"/>
    <w:rsid w:val="009164F8"/>
    <w:rsid w:val="0092057B"/>
    <w:rsid w:val="00934FD3"/>
    <w:rsid w:val="00942557"/>
    <w:rsid w:val="00946817"/>
    <w:rsid w:val="009536CB"/>
    <w:rsid w:val="009621CC"/>
    <w:rsid w:val="00965672"/>
    <w:rsid w:val="00990616"/>
    <w:rsid w:val="00994A61"/>
    <w:rsid w:val="009A5C63"/>
    <w:rsid w:val="009B2F80"/>
    <w:rsid w:val="009F0E95"/>
    <w:rsid w:val="009F67B9"/>
    <w:rsid w:val="00A07D16"/>
    <w:rsid w:val="00A10188"/>
    <w:rsid w:val="00A1372E"/>
    <w:rsid w:val="00A139C9"/>
    <w:rsid w:val="00A269D8"/>
    <w:rsid w:val="00A3006E"/>
    <w:rsid w:val="00A300E7"/>
    <w:rsid w:val="00A31FB7"/>
    <w:rsid w:val="00A33E6F"/>
    <w:rsid w:val="00A50840"/>
    <w:rsid w:val="00A5610F"/>
    <w:rsid w:val="00A6352B"/>
    <w:rsid w:val="00A754BF"/>
    <w:rsid w:val="00A87D25"/>
    <w:rsid w:val="00AA1F2A"/>
    <w:rsid w:val="00AC5818"/>
    <w:rsid w:val="00AE7156"/>
    <w:rsid w:val="00AE74DE"/>
    <w:rsid w:val="00AF0355"/>
    <w:rsid w:val="00B02486"/>
    <w:rsid w:val="00B05412"/>
    <w:rsid w:val="00B064CE"/>
    <w:rsid w:val="00B070EA"/>
    <w:rsid w:val="00B16BAA"/>
    <w:rsid w:val="00B16FB4"/>
    <w:rsid w:val="00B20692"/>
    <w:rsid w:val="00B21DA0"/>
    <w:rsid w:val="00B312B9"/>
    <w:rsid w:val="00B32197"/>
    <w:rsid w:val="00B41670"/>
    <w:rsid w:val="00B45D5F"/>
    <w:rsid w:val="00B5152A"/>
    <w:rsid w:val="00B67073"/>
    <w:rsid w:val="00B7323B"/>
    <w:rsid w:val="00B738AE"/>
    <w:rsid w:val="00B742F3"/>
    <w:rsid w:val="00B826E0"/>
    <w:rsid w:val="00B87ACE"/>
    <w:rsid w:val="00B90D62"/>
    <w:rsid w:val="00B956F3"/>
    <w:rsid w:val="00BA1AEF"/>
    <w:rsid w:val="00BA43B0"/>
    <w:rsid w:val="00BB5973"/>
    <w:rsid w:val="00BD2922"/>
    <w:rsid w:val="00BE4121"/>
    <w:rsid w:val="00BF779E"/>
    <w:rsid w:val="00C00D03"/>
    <w:rsid w:val="00C04210"/>
    <w:rsid w:val="00C06081"/>
    <w:rsid w:val="00C06589"/>
    <w:rsid w:val="00C06F05"/>
    <w:rsid w:val="00C17946"/>
    <w:rsid w:val="00C34FAE"/>
    <w:rsid w:val="00C40B19"/>
    <w:rsid w:val="00C510FC"/>
    <w:rsid w:val="00C651A7"/>
    <w:rsid w:val="00C730F4"/>
    <w:rsid w:val="00C76099"/>
    <w:rsid w:val="00C86610"/>
    <w:rsid w:val="00C87286"/>
    <w:rsid w:val="00CA12DC"/>
    <w:rsid w:val="00CB2CBF"/>
    <w:rsid w:val="00CE07E9"/>
    <w:rsid w:val="00CE4B98"/>
    <w:rsid w:val="00CE58BF"/>
    <w:rsid w:val="00CF1AFF"/>
    <w:rsid w:val="00D05B0A"/>
    <w:rsid w:val="00D06A7D"/>
    <w:rsid w:val="00D1674F"/>
    <w:rsid w:val="00D2053C"/>
    <w:rsid w:val="00D26086"/>
    <w:rsid w:val="00D272E8"/>
    <w:rsid w:val="00D34F42"/>
    <w:rsid w:val="00D42CC0"/>
    <w:rsid w:val="00D7195F"/>
    <w:rsid w:val="00D7443C"/>
    <w:rsid w:val="00D8778C"/>
    <w:rsid w:val="00D91F64"/>
    <w:rsid w:val="00D92A39"/>
    <w:rsid w:val="00D935ED"/>
    <w:rsid w:val="00DA329D"/>
    <w:rsid w:val="00DB6E80"/>
    <w:rsid w:val="00DC64F2"/>
    <w:rsid w:val="00DD1A7C"/>
    <w:rsid w:val="00DD414C"/>
    <w:rsid w:val="00DF2209"/>
    <w:rsid w:val="00DF2ED6"/>
    <w:rsid w:val="00DF36A9"/>
    <w:rsid w:val="00DF4CCD"/>
    <w:rsid w:val="00DF5694"/>
    <w:rsid w:val="00E0025F"/>
    <w:rsid w:val="00E11974"/>
    <w:rsid w:val="00E20FDF"/>
    <w:rsid w:val="00E27E0C"/>
    <w:rsid w:val="00E32597"/>
    <w:rsid w:val="00E42A41"/>
    <w:rsid w:val="00E44461"/>
    <w:rsid w:val="00E452F4"/>
    <w:rsid w:val="00E604DF"/>
    <w:rsid w:val="00E62475"/>
    <w:rsid w:val="00E66389"/>
    <w:rsid w:val="00E7591C"/>
    <w:rsid w:val="00E76015"/>
    <w:rsid w:val="00E763BB"/>
    <w:rsid w:val="00E82306"/>
    <w:rsid w:val="00E8618F"/>
    <w:rsid w:val="00EA3F93"/>
    <w:rsid w:val="00EA4990"/>
    <w:rsid w:val="00EB521F"/>
    <w:rsid w:val="00EC50FF"/>
    <w:rsid w:val="00ED4B43"/>
    <w:rsid w:val="00EE6F80"/>
    <w:rsid w:val="00EF091D"/>
    <w:rsid w:val="00EF3232"/>
    <w:rsid w:val="00EF612A"/>
    <w:rsid w:val="00F0354A"/>
    <w:rsid w:val="00F15A7A"/>
    <w:rsid w:val="00F22DFC"/>
    <w:rsid w:val="00F2402D"/>
    <w:rsid w:val="00F26E9C"/>
    <w:rsid w:val="00F41D32"/>
    <w:rsid w:val="00F671A2"/>
    <w:rsid w:val="00F9279F"/>
    <w:rsid w:val="00FC3A6E"/>
    <w:rsid w:val="00FD090F"/>
    <w:rsid w:val="00FD4E99"/>
    <w:rsid w:val="00FE6901"/>
    <w:rsid w:val="00FE7642"/>
    <w:rsid w:val="0181CAA9"/>
    <w:rsid w:val="019B0220"/>
    <w:rsid w:val="0240436A"/>
    <w:rsid w:val="02477734"/>
    <w:rsid w:val="02729FC8"/>
    <w:rsid w:val="030C32DF"/>
    <w:rsid w:val="04453118"/>
    <w:rsid w:val="04EBCB3F"/>
    <w:rsid w:val="06503DA4"/>
    <w:rsid w:val="06879BA0"/>
    <w:rsid w:val="077CD1DA"/>
    <w:rsid w:val="07DF0B02"/>
    <w:rsid w:val="0873B665"/>
    <w:rsid w:val="08D60EB8"/>
    <w:rsid w:val="0C16B2E8"/>
    <w:rsid w:val="0D0B01C3"/>
    <w:rsid w:val="0E9E58B6"/>
    <w:rsid w:val="117F33A7"/>
    <w:rsid w:val="123D3ED7"/>
    <w:rsid w:val="12F46D95"/>
    <w:rsid w:val="16361564"/>
    <w:rsid w:val="170F727B"/>
    <w:rsid w:val="173105D8"/>
    <w:rsid w:val="17E3805D"/>
    <w:rsid w:val="1B84C944"/>
    <w:rsid w:val="1C439DC3"/>
    <w:rsid w:val="1D136A1A"/>
    <w:rsid w:val="1D2099A5"/>
    <w:rsid w:val="1EBC6A06"/>
    <w:rsid w:val="1F6FCC68"/>
    <w:rsid w:val="26898000"/>
    <w:rsid w:val="28016E5A"/>
    <w:rsid w:val="29191354"/>
    <w:rsid w:val="291EB4DB"/>
    <w:rsid w:val="2928742A"/>
    <w:rsid w:val="2AB4E3B5"/>
    <w:rsid w:val="2AF24BD0"/>
    <w:rsid w:val="2B81C4B1"/>
    <w:rsid w:val="2C50B416"/>
    <w:rsid w:val="304D2761"/>
    <w:rsid w:val="3092D1CF"/>
    <w:rsid w:val="31242539"/>
    <w:rsid w:val="313D4D96"/>
    <w:rsid w:val="327778CB"/>
    <w:rsid w:val="32B408D5"/>
    <w:rsid w:val="33A1115D"/>
    <w:rsid w:val="349DEACA"/>
    <w:rsid w:val="35F7965C"/>
    <w:rsid w:val="3A246D58"/>
    <w:rsid w:val="3B33C224"/>
    <w:rsid w:val="3D4D8349"/>
    <w:rsid w:val="3E4530FF"/>
    <w:rsid w:val="3E9994E8"/>
    <w:rsid w:val="406B08D3"/>
    <w:rsid w:val="413A4903"/>
    <w:rsid w:val="414FCA85"/>
    <w:rsid w:val="439817FA"/>
    <w:rsid w:val="44CFDAA0"/>
    <w:rsid w:val="45AB7AC5"/>
    <w:rsid w:val="4987D4D4"/>
    <w:rsid w:val="499283B4"/>
    <w:rsid w:val="4BBBC5DF"/>
    <w:rsid w:val="4CFAFFD8"/>
    <w:rsid w:val="4FB2D604"/>
    <w:rsid w:val="4FC83523"/>
    <w:rsid w:val="514EA665"/>
    <w:rsid w:val="51DC8CA0"/>
    <w:rsid w:val="5205B9FE"/>
    <w:rsid w:val="522784AD"/>
    <w:rsid w:val="52BA0BA1"/>
    <w:rsid w:val="559C7451"/>
    <w:rsid w:val="55A1D2D1"/>
    <w:rsid w:val="55F24656"/>
    <w:rsid w:val="5617CBD9"/>
    <w:rsid w:val="58A48FA8"/>
    <w:rsid w:val="5AC23235"/>
    <w:rsid w:val="5AC97DBB"/>
    <w:rsid w:val="5E56C353"/>
    <w:rsid w:val="5EA9CDEB"/>
    <w:rsid w:val="5F046067"/>
    <w:rsid w:val="5FF293B4"/>
    <w:rsid w:val="6054D473"/>
    <w:rsid w:val="632A3476"/>
    <w:rsid w:val="64C604D7"/>
    <w:rsid w:val="6661D538"/>
    <w:rsid w:val="67283507"/>
    <w:rsid w:val="67D46217"/>
    <w:rsid w:val="67FDA599"/>
    <w:rsid w:val="68B85A37"/>
    <w:rsid w:val="69909D3E"/>
    <w:rsid w:val="699975FA"/>
    <w:rsid w:val="6A5FD5C9"/>
    <w:rsid w:val="6FC2EACF"/>
    <w:rsid w:val="70A6C109"/>
    <w:rsid w:val="70EF7F05"/>
    <w:rsid w:val="75B3AC19"/>
    <w:rsid w:val="773E58D1"/>
    <w:rsid w:val="77C4CB67"/>
    <w:rsid w:val="798FF03A"/>
    <w:rsid w:val="7D8F952B"/>
    <w:rsid w:val="7E7C89BA"/>
    <w:rsid w:val="7EC23F00"/>
    <w:rsid w:val="7F304259"/>
    <w:rsid w:val="7F467122"/>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A6D059F5-999A-4ABB-B97B-D89A821B7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paragraph" w:styleId="NormalWeb">
    <w:name w:val="Normal (Web)"/>
    <w:basedOn w:val="Normal"/>
    <w:uiPriority w:val="99"/>
    <w:semiHidden/>
    <w:unhideWhenUsed/>
    <w:rsid w:val="00990616"/>
    <w:rPr>
      <w:rFonts w:ascii="Times New Roman" w:hAnsi="Times New Roman"/>
      <w:sz w:val="24"/>
      <w:szCs w:val="24"/>
    </w:rPr>
  </w:style>
  <w:style w:type="character" w:styleId="UnresolvedMention">
    <w:name w:val="Unresolved Mention"/>
    <w:basedOn w:val="DefaultParagraphFont"/>
    <w:uiPriority w:val="99"/>
    <w:semiHidden/>
    <w:unhideWhenUsed/>
    <w:rsid w:val="00A31FB7"/>
    <w:rPr>
      <w:color w:val="605E5C"/>
      <w:shd w:val="clear" w:color="auto" w:fill="E1DFDD"/>
    </w:rPr>
  </w:style>
  <w:style w:type="character" w:styleId="FollowedHyperlink">
    <w:name w:val="FollowedHyperlink"/>
    <w:basedOn w:val="DefaultParagraphFont"/>
    <w:uiPriority w:val="99"/>
    <w:semiHidden/>
    <w:unhideWhenUsed/>
    <w:rsid w:val="004E40E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openxmlformats.org/officeDocument/2006/relationships/hyperlink" Target="https://learningfromexperience.com/downloads/research-library/experiential-learning-theory.pdf" TargetMode="External"/><Relationship Id="rId3" Type="http://schemas.openxmlformats.org/officeDocument/2006/relationships/customXml" Target="../customXml/item3.xml"/><Relationship Id="rId21" Type="http://schemas.openxmlformats.org/officeDocument/2006/relationships/hyperlink" Target="https://doi.org/10.1002/j.2168-9830.2004.tb00809.x" TargetMode="Externa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hyperlink" Target="https://doi.org/10.1145/3626252.3630837"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udlguidelines.cast.org/static/udlg2.2-text-a11y.pdf" TargetMode="External"/><Relationship Id="rId20" Type="http://schemas.openxmlformats.org/officeDocument/2006/relationships/hyperlink" Target="https://doi.org/10.1080/0307507060057209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080/02602938.2018.1463354"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080/2331186X.2025.25543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15</Pages>
  <Words>5510</Words>
  <Characters>31413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Victoria Watkins</dc:creator>
  <cp:lastModifiedBy>Balendran Kandasamy</cp:lastModifiedBy>
  <cp:revision>45</cp:revision>
  <cp:lastPrinted>2026-10-24T17:50:00Z</cp:lastPrinted>
  <dcterms:created xsi:type="dcterms:W3CDTF">2026-10-23T09:38:00Z</dcterms:created>
  <dcterms:modified xsi:type="dcterms:W3CDTF">2026-10-24T18:09:00Z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