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sidRPr="00E51FA0">
        <w:rPr>
          <w:rFonts w:ascii="Arial" w:hAnsi="Arial" w:cs="Arial"/>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E51FA0" w:rsidRDefault="006833D5">
      <w:pPr>
        <w:rPr>
          <w:rFonts w:ascii="Arial" w:hAnsi="Arial" w:cs="Arial"/>
          <w:b/>
          <w:bCs/>
          <w:sz w:val="44"/>
          <w:szCs w:val="44"/>
        </w:rPr>
      </w:pPr>
      <w:r w:rsidRPr="00E51FA0">
        <w:rPr>
          <w:rFonts w:ascii="Arial" w:hAnsi="Arial" w:cs="Arial"/>
          <w:b/>
          <w:bCs/>
          <w:sz w:val="44"/>
          <w:szCs w:val="44"/>
        </w:rPr>
        <w:t xml:space="preserve">BA (Hons) Leadership and Management </w:t>
      </w:r>
    </w:p>
    <w:p w14:paraId="43FA50BC" w14:textId="77777777" w:rsidR="00F37B62" w:rsidRPr="00E51FA0" w:rsidRDefault="00F37B62" w:rsidP="00F37B62">
      <w:pPr>
        <w:spacing w:line="600" w:lineRule="auto"/>
        <w:rPr>
          <w:rFonts w:ascii="Arial" w:hAnsi="Arial" w:cs="Arial"/>
          <w:i/>
          <w:iCs/>
        </w:rPr>
      </w:pPr>
    </w:p>
    <w:p w14:paraId="1EE10BBF" w14:textId="079EA020" w:rsidR="00F37B62" w:rsidRPr="00E51FA0" w:rsidRDefault="00F37B62" w:rsidP="00F37B62">
      <w:pPr>
        <w:spacing w:line="600" w:lineRule="auto"/>
        <w:rPr>
          <w:rFonts w:ascii="Arial" w:hAnsi="Arial" w:cs="Arial"/>
          <w:b/>
          <w:bCs/>
        </w:rPr>
      </w:pPr>
      <w:r w:rsidRPr="00E51FA0">
        <w:rPr>
          <w:rFonts w:ascii="Arial" w:hAnsi="Arial" w:cs="Arial"/>
          <w:b/>
          <w:bCs/>
        </w:rPr>
        <w:t>Student Name:</w:t>
      </w:r>
      <w:r w:rsidR="00AE25FD" w:rsidRPr="00E51FA0">
        <w:rPr>
          <w:rFonts w:ascii="Arial" w:hAnsi="Arial" w:cs="Arial"/>
          <w:b/>
          <w:bCs/>
        </w:rPr>
        <w:t>Mirela Negrea</w:t>
      </w:r>
    </w:p>
    <w:p w14:paraId="432CDF3F" w14:textId="0B11A680" w:rsidR="00F37B62" w:rsidRPr="00E51FA0" w:rsidRDefault="00F37B62" w:rsidP="00F37B62">
      <w:pPr>
        <w:spacing w:line="600" w:lineRule="auto"/>
        <w:rPr>
          <w:rFonts w:ascii="Arial" w:hAnsi="Arial" w:cs="Arial"/>
          <w:b/>
          <w:bCs/>
        </w:rPr>
      </w:pPr>
      <w:r w:rsidRPr="00E51FA0">
        <w:rPr>
          <w:rFonts w:ascii="Arial" w:hAnsi="Arial" w:cs="Arial"/>
          <w:b/>
          <w:bCs/>
        </w:rPr>
        <w:t>Student Number:</w:t>
      </w:r>
      <w:r w:rsidR="007C1D07" w:rsidRPr="00E51FA0">
        <w:rPr>
          <w:rFonts w:ascii="Arial" w:hAnsi="Arial" w:cs="Arial"/>
          <w:b/>
          <w:bCs/>
        </w:rPr>
        <w:t>2412</w:t>
      </w:r>
      <w:r w:rsidR="005803B8" w:rsidRPr="00E51FA0">
        <w:rPr>
          <w:rFonts w:ascii="Arial" w:hAnsi="Arial" w:cs="Arial"/>
          <w:b/>
          <w:bCs/>
        </w:rPr>
        <w:t>055</w:t>
      </w:r>
    </w:p>
    <w:p w14:paraId="777CB569" w14:textId="12655473" w:rsidR="00F37B62" w:rsidRPr="00E51FA0" w:rsidRDefault="00F37B62" w:rsidP="19DF5ED4">
      <w:pPr>
        <w:spacing w:line="600" w:lineRule="auto"/>
        <w:rPr>
          <w:rFonts w:ascii="Arial" w:hAnsi="Arial" w:cs="Arial"/>
        </w:rPr>
      </w:pPr>
      <w:r w:rsidRPr="00E51FA0">
        <w:rPr>
          <w:rFonts w:ascii="Arial" w:hAnsi="Arial" w:cs="Arial"/>
          <w:b/>
          <w:bCs/>
        </w:rPr>
        <w:t>Course Name:</w:t>
      </w:r>
      <w:r w:rsidRPr="00E51FA0">
        <w:rPr>
          <w:rFonts w:ascii="Arial" w:hAnsi="Arial" w:cs="Arial"/>
        </w:rPr>
        <w:t xml:space="preserve"> </w:t>
      </w:r>
      <w:r w:rsidR="006833D5" w:rsidRPr="00E51FA0">
        <w:rPr>
          <w:rFonts w:ascii="Arial" w:hAnsi="Arial" w:cs="Arial"/>
        </w:rPr>
        <w:t>Understanding and Engaging stakeholders LCLM5001</w:t>
      </w:r>
    </w:p>
    <w:p w14:paraId="556C6252" w14:textId="497844A4" w:rsidR="00F37B62" w:rsidRPr="00E51FA0" w:rsidRDefault="00F37B62" w:rsidP="00F37B62">
      <w:pPr>
        <w:spacing w:line="600" w:lineRule="auto"/>
        <w:rPr>
          <w:rFonts w:ascii="Arial" w:hAnsi="Arial" w:cs="Arial"/>
        </w:rPr>
      </w:pPr>
      <w:r w:rsidRPr="00E51FA0">
        <w:rPr>
          <w:rFonts w:ascii="Arial" w:hAnsi="Arial" w:cs="Arial"/>
          <w:b/>
          <w:bCs/>
        </w:rPr>
        <w:t xml:space="preserve">Lecturer Name: </w:t>
      </w:r>
      <w:r w:rsidR="006A1953" w:rsidRPr="00E51FA0">
        <w:rPr>
          <w:rFonts w:ascii="Arial" w:hAnsi="Arial" w:cs="Arial"/>
        </w:rPr>
        <w:t>M</w:t>
      </w:r>
      <w:r w:rsidR="00651985" w:rsidRPr="00E51FA0">
        <w:rPr>
          <w:rFonts w:ascii="Arial" w:hAnsi="Arial" w:cs="Arial"/>
        </w:rPr>
        <w:t>uhamed Tariq</w:t>
      </w:r>
    </w:p>
    <w:p w14:paraId="0CF901E6" w14:textId="28BD322E" w:rsidR="00F37B62" w:rsidRPr="00E51FA0" w:rsidRDefault="00F37B62" w:rsidP="19DF5ED4">
      <w:pPr>
        <w:spacing w:line="600" w:lineRule="auto"/>
        <w:rPr>
          <w:rFonts w:ascii="Arial" w:hAnsi="Arial" w:cs="Arial"/>
          <w:b/>
          <w:bCs/>
        </w:rPr>
      </w:pPr>
    </w:p>
    <w:p w14:paraId="5A7D7C48" w14:textId="45598E74" w:rsidR="19DF5ED4" w:rsidRPr="00E51FA0" w:rsidRDefault="19DF5ED4" w:rsidP="19DF5ED4">
      <w:pPr>
        <w:spacing w:line="600" w:lineRule="auto"/>
        <w:rPr>
          <w:rFonts w:ascii="Arial" w:hAnsi="Arial" w:cs="Arial"/>
          <w:b/>
          <w:bCs/>
          <w:i/>
          <w:iCs/>
        </w:rPr>
      </w:pPr>
    </w:p>
    <w:p w14:paraId="0A78FB5C" w14:textId="2271F2D6" w:rsidR="19DF5ED4" w:rsidRPr="00E51FA0" w:rsidRDefault="19DF5ED4" w:rsidP="19DF5ED4">
      <w:pPr>
        <w:spacing w:line="600" w:lineRule="auto"/>
        <w:rPr>
          <w:rFonts w:ascii="Arial" w:hAnsi="Arial" w:cs="Arial"/>
          <w:b/>
          <w:bCs/>
          <w:i/>
          <w:iCs/>
        </w:rPr>
      </w:pPr>
    </w:p>
    <w:p w14:paraId="22AF23BB" w14:textId="39790727" w:rsidR="19DF5ED4" w:rsidRPr="00E51FA0" w:rsidRDefault="19DF5ED4" w:rsidP="19DF5ED4">
      <w:pPr>
        <w:spacing w:line="600" w:lineRule="auto"/>
        <w:rPr>
          <w:rFonts w:ascii="Arial" w:hAnsi="Arial" w:cs="Arial"/>
          <w:b/>
          <w:bCs/>
          <w:i/>
          <w:iCs/>
        </w:rPr>
      </w:pPr>
    </w:p>
    <w:p w14:paraId="6005BE0B" w14:textId="562CEB2F" w:rsidR="19DF5ED4" w:rsidRPr="00E51FA0" w:rsidRDefault="19DF5ED4" w:rsidP="19DF5ED4">
      <w:pPr>
        <w:spacing w:line="600" w:lineRule="auto"/>
        <w:rPr>
          <w:rFonts w:ascii="Arial" w:hAnsi="Arial" w:cs="Arial"/>
          <w:b/>
          <w:bCs/>
          <w:i/>
          <w:iCs/>
        </w:rPr>
      </w:pPr>
    </w:p>
    <w:p w14:paraId="390047F9" w14:textId="694B2E1D" w:rsidR="19DF5ED4" w:rsidRPr="00E51FA0" w:rsidRDefault="19DF5ED4" w:rsidP="19DF5ED4">
      <w:pPr>
        <w:spacing w:line="600" w:lineRule="auto"/>
        <w:rPr>
          <w:rFonts w:ascii="Arial" w:hAnsi="Arial" w:cs="Arial"/>
          <w:b/>
          <w:bCs/>
          <w:i/>
          <w:iCs/>
        </w:rPr>
      </w:pPr>
    </w:p>
    <w:p w14:paraId="33ADE36C" w14:textId="77777777" w:rsidR="00FA283A" w:rsidRPr="00E51FA0" w:rsidRDefault="00FA283A" w:rsidP="00FA283A">
      <w:pPr>
        <w:spacing w:before="100" w:beforeAutospacing="1" w:after="100" w:afterAutospacing="1" w:line="240" w:lineRule="auto"/>
        <w:outlineLvl w:val="0"/>
        <w:divId w:val="775095166"/>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lastRenderedPageBreak/>
        <w:t>Table of Contents</w:t>
      </w:r>
    </w:p>
    <w:p w14:paraId="11F10E88" w14:textId="47A44893"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Introduction</w:t>
      </w:r>
      <w:r w:rsidR="004E1AE3" w:rsidRPr="00E51FA0">
        <w:rPr>
          <w:rFonts w:ascii="Arial" w:hAnsi="Arial" w:cs="Arial"/>
          <w:sz w:val="24"/>
          <w:szCs w:val="24"/>
          <w:lang w:val="en-US" w:eastAsia="ro-RO"/>
        </w:rPr>
        <w:t>…………</w:t>
      </w:r>
      <w:r w:rsidR="0034375F" w:rsidRPr="00E51FA0">
        <w:rPr>
          <w:rFonts w:ascii="Arial" w:hAnsi="Arial" w:cs="Arial"/>
          <w:sz w:val="24"/>
          <w:szCs w:val="24"/>
          <w:lang w:val="en-US" w:eastAsia="ro-RO"/>
        </w:rPr>
        <w:t>…</w:t>
      </w:r>
      <w:r w:rsidR="00043D8C" w:rsidRPr="00E51FA0">
        <w:rPr>
          <w:rFonts w:ascii="Arial" w:hAnsi="Arial" w:cs="Arial"/>
          <w:sz w:val="24"/>
          <w:szCs w:val="24"/>
          <w:lang w:val="en-US" w:eastAsia="ro-RO"/>
        </w:rPr>
        <w:t>……………………………………………</w:t>
      </w:r>
      <w:r w:rsidR="00D51FAD" w:rsidRPr="00E51FA0">
        <w:rPr>
          <w:rFonts w:ascii="Arial" w:hAnsi="Arial" w:cs="Arial"/>
          <w:sz w:val="24"/>
          <w:szCs w:val="24"/>
          <w:lang w:val="en-US" w:eastAsia="ro-RO"/>
        </w:rPr>
        <w:t>..</w:t>
      </w:r>
      <w:r w:rsidR="00043D8C" w:rsidRPr="00E51FA0">
        <w:rPr>
          <w:rFonts w:ascii="Arial" w:hAnsi="Arial" w:cs="Arial"/>
          <w:sz w:val="24"/>
          <w:szCs w:val="24"/>
          <w:lang w:val="en-US" w:eastAsia="ro-RO"/>
        </w:rPr>
        <w:t>.</w:t>
      </w:r>
      <w:r w:rsidR="00EF7141" w:rsidRPr="00E51FA0">
        <w:rPr>
          <w:rFonts w:ascii="Arial" w:hAnsi="Arial" w:cs="Arial"/>
          <w:sz w:val="24"/>
          <w:szCs w:val="24"/>
          <w:lang w:val="en-US" w:eastAsia="ro-RO"/>
        </w:rPr>
        <w:t>3</w:t>
      </w:r>
    </w:p>
    <w:p w14:paraId="5947BE25" w14:textId="33961B72" w:rsidR="00C26B5B" w:rsidRPr="00E51FA0" w:rsidRDefault="00CC4D21"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val="en-US" w:eastAsia="ro-RO"/>
        </w:rPr>
        <w:t>Smart Objective</w:t>
      </w:r>
      <w:r w:rsidR="007B20E4" w:rsidRPr="00E51FA0">
        <w:rPr>
          <w:rFonts w:ascii="Arial" w:hAnsi="Arial" w:cs="Arial"/>
          <w:sz w:val="24"/>
          <w:szCs w:val="24"/>
          <w:lang w:val="en-US" w:eastAsia="ro-RO"/>
        </w:rPr>
        <w:t>s……………………………………………………..</w:t>
      </w:r>
      <w:r w:rsidR="0094364C" w:rsidRPr="00E51FA0">
        <w:rPr>
          <w:rFonts w:ascii="Arial" w:hAnsi="Arial" w:cs="Arial"/>
          <w:sz w:val="24"/>
          <w:szCs w:val="24"/>
          <w:lang w:val="en-US" w:eastAsia="ro-RO"/>
        </w:rPr>
        <w:t>4</w:t>
      </w:r>
    </w:p>
    <w:p w14:paraId="69CADA5C" w14:textId="5DC4BA96" w:rsidR="003B581E" w:rsidRPr="00E51FA0" w:rsidRDefault="003B581E" w:rsidP="00A8229B">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val="en-US" w:eastAsia="ro-RO"/>
        </w:rPr>
        <w:t>Sw</w:t>
      </w:r>
      <w:r w:rsidR="00651996" w:rsidRPr="00E51FA0">
        <w:rPr>
          <w:rFonts w:ascii="Arial" w:hAnsi="Arial" w:cs="Arial"/>
          <w:sz w:val="24"/>
          <w:szCs w:val="24"/>
          <w:lang w:val="en-US" w:eastAsia="ro-RO"/>
        </w:rPr>
        <w:t>o</w:t>
      </w:r>
      <w:r w:rsidRPr="00E51FA0">
        <w:rPr>
          <w:rFonts w:ascii="Arial" w:hAnsi="Arial" w:cs="Arial"/>
          <w:sz w:val="24"/>
          <w:szCs w:val="24"/>
          <w:lang w:val="en-US" w:eastAsia="ro-RO"/>
        </w:rPr>
        <w:t>t Anal</w:t>
      </w:r>
      <w:r w:rsidR="0034375F" w:rsidRPr="00E51FA0">
        <w:rPr>
          <w:rFonts w:ascii="Arial" w:hAnsi="Arial" w:cs="Arial"/>
          <w:sz w:val="24"/>
          <w:szCs w:val="24"/>
          <w:lang w:val="en-US" w:eastAsia="ro-RO"/>
        </w:rPr>
        <w:t>ysis…………</w:t>
      </w:r>
      <w:r w:rsidR="00043D8C" w:rsidRPr="00E51FA0">
        <w:rPr>
          <w:rFonts w:ascii="Arial" w:hAnsi="Arial" w:cs="Arial"/>
          <w:sz w:val="24"/>
          <w:szCs w:val="24"/>
          <w:lang w:val="en-US" w:eastAsia="ro-RO"/>
        </w:rPr>
        <w:t>………………………………………………</w:t>
      </w:r>
      <w:r w:rsidR="0094364C" w:rsidRPr="00E51FA0">
        <w:rPr>
          <w:rFonts w:ascii="Arial" w:hAnsi="Arial" w:cs="Arial"/>
          <w:sz w:val="24"/>
          <w:szCs w:val="24"/>
          <w:lang w:val="en-US" w:eastAsia="ro-RO"/>
        </w:rPr>
        <w:t>5</w:t>
      </w:r>
    </w:p>
    <w:p w14:paraId="67C7252F" w14:textId="5A70E28E"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 xml:space="preserve">Stakeholder </w:t>
      </w:r>
      <w:r w:rsidR="00BD0B8A" w:rsidRPr="00E51FA0">
        <w:rPr>
          <w:rFonts w:ascii="Arial" w:hAnsi="Arial" w:cs="Arial"/>
          <w:sz w:val="24"/>
          <w:szCs w:val="24"/>
          <w:lang w:eastAsia="ro-RO"/>
        </w:rPr>
        <w:t>ident</w:t>
      </w:r>
      <w:r w:rsidR="0034375F" w:rsidRPr="00E51FA0">
        <w:rPr>
          <w:rFonts w:ascii="Arial" w:hAnsi="Arial" w:cs="Arial"/>
          <w:sz w:val="24"/>
          <w:szCs w:val="24"/>
          <w:lang w:eastAsia="ro-RO"/>
        </w:rPr>
        <w:t>ificatio</w:t>
      </w:r>
      <w:r w:rsidR="00EE4D51" w:rsidRPr="00E51FA0">
        <w:rPr>
          <w:rFonts w:ascii="Arial" w:hAnsi="Arial" w:cs="Arial"/>
          <w:sz w:val="24"/>
          <w:szCs w:val="24"/>
          <w:lang w:eastAsia="ro-RO"/>
        </w:rPr>
        <w:t>n………</w:t>
      </w:r>
      <w:r w:rsidR="00A365AD" w:rsidRPr="00E51FA0">
        <w:rPr>
          <w:rFonts w:ascii="Arial" w:hAnsi="Arial" w:cs="Arial"/>
          <w:sz w:val="24"/>
          <w:szCs w:val="24"/>
          <w:lang w:eastAsia="ro-RO"/>
        </w:rPr>
        <w:t>…………………………………</w:t>
      </w:r>
      <w:r w:rsidR="00244316" w:rsidRPr="00E51FA0">
        <w:rPr>
          <w:rFonts w:ascii="Arial" w:hAnsi="Arial" w:cs="Arial"/>
          <w:sz w:val="24"/>
          <w:szCs w:val="24"/>
          <w:lang w:eastAsia="ro-RO"/>
        </w:rPr>
        <w:t>…</w:t>
      </w:r>
      <w:r w:rsidR="00A365AD" w:rsidRPr="00E51FA0">
        <w:rPr>
          <w:rFonts w:ascii="Arial" w:hAnsi="Arial" w:cs="Arial"/>
          <w:sz w:val="24"/>
          <w:szCs w:val="24"/>
          <w:lang w:eastAsia="ro-RO"/>
        </w:rPr>
        <w:t>.</w:t>
      </w:r>
      <w:r w:rsidR="0094364C" w:rsidRPr="00E51FA0">
        <w:rPr>
          <w:rFonts w:ascii="Arial" w:hAnsi="Arial" w:cs="Arial"/>
          <w:sz w:val="24"/>
          <w:szCs w:val="24"/>
          <w:lang w:eastAsia="ro-RO"/>
        </w:rPr>
        <w:t>6</w:t>
      </w:r>
    </w:p>
    <w:p w14:paraId="5DEA7B9A" w14:textId="012C1C05"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 xml:space="preserve">Stakeholders </w:t>
      </w:r>
      <w:r w:rsidR="00722188" w:rsidRPr="00E51FA0">
        <w:rPr>
          <w:rFonts w:ascii="Arial" w:hAnsi="Arial" w:cs="Arial"/>
          <w:sz w:val="24"/>
          <w:szCs w:val="24"/>
          <w:lang w:eastAsia="ro-RO"/>
        </w:rPr>
        <w:t>Roles……</w:t>
      </w:r>
      <w:r w:rsidR="008762AA" w:rsidRPr="00E51FA0">
        <w:rPr>
          <w:rFonts w:ascii="Arial" w:hAnsi="Arial" w:cs="Arial"/>
          <w:sz w:val="24"/>
          <w:szCs w:val="24"/>
          <w:lang w:eastAsia="ro-RO"/>
        </w:rPr>
        <w:t>………………………………………………</w:t>
      </w:r>
      <w:r w:rsidR="0094364C" w:rsidRPr="00E51FA0">
        <w:rPr>
          <w:rFonts w:ascii="Arial" w:hAnsi="Arial" w:cs="Arial"/>
          <w:sz w:val="24"/>
          <w:szCs w:val="24"/>
          <w:lang w:eastAsia="ro-RO"/>
        </w:rPr>
        <w:t>7</w:t>
      </w:r>
    </w:p>
    <w:p w14:paraId="0794A2A2" w14:textId="372BDBE8" w:rsidR="00FA283A" w:rsidRPr="00E51FA0" w:rsidRDefault="00961F51"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 xml:space="preserve">Frameworks,Models or theory’s for </w:t>
      </w:r>
      <w:r w:rsidR="00810C32" w:rsidRPr="00E51FA0">
        <w:rPr>
          <w:rFonts w:ascii="Arial" w:hAnsi="Arial" w:cs="Arial"/>
          <w:sz w:val="24"/>
          <w:szCs w:val="24"/>
          <w:lang w:eastAsia="ro-RO"/>
        </w:rPr>
        <w:t xml:space="preserve">Stakeholder </w:t>
      </w:r>
      <w:r w:rsidR="000C25B5" w:rsidRPr="00E51FA0">
        <w:rPr>
          <w:rFonts w:ascii="Arial" w:hAnsi="Arial" w:cs="Arial"/>
          <w:sz w:val="24"/>
          <w:szCs w:val="24"/>
          <w:lang w:eastAsia="ro-RO"/>
        </w:rPr>
        <w:t>engagement</w:t>
      </w:r>
      <w:r w:rsidR="00A365AD" w:rsidRPr="00E51FA0">
        <w:rPr>
          <w:rFonts w:ascii="Arial" w:hAnsi="Arial" w:cs="Arial"/>
          <w:sz w:val="24"/>
          <w:szCs w:val="24"/>
          <w:lang w:eastAsia="ro-RO"/>
        </w:rPr>
        <w:t xml:space="preserve"> …</w:t>
      </w:r>
      <w:r w:rsidR="00244316" w:rsidRPr="00E51FA0">
        <w:rPr>
          <w:rFonts w:ascii="Arial" w:hAnsi="Arial" w:cs="Arial"/>
          <w:sz w:val="24"/>
          <w:szCs w:val="24"/>
          <w:lang w:eastAsia="ro-RO"/>
        </w:rPr>
        <w:t>..</w:t>
      </w:r>
      <w:r w:rsidR="006C75D0" w:rsidRPr="00E51FA0">
        <w:rPr>
          <w:rFonts w:ascii="Arial" w:hAnsi="Arial" w:cs="Arial"/>
          <w:sz w:val="24"/>
          <w:szCs w:val="24"/>
          <w:lang w:eastAsia="ro-RO"/>
        </w:rPr>
        <w:t>1</w:t>
      </w:r>
      <w:r w:rsidR="008D2B9A" w:rsidRPr="00E51FA0">
        <w:rPr>
          <w:rFonts w:ascii="Arial" w:hAnsi="Arial" w:cs="Arial"/>
          <w:sz w:val="24"/>
          <w:szCs w:val="24"/>
          <w:lang w:eastAsia="ro-RO"/>
        </w:rPr>
        <w:t>1</w:t>
      </w:r>
    </w:p>
    <w:p w14:paraId="6C2FD29A" w14:textId="208B04CE" w:rsidR="00FA283A" w:rsidRPr="00E51FA0" w:rsidRDefault="000C25B5"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Critical</w:t>
      </w:r>
      <w:r w:rsidR="002C1237" w:rsidRPr="00E51FA0">
        <w:rPr>
          <w:rFonts w:ascii="Arial" w:hAnsi="Arial" w:cs="Arial"/>
          <w:sz w:val="24"/>
          <w:szCs w:val="24"/>
          <w:lang w:eastAsia="ro-RO"/>
        </w:rPr>
        <w:t xml:space="preserve"> </w:t>
      </w:r>
      <w:r w:rsidR="00933FDE" w:rsidRPr="00E51FA0">
        <w:rPr>
          <w:rFonts w:ascii="Arial" w:hAnsi="Arial" w:cs="Arial"/>
          <w:sz w:val="24"/>
          <w:szCs w:val="24"/>
          <w:lang w:eastAsia="ro-RO"/>
        </w:rPr>
        <w:t>Explanations o</w:t>
      </w:r>
      <w:r w:rsidR="004831B5" w:rsidRPr="00E51FA0">
        <w:rPr>
          <w:rFonts w:ascii="Arial" w:hAnsi="Arial" w:cs="Arial"/>
          <w:sz w:val="24"/>
          <w:szCs w:val="24"/>
          <w:lang w:eastAsia="ro-RO"/>
        </w:rPr>
        <w:t>f the stakeholder’s 4C mode</w:t>
      </w:r>
      <w:r w:rsidR="00A365AD" w:rsidRPr="00E51FA0">
        <w:rPr>
          <w:rFonts w:ascii="Arial" w:hAnsi="Arial" w:cs="Arial"/>
          <w:sz w:val="24"/>
          <w:szCs w:val="24"/>
          <w:lang w:eastAsia="ro-RO"/>
        </w:rPr>
        <w:t>l……………</w:t>
      </w:r>
      <w:r w:rsidR="0062371F" w:rsidRPr="00E51FA0">
        <w:rPr>
          <w:rFonts w:ascii="Arial" w:hAnsi="Arial" w:cs="Arial"/>
          <w:sz w:val="24"/>
          <w:szCs w:val="24"/>
          <w:lang w:eastAsia="ro-RO"/>
        </w:rPr>
        <w:t>.</w:t>
      </w:r>
      <w:r w:rsidR="00A365AD" w:rsidRPr="00E51FA0">
        <w:rPr>
          <w:rFonts w:ascii="Arial" w:hAnsi="Arial" w:cs="Arial"/>
          <w:sz w:val="24"/>
          <w:szCs w:val="24"/>
          <w:lang w:eastAsia="ro-RO"/>
        </w:rPr>
        <w:t>..</w:t>
      </w:r>
      <w:r w:rsidR="001C7759" w:rsidRPr="00E51FA0">
        <w:rPr>
          <w:rFonts w:ascii="Arial" w:hAnsi="Arial" w:cs="Arial"/>
          <w:sz w:val="24"/>
          <w:szCs w:val="24"/>
          <w:lang w:eastAsia="ro-RO"/>
        </w:rPr>
        <w:t>1</w:t>
      </w:r>
      <w:r w:rsidR="00C206BD" w:rsidRPr="00E51FA0">
        <w:rPr>
          <w:rFonts w:ascii="Arial" w:hAnsi="Arial" w:cs="Arial"/>
          <w:sz w:val="24"/>
          <w:szCs w:val="24"/>
          <w:lang w:eastAsia="ro-RO"/>
        </w:rPr>
        <w:t>5</w:t>
      </w:r>
    </w:p>
    <w:p w14:paraId="01AF4F2B" w14:textId="32F24A29"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 xml:space="preserve">Evaluation of Stakeholder Engagement Impact </w:t>
      </w:r>
      <w:r w:rsidR="008B014A" w:rsidRPr="00E51FA0">
        <w:rPr>
          <w:rFonts w:ascii="Arial" w:hAnsi="Arial" w:cs="Arial"/>
          <w:sz w:val="24"/>
          <w:szCs w:val="24"/>
          <w:lang w:eastAsia="ro-RO"/>
        </w:rPr>
        <w:t>………………</w:t>
      </w:r>
      <w:r w:rsidR="00E6675A" w:rsidRPr="00E51FA0">
        <w:rPr>
          <w:rFonts w:ascii="Arial" w:hAnsi="Arial" w:cs="Arial"/>
          <w:sz w:val="24"/>
          <w:szCs w:val="24"/>
          <w:lang w:eastAsia="ro-RO"/>
        </w:rPr>
        <w:t>..</w:t>
      </w:r>
      <w:r w:rsidR="008B014A" w:rsidRPr="00E51FA0">
        <w:rPr>
          <w:rFonts w:ascii="Arial" w:hAnsi="Arial" w:cs="Arial"/>
          <w:sz w:val="24"/>
          <w:szCs w:val="24"/>
          <w:lang w:eastAsia="ro-RO"/>
        </w:rPr>
        <w:t>…</w:t>
      </w:r>
      <w:r w:rsidR="00F165CC" w:rsidRPr="00E51FA0">
        <w:rPr>
          <w:rFonts w:ascii="Arial" w:hAnsi="Arial" w:cs="Arial"/>
          <w:sz w:val="24"/>
          <w:szCs w:val="24"/>
          <w:lang w:eastAsia="ro-RO"/>
        </w:rPr>
        <w:t>1</w:t>
      </w:r>
      <w:r w:rsidR="00C206BD" w:rsidRPr="00E51FA0">
        <w:rPr>
          <w:rFonts w:ascii="Arial" w:hAnsi="Arial" w:cs="Arial"/>
          <w:sz w:val="24"/>
          <w:szCs w:val="24"/>
          <w:lang w:eastAsia="ro-RO"/>
        </w:rPr>
        <w:t>9</w:t>
      </w:r>
    </w:p>
    <w:p w14:paraId="3D7CC36B" w14:textId="209D67B7"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Conclusion</w:t>
      </w:r>
      <w:r w:rsidR="00A365AD" w:rsidRPr="00E51FA0">
        <w:rPr>
          <w:rFonts w:ascii="Arial" w:hAnsi="Arial" w:cs="Arial"/>
          <w:sz w:val="24"/>
          <w:szCs w:val="24"/>
          <w:lang w:eastAsia="ro-RO"/>
        </w:rPr>
        <w:t xml:space="preserve"> ………………………………………………………,……</w:t>
      </w:r>
      <w:r w:rsidR="00043D8C" w:rsidRPr="00E51FA0">
        <w:rPr>
          <w:rFonts w:ascii="Arial" w:hAnsi="Arial" w:cs="Arial"/>
          <w:sz w:val="24"/>
          <w:szCs w:val="24"/>
          <w:lang w:eastAsia="ro-RO"/>
        </w:rPr>
        <w:t>.</w:t>
      </w:r>
      <w:r w:rsidR="00221A32" w:rsidRPr="00E51FA0">
        <w:rPr>
          <w:rFonts w:ascii="Arial" w:hAnsi="Arial" w:cs="Arial"/>
          <w:sz w:val="24"/>
          <w:szCs w:val="24"/>
          <w:lang w:eastAsia="ro-RO"/>
        </w:rPr>
        <w:t>2</w:t>
      </w:r>
      <w:r w:rsidR="00E51FA0" w:rsidRPr="00E51FA0">
        <w:rPr>
          <w:rFonts w:ascii="Arial" w:hAnsi="Arial" w:cs="Arial"/>
          <w:sz w:val="24"/>
          <w:szCs w:val="24"/>
          <w:lang w:eastAsia="ro-RO"/>
        </w:rPr>
        <w:t>4</w:t>
      </w:r>
    </w:p>
    <w:p w14:paraId="7661AC72" w14:textId="19AEABC5" w:rsidR="00FA283A" w:rsidRPr="00E51FA0" w:rsidRDefault="00FA283A" w:rsidP="00FA283A">
      <w:pPr>
        <w:numPr>
          <w:ilvl w:val="0"/>
          <w:numId w:val="19"/>
        </w:numPr>
        <w:spacing w:before="100" w:beforeAutospacing="1" w:after="100" w:afterAutospacing="1" w:line="240" w:lineRule="auto"/>
        <w:divId w:val="775095166"/>
        <w:rPr>
          <w:rFonts w:ascii="Arial" w:hAnsi="Arial" w:cs="Arial"/>
          <w:sz w:val="24"/>
          <w:szCs w:val="24"/>
          <w:lang w:eastAsia="ro-RO"/>
        </w:rPr>
      </w:pPr>
      <w:r w:rsidRPr="00E51FA0">
        <w:rPr>
          <w:rFonts w:ascii="Arial" w:hAnsi="Arial" w:cs="Arial"/>
          <w:sz w:val="24"/>
          <w:szCs w:val="24"/>
          <w:lang w:eastAsia="ro-RO"/>
        </w:rPr>
        <w:t>Reference</w:t>
      </w:r>
      <w:r w:rsidR="00043D8C" w:rsidRPr="00E51FA0">
        <w:rPr>
          <w:rFonts w:ascii="Arial" w:hAnsi="Arial" w:cs="Arial"/>
          <w:sz w:val="24"/>
          <w:szCs w:val="24"/>
          <w:lang w:eastAsia="ro-RO"/>
        </w:rPr>
        <w:t xml:space="preserve"> ……………………………………………………………</w:t>
      </w:r>
      <w:r w:rsidR="00673260" w:rsidRPr="00E51FA0">
        <w:rPr>
          <w:rFonts w:ascii="Arial" w:hAnsi="Arial" w:cs="Arial"/>
          <w:sz w:val="24"/>
          <w:szCs w:val="24"/>
          <w:lang w:eastAsia="ro-RO"/>
        </w:rPr>
        <w:t>..</w:t>
      </w:r>
      <w:r w:rsidR="00043D8C" w:rsidRPr="00E51FA0">
        <w:rPr>
          <w:rFonts w:ascii="Arial" w:hAnsi="Arial" w:cs="Arial"/>
          <w:sz w:val="24"/>
          <w:szCs w:val="24"/>
          <w:lang w:eastAsia="ro-RO"/>
        </w:rPr>
        <w:t>.</w:t>
      </w:r>
      <w:r w:rsidR="00A34C0A" w:rsidRPr="00E51FA0">
        <w:rPr>
          <w:rFonts w:ascii="Arial" w:hAnsi="Arial" w:cs="Arial"/>
          <w:sz w:val="24"/>
          <w:szCs w:val="24"/>
          <w:lang w:eastAsia="ro-RO"/>
        </w:rPr>
        <w:t>2</w:t>
      </w:r>
      <w:r w:rsidR="00E51FA0" w:rsidRPr="00E51FA0">
        <w:rPr>
          <w:rFonts w:ascii="Arial" w:hAnsi="Arial" w:cs="Arial"/>
          <w:sz w:val="24"/>
          <w:szCs w:val="24"/>
          <w:lang w:eastAsia="ro-RO"/>
        </w:rPr>
        <w:t>5</w:t>
      </w:r>
    </w:p>
    <w:p w14:paraId="300834F4" w14:textId="44462465" w:rsidR="545F6007" w:rsidRPr="00E51FA0" w:rsidRDefault="545F6007" w:rsidP="19DF5ED4">
      <w:pPr>
        <w:spacing w:line="600" w:lineRule="auto"/>
        <w:rPr>
          <w:rFonts w:ascii="Arial" w:hAnsi="Arial" w:cs="Arial"/>
          <w:b/>
          <w:bCs/>
          <w:i/>
          <w:iCs/>
        </w:rPr>
      </w:pPr>
    </w:p>
    <w:p w14:paraId="557D2D02" w14:textId="4FAFE366" w:rsidR="19DF5ED4" w:rsidRPr="00E51FA0" w:rsidRDefault="19DF5ED4" w:rsidP="19DF5ED4">
      <w:pPr>
        <w:spacing w:line="600" w:lineRule="auto"/>
        <w:rPr>
          <w:rFonts w:ascii="Arial" w:hAnsi="Arial" w:cs="Arial"/>
          <w:b/>
          <w:bCs/>
          <w:i/>
          <w:iCs/>
        </w:rPr>
      </w:pPr>
    </w:p>
    <w:p w14:paraId="5AA42B3D" w14:textId="55AB8D7C" w:rsidR="19DF5ED4" w:rsidRPr="00E51FA0" w:rsidRDefault="19DF5ED4" w:rsidP="19DF5ED4">
      <w:pPr>
        <w:spacing w:line="600" w:lineRule="auto"/>
        <w:rPr>
          <w:rFonts w:ascii="Arial" w:hAnsi="Arial" w:cs="Arial"/>
          <w:b/>
          <w:bCs/>
          <w:i/>
          <w:iCs/>
        </w:rPr>
      </w:pPr>
    </w:p>
    <w:p w14:paraId="48A12DF4" w14:textId="3BDA537D" w:rsidR="19DF5ED4" w:rsidRPr="00E51FA0" w:rsidRDefault="19DF5ED4" w:rsidP="19DF5ED4">
      <w:pPr>
        <w:spacing w:line="600" w:lineRule="auto"/>
        <w:rPr>
          <w:rFonts w:ascii="Arial" w:hAnsi="Arial" w:cs="Arial"/>
          <w:b/>
          <w:bCs/>
          <w:i/>
          <w:iCs/>
        </w:rPr>
      </w:pPr>
    </w:p>
    <w:p w14:paraId="048F3136" w14:textId="6FE39698" w:rsidR="19DF5ED4" w:rsidRPr="00E51FA0" w:rsidRDefault="19DF5ED4" w:rsidP="19DF5ED4">
      <w:pPr>
        <w:spacing w:line="600" w:lineRule="auto"/>
        <w:rPr>
          <w:rFonts w:ascii="Arial" w:hAnsi="Arial" w:cs="Arial"/>
          <w:b/>
          <w:bCs/>
          <w:i/>
          <w:iCs/>
        </w:rPr>
      </w:pPr>
    </w:p>
    <w:p w14:paraId="2C29A283" w14:textId="77777777" w:rsidR="000D2E56" w:rsidRPr="00E51FA0" w:rsidRDefault="000D2E56" w:rsidP="19DF5ED4">
      <w:pPr>
        <w:spacing w:line="600" w:lineRule="auto"/>
        <w:rPr>
          <w:rFonts w:ascii="Arial" w:hAnsi="Arial" w:cs="Arial"/>
          <w:b/>
          <w:bCs/>
          <w:i/>
          <w:iCs/>
        </w:rPr>
      </w:pPr>
    </w:p>
    <w:p w14:paraId="0B6E3D10" w14:textId="77777777" w:rsidR="000D2E56" w:rsidRPr="00E51FA0" w:rsidRDefault="000D2E56" w:rsidP="19DF5ED4">
      <w:pPr>
        <w:spacing w:line="600" w:lineRule="auto"/>
        <w:rPr>
          <w:rFonts w:ascii="Arial" w:hAnsi="Arial" w:cs="Arial"/>
          <w:b/>
          <w:bCs/>
          <w:i/>
          <w:iCs/>
        </w:rPr>
      </w:pPr>
    </w:p>
    <w:p w14:paraId="100E5DF5" w14:textId="77777777" w:rsidR="000D2E56" w:rsidRPr="00E51FA0" w:rsidRDefault="000D2E56" w:rsidP="19DF5ED4">
      <w:pPr>
        <w:spacing w:line="600" w:lineRule="auto"/>
        <w:rPr>
          <w:rFonts w:ascii="Arial" w:hAnsi="Arial" w:cs="Arial"/>
          <w:b/>
          <w:bCs/>
          <w:i/>
          <w:iCs/>
        </w:rPr>
      </w:pPr>
    </w:p>
    <w:p w14:paraId="6E20006D" w14:textId="77777777" w:rsidR="000D2E56" w:rsidRPr="00E51FA0" w:rsidRDefault="000D2E56" w:rsidP="19DF5ED4">
      <w:pPr>
        <w:spacing w:line="600" w:lineRule="auto"/>
        <w:rPr>
          <w:rFonts w:ascii="Arial" w:hAnsi="Arial" w:cs="Arial"/>
          <w:b/>
          <w:bCs/>
          <w:i/>
          <w:iCs/>
        </w:rPr>
      </w:pPr>
    </w:p>
    <w:p w14:paraId="6494A22F" w14:textId="77777777" w:rsidR="000D2E56" w:rsidRPr="00E51FA0" w:rsidRDefault="000D2E56" w:rsidP="19DF5ED4">
      <w:pPr>
        <w:spacing w:line="600" w:lineRule="auto"/>
        <w:rPr>
          <w:rFonts w:ascii="Arial" w:hAnsi="Arial" w:cs="Arial"/>
          <w:b/>
          <w:bCs/>
          <w:i/>
          <w:iCs/>
        </w:rPr>
      </w:pPr>
    </w:p>
    <w:p w14:paraId="79A8707E" w14:textId="77777777" w:rsidR="000D2E56" w:rsidRPr="00E51FA0" w:rsidRDefault="000D2E56" w:rsidP="19DF5ED4">
      <w:pPr>
        <w:spacing w:line="600" w:lineRule="auto"/>
        <w:rPr>
          <w:rFonts w:ascii="Arial" w:hAnsi="Arial" w:cs="Arial"/>
          <w:b/>
          <w:bCs/>
          <w:i/>
          <w:iCs/>
        </w:rPr>
      </w:pPr>
    </w:p>
    <w:p w14:paraId="208A5C17" w14:textId="77777777" w:rsidR="000D2E56" w:rsidRPr="00E51FA0" w:rsidRDefault="000D2E56" w:rsidP="19DF5ED4">
      <w:pPr>
        <w:spacing w:line="600" w:lineRule="auto"/>
        <w:rPr>
          <w:rFonts w:ascii="Arial" w:hAnsi="Arial" w:cs="Arial"/>
          <w:b/>
          <w:bCs/>
          <w:i/>
          <w:iCs/>
        </w:rPr>
      </w:pPr>
    </w:p>
    <w:p w14:paraId="4AA0512E" w14:textId="77777777" w:rsidR="00966DA7" w:rsidRPr="00E51FA0" w:rsidRDefault="00966DA7" w:rsidP="00966DA7">
      <w:pPr>
        <w:spacing w:before="100" w:beforeAutospacing="1" w:after="100" w:afterAutospacing="1" w:line="240" w:lineRule="auto"/>
        <w:outlineLvl w:val="1"/>
        <w:divId w:val="1270311905"/>
        <w:rPr>
          <w:rFonts w:ascii="Arial" w:eastAsia="Times New Roman" w:hAnsi="Arial" w:cs="Arial"/>
          <w:b/>
          <w:bCs/>
          <w:sz w:val="36"/>
          <w:szCs w:val="36"/>
          <w:lang w:eastAsia="ro-RO"/>
        </w:rPr>
      </w:pPr>
      <w:r w:rsidRPr="00E51FA0">
        <w:rPr>
          <w:rFonts w:ascii="Arial" w:eastAsia="Times New Roman" w:hAnsi="Arial" w:cs="Arial"/>
          <w:b/>
          <w:bCs/>
          <w:sz w:val="36"/>
          <w:szCs w:val="36"/>
          <w:lang w:eastAsia="ro-RO"/>
        </w:rPr>
        <w:lastRenderedPageBreak/>
        <w:t>Stakeholder Engagement for the Launch of a New Fitbit UK Wearable Health Device</w:t>
      </w:r>
    </w:p>
    <w:p w14:paraId="4342857B" w14:textId="2A586B2F" w:rsidR="00966DA7" w:rsidRPr="00E51FA0" w:rsidRDefault="00F525E4" w:rsidP="004E6B8E">
      <w:pPr>
        <w:spacing w:after="0" w:line="240" w:lineRule="auto"/>
        <w:divId w:val="1270311905"/>
        <w:rPr>
          <w:rFonts w:ascii="Arial" w:hAnsi="Arial" w:cs="Arial"/>
          <w:sz w:val="24"/>
          <w:szCs w:val="24"/>
          <w:lang w:eastAsia="ro-RO"/>
        </w:rPr>
      </w:pPr>
      <w:r w:rsidRPr="00E51FA0">
        <w:rPr>
          <w:rFonts w:ascii="Arial" w:eastAsia="Times New Roman" w:hAnsi="Arial" w:cs="Arial"/>
          <w:b/>
          <w:bCs/>
          <w:kern w:val="36"/>
          <w:sz w:val="48"/>
          <w:szCs w:val="48"/>
          <w:lang w:eastAsia="ro-RO"/>
        </w:rPr>
        <w:t>1</w:t>
      </w:r>
      <w:r w:rsidR="009110E4" w:rsidRPr="00E51FA0">
        <w:rPr>
          <w:rFonts w:ascii="Arial" w:eastAsia="Times New Roman" w:hAnsi="Arial" w:cs="Arial"/>
          <w:b/>
          <w:bCs/>
          <w:kern w:val="36"/>
          <w:sz w:val="48"/>
          <w:szCs w:val="48"/>
          <w:lang w:eastAsia="ro-RO"/>
        </w:rPr>
        <w:t>.</w:t>
      </w:r>
      <w:r w:rsidR="00966DA7" w:rsidRPr="00E51FA0">
        <w:rPr>
          <w:rFonts w:ascii="Arial" w:eastAsia="Times New Roman" w:hAnsi="Arial" w:cs="Arial"/>
          <w:b/>
          <w:bCs/>
          <w:kern w:val="36"/>
          <w:sz w:val="48"/>
          <w:szCs w:val="48"/>
          <w:lang w:eastAsia="ro-RO"/>
        </w:rPr>
        <w:t xml:space="preserve"> </w:t>
      </w:r>
      <w:r w:rsidRPr="00E51FA0">
        <w:rPr>
          <w:rFonts w:ascii="Arial" w:eastAsia="Times New Roman" w:hAnsi="Arial" w:cs="Arial"/>
          <w:b/>
          <w:bCs/>
          <w:kern w:val="36"/>
          <w:sz w:val="48"/>
          <w:szCs w:val="48"/>
          <w:lang w:eastAsia="ro-RO"/>
        </w:rPr>
        <w:t>Introduction</w:t>
      </w:r>
    </w:p>
    <w:p w14:paraId="6A078D15" w14:textId="77777777" w:rsidR="00966DA7" w:rsidRPr="00E51FA0" w:rsidRDefault="00966DA7" w:rsidP="00966DA7">
      <w:pPr>
        <w:spacing w:before="100" w:beforeAutospacing="1" w:after="100" w:afterAutospacing="1" w:line="240" w:lineRule="auto"/>
        <w:divId w:val="1270311905"/>
        <w:rPr>
          <w:rFonts w:ascii="Arial" w:hAnsi="Arial" w:cs="Arial"/>
          <w:sz w:val="24"/>
          <w:szCs w:val="24"/>
          <w:lang w:eastAsia="ro-RO"/>
        </w:rPr>
      </w:pPr>
    </w:p>
    <w:p w14:paraId="3EBC50D2" w14:textId="77777777" w:rsidR="00966DA7" w:rsidRPr="00E51FA0" w:rsidRDefault="00966DA7" w:rsidP="00966DA7">
      <w:pPr>
        <w:spacing w:before="100" w:beforeAutospacing="1" w:after="100" w:afterAutospacing="1" w:line="240" w:lineRule="auto"/>
        <w:divId w:val="1270311905"/>
        <w:rPr>
          <w:rFonts w:ascii="Arial" w:hAnsi="Arial" w:cs="Arial"/>
          <w:sz w:val="24"/>
          <w:szCs w:val="24"/>
          <w:lang w:eastAsia="ro-RO"/>
        </w:rPr>
      </w:pPr>
      <w:r w:rsidRPr="00E51FA0">
        <w:rPr>
          <w:rFonts w:ascii="Arial" w:hAnsi="Arial" w:cs="Arial"/>
          <w:sz w:val="24"/>
          <w:szCs w:val="24"/>
          <w:lang w:eastAsia="ro-RO"/>
        </w:rPr>
        <w:t>This report examines the stakeholder engagement processes required to ensure the successful launch of Fitbit UK’s new wearable health device designed to track heart rate, oxygen saturation and sleep patterns. The project is scheduled for release in six months, and the role of the project manager is to engage stakeholders in a manner that supports innovation, operational efficiency and commercial impact. Using established strategic tools including SWOT, PESTLE, stakeholder mapping, the RACI matrix and the 4C model, this report evaluates the internal and external environment, assesses the contributions and challenges of key stakeholders and provides a structured method for effective communication, coordination and collaboration.</w:t>
      </w:r>
    </w:p>
    <w:p w14:paraId="59755B3C" w14:textId="77777777" w:rsidR="00966DA7" w:rsidRPr="00E51FA0" w:rsidRDefault="00966DA7" w:rsidP="00966DA7">
      <w:pPr>
        <w:spacing w:before="100" w:beforeAutospacing="1" w:after="100" w:afterAutospacing="1" w:line="240" w:lineRule="auto"/>
        <w:divId w:val="1270311905"/>
        <w:rPr>
          <w:rFonts w:ascii="Arial" w:hAnsi="Arial" w:cs="Arial"/>
          <w:sz w:val="24"/>
          <w:szCs w:val="24"/>
          <w:lang w:eastAsia="ro-RO"/>
        </w:rPr>
      </w:pPr>
    </w:p>
    <w:p w14:paraId="0639E990" w14:textId="77777777" w:rsidR="00966DA7" w:rsidRPr="00E51FA0" w:rsidRDefault="00966DA7" w:rsidP="00966DA7">
      <w:pPr>
        <w:spacing w:before="100" w:beforeAutospacing="1" w:after="100" w:afterAutospacing="1" w:line="240" w:lineRule="auto"/>
        <w:divId w:val="1270311905"/>
        <w:rPr>
          <w:rFonts w:ascii="Arial" w:hAnsi="Arial" w:cs="Arial"/>
          <w:sz w:val="24"/>
          <w:szCs w:val="24"/>
          <w:lang w:eastAsia="ro-RO"/>
        </w:rPr>
      </w:pPr>
      <w:r w:rsidRPr="00E51FA0">
        <w:rPr>
          <w:rFonts w:ascii="Arial" w:hAnsi="Arial" w:cs="Arial"/>
          <w:sz w:val="24"/>
          <w:szCs w:val="24"/>
          <w:lang w:eastAsia="ro-RO"/>
        </w:rPr>
        <w:t>Internal stakeholders such as the product development team, marketing, sales and senior management are critical to shaping the device and ensuring market readiness. External stakeholders such as suppliers, regulatory bodies, healthcare partners, retailers and customers influence compliance, distribution and ultimate commercial success. A detailed engagement plan outlines how these groups will be involved at every stage of the project.</w:t>
      </w:r>
    </w:p>
    <w:p w14:paraId="76C1E7D7" w14:textId="77777777" w:rsidR="00966DA7" w:rsidRPr="00E51FA0" w:rsidRDefault="00966DA7" w:rsidP="00966DA7">
      <w:pPr>
        <w:spacing w:before="100" w:beforeAutospacing="1" w:after="100" w:afterAutospacing="1" w:line="240" w:lineRule="auto"/>
        <w:divId w:val="1270311905"/>
        <w:rPr>
          <w:rFonts w:ascii="Arial" w:hAnsi="Arial" w:cs="Arial"/>
          <w:sz w:val="24"/>
          <w:szCs w:val="24"/>
          <w:lang w:eastAsia="ro-RO"/>
        </w:rPr>
      </w:pPr>
    </w:p>
    <w:p w14:paraId="2F43F526" w14:textId="1B621C46" w:rsidR="000A4BFD" w:rsidRPr="00E51FA0" w:rsidRDefault="00966DA7" w:rsidP="009110E4">
      <w:pPr>
        <w:spacing w:before="100" w:beforeAutospacing="1" w:after="100" w:afterAutospacing="1" w:line="240" w:lineRule="auto"/>
        <w:divId w:val="1270311905"/>
        <w:rPr>
          <w:rFonts w:ascii="Arial" w:hAnsi="Arial" w:cs="Arial"/>
          <w:sz w:val="24"/>
          <w:szCs w:val="24"/>
          <w:lang w:eastAsia="ro-RO"/>
        </w:rPr>
      </w:pPr>
      <w:r w:rsidRPr="00E51FA0">
        <w:rPr>
          <w:rFonts w:ascii="Arial" w:hAnsi="Arial" w:cs="Arial"/>
          <w:sz w:val="24"/>
          <w:szCs w:val="24"/>
          <w:lang w:eastAsia="ro-RO"/>
        </w:rPr>
        <w:t>The report further evaluates how effective stakeholder engagement improves organisational performance, leading to stronger product adoption, reduced conflict, increased alignment and improved brand reputation. Finally, the report concludes with recommendations for strengthening future stakeholder engagement practices at Fitbit UK.</w:t>
      </w:r>
    </w:p>
    <w:p w14:paraId="5D20841A" w14:textId="77777777" w:rsidR="000A4BFD" w:rsidRPr="00E51FA0" w:rsidRDefault="000A4BFD" w:rsidP="000A4BFD">
      <w:pPr>
        <w:spacing w:before="100" w:beforeAutospacing="1" w:after="100" w:afterAutospacing="1" w:line="240" w:lineRule="auto"/>
        <w:divId w:val="1740860120"/>
        <w:rPr>
          <w:rFonts w:ascii="Arial" w:hAnsi="Arial" w:cs="Arial"/>
          <w:sz w:val="24"/>
          <w:szCs w:val="24"/>
          <w:lang w:eastAsia="ro-RO"/>
        </w:rPr>
      </w:pPr>
    </w:p>
    <w:p w14:paraId="08F8A3E5" w14:textId="18F57A8E" w:rsidR="000A4BFD" w:rsidRPr="00E51FA0" w:rsidRDefault="000A4BFD" w:rsidP="000A4BFD">
      <w:pPr>
        <w:spacing w:before="100" w:beforeAutospacing="1" w:after="100" w:afterAutospacing="1" w:line="240" w:lineRule="auto"/>
        <w:divId w:val="1740860120"/>
        <w:rPr>
          <w:rFonts w:ascii="Arial" w:hAnsi="Arial" w:cs="Arial"/>
          <w:sz w:val="24"/>
          <w:szCs w:val="24"/>
          <w:lang w:eastAsia="ro-RO"/>
        </w:rPr>
      </w:pPr>
      <w:r w:rsidRPr="00E51FA0">
        <w:rPr>
          <w:rFonts w:ascii="Arial" w:hAnsi="Arial" w:cs="Arial"/>
          <w:sz w:val="24"/>
          <w:szCs w:val="24"/>
          <w:lang w:eastAsia="ro-RO"/>
        </w:rPr>
        <w:t>Fitbit UK operates as part of Fitbit, a subsidiary of Google LLC, and is a major player in the British digital health and fitness wearable market. Since its establishment in 2007, Fitbit has expanded globally and has become widely recognised for its advanced wearable technologies designed to assist users in monitoring health metrics such as physical activity, heart rate, stress levels, sleep quality and blood oxygen levels. Within the UK market, Fitbit collaborates with healthcare providers, fitness organisations, insurance companies and major retail chains to deliver accessible health-monitoring solutions to a diverse population.</w:t>
      </w:r>
    </w:p>
    <w:p w14:paraId="45B42BB5" w14:textId="56AC3DF7" w:rsidR="000A4BFD" w:rsidRPr="00E51FA0" w:rsidRDefault="000A4BFD" w:rsidP="000A4BFD">
      <w:pPr>
        <w:spacing w:before="100" w:beforeAutospacing="1" w:after="100" w:afterAutospacing="1" w:line="240" w:lineRule="auto"/>
        <w:divId w:val="1740860120"/>
        <w:rPr>
          <w:rFonts w:ascii="Arial" w:hAnsi="Arial" w:cs="Arial"/>
          <w:sz w:val="24"/>
          <w:szCs w:val="24"/>
          <w:lang w:eastAsia="ro-RO"/>
        </w:rPr>
      </w:pPr>
      <w:r w:rsidRPr="00E51FA0">
        <w:rPr>
          <w:rFonts w:ascii="Arial" w:hAnsi="Arial" w:cs="Arial"/>
          <w:sz w:val="24"/>
          <w:szCs w:val="24"/>
          <w:lang w:eastAsia="ro-RO"/>
        </w:rPr>
        <w:t xml:space="preserve">Fitbit UK benefits from Google’s technological ecosystem, leveraging cloud computing, artificial intelligence and data analytics capabilities to enhance device </w:t>
      </w:r>
      <w:r w:rsidRPr="00E51FA0">
        <w:rPr>
          <w:rFonts w:ascii="Arial" w:hAnsi="Arial" w:cs="Arial"/>
          <w:sz w:val="24"/>
          <w:szCs w:val="24"/>
          <w:lang w:eastAsia="ro-RO"/>
        </w:rPr>
        <w:lastRenderedPageBreak/>
        <w:t>performance while maintaining strong data privacy standards. The company’s strategic priorities include innovation, user engagement, regulatory compliance and the development of clinically validated health features. With a rising public interest in preventive healthcare and long-term health monitoring, Fitbit UK remains well-positioned to introduce new wearables that address both consumer and healthcare sector needs. The introduction of a new device that integrates advanced monitoring features reflects the company’s commitment to supporting the UK’s broader digital health transformation.</w:t>
      </w:r>
      <w:r w:rsidR="003E4EF7" w:rsidRPr="00E51FA0">
        <w:rPr>
          <w:rFonts w:ascii="Arial" w:hAnsi="Arial" w:cs="Arial"/>
          <w:sz w:val="24"/>
          <w:szCs w:val="24"/>
          <w:lang w:eastAsia="ro-RO"/>
        </w:rPr>
        <w:t>(</w:t>
      </w:r>
      <w:r w:rsidR="00E67FB2" w:rsidRPr="00E51FA0">
        <w:rPr>
          <w:rFonts w:ascii="Arial" w:hAnsi="Arial" w:cs="Arial"/>
          <w:sz w:val="24"/>
          <w:szCs w:val="24"/>
          <w:lang w:eastAsia="ro-RO"/>
        </w:rPr>
        <w:t>Fi</w:t>
      </w:r>
      <w:r w:rsidR="00323719" w:rsidRPr="00E51FA0">
        <w:rPr>
          <w:rFonts w:ascii="Arial" w:hAnsi="Arial" w:cs="Arial"/>
          <w:sz w:val="24"/>
          <w:szCs w:val="24"/>
          <w:lang w:eastAsia="ro-RO"/>
        </w:rPr>
        <w:t>tbit .</w:t>
      </w:r>
      <w:r w:rsidR="00684177" w:rsidRPr="00E51FA0">
        <w:rPr>
          <w:rFonts w:ascii="Arial" w:hAnsi="Arial" w:cs="Arial"/>
          <w:sz w:val="24"/>
          <w:szCs w:val="24"/>
          <w:lang w:eastAsia="ro-RO"/>
        </w:rPr>
        <w:t>Who We Are</w:t>
      </w:r>
      <w:r w:rsidR="003E4EF7" w:rsidRPr="00E51FA0">
        <w:rPr>
          <w:rFonts w:ascii="Arial" w:hAnsi="Arial" w:cs="Arial"/>
          <w:sz w:val="24"/>
          <w:szCs w:val="24"/>
          <w:lang w:eastAsia="ro-RO"/>
        </w:rPr>
        <w:t>.Fi</w:t>
      </w:r>
      <w:r w:rsidR="00323719" w:rsidRPr="00E51FA0">
        <w:rPr>
          <w:rFonts w:ascii="Arial" w:hAnsi="Arial" w:cs="Arial"/>
          <w:sz w:val="24"/>
          <w:szCs w:val="24"/>
          <w:lang w:eastAsia="ro-RO"/>
        </w:rPr>
        <w:t>tbit</w:t>
      </w:r>
      <w:r w:rsidR="00D917C5" w:rsidRPr="00E51FA0">
        <w:rPr>
          <w:rFonts w:ascii="Arial" w:hAnsi="Arial" w:cs="Arial"/>
          <w:sz w:val="24"/>
          <w:szCs w:val="24"/>
          <w:lang w:eastAsia="ro-RO"/>
        </w:rPr>
        <w:t>.</w:t>
      </w:r>
      <w:r w:rsidR="00D94C81" w:rsidRPr="00E51FA0">
        <w:rPr>
          <w:rFonts w:ascii="Arial" w:hAnsi="Arial" w:cs="Arial"/>
          <w:sz w:val="24"/>
          <w:szCs w:val="24"/>
          <w:lang w:eastAsia="ro-RO"/>
        </w:rPr>
        <w:t xml:space="preserve"> Accessed Decemb</w:t>
      </w:r>
      <w:r w:rsidR="00323719" w:rsidRPr="00E51FA0">
        <w:rPr>
          <w:rFonts w:ascii="Arial" w:hAnsi="Arial" w:cs="Arial"/>
          <w:sz w:val="24"/>
          <w:szCs w:val="24"/>
          <w:lang w:eastAsia="ro-RO"/>
        </w:rPr>
        <w:t>er</w:t>
      </w:r>
      <w:r w:rsidR="00D94C81" w:rsidRPr="00E51FA0">
        <w:rPr>
          <w:rFonts w:ascii="Arial" w:hAnsi="Arial" w:cs="Arial"/>
          <w:sz w:val="24"/>
          <w:szCs w:val="24"/>
          <w:lang w:eastAsia="ro-RO"/>
        </w:rPr>
        <w:t>7</w:t>
      </w:r>
      <w:r w:rsidR="00FE4381" w:rsidRPr="00E51FA0">
        <w:rPr>
          <w:rFonts w:ascii="Arial" w:hAnsi="Arial" w:cs="Arial"/>
          <w:sz w:val="24"/>
          <w:szCs w:val="24"/>
          <w:lang w:eastAsia="ro-RO"/>
        </w:rPr>
        <w:t>,2025.</w:t>
      </w:r>
      <w:r w:rsidR="00C81AE5" w:rsidRPr="00E51FA0">
        <w:rPr>
          <w:rFonts w:ascii="Arial" w:hAnsi="Arial" w:cs="Arial"/>
          <w:sz w:val="24"/>
          <w:szCs w:val="24"/>
          <w:lang w:eastAsia="ro-RO"/>
        </w:rPr>
        <w:t>)</w:t>
      </w:r>
    </w:p>
    <w:p w14:paraId="056B4F5B" w14:textId="77777777" w:rsidR="002C579E" w:rsidRPr="00E51FA0" w:rsidRDefault="002C579E" w:rsidP="000A4BFD">
      <w:pPr>
        <w:spacing w:before="100" w:beforeAutospacing="1" w:after="100" w:afterAutospacing="1" w:line="240" w:lineRule="auto"/>
        <w:divId w:val="1740860120"/>
        <w:rPr>
          <w:rFonts w:ascii="Arial" w:hAnsi="Arial" w:cs="Arial"/>
          <w:sz w:val="24"/>
          <w:szCs w:val="24"/>
          <w:lang w:eastAsia="ro-RO"/>
        </w:rPr>
      </w:pPr>
    </w:p>
    <w:p w14:paraId="6F49929E" w14:textId="2D351563" w:rsidR="00CA1BBE" w:rsidRPr="00E51FA0" w:rsidRDefault="00A8229B" w:rsidP="00CA1BBE">
      <w:pPr>
        <w:spacing w:before="100" w:beforeAutospacing="1" w:after="100" w:afterAutospacing="1" w:line="240" w:lineRule="auto"/>
        <w:outlineLvl w:val="0"/>
        <w:divId w:val="877090833"/>
        <w:rPr>
          <w:rFonts w:ascii="Arial" w:eastAsia="Times New Roman" w:hAnsi="Arial" w:cs="Arial"/>
          <w:b/>
          <w:kern w:val="36"/>
          <w:sz w:val="48"/>
          <w:szCs w:val="48"/>
          <w:lang w:val="en-US" w:eastAsia="ro-RO"/>
        </w:rPr>
      </w:pPr>
      <w:r w:rsidRPr="00E51FA0">
        <w:rPr>
          <w:rFonts w:ascii="Arial" w:eastAsia="Times New Roman" w:hAnsi="Arial" w:cs="Arial"/>
          <w:b/>
          <w:kern w:val="36"/>
          <w:sz w:val="48"/>
          <w:szCs w:val="48"/>
          <w:lang w:val="en-US" w:eastAsia="ro-RO"/>
        </w:rPr>
        <w:t>2.</w:t>
      </w:r>
      <w:r w:rsidR="00CA1BBE" w:rsidRPr="00E51FA0">
        <w:rPr>
          <w:rFonts w:ascii="Arial" w:eastAsia="Times New Roman" w:hAnsi="Arial" w:cs="Arial"/>
          <w:b/>
          <w:kern w:val="36"/>
          <w:sz w:val="48"/>
          <w:szCs w:val="48"/>
          <w:lang w:val="en-US" w:eastAsia="ro-RO"/>
        </w:rPr>
        <w:t>SMART Objectives Table – Fitbit UK</w:t>
      </w:r>
    </w:p>
    <w:p w14:paraId="6A6E3FFD" w14:textId="77777777" w:rsidR="00A8229B" w:rsidRPr="00E51FA0" w:rsidRDefault="00A8229B" w:rsidP="00CA1BBE">
      <w:pPr>
        <w:spacing w:before="100" w:beforeAutospacing="1" w:after="100" w:afterAutospacing="1" w:line="240" w:lineRule="auto"/>
        <w:outlineLvl w:val="0"/>
        <w:divId w:val="877090833"/>
        <w:rPr>
          <w:rFonts w:ascii="Arial" w:eastAsia="Times New Roman" w:hAnsi="Arial" w:cs="Arial"/>
          <w:b/>
          <w:kern w:val="36"/>
          <w:sz w:val="48"/>
          <w:szCs w:val="48"/>
          <w:lang w:val="en-US" w:eastAsia="ro-RO"/>
        </w:rPr>
      </w:pPr>
    </w:p>
    <w:tbl>
      <w:tblPr>
        <w:tblStyle w:val="GridTable6Colorful-Accent6"/>
        <w:tblW w:w="0" w:type="auto"/>
        <w:tblLook w:val="04A0" w:firstRow="1" w:lastRow="0" w:firstColumn="1" w:lastColumn="0" w:noHBand="0" w:noVBand="1"/>
      </w:tblPr>
      <w:tblGrid>
        <w:gridCol w:w="1590"/>
        <w:gridCol w:w="1540"/>
        <w:gridCol w:w="1528"/>
        <w:gridCol w:w="1528"/>
        <w:gridCol w:w="1415"/>
        <w:gridCol w:w="1415"/>
      </w:tblGrid>
      <w:tr w:rsidR="004369A0" w:rsidRPr="00E51FA0" w14:paraId="2073D3F5" w14:textId="77777777" w:rsidTr="006C767E">
        <w:trPr>
          <w:cnfStyle w:val="100000000000" w:firstRow="1" w:lastRow="0" w:firstColumn="0" w:lastColumn="0" w:oddVBand="0" w:evenVBand="0" w:oddHBand="0" w:evenHBand="0" w:firstRowFirstColumn="0" w:firstRowLastColumn="0" w:lastRowFirstColumn="0" w:lastRowLastColumn="0"/>
          <w:divId w:val="443229700"/>
        </w:trPr>
        <w:tc>
          <w:tcPr>
            <w:cnfStyle w:val="001000000000" w:firstRow="0" w:lastRow="0" w:firstColumn="1" w:lastColumn="0" w:oddVBand="0" w:evenVBand="0" w:oddHBand="0" w:evenHBand="0" w:firstRowFirstColumn="0" w:firstRowLastColumn="0" w:lastRowFirstColumn="0" w:lastRowLastColumn="0"/>
            <w:tcW w:w="0" w:type="auto"/>
            <w:hideMark/>
          </w:tcPr>
          <w:p w14:paraId="1CE5FD30" w14:textId="77777777" w:rsidR="004369A0" w:rsidRPr="00E51FA0" w:rsidRDefault="004369A0" w:rsidP="004369A0">
            <w:pPr>
              <w:spacing w:before="100" w:beforeAutospacing="1" w:after="100" w:afterAutospacing="1"/>
              <w:jc w:val="center"/>
              <w:rPr>
                <w:rFonts w:ascii="Arial" w:hAnsi="Arial" w:cs="Arial"/>
                <w:b w:val="0"/>
                <w:sz w:val="24"/>
                <w:szCs w:val="24"/>
                <w:lang w:val="en-US" w:eastAsia="ro-RO"/>
              </w:rPr>
            </w:pPr>
            <w:r w:rsidRPr="00E51FA0">
              <w:rPr>
                <w:rFonts w:ascii="Arial" w:hAnsi="Arial" w:cs="Arial"/>
                <w:b w:val="0"/>
                <w:sz w:val="24"/>
                <w:szCs w:val="24"/>
                <w:lang w:val="en-US" w:eastAsia="ro-RO"/>
              </w:rPr>
              <w:t>Objective</w:t>
            </w:r>
          </w:p>
        </w:tc>
        <w:tc>
          <w:tcPr>
            <w:tcW w:w="0" w:type="auto"/>
            <w:hideMark/>
          </w:tcPr>
          <w:p w14:paraId="3E2EDC13" w14:textId="77777777" w:rsidR="004369A0" w:rsidRPr="00E51FA0" w:rsidRDefault="004369A0" w:rsidP="004369A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eastAsia="ro-RO"/>
              </w:rPr>
            </w:pPr>
            <w:r w:rsidRPr="00E51FA0">
              <w:rPr>
                <w:rFonts w:ascii="Arial" w:hAnsi="Arial" w:cs="Arial"/>
                <w:b w:val="0"/>
                <w:sz w:val="24"/>
                <w:szCs w:val="24"/>
                <w:lang w:val="en-US" w:eastAsia="ro-RO"/>
              </w:rPr>
              <w:t>Specific</w:t>
            </w:r>
          </w:p>
        </w:tc>
        <w:tc>
          <w:tcPr>
            <w:tcW w:w="0" w:type="auto"/>
            <w:hideMark/>
          </w:tcPr>
          <w:p w14:paraId="26BDA33D" w14:textId="77777777" w:rsidR="004369A0" w:rsidRPr="00E51FA0" w:rsidRDefault="004369A0" w:rsidP="004369A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eastAsia="ro-RO"/>
              </w:rPr>
            </w:pPr>
            <w:r w:rsidRPr="00E51FA0">
              <w:rPr>
                <w:rFonts w:ascii="Arial" w:hAnsi="Arial" w:cs="Arial"/>
                <w:b w:val="0"/>
                <w:sz w:val="24"/>
                <w:szCs w:val="24"/>
                <w:lang w:val="en-US" w:eastAsia="ro-RO"/>
              </w:rPr>
              <w:t>Measurable</w:t>
            </w:r>
          </w:p>
        </w:tc>
        <w:tc>
          <w:tcPr>
            <w:tcW w:w="0" w:type="auto"/>
            <w:hideMark/>
          </w:tcPr>
          <w:p w14:paraId="542C28EF" w14:textId="77777777" w:rsidR="004369A0" w:rsidRPr="00E51FA0" w:rsidRDefault="004369A0" w:rsidP="004369A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eastAsia="ro-RO"/>
              </w:rPr>
            </w:pPr>
            <w:r w:rsidRPr="00E51FA0">
              <w:rPr>
                <w:rFonts w:ascii="Arial" w:hAnsi="Arial" w:cs="Arial"/>
                <w:b w:val="0"/>
                <w:sz w:val="24"/>
                <w:szCs w:val="24"/>
                <w:lang w:val="en-US" w:eastAsia="ro-RO"/>
              </w:rPr>
              <w:t>Achievable</w:t>
            </w:r>
          </w:p>
        </w:tc>
        <w:tc>
          <w:tcPr>
            <w:tcW w:w="0" w:type="auto"/>
            <w:hideMark/>
          </w:tcPr>
          <w:p w14:paraId="3D2B477E" w14:textId="77777777" w:rsidR="004369A0" w:rsidRPr="00E51FA0" w:rsidRDefault="004369A0" w:rsidP="004369A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eastAsia="ro-RO"/>
              </w:rPr>
            </w:pPr>
            <w:r w:rsidRPr="00E51FA0">
              <w:rPr>
                <w:rFonts w:ascii="Arial" w:hAnsi="Arial" w:cs="Arial"/>
                <w:b w:val="0"/>
                <w:sz w:val="24"/>
                <w:szCs w:val="24"/>
                <w:lang w:val="en-US" w:eastAsia="ro-RO"/>
              </w:rPr>
              <w:t>Relevant</w:t>
            </w:r>
          </w:p>
        </w:tc>
        <w:tc>
          <w:tcPr>
            <w:tcW w:w="0" w:type="auto"/>
            <w:hideMark/>
          </w:tcPr>
          <w:p w14:paraId="4062917A" w14:textId="77777777" w:rsidR="004369A0" w:rsidRPr="00E51FA0" w:rsidRDefault="004369A0" w:rsidP="004369A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en-US" w:eastAsia="ro-RO"/>
              </w:rPr>
            </w:pPr>
            <w:r w:rsidRPr="00E51FA0">
              <w:rPr>
                <w:rFonts w:ascii="Arial" w:hAnsi="Arial" w:cs="Arial"/>
                <w:b w:val="0"/>
                <w:sz w:val="24"/>
                <w:szCs w:val="24"/>
                <w:lang w:val="en-US" w:eastAsia="ro-RO"/>
              </w:rPr>
              <w:t>Time-Bound</w:t>
            </w:r>
          </w:p>
        </w:tc>
      </w:tr>
      <w:tr w:rsidR="004369A0" w:rsidRPr="00E51FA0" w14:paraId="180F77BE" w14:textId="77777777" w:rsidTr="006C767E">
        <w:trPr>
          <w:cnfStyle w:val="000000100000" w:firstRow="0" w:lastRow="0" w:firstColumn="0" w:lastColumn="0" w:oddVBand="0" w:evenVBand="0" w:oddHBand="1" w:evenHBand="0" w:firstRowFirstColumn="0" w:firstRowLastColumn="0" w:lastRowFirstColumn="0" w:lastRowLastColumn="0"/>
          <w:divId w:val="443229700"/>
        </w:trPr>
        <w:tc>
          <w:tcPr>
            <w:cnfStyle w:val="001000000000" w:firstRow="0" w:lastRow="0" w:firstColumn="1" w:lastColumn="0" w:oddVBand="0" w:evenVBand="0" w:oddHBand="0" w:evenHBand="0" w:firstRowFirstColumn="0" w:firstRowLastColumn="0" w:lastRowFirstColumn="0" w:lastRowLastColumn="0"/>
            <w:tcW w:w="0" w:type="auto"/>
            <w:hideMark/>
          </w:tcPr>
          <w:p w14:paraId="1697214B" w14:textId="77777777" w:rsidR="004369A0" w:rsidRPr="00E51FA0" w:rsidRDefault="004369A0" w:rsidP="004369A0">
            <w:pPr>
              <w:spacing w:before="100" w:beforeAutospacing="1" w:after="100" w:afterAutospacing="1"/>
              <w:rPr>
                <w:rFonts w:ascii="Arial" w:hAnsi="Arial" w:cs="Arial"/>
                <w:sz w:val="24"/>
                <w:szCs w:val="24"/>
                <w:lang w:val="en-US" w:eastAsia="ro-RO"/>
              </w:rPr>
            </w:pPr>
            <w:r w:rsidRPr="00E51FA0">
              <w:rPr>
                <w:rFonts w:ascii="Arial" w:hAnsi="Arial" w:cs="Arial"/>
                <w:sz w:val="24"/>
                <w:szCs w:val="24"/>
                <w:lang w:val="en-US" w:eastAsia="ro-RO"/>
              </w:rPr>
              <w:t>1. Improve product performance before launch</w:t>
            </w:r>
          </w:p>
        </w:tc>
        <w:tc>
          <w:tcPr>
            <w:tcW w:w="0" w:type="auto"/>
            <w:hideMark/>
          </w:tcPr>
          <w:p w14:paraId="3EE4F211"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Enhance the accuracy of heart-rate and sleep-tracking algorithms for the new wearable device.</w:t>
            </w:r>
          </w:p>
        </w:tc>
        <w:tc>
          <w:tcPr>
            <w:tcW w:w="0" w:type="auto"/>
            <w:hideMark/>
          </w:tcPr>
          <w:p w14:paraId="70275C60"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Achieve a minimum 95% accuracy rate in internal testing compared to clinical benchmarks.</w:t>
            </w:r>
          </w:p>
        </w:tc>
        <w:tc>
          <w:tcPr>
            <w:tcW w:w="0" w:type="auto"/>
            <w:hideMark/>
          </w:tcPr>
          <w:p w14:paraId="310FC5CA"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Achievable through collaboration between engineering, data science and QA teams.</w:t>
            </w:r>
          </w:p>
        </w:tc>
        <w:tc>
          <w:tcPr>
            <w:tcW w:w="0" w:type="auto"/>
            <w:hideMark/>
          </w:tcPr>
          <w:p w14:paraId="4523940C"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Relevant for ensuring regulatory approval and user satisfaction.</w:t>
            </w:r>
          </w:p>
        </w:tc>
        <w:tc>
          <w:tcPr>
            <w:tcW w:w="0" w:type="auto"/>
            <w:hideMark/>
          </w:tcPr>
          <w:p w14:paraId="00F37D02"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To be completed within 6 months before product launch.</w:t>
            </w:r>
          </w:p>
        </w:tc>
      </w:tr>
      <w:tr w:rsidR="004369A0" w:rsidRPr="00E51FA0" w14:paraId="4FE99C4A" w14:textId="77777777" w:rsidTr="006C767E">
        <w:trPr>
          <w:divId w:val="443229700"/>
        </w:trPr>
        <w:tc>
          <w:tcPr>
            <w:cnfStyle w:val="001000000000" w:firstRow="0" w:lastRow="0" w:firstColumn="1" w:lastColumn="0" w:oddVBand="0" w:evenVBand="0" w:oddHBand="0" w:evenHBand="0" w:firstRowFirstColumn="0" w:firstRowLastColumn="0" w:lastRowFirstColumn="0" w:lastRowLastColumn="0"/>
            <w:tcW w:w="0" w:type="auto"/>
            <w:hideMark/>
          </w:tcPr>
          <w:p w14:paraId="2471687A" w14:textId="77777777" w:rsidR="004369A0" w:rsidRPr="00E51FA0" w:rsidRDefault="004369A0" w:rsidP="004369A0">
            <w:pPr>
              <w:spacing w:before="100" w:beforeAutospacing="1" w:after="100" w:afterAutospacing="1"/>
              <w:rPr>
                <w:rFonts w:ascii="Arial" w:hAnsi="Arial" w:cs="Arial"/>
                <w:sz w:val="24"/>
                <w:szCs w:val="24"/>
                <w:lang w:val="en-US" w:eastAsia="ro-RO"/>
              </w:rPr>
            </w:pPr>
            <w:r w:rsidRPr="00E51FA0">
              <w:rPr>
                <w:rFonts w:ascii="Arial" w:hAnsi="Arial" w:cs="Arial"/>
                <w:sz w:val="24"/>
                <w:szCs w:val="24"/>
                <w:lang w:val="en-US" w:eastAsia="ro-RO"/>
              </w:rPr>
              <w:t>2. Increase market awareness of the new device</w:t>
            </w:r>
          </w:p>
        </w:tc>
        <w:tc>
          <w:tcPr>
            <w:tcW w:w="0" w:type="auto"/>
            <w:hideMark/>
          </w:tcPr>
          <w:p w14:paraId="2DC1D4FE"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Launch a targeted marketing campaign across social media, UK retailers and healthcare partners.</w:t>
            </w:r>
          </w:p>
        </w:tc>
        <w:tc>
          <w:tcPr>
            <w:tcW w:w="0" w:type="auto"/>
            <w:hideMark/>
          </w:tcPr>
          <w:p w14:paraId="0014ED1B"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Reach 2 million impressions and 50,000 website visits during pre-launch phase.</w:t>
            </w:r>
          </w:p>
        </w:tc>
        <w:tc>
          <w:tcPr>
            <w:tcW w:w="0" w:type="auto"/>
            <w:hideMark/>
          </w:tcPr>
          <w:p w14:paraId="3DD8D1F4"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Achievable using Fitbit UK’s existing marketing budget and Google’s ad platforms.</w:t>
            </w:r>
          </w:p>
        </w:tc>
        <w:tc>
          <w:tcPr>
            <w:tcW w:w="0" w:type="auto"/>
            <w:hideMark/>
          </w:tcPr>
          <w:p w14:paraId="41FB551F"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Relevant to ensuring a strong market entry and brand visibility.</w:t>
            </w:r>
          </w:p>
        </w:tc>
        <w:tc>
          <w:tcPr>
            <w:tcW w:w="0" w:type="auto"/>
            <w:hideMark/>
          </w:tcPr>
          <w:p w14:paraId="61FD5D1A"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Campaign to run and deliver results within 3 months before launch.</w:t>
            </w:r>
          </w:p>
        </w:tc>
      </w:tr>
      <w:tr w:rsidR="004369A0" w:rsidRPr="00E51FA0" w14:paraId="18003CDE" w14:textId="77777777" w:rsidTr="006C767E">
        <w:trPr>
          <w:cnfStyle w:val="000000100000" w:firstRow="0" w:lastRow="0" w:firstColumn="0" w:lastColumn="0" w:oddVBand="0" w:evenVBand="0" w:oddHBand="1" w:evenHBand="0" w:firstRowFirstColumn="0" w:firstRowLastColumn="0" w:lastRowFirstColumn="0" w:lastRowLastColumn="0"/>
          <w:divId w:val="443229700"/>
        </w:trPr>
        <w:tc>
          <w:tcPr>
            <w:cnfStyle w:val="001000000000" w:firstRow="0" w:lastRow="0" w:firstColumn="1" w:lastColumn="0" w:oddVBand="0" w:evenVBand="0" w:oddHBand="0" w:evenHBand="0" w:firstRowFirstColumn="0" w:firstRowLastColumn="0" w:lastRowFirstColumn="0" w:lastRowLastColumn="0"/>
            <w:tcW w:w="0" w:type="auto"/>
            <w:hideMark/>
          </w:tcPr>
          <w:p w14:paraId="501DA7A9" w14:textId="77777777" w:rsidR="004369A0" w:rsidRPr="00E51FA0" w:rsidRDefault="004369A0" w:rsidP="004369A0">
            <w:pPr>
              <w:spacing w:before="100" w:beforeAutospacing="1" w:after="100" w:afterAutospacing="1"/>
              <w:rPr>
                <w:rFonts w:ascii="Arial" w:hAnsi="Arial" w:cs="Arial"/>
                <w:sz w:val="24"/>
                <w:szCs w:val="24"/>
                <w:lang w:val="en-US" w:eastAsia="ro-RO"/>
              </w:rPr>
            </w:pPr>
            <w:r w:rsidRPr="00E51FA0">
              <w:rPr>
                <w:rFonts w:ascii="Arial" w:hAnsi="Arial" w:cs="Arial"/>
                <w:sz w:val="24"/>
                <w:szCs w:val="24"/>
                <w:lang w:val="en-US" w:eastAsia="ro-RO"/>
              </w:rPr>
              <w:t>3. Strengthen data protection compliance</w:t>
            </w:r>
          </w:p>
        </w:tc>
        <w:tc>
          <w:tcPr>
            <w:tcW w:w="0" w:type="auto"/>
            <w:hideMark/>
          </w:tcPr>
          <w:p w14:paraId="1CB5E400"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Ensure full compliance with UK GDPR and MHRA requirements for health data processing.</w:t>
            </w:r>
          </w:p>
        </w:tc>
        <w:tc>
          <w:tcPr>
            <w:tcW w:w="0" w:type="auto"/>
            <w:hideMark/>
          </w:tcPr>
          <w:p w14:paraId="08F8932B"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Pass 100% of internal compliance checks and complete external regulatory submissions.</w:t>
            </w:r>
          </w:p>
        </w:tc>
        <w:tc>
          <w:tcPr>
            <w:tcW w:w="0" w:type="auto"/>
            <w:hideMark/>
          </w:tcPr>
          <w:p w14:paraId="433290D1"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Achievable through collaboration with legal, IT security and compliance teams.</w:t>
            </w:r>
          </w:p>
        </w:tc>
        <w:tc>
          <w:tcPr>
            <w:tcW w:w="0" w:type="auto"/>
            <w:hideMark/>
          </w:tcPr>
          <w:p w14:paraId="05EA849C"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Highly relevant due to the sensitivity of personal health data.</w:t>
            </w:r>
          </w:p>
        </w:tc>
        <w:tc>
          <w:tcPr>
            <w:tcW w:w="0" w:type="auto"/>
            <w:hideMark/>
          </w:tcPr>
          <w:p w14:paraId="10EE109E" w14:textId="77777777" w:rsidR="004369A0" w:rsidRPr="00E51FA0" w:rsidRDefault="004369A0" w:rsidP="004369A0">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Compliance checks to be finalised within 4 months.</w:t>
            </w:r>
          </w:p>
        </w:tc>
      </w:tr>
      <w:tr w:rsidR="004369A0" w:rsidRPr="00E51FA0" w14:paraId="1AD5637B" w14:textId="77777777" w:rsidTr="006C767E">
        <w:trPr>
          <w:divId w:val="443229700"/>
        </w:trPr>
        <w:tc>
          <w:tcPr>
            <w:cnfStyle w:val="001000000000" w:firstRow="0" w:lastRow="0" w:firstColumn="1" w:lastColumn="0" w:oddVBand="0" w:evenVBand="0" w:oddHBand="0" w:evenHBand="0" w:firstRowFirstColumn="0" w:firstRowLastColumn="0" w:lastRowFirstColumn="0" w:lastRowLastColumn="0"/>
            <w:tcW w:w="0" w:type="auto"/>
            <w:hideMark/>
          </w:tcPr>
          <w:p w14:paraId="5C2BBE5A" w14:textId="77777777" w:rsidR="004369A0" w:rsidRPr="00E51FA0" w:rsidRDefault="004369A0" w:rsidP="004369A0">
            <w:pPr>
              <w:spacing w:before="100" w:beforeAutospacing="1" w:after="100" w:afterAutospacing="1"/>
              <w:rPr>
                <w:rFonts w:ascii="Arial" w:hAnsi="Arial" w:cs="Arial"/>
                <w:sz w:val="24"/>
                <w:szCs w:val="24"/>
                <w:lang w:val="en-US" w:eastAsia="ro-RO"/>
              </w:rPr>
            </w:pPr>
            <w:r w:rsidRPr="00E51FA0">
              <w:rPr>
                <w:rFonts w:ascii="Arial" w:hAnsi="Arial" w:cs="Arial"/>
                <w:sz w:val="24"/>
                <w:szCs w:val="24"/>
                <w:lang w:val="en-US" w:eastAsia="ro-RO"/>
              </w:rPr>
              <w:lastRenderedPageBreak/>
              <w:t>4. Improve customer engagement and feedback</w:t>
            </w:r>
          </w:p>
        </w:tc>
        <w:tc>
          <w:tcPr>
            <w:tcW w:w="0" w:type="auto"/>
            <w:hideMark/>
          </w:tcPr>
          <w:p w14:paraId="15327B42"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Implement a beta-testing programme with UK users to collect product feedback.</w:t>
            </w:r>
          </w:p>
        </w:tc>
        <w:tc>
          <w:tcPr>
            <w:tcW w:w="0" w:type="auto"/>
            <w:hideMark/>
          </w:tcPr>
          <w:p w14:paraId="4CAF506B"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Enrol 500+ testers and gather a minimum of 85% satisfaction in feedback surveys.</w:t>
            </w:r>
          </w:p>
        </w:tc>
        <w:tc>
          <w:tcPr>
            <w:tcW w:w="0" w:type="auto"/>
            <w:hideMark/>
          </w:tcPr>
          <w:p w14:paraId="7CACF09C"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Achievable through Fitbit community channels and partnerships.</w:t>
            </w:r>
          </w:p>
        </w:tc>
        <w:tc>
          <w:tcPr>
            <w:tcW w:w="0" w:type="auto"/>
            <w:hideMark/>
          </w:tcPr>
          <w:p w14:paraId="1197856A"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Relevant for improving product usability and reducing post-launch issues.</w:t>
            </w:r>
          </w:p>
        </w:tc>
        <w:tc>
          <w:tcPr>
            <w:tcW w:w="0" w:type="auto"/>
            <w:hideMark/>
          </w:tcPr>
          <w:p w14:paraId="7CE5E6D5" w14:textId="77777777" w:rsidR="004369A0" w:rsidRPr="00E51FA0" w:rsidRDefault="004369A0" w:rsidP="004369A0">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eastAsia="ro-RO"/>
              </w:rPr>
            </w:pPr>
            <w:r w:rsidRPr="00E51FA0">
              <w:rPr>
                <w:rFonts w:ascii="Arial" w:hAnsi="Arial" w:cs="Arial"/>
                <w:sz w:val="24"/>
                <w:szCs w:val="24"/>
                <w:lang w:val="en-US" w:eastAsia="ro-RO"/>
              </w:rPr>
              <w:t>Beta programme to be completed within 10 weeks.</w:t>
            </w:r>
          </w:p>
        </w:tc>
      </w:tr>
    </w:tbl>
    <w:p w14:paraId="06981A62" w14:textId="12D68498" w:rsidR="19DF5ED4" w:rsidRPr="00E51FA0" w:rsidRDefault="19DF5ED4" w:rsidP="19DF5ED4">
      <w:pPr>
        <w:spacing w:line="600" w:lineRule="auto"/>
        <w:rPr>
          <w:rFonts w:ascii="Arial" w:hAnsi="Arial" w:cs="Arial"/>
          <w:b/>
          <w:bCs/>
          <w:i/>
          <w:iCs/>
        </w:rPr>
      </w:pPr>
    </w:p>
    <w:p w14:paraId="0A6F3DD1" w14:textId="5F45E884" w:rsidR="00FE1F03" w:rsidRPr="00E51FA0" w:rsidRDefault="00FE1F03" w:rsidP="00FE1F03">
      <w:pPr>
        <w:spacing w:before="100" w:beforeAutospacing="1" w:after="100" w:afterAutospacing="1" w:line="240" w:lineRule="auto"/>
        <w:outlineLvl w:val="0"/>
        <w:divId w:val="1517232391"/>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 xml:space="preserve">2. SWOT Analysis </w:t>
      </w:r>
    </w:p>
    <w:p w14:paraId="68A32ED9" w14:textId="77777777" w:rsidR="00FE1F03" w:rsidRPr="00E51FA0" w:rsidRDefault="00FE1F03" w:rsidP="00FE1F03">
      <w:pPr>
        <w:spacing w:before="100" w:beforeAutospacing="1" w:after="100" w:afterAutospacing="1" w:line="240" w:lineRule="auto"/>
        <w:divId w:val="1517232391"/>
        <w:rPr>
          <w:rFonts w:ascii="Arial" w:hAnsi="Arial" w:cs="Arial"/>
          <w:sz w:val="24"/>
          <w:szCs w:val="24"/>
          <w:lang w:eastAsia="ro-RO"/>
        </w:rPr>
      </w:pPr>
    </w:p>
    <w:p w14:paraId="57493650" w14:textId="77777777" w:rsidR="00FE1F03" w:rsidRPr="00E51FA0" w:rsidRDefault="00FE1F03" w:rsidP="00FE1F03">
      <w:pPr>
        <w:spacing w:before="100" w:beforeAutospacing="1" w:after="100" w:afterAutospacing="1" w:line="240" w:lineRule="auto"/>
        <w:outlineLvl w:val="1"/>
        <w:divId w:val="1517232391"/>
        <w:rPr>
          <w:rFonts w:ascii="Arial" w:eastAsia="Times New Roman" w:hAnsi="Arial" w:cs="Arial"/>
          <w:b/>
          <w:bCs/>
          <w:sz w:val="32"/>
          <w:szCs w:val="32"/>
          <w:lang w:eastAsia="ro-RO"/>
        </w:rPr>
      </w:pPr>
      <w:r w:rsidRPr="00E51FA0">
        <w:rPr>
          <w:rFonts w:ascii="Arial" w:eastAsia="Times New Roman" w:hAnsi="Arial" w:cs="Arial"/>
          <w:b/>
          <w:bCs/>
          <w:sz w:val="32"/>
          <w:szCs w:val="32"/>
          <w:lang w:eastAsia="ro-RO"/>
        </w:rPr>
        <w:t>Strengths</w:t>
      </w:r>
    </w:p>
    <w:p w14:paraId="2EB58217" w14:textId="77777777" w:rsidR="00FE1F03" w:rsidRPr="00E51FA0" w:rsidRDefault="00FE1F03" w:rsidP="00FE1F03">
      <w:pPr>
        <w:numPr>
          <w:ilvl w:val="0"/>
          <w:numId w:val="1"/>
        </w:numPr>
        <w:spacing w:before="100" w:beforeAutospacing="1" w:after="100" w:afterAutospacing="1" w:line="240" w:lineRule="auto"/>
        <w:divId w:val="1517232391"/>
        <w:rPr>
          <w:rFonts w:ascii="Arial" w:hAnsi="Arial" w:cs="Arial"/>
          <w:sz w:val="24"/>
          <w:szCs w:val="24"/>
          <w:lang w:eastAsia="ro-RO"/>
        </w:rPr>
      </w:pPr>
      <w:r w:rsidRPr="00E51FA0">
        <w:rPr>
          <w:rFonts w:ascii="Arial" w:hAnsi="Arial" w:cs="Arial"/>
          <w:sz w:val="24"/>
          <w:szCs w:val="24"/>
          <w:lang w:eastAsia="ro-RO"/>
        </w:rPr>
        <w:t>Strong brand recognition – Fitbit is one of the most recognisable wearable brands globally, with a long-standing presence in the UK market.</w:t>
      </w:r>
    </w:p>
    <w:p w14:paraId="044C7CD5" w14:textId="77777777" w:rsidR="00FE1F03" w:rsidRPr="00E51FA0" w:rsidRDefault="00FE1F03" w:rsidP="00FE1F03">
      <w:pPr>
        <w:numPr>
          <w:ilvl w:val="0"/>
          <w:numId w:val="1"/>
        </w:numPr>
        <w:spacing w:before="100" w:beforeAutospacing="1" w:after="100" w:afterAutospacing="1" w:line="240" w:lineRule="auto"/>
        <w:divId w:val="1517232391"/>
        <w:rPr>
          <w:rFonts w:ascii="Arial" w:hAnsi="Arial" w:cs="Arial"/>
          <w:sz w:val="24"/>
          <w:szCs w:val="24"/>
          <w:lang w:eastAsia="ro-RO"/>
        </w:rPr>
      </w:pPr>
      <w:r w:rsidRPr="00E51FA0">
        <w:rPr>
          <w:rFonts w:ascii="Arial" w:hAnsi="Arial" w:cs="Arial"/>
          <w:sz w:val="24"/>
          <w:szCs w:val="24"/>
          <w:lang w:eastAsia="ro-RO"/>
        </w:rPr>
        <w:t>Integration with Google’s technology – Access to advanced analytics, AI-driven health insights and secure cloud infrastructure enhances its competitive advantage.</w:t>
      </w:r>
    </w:p>
    <w:p w14:paraId="055DAE01" w14:textId="77777777" w:rsidR="00FE1F03" w:rsidRPr="00E51FA0" w:rsidRDefault="00FE1F03" w:rsidP="00FE1F03">
      <w:pPr>
        <w:numPr>
          <w:ilvl w:val="0"/>
          <w:numId w:val="1"/>
        </w:numPr>
        <w:spacing w:before="100" w:beforeAutospacing="1" w:after="100" w:afterAutospacing="1" w:line="240" w:lineRule="auto"/>
        <w:divId w:val="1517232391"/>
        <w:rPr>
          <w:rFonts w:ascii="Arial" w:hAnsi="Arial" w:cs="Arial"/>
          <w:sz w:val="24"/>
          <w:szCs w:val="24"/>
          <w:lang w:eastAsia="ro-RO"/>
        </w:rPr>
      </w:pPr>
      <w:r w:rsidRPr="00E51FA0">
        <w:rPr>
          <w:rFonts w:ascii="Arial" w:hAnsi="Arial" w:cs="Arial"/>
          <w:sz w:val="24"/>
          <w:szCs w:val="24"/>
          <w:lang w:eastAsia="ro-RO"/>
        </w:rPr>
        <w:t>Comprehensive health monitoring features – Fitbit offers a broad range of validated health metrics.</w:t>
      </w:r>
    </w:p>
    <w:p w14:paraId="75E91FCC" w14:textId="77777777" w:rsidR="00FE1F03" w:rsidRPr="00E51FA0" w:rsidRDefault="00FE1F03" w:rsidP="00FE1F03">
      <w:pPr>
        <w:numPr>
          <w:ilvl w:val="0"/>
          <w:numId w:val="1"/>
        </w:numPr>
        <w:spacing w:before="100" w:beforeAutospacing="1" w:after="100" w:afterAutospacing="1" w:line="240" w:lineRule="auto"/>
        <w:divId w:val="1517232391"/>
        <w:rPr>
          <w:rFonts w:ascii="Arial" w:hAnsi="Arial" w:cs="Arial"/>
          <w:sz w:val="24"/>
          <w:szCs w:val="24"/>
          <w:lang w:eastAsia="ro-RO"/>
        </w:rPr>
      </w:pPr>
      <w:r w:rsidRPr="00E51FA0">
        <w:rPr>
          <w:rFonts w:ascii="Arial" w:hAnsi="Arial" w:cs="Arial"/>
          <w:sz w:val="24"/>
          <w:szCs w:val="24"/>
          <w:lang w:eastAsia="ro-RO"/>
        </w:rPr>
        <w:t>Large existing customer base – This supports rapid adoption of new products.</w:t>
      </w:r>
    </w:p>
    <w:p w14:paraId="30B2B128" w14:textId="77777777" w:rsidR="0041033D" w:rsidRPr="00E51FA0" w:rsidRDefault="00FE1F03" w:rsidP="0041033D">
      <w:pPr>
        <w:pStyle w:val="p1"/>
        <w:numPr>
          <w:ilvl w:val="0"/>
          <w:numId w:val="2"/>
        </w:numPr>
        <w:divId w:val="1826773432"/>
        <w:rPr>
          <w:rFonts w:ascii="Arial" w:hAnsi="Arial" w:cs="Arial"/>
        </w:rPr>
      </w:pPr>
      <w:r w:rsidRPr="00E51FA0">
        <w:rPr>
          <w:rFonts w:ascii="Arial" w:hAnsi="Arial" w:cs="Arial"/>
        </w:rPr>
        <w:t>Strong relationships with retailers and healthcare partners </w:t>
      </w:r>
      <w:r w:rsidR="0041033D" w:rsidRPr="00E51FA0">
        <w:rPr>
          <w:rStyle w:val="s1"/>
          <w:rFonts w:ascii="Arial" w:hAnsi="Arial" w:cs="Arial"/>
        </w:rPr>
        <w:t>Boots, Amazon UK, Argos, NHS collaboration pilots.</w:t>
      </w:r>
    </w:p>
    <w:p w14:paraId="699093D0" w14:textId="77777777" w:rsidR="00213FD7" w:rsidRPr="00E51FA0" w:rsidRDefault="00213FD7" w:rsidP="00213FD7">
      <w:pPr>
        <w:spacing w:before="100" w:beforeAutospacing="1" w:after="100" w:afterAutospacing="1" w:line="240" w:lineRule="auto"/>
        <w:outlineLvl w:val="1"/>
        <w:divId w:val="1359697109"/>
        <w:rPr>
          <w:rFonts w:ascii="Arial" w:eastAsia="Times New Roman" w:hAnsi="Arial" w:cs="Arial"/>
          <w:b/>
          <w:bCs/>
          <w:sz w:val="32"/>
          <w:szCs w:val="32"/>
          <w:lang w:eastAsia="ro-RO"/>
        </w:rPr>
      </w:pPr>
      <w:r w:rsidRPr="00E51FA0">
        <w:rPr>
          <w:rFonts w:ascii="Arial" w:eastAsia="Times New Roman" w:hAnsi="Arial" w:cs="Arial"/>
          <w:b/>
          <w:bCs/>
          <w:sz w:val="32"/>
          <w:szCs w:val="32"/>
          <w:lang w:eastAsia="ro-RO"/>
        </w:rPr>
        <w:t>Weaknesses</w:t>
      </w:r>
    </w:p>
    <w:p w14:paraId="6A8370E5" w14:textId="77777777" w:rsidR="00213FD7" w:rsidRPr="00E51FA0" w:rsidRDefault="00213FD7" w:rsidP="00213FD7">
      <w:pPr>
        <w:numPr>
          <w:ilvl w:val="0"/>
          <w:numId w:val="3"/>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Dependence on the competitive smartwatch market, dominated by strong competitors like Apple and Samsung.</w:t>
      </w:r>
    </w:p>
    <w:p w14:paraId="4F8EF554" w14:textId="77777777" w:rsidR="00213FD7" w:rsidRPr="00E51FA0" w:rsidRDefault="00213FD7" w:rsidP="00213FD7">
      <w:pPr>
        <w:numPr>
          <w:ilvl w:val="0"/>
          <w:numId w:val="3"/>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Limited medical-grade certifications compared to devices designed specifically for clinical use.</w:t>
      </w:r>
    </w:p>
    <w:p w14:paraId="3A66862F" w14:textId="77777777" w:rsidR="00213FD7" w:rsidRPr="00E51FA0" w:rsidRDefault="00213FD7" w:rsidP="00213FD7">
      <w:pPr>
        <w:numPr>
          <w:ilvl w:val="0"/>
          <w:numId w:val="3"/>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Battery life constraints for advanced monitoring features.</w:t>
      </w:r>
    </w:p>
    <w:p w14:paraId="0A369DC8" w14:textId="77777777" w:rsidR="00213FD7" w:rsidRPr="00E51FA0" w:rsidRDefault="00213FD7" w:rsidP="00213FD7">
      <w:pPr>
        <w:numPr>
          <w:ilvl w:val="0"/>
          <w:numId w:val="3"/>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Potential customer concerns regarding data privacy under Google ownership.</w:t>
      </w:r>
    </w:p>
    <w:p w14:paraId="6C4FB9ED" w14:textId="77777777" w:rsidR="00213FD7" w:rsidRPr="00E51FA0" w:rsidRDefault="00213FD7" w:rsidP="00213FD7">
      <w:pPr>
        <w:spacing w:before="100" w:beforeAutospacing="1" w:after="100" w:afterAutospacing="1" w:line="240" w:lineRule="auto"/>
        <w:divId w:val="1359697109"/>
        <w:rPr>
          <w:rFonts w:ascii="Arial" w:hAnsi="Arial" w:cs="Arial"/>
          <w:sz w:val="24"/>
          <w:szCs w:val="24"/>
          <w:lang w:eastAsia="ro-RO"/>
        </w:rPr>
      </w:pPr>
    </w:p>
    <w:p w14:paraId="499CA2BF" w14:textId="77777777" w:rsidR="00213FD7" w:rsidRPr="00E51FA0" w:rsidRDefault="00213FD7" w:rsidP="00213FD7">
      <w:pPr>
        <w:spacing w:before="100" w:beforeAutospacing="1" w:after="100" w:afterAutospacing="1" w:line="240" w:lineRule="auto"/>
        <w:outlineLvl w:val="1"/>
        <w:divId w:val="1359697109"/>
        <w:rPr>
          <w:rFonts w:ascii="Arial" w:eastAsia="Times New Roman" w:hAnsi="Arial" w:cs="Arial"/>
          <w:b/>
          <w:bCs/>
          <w:sz w:val="32"/>
          <w:szCs w:val="32"/>
          <w:lang w:eastAsia="ro-RO"/>
        </w:rPr>
      </w:pPr>
      <w:r w:rsidRPr="00E51FA0">
        <w:rPr>
          <w:rFonts w:ascii="Arial" w:eastAsia="Times New Roman" w:hAnsi="Arial" w:cs="Arial"/>
          <w:b/>
          <w:bCs/>
          <w:sz w:val="32"/>
          <w:szCs w:val="32"/>
          <w:lang w:eastAsia="ro-RO"/>
        </w:rPr>
        <w:t>Opportunities</w:t>
      </w:r>
    </w:p>
    <w:p w14:paraId="191C5793" w14:textId="77777777" w:rsidR="00213FD7" w:rsidRPr="00E51FA0" w:rsidRDefault="00213FD7" w:rsidP="00213FD7">
      <w:pPr>
        <w:numPr>
          <w:ilvl w:val="0"/>
          <w:numId w:val="4"/>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Rising demand for digital health monitoring in the UK.</w:t>
      </w:r>
    </w:p>
    <w:p w14:paraId="6F58623D" w14:textId="77777777" w:rsidR="00213FD7" w:rsidRPr="00E51FA0" w:rsidRDefault="00213FD7" w:rsidP="00213FD7">
      <w:pPr>
        <w:numPr>
          <w:ilvl w:val="0"/>
          <w:numId w:val="4"/>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UK government interest in preventive healthcare through wearables and remote monitoring.</w:t>
      </w:r>
    </w:p>
    <w:p w14:paraId="2CBDB513" w14:textId="77777777" w:rsidR="00213FD7" w:rsidRPr="00E51FA0" w:rsidRDefault="00213FD7" w:rsidP="00213FD7">
      <w:pPr>
        <w:numPr>
          <w:ilvl w:val="0"/>
          <w:numId w:val="4"/>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lastRenderedPageBreak/>
        <w:t>Partnerships with healthcare providers and insurance companies (e.g., health programmes using incentives).</w:t>
      </w:r>
    </w:p>
    <w:p w14:paraId="04D85793" w14:textId="77777777" w:rsidR="00213FD7" w:rsidRPr="00E51FA0" w:rsidRDefault="00213FD7" w:rsidP="00213FD7">
      <w:pPr>
        <w:numPr>
          <w:ilvl w:val="0"/>
          <w:numId w:val="4"/>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Expanding into chronic illness monitoring, e.g., sleep apnea screening, heart arrhythmia detection.</w:t>
      </w:r>
    </w:p>
    <w:p w14:paraId="7AA44252" w14:textId="77777777" w:rsidR="00213FD7" w:rsidRPr="00E51FA0" w:rsidRDefault="00213FD7" w:rsidP="00213FD7">
      <w:pPr>
        <w:numPr>
          <w:ilvl w:val="0"/>
          <w:numId w:val="4"/>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Rapidly growing fitness and wellness technology market.</w:t>
      </w:r>
    </w:p>
    <w:p w14:paraId="0A912C2B" w14:textId="77777777" w:rsidR="00213FD7" w:rsidRPr="00E51FA0" w:rsidRDefault="00213FD7" w:rsidP="00213FD7">
      <w:pPr>
        <w:spacing w:before="100" w:beforeAutospacing="1" w:after="100" w:afterAutospacing="1" w:line="240" w:lineRule="auto"/>
        <w:divId w:val="1359697109"/>
        <w:rPr>
          <w:rFonts w:ascii="Arial" w:hAnsi="Arial" w:cs="Arial"/>
          <w:sz w:val="24"/>
          <w:szCs w:val="24"/>
          <w:lang w:eastAsia="ro-RO"/>
        </w:rPr>
      </w:pPr>
    </w:p>
    <w:p w14:paraId="7E582224" w14:textId="77777777" w:rsidR="00213FD7" w:rsidRPr="00E51FA0" w:rsidRDefault="00213FD7" w:rsidP="00213FD7">
      <w:pPr>
        <w:spacing w:before="100" w:beforeAutospacing="1" w:after="100" w:afterAutospacing="1" w:line="240" w:lineRule="auto"/>
        <w:outlineLvl w:val="1"/>
        <w:divId w:val="1359697109"/>
        <w:rPr>
          <w:rFonts w:ascii="Arial" w:eastAsia="Times New Roman" w:hAnsi="Arial" w:cs="Arial"/>
          <w:b/>
          <w:bCs/>
          <w:sz w:val="32"/>
          <w:szCs w:val="32"/>
          <w:lang w:eastAsia="ro-RO"/>
        </w:rPr>
      </w:pPr>
      <w:r w:rsidRPr="00E51FA0">
        <w:rPr>
          <w:rFonts w:ascii="Arial" w:eastAsia="Times New Roman" w:hAnsi="Arial" w:cs="Arial"/>
          <w:b/>
          <w:bCs/>
          <w:sz w:val="32"/>
          <w:szCs w:val="32"/>
          <w:lang w:eastAsia="ro-RO"/>
        </w:rPr>
        <w:t>Threats</w:t>
      </w:r>
    </w:p>
    <w:p w14:paraId="1622CBF2" w14:textId="77777777" w:rsidR="00213FD7" w:rsidRPr="00E51FA0" w:rsidRDefault="00213FD7" w:rsidP="00213FD7">
      <w:pPr>
        <w:numPr>
          <w:ilvl w:val="0"/>
          <w:numId w:val="5"/>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Intense competition from Apple, Garmin, Samsung and new entrants like Huawei.</w:t>
      </w:r>
    </w:p>
    <w:p w14:paraId="4FF6C8F9" w14:textId="77777777" w:rsidR="00213FD7" w:rsidRPr="00E51FA0" w:rsidRDefault="00213FD7" w:rsidP="00213FD7">
      <w:pPr>
        <w:numPr>
          <w:ilvl w:val="0"/>
          <w:numId w:val="5"/>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Changing data protection regulations (UK GDPR) that require continuous compliance.</w:t>
      </w:r>
    </w:p>
    <w:p w14:paraId="4988CBED" w14:textId="77777777" w:rsidR="00213FD7" w:rsidRPr="00E51FA0" w:rsidRDefault="00213FD7" w:rsidP="00213FD7">
      <w:pPr>
        <w:numPr>
          <w:ilvl w:val="0"/>
          <w:numId w:val="5"/>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Economic pressures affecting consumer spending on non-essential electronics.</w:t>
      </w:r>
    </w:p>
    <w:p w14:paraId="20042A47" w14:textId="77777777" w:rsidR="00213FD7" w:rsidRPr="00E51FA0" w:rsidRDefault="00213FD7" w:rsidP="00213FD7">
      <w:pPr>
        <w:numPr>
          <w:ilvl w:val="0"/>
          <w:numId w:val="5"/>
        </w:numPr>
        <w:spacing w:before="100" w:beforeAutospacing="1" w:after="100" w:afterAutospacing="1" w:line="240" w:lineRule="auto"/>
        <w:divId w:val="1359697109"/>
        <w:rPr>
          <w:rFonts w:ascii="Arial" w:hAnsi="Arial" w:cs="Arial"/>
          <w:sz w:val="24"/>
          <w:szCs w:val="24"/>
          <w:lang w:eastAsia="ro-RO"/>
        </w:rPr>
      </w:pPr>
      <w:r w:rsidRPr="00E51FA0">
        <w:rPr>
          <w:rFonts w:ascii="Arial" w:hAnsi="Arial" w:cs="Arial"/>
          <w:sz w:val="24"/>
          <w:szCs w:val="24"/>
          <w:lang w:eastAsia="ro-RO"/>
        </w:rPr>
        <w:t>Supply chain disruptions impacting microchips, batteries and manufacturing.</w:t>
      </w:r>
    </w:p>
    <w:p w14:paraId="0B75C13C" w14:textId="44AF3C28" w:rsidR="00FE1F03" w:rsidRPr="00E51FA0" w:rsidRDefault="00733CF6" w:rsidP="00213FD7">
      <w:pPr>
        <w:spacing w:before="100" w:beforeAutospacing="1" w:after="100" w:afterAutospacing="1" w:line="240" w:lineRule="auto"/>
        <w:ind w:left="720"/>
        <w:divId w:val="1517232391"/>
        <w:rPr>
          <w:rFonts w:ascii="Arial" w:hAnsi="Arial" w:cs="Arial"/>
          <w:sz w:val="24"/>
          <w:szCs w:val="24"/>
          <w:lang w:eastAsia="ro-RO"/>
        </w:rPr>
      </w:pPr>
      <w:r w:rsidRPr="00E51FA0">
        <w:rPr>
          <w:rFonts w:ascii="Arial" w:hAnsi="Arial" w:cs="Arial"/>
          <w:sz w:val="24"/>
          <w:szCs w:val="24"/>
          <w:lang w:eastAsia="ro-RO"/>
        </w:rPr>
        <w:t>K</w:t>
      </w:r>
      <w:r w:rsidR="00D23E4D" w:rsidRPr="00E51FA0">
        <w:rPr>
          <w:rFonts w:ascii="Arial" w:hAnsi="Arial" w:cs="Arial"/>
          <w:sz w:val="24"/>
          <w:szCs w:val="24"/>
          <w:lang w:eastAsia="ro-RO"/>
        </w:rPr>
        <w:t>otler,P.,&amp;</w:t>
      </w:r>
      <w:r w:rsidR="00480A68" w:rsidRPr="00E51FA0">
        <w:rPr>
          <w:rFonts w:ascii="Arial" w:hAnsi="Arial" w:cs="Arial"/>
          <w:sz w:val="24"/>
          <w:szCs w:val="24"/>
          <w:lang w:eastAsia="ro-RO"/>
        </w:rPr>
        <w:t>Keller, K.L.(2016)</w:t>
      </w:r>
    </w:p>
    <w:p w14:paraId="0002923C" w14:textId="57DD09C0" w:rsidR="19DF5ED4" w:rsidRPr="00E51FA0" w:rsidRDefault="19DF5ED4" w:rsidP="19DF5ED4">
      <w:pPr>
        <w:spacing w:line="600" w:lineRule="auto"/>
        <w:rPr>
          <w:rFonts w:ascii="Arial" w:hAnsi="Arial" w:cs="Arial"/>
          <w:b/>
          <w:bCs/>
          <w:i/>
          <w:iCs/>
        </w:rPr>
      </w:pPr>
    </w:p>
    <w:p w14:paraId="1DCA47E5" w14:textId="086A0EF9" w:rsidR="00FA3CBF" w:rsidRPr="00E51FA0" w:rsidRDefault="00FA3CBF" w:rsidP="00FA3CBF">
      <w:pPr>
        <w:spacing w:before="100" w:beforeAutospacing="1" w:after="100" w:afterAutospacing="1" w:line="240" w:lineRule="auto"/>
        <w:outlineLvl w:val="0"/>
        <w:divId w:val="982546623"/>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 xml:space="preserve">3. Stakeholder Identification – Internal &amp; External </w:t>
      </w:r>
    </w:p>
    <w:p w14:paraId="3E17C7AE" w14:textId="77777777" w:rsidR="00DD7455" w:rsidRPr="00E51FA0" w:rsidRDefault="00DD7455" w:rsidP="00DD7455">
      <w:pPr>
        <w:spacing w:before="100" w:beforeAutospacing="1" w:after="100" w:afterAutospacing="1" w:line="240" w:lineRule="auto"/>
        <w:outlineLvl w:val="2"/>
        <w:divId w:val="592708423"/>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Internal Stakeholders</w:t>
      </w:r>
    </w:p>
    <w:p w14:paraId="6F3E1302" w14:textId="5DCA3C3E" w:rsidR="19DF5ED4" w:rsidRPr="00E51FA0" w:rsidRDefault="19DF5ED4" w:rsidP="19DF5ED4">
      <w:pPr>
        <w:spacing w:line="600" w:lineRule="auto"/>
        <w:rPr>
          <w:rFonts w:ascii="Arial" w:hAnsi="Arial" w:cs="Arial"/>
          <w:b/>
          <w:bCs/>
          <w:i/>
          <w:iCs/>
        </w:rPr>
      </w:pPr>
    </w:p>
    <w:tbl>
      <w:tblPr>
        <w:tblStyle w:val="GridTable5Dark-Accent2"/>
        <w:tblW w:w="0" w:type="auto"/>
        <w:tblLook w:val="04A0" w:firstRow="1" w:lastRow="0" w:firstColumn="1" w:lastColumn="0" w:noHBand="0" w:noVBand="1"/>
      </w:tblPr>
      <w:tblGrid>
        <w:gridCol w:w="3113"/>
        <w:gridCol w:w="3550"/>
        <w:gridCol w:w="1270"/>
        <w:gridCol w:w="1083"/>
      </w:tblGrid>
      <w:tr w:rsidR="00A658FE" w:rsidRPr="00E51FA0" w14:paraId="025F6651" w14:textId="77777777" w:rsidTr="00270887">
        <w:trPr>
          <w:cnfStyle w:val="100000000000" w:firstRow="1" w:lastRow="0" w:firstColumn="0" w:lastColumn="0" w:oddVBand="0" w:evenVBand="0" w:oddHBand="0" w:evenHBand="0" w:firstRowFirstColumn="0" w:firstRowLastColumn="0" w:lastRowFirstColumn="0" w:lastRowLastColumn="0"/>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7BA8EF20" w14:textId="77777777" w:rsidR="00A658FE" w:rsidRPr="00E51FA0" w:rsidRDefault="00A658FE" w:rsidP="00A658FE">
            <w:pPr>
              <w:spacing w:before="100" w:beforeAutospacing="1" w:after="100" w:afterAutospacing="1"/>
              <w:jc w:val="center"/>
              <w:rPr>
                <w:rFonts w:ascii="Arial" w:hAnsi="Arial" w:cs="Arial"/>
                <w:b w:val="0"/>
                <w:bCs w:val="0"/>
                <w:sz w:val="24"/>
                <w:szCs w:val="24"/>
                <w:lang w:eastAsia="ro-RO"/>
              </w:rPr>
            </w:pPr>
            <w:r w:rsidRPr="00E51FA0">
              <w:rPr>
                <w:rFonts w:ascii="Arial" w:hAnsi="Arial" w:cs="Arial"/>
                <w:sz w:val="24"/>
                <w:szCs w:val="24"/>
                <w:lang w:eastAsia="ro-RO"/>
              </w:rPr>
              <w:t>Stakeholder</w:t>
            </w:r>
          </w:p>
        </w:tc>
        <w:tc>
          <w:tcPr>
            <w:tcW w:w="0" w:type="auto"/>
            <w:hideMark/>
          </w:tcPr>
          <w:p w14:paraId="1AEA9337" w14:textId="77777777" w:rsidR="00A658FE" w:rsidRPr="00E51FA0" w:rsidRDefault="00A658FE" w:rsidP="00A658FE">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Role</w:t>
            </w:r>
          </w:p>
        </w:tc>
        <w:tc>
          <w:tcPr>
            <w:tcW w:w="0" w:type="auto"/>
            <w:hideMark/>
          </w:tcPr>
          <w:p w14:paraId="341E70BC" w14:textId="77777777" w:rsidR="00A658FE" w:rsidRPr="00E51FA0" w:rsidRDefault="00A658FE" w:rsidP="00A658FE">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Influence</w:t>
            </w:r>
          </w:p>
        </w:tc>
        <w:tc>
          <w:tcPr>
            <w:tcW w:w="0" w:type="auto"/>
            <w:hideMark/>
          </w:tcPr>
          <w:p w14:paraId="0ED7A847" w14:textId="77777777" w:rsidR="00A658FE" w:rsidRPr="00E51FA0" w:rsidRDefault="00A658FE" w:rsidP="00A658FE">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Interest</w:t>
            </w:r>
          </w:p>
        </w:tc>
      </w:tr>
      <w:tr w:rsidR="00A658FE" w:rsidRPr="00E51FA0" w14:paraId="33816186" w14:textId="77777777" w:rsidTr="00270887">
        <w:trPr>
          <w:cnfStyle w:val="000000100000" w:firstRow="0" w:lastRow="0" w:firstColumn="0" w:lastColumn="0" w:oddVBand="0" w:evenVBand="0" w:oddHBand="1" w:evenHBand="0" w:firstRowFirstColumn="0" w:firstRowLastColumn="0" w:lastRowFirstColumn="0" w:lastRowLastColumn="0"/>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20E4DF95"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Senior Management</w:t>
            </w:r>
          </w:p>
        </w:tc>
        <w:tc>
          <w:tcPr>
            <w:tcW w:w="0" w:type="auto"/>
            <w:hideMark/>
          </w:tcPr>
          <w:p w14:paraId="07622CC7"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Strategic decision-making</w:t>
            </w:r>
          </w:p>
        </w:tc>
        <w:tc>
          <w:tcPr>
            <w:tcW w:w="0" w:type="auto"/>
            <w:hideMark/>
          </w:tcPr>
          <w:p w14:paraId="5C5C8A02"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c>
          <w:tcPr>
            <w:tcW w:w="0" w:type="auto"/>
            <w:hideMark/>
          </w:tcPr>
          <w:p w14:paraId="65276603"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A658FE" w:rsidRPr="00E51FA0" w14:paraId="29CEEB1C" w14:textId="77777777" w:rsidTr="00270887">
        <w:trPr>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058722C2"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Product Development Team</w:t>
            </w:r>
          </w:p>
        </w:tc>
        <w:tc>
          <w:tcPr>
            <w:tcW w:w="0" w:type="auto"/>
            <w:hideMark/>
          </w:tcPr>
          <w:p w14:paraId="2C4D0E1F"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Designs and tests the new device</w:t>
            </w:r>
          </w:p>
        </w:tc>
        <w:tc>
          <w:tcPr>
            <w:tcW w:w="0" w:type="auto"/>
            <w:hideMark/>
          </w:tcPr>
          <w:p w14:paraId="23238418"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c>
          <w:tcPr>
            <w:tcW w:w="0" w:type="auto"/>
            <w:hideMark/>
          </w:tcPr>
          <w:p w14:paraId="248F557A"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A658FE" w:rsidRPr="00E51FA0" w14:paraId="626A914A" w14:textId="77777777" w:rsidTr="00270887">
        <w:trPr>
          <w:cnfStyle w:val="000000100000" w:firstRow="0" w:lastRow="0" w:firstColumn="0" w:lastColumn="0" w:oddVBand="0" w:evenVBand="0" w:oddHBand="1" w:evenHBand="0" w:firstRowFirstColumn="0" w:firstRowLastColumn="0" w:lastRowFirstColumn="0" w:lastRowLastColumn="0"/>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021E5716"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Marketing Department</w:t>
            </w:r>
          </w:p>
        </w:tc>
        <w:tc>
          <w:tcPr>
            <w:tcW w:w="0" w:type="auto"/>
            <w:hideMark/>
          </w:tcPr>
          <w:p w14:paraId="60FF8629"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Branding &amp; promotional campaigns</w:t>
            </w:r>
          </w:p>
        </w:tc>
        <w:tc>
          <w:tcPr>
            <w:tcW w:w="0" w:type="auto"/>
            <w:hideMark/>
          </w:tcPr>
          <w:p w14:paraId="45CAC251"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0E8D6BBB"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A658FE" w:rsidRPr="00E51FA0" w14:paraId="2463561A" w14:textId="77777777" w:rsidTr="00270887">
        <w:trPr>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2D54B21B"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Sales Department</w:t>
            </w:r>
          </w:p>
        </w:tc>
        <w:tc>
          <w:tcPr>
            <w:tcW w:w="0" w:type="auto"/>
            <w:hideMark/>
          </w:tcPr>
          <w:p w14:paraId="254170B4"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Retail partnerships &amp; distribution</w:t>
            </w:r>
          </w:p>
        </w:tc>
        <w:tc>
          <w:tcPr>
            <w:tcW w:w="0" w:type="auto"/>
            <w:hideMark/>
          </w:tcPr>
          <w:p w14:paraId="5A8D7A63"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009D0F5F"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A658FE" w:rsidRPr="00E51FA0" w14:paraId="2494F875" w14:textId="77777777" w:rsidTr="00270887">
        <w:trPr>
          <w:cnfStyle w:val="000000100000" w:firstRow="0" w:lastRow="0" w:firstColumn="0" w:lastColumn="0" w:oddVBand="0" w:evenVBand="0" w:oddHBand="1" w:evenHBand="0" w:firstRowFirstColumn="0" w:firstRowLastColumn="0" w:lastRowFirstColumn="0" w:lastRowLastColumn="0"/>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11EAEBD5"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Customer Support</w:t>
            </w:r>
          </w:p>
        </w:tc>
        <w:tc>
          <w:tcPr>
            <w:tcW w:w="0" w:type="auto"/>
            <w:hideMark/>
          </w:tcPr>
          <w:p w14:paraId="7C65F4D3"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Post-launch service</w:t>
            </w:r>
          </w:p>
        </w:tc>
        <w:tc>
          <w:tcPr>
            <w:tcW w:w="0" w:type="auto"/>
            <w:hideMark/>
          </w:tcPr>
          <w:p w14:paraId="6E6E2BD0"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Low</w:t>
            </w:r>
          </w:p>
        </w:tc>
        <w:tc>
          <w:tcPr>
            <w:tcW w:w="0" w:type="auto"/>
            <w:hideMark/>
          </w:tcPr>
          <w:p w14:paraId="1393B50A" w14:textId="77777777" w:rsidR="00A658FE" w:rsidRPr="00E51FA0" w:rsidRDefault="00A658FE" w:rsidP="00A658F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r>
      <w:tr w:rsidR="00A658FE" w:rsidRPr="00E51FA0" w14:paraId="102C23CD" w14:textId="77777777" w:rsidTr="00270887">
        <w:trPr>
          <w:divId w:val="537667783"/>
        </w:trPr>
        <w:tc>
          <w:tcPr>
            <w:cnfStyle w:val="001000000000" w:firstRow="0" w:lastRow="0" w:firstColumn="1" w:lastColumn="0" w:oddVBand="0" w:evenVBand="0" w:oddHBand="0" w:evenHBand="0" w:firstRowFirstColumn="0" w:firstRowLastColumn="0" w:lastRowFirstColumn="0" w:lastRowLastColumn="0"/>
            <w:tcW w:w="0" w:type="auto"/>
            <w:hideMark/>
          </w:tcPr>
          <w:p w14:paraId="020C6059" w14:textId="77777777" w:rsidR="00A658FE" w:rsidRPr="00E51FA0" w:rsidRDefault="00A658FE" w:rsidP="00A658FE">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IT &amp; Data Security</w:t>
            </w:r>
          </w:p>
        </w:tc>
        <w:tc>
          <w:tcPr>
            <w:tcW w:w="0" w:type="auto"/>
            <w:hideMark/>
          </w:tcPr>
          <w:p w14:paraId="2FD8E085"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Protects user data</w:t>
            </w:r>
          </w:p>
        </w:tc>
        <w:tc>
          <w:tcPr>
            <w:tcW w:w="0" w:type="auto"/>
            <w:hideMark/>
          </w:tcPr>
          <w:p w14:paraId="2E2A0BE9"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c>
          <w:tcPr>
            <w:tcW w:w="0" w:type="auto"/>
            <w:hideMark/>
          </w:tcPr>
          <w:p w14:paraId="1E17BFF7" w14:textId="77777777" w:rsidR="00A658FE" w:rsidRPr="00E51FA0" w:rsidRDefault="00A658FE" w:rsidP="00A658F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bl>
    <w:p w14:paraId="125A4E05" w14:textId="47B6F5F1" w:rsidR="19DF5ED4" w:rsidRPr="00E51FA0" w:rsidRDefault="19DF5ED4" w:rsidP="19DF5ED4">
      <w:pPr>
        <w:spacing w:line="600" w:lineRule="auto"/>
        <w:rPr>
          <w:rFonts w:ascii="Arial" w:hAnsi="Arial" w:cs="Arial"/>
          <w:b/>
          <w:bCs/>
          <w:i/>
          <w:iCs/>
        </w:rPr>
      </w:pPr>
    </w:p>
    <w:p w14:paraId="6130DA61" w14:textId="77777777" w:rsidR="004B771D" w:rsidRPr="00E51FA0" w:rsidRDefault="004B771D" w:rsidP="19DF5ED4">
      <w:pPr>
        <w:spacing w:line="600" w:lineRule="auto"/>
        <w:rPr>
          <w:rFonts w:ascii="Arial" w:hAnsi="Arial" w:cs="Arial"/>
          <w:b/>
          <w:bCs/>
          <w:i/>
          <w:iCs/>
        </w:rPr>
      </w:pPr>
    </w:p>
    <w:p w14:paraId="0F37E172" w14:textId="77777777" w:rsidR="004B771D" w:rsidRPr="00E51FA0" w:rsidRDefault="004B771D" w:rsidP="19DF5ED4">
      <w:pPr>
        <w:spacing w:line="600" w:lineRule="auto"/>
        <w:rPr>
          <w:rFonts w:ascii="Arial" w:hAnsi="Arial" w:cs="Arial"/>
          <w:b/>
          <w:bCs/>
          <w:i/>
          <w:iCs/>
        </w:rPr>
      </w:pPr>
    </w:p>
    <w:p w14:paraId="1D61F502" w14:textId="77777777" w:rsidR="0081271F" w:rsidRPr="00E51FA0" w:rsidRDefault="0081271F" w:rsidP="0081271F">
      <w:pPr>
        <w:spacing w:before="100" w:beforeAutospacing="1" w:after="100" w:afterAutospacing="1" w:line="240" w:lineRule="auto"/>
        <w:outlineLvl w:val="2"/>
        <w:divId w:val="35319127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External Stakeholders</w:t>
      </w:r>
    </w:p>
    <w:p w14:paraId="40639C48" w14:textId="774A44FC" w:rsidR="19DF5ED4" w:rsidRPr="00E51FA0" w:rsidRDefault="19DF5ED4" w:rsidP="19DF5ED4">
      <w:pPr>
        <w:spacing w:line="600" w:lineRule="auto"/>
        <w:rPr>
          <w:rFonts w:ascii="Arial" w:hAnsi="Arial" w:cs="Arial"/>
          <w:b/>
          <w:bCs/>
          <w:i/>
          <w:iCs/>
        </w:rPr>
      </w:pPr>
    </w:p>
    <w:tbl>
      <w:tblPr>
        <w:tblStyle w:val="GridTable5Dark-Accent4"/>
        <w:tblW w:w="0" w:type="auto"/>
        <w:tblLook w:val="04A0" w:firstRow="1" w:lastRow="0" w:firstColumn="1" w:lastColumn="0" w:noHBand="0" w:noVBand="1"/>
      </w:tblPr>
      <w:tblGrid>
        <w:gridCol w:w="3601"/>
        <w:gridCol w:w="3062"/>
        <w:gridCol w:w="1270"/>
        <w:gridCol w:w="1083"/>
      </w:tblGrid>
      <w:tr w:rsidR="00512638" w:rsidRPr="00E51FA0" w14:paraId="50CC7161" w14:textId="77777777" w:rsidTr="0088320B">
        <w:trPr>
          <w:cnfStyle w:val="100000000000" w:firstRow="1" w:lastRow="0" w:firstColumn="0" w:lastColumn="0" w:oddVBand="0" w:evenVBand="0" w:oddHBand="0" w:evenHBand="0" w:firstRowFirstColumn="0" w:firstRowLastColumn="0" w:lastRowFirstColumn="0" w:lastRowLastColumn="0"/>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794388EA" w14:textId="77777777" w:rsidR="00512638" w:rsidRPr="00E51FA0" w:rsidRDefault="00512638" w:rsidP="00512638">
            <w:pPr>
              <w:spacing w:before="100" w:beforeAutospacing="1" w:after="100" w:afterAutospacing="1"/>
              <w:jc w:val="center"/>
              <w:rPr>
                <w:rFonts w:ascii="Arial" w:hAnsi="Arial" w:cs="Arial"/>
                <w:b w:val="0"/>
                <w:bCs w:val="0"/>
                <w:sz w:val="24"/>
                <w:szCs w:val="24"/>
                <w:lang w:eastAsia="ro-RO"/>
              </w:rPr>
            </w:pPr>
            <w:r w:rsidRPr="00E51FA0">
              <w:rPr>
                <w:rFonts w:ascii="Arial" w:hAnsi="Arial" w:cs="Arial"/>
                <w:sz w:val="24"/>
                <w:szCs w:val="24"/>
                <w:lang w:eastAsia="ro-RO"/>
              </w:rPr>
              <w:t>Stakeholder</w:t>
            </w:r>
          </w:p>
        </w:tc>
        <w:tc>
          <w:tcPr>
            <w:tcW w:w="0" w:type="auto"/>
            <w:hideMark/>
          </w:tcPr>
          <w:p w14:paraId="2EE881FA" w14:textId="77777777" w:rsidR="00512638" w:rsidRPr="00E51FA0" w:rsidRDefault="00512638" w:rsidP="00512638">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Role</w:t>
            </w:r>
          </w:p>
        </w:tc>
        <w:tc>
          <w:tcPr>
            <w:tcW w:w="0" w:type="auto"/>
            <w:hideMark/>
          </w:tcPr>
          <w:p w14:paraId="28CF2F29" w14:textId="77777777" w:rsidR="00512638" w:rsidRPr="00E51FA0" w:rsidRDefault="00512638" w:rsidP="00512638">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Influence</w:t>
            </w:r>
          </w:p>
        </w:tc>
        <w:tc>
          <w:tcPr>
            <w:tcW w:w="0" w:type="auto"/>
            <w:hideMark/>
          </w:tcPr>
          <w:p w14:paraId="2F50FB7B" w14:textId="77777777" w:rsidR="00512638" w:rsidRPr="00E51FA0" w:rsidRDefault="00512638" w:rsidP="00512638">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Interest</w:t>
            </w:r>
          </w:p>
        </w:tc>
      </w:tr>
      <w:tr w:rsidR="00512638" w:rsidRPr="00E51FA0" w14:paraId="64BF95BB" w14:textId="77777777" w:rsidTr="0088320B">
        <w:trPr>
          <w:cnfStyle w:val="000000100000" w:firstRow="0" w:lastRow="0" w:firstColumn="0" w:lastColumn="0" w:oddVBand="0" w:evenVBand="0" w:oddHBand="1" w:evenHBand="0" w:firstRowFirstColumn="0" w:firstRowLastColumn="0" w:lastRowFirstColumn="0" w:lastRowLastColumn="0"/>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4E266BF5"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Suppliers</w:t>
            </w:r>
          </w:p>
        </w:tc>
        <w:tc>
          <w:tcPr>
            <w:tcW w:w="0" w:type="auto"/>
            <w:hideMark/>
          </w:tcPr>
          <w:p w14:paraId="3308680D"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Provide components</w:t>
            </w:r>
          </w:p>
        </w:tc>
        <w:tc>
          <w:tcPr>
            <w:tcW w:w="0" w:type="auto"/>
            <w:hideMark/>
          </w:tcPr>
          <w:p w14:paraId="648C9097"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7F93D0D6"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512638" w:rsidRPr="00E51FA0" w14:paraId="4912004B" w14:textId="77777777" w:rsidTr="0088320B">
        <w:trPr>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24E007AB"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Retailers</w:t>
            </w:r>
          </w:p>
        </w:tc>
        <w:tc>
          <w:tcPr>
            <w:tcW w:w="0" w:type="auto"/>
            <w:hideMark/>
          </w:tcPr>
          <w:p w14:paraId="4192F1B4"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Distribute product</w:t>
            </w:r>
          </w:p>
        </w:tc>
        <w:tc>
          <w:tcPr>
            <w:tcW w:w="0" w:type="auto"/>
            <w:hideMark/>
          </w:tcPr>
          <w:p w14:paraId="3D4F6447"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c>
          <w:tcPr>
            <w:tcW w:w="0" w:type="auto"/>
            <w:hideMark/>
          </w:tcPr>
          <w:p w14:paraId="29C6C220"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r>
      <w:tr w:rsidR="00512638" w:rsidRPr="00E51FA0" w14:paraId="45F3C118" w14:textId="77777777" w:rsidTr="0088320B">
        <w:trPr>
          <w:cnfStyle w:val="000000100000" w:firstRow="0" w:lastRow="0" w:firstColumn="0" w:lastColumn="0" w:oddVBand="0" w:evenVBand="0" w:oddHBand="1" w:evenHBand="0" w:firstRowFirstColumn="0" w:firstRowLastColumn="0" w:lastRowFirstColumn="0" w:lastRowLastColumn="0"/>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52A21FB3"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Regulatory Bodies (MHRA, UK GDPR)</w:t>
            </w:r>
          </w:p>
        </w:tc>
        <w:tc>
          <w:tcPr>
            <w:tcW w:w="0" w:type="auto"/>
            <w:hideMark/>
          </w:tcPr>
          <w:p w14:paraId="30A709CB"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Approve and regulate health data</w:t>
            </w:r>
          </w:p>
        </w:tc>
        <w:tc>
          <w:tcPr>
            <w:tcW w:w="0" w:type="auto"/>
            <w:hideMark/>
          </w:tcPr>
          <w:p w14:paraId="132F7C94"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c>
          <w:tcPr>
            <w:tcW w:w="0" w:type="auto"/>
            <w:hideMark/>
          </w:tcPr>
          <w:p w14:paraId="1FCAE65A"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512638" w:rsidRPr="00E51FA0" w14:paraId="15278518" w14:textId="77777777" w:rsidTr="0088320B">
        <w:trPr>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33438A9D"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Healthcare Partners</w:t>
            </w:r>
          </w:p>
        </w:tc>
        <w:tc>
          <w:tcPr>
            <w:tcW w:w="0" w:type="auto"/>
            <w:hideMark/>
          </w:tcPr>
          <w:p w14:paraId="41297B28"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Potential adopters</w:t>
            </w:r>
          </w:p>
        </w:tc>
        <w:tc>
          <w:tcPr>
            <w:tcW w:w="0" w:type="auto"/>
            <w:hideMark/>
          </w:tcPr>
          <w:p w14:paraId="6F668A5D"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4BD71403"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512638" w:rsidRPr="00E51FA0" w14:paraId="42129E20" w14:textId="77777777" w:rsidTr="0088320B">
        <w:trPr>
          <w:cnfStyle w:val="000000100000" w:firstRow="0" w:lastRow="0" w:firstColumn="0" w:lastColumn="0" w:oddVBand="0" w:evenVBand="0" w:oddHBand="1" w:evenHBand="0" w:firstRowFirstColumn="0" w:firstRowLastColumn="0" w:lastRowFirstColumn="0" w:lastRowLastColumn="0"/>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2829A091"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Insurance Companies</w:t>
            </w:r>
          </w:p>
        </w:tc>
        <w:tc>
          <w:tcPr>
            <w:tcW w:w="0" w:type="auto"/>
            <w:hideMark/>
          </w:tcPr>
          <w:p w14:paraId="6001B304"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Potential adopters</w:t>
            </w:r>
          </w:p>
        </w:tc>
        <w:tc>
          <w:tcPr>
            <w:tcW w:w="0" w:type="auto"/>
            <w:hideMark/>
          </w:tcPr>
          <w:p w14:paraId="3C3D8036"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1E6C76B4"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r>
      <w:tr w:rsidR="00512638" w:rsidRPr="00E51FA0" w14:paraId="160EB77C" w14:textId="77777777" w:rsidTr="0088320B">
        <w:trPr>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5F48F715"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Customers</w:t>
            </w:r>
          </w:p>
        </w:tc>
        <w:tc>
          <w:tcPr>
            <w:tcW w:w="0" w:type="auto"/>
            <w:hideMark/>
          </w:tcPr>
          <w:p w14:paraId="0D3BC915"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End users</w:t>
            </w:r>
          </w:p>
        </w:tc>
        <w:tc>
          <w:tcPr>
            <w:tcW w:w="0" w:type="auto"/>
            <w:hideMark/>
          </w:tcPr>
          <w:p w14:paraId="499DE60C"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498F35C6" w14:textId="77777777" w:rsidR="00512638" w:rsidRPr="00E51FA0" w:rsidRDefault="00512638" w:rsidP="0051263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High</w:t>
            </w:r>
          </w:p>
        </w:tc>
      </w:tr>
      <w:tr w:rsidR="00512638" w:rsidRPr="00E51FA0" w14:paraId="106B5479" w14:textId="77777777" w:rsidTr="0088320B">
        <w:trPr>
          <w:cnfStyle w:val="000000100000" w:firstRow="0" w:lastRow="0" w:firstColumn="0" w:lastColumn="0" w:oddVBand="0" w:evenVBand="0" w:oddHBand="1" w:evenHBand="0" w:firstRowFirstColumn="0" w:firstRowLastColumn="0" w:lastRowFirstColumn="0" w:lastRowLastColumn="0"/>
          <w:divId w:val="2025593700"/>
        </w:trPr>
        <w:tc>
          <w:tcPr>
            <w:cnfStyle w:val="001000000000" w:firstRow="0" w:lastRow="0" w:firstColumn="1" w:lastColumn="0" w:oddVBand="0" w:evenVBand="0" w:oddHBand="0" w:evenHBand="0" w:firstRowFirstColumn="0" w:firstRowLastColumn="0" w:lastRowFirstColumn="0" w:lastRowLastColumn="0"/>
            <w:tcW w:w="0" w:type="auto"/>
            <w:hideMark/>
          </w:tcPr>
          <w:p w14:paraId="4DA1DF9F" w14:textId="77777777" w:rsidR="00512638" w:rsidRPr="00E51FA0" w:rsidRDefault="00512638" w:rsidP="00512638">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Media &amp; Technology Analysts</w:t>
            </w:r>
          </w:p>
        </w:tc>
        <w:tc>
          <w:tcPr>
            <w:tcW w:w="0" w:type="auto"/>
            <w:hideMark/>
          </w:tcPr>
          <w:p w14:paraId="560CACDA"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Shape brand perception</w:t>
            </w:r>
          </w:p>
        </w:tc>
        <w:tc>
          <w:tcPr>
            <w:tcW w:w="0" w:type="auto"/>
            <w:hideMark/>
          </w:tcPr>
          <w:p w14:paraId="3F501C15"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c>
          <w:tcPr>
            <w:tcW w:w="0" w:type="auto"/>
            <w:hideMark/>
          </w:tcPr>
          <w:p w14:paraId="7F523940" w14:textId="77777777" w:rsidR="00512638" w:rsidRPr="00E51FA0" w:rsidRDefault="00512638" w:rsidP="0051263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Medium</w:t>
            </w:r>
          </w:p>
        </w:tc>
      </w:tr>
    </w:tbl>
    <w:p w14:paraId="48F16406" w14:textId="13292932" w:rsidR="19DF5ED4" w:rsidRPr="00E51FA0" w:rsidRDefault="19DF5ED4" w:rsidP="19DF5ED4">
      <w:pPr>
        <w:spacing w:line="600" w:lineRule="auto"/>
        <w:rPr>
          <w:rFonts w:ascii="Arial" w:hAnsi="Arial" w:cs="Arial"/>
          <w:b/>
          <w:bCs/>
          <w:i/>
          <w:iCs/>
        </w:rPr>
      </w:pPr>
    </w:p>
    <w:p w14:paraId="0E602025" w14:textId="79F67DB6" w:rsidR="00B05FB0" w:rsidRPr="00E51FA0" w:rsidRDefault="00B05FB0" w:rsidP="00B05FB0">
      <w:pPr>
        <w:spacing w:before="100" w:beforeAutospacing="1" w:after="100" w:afterAutospacing="1" w:line="240" w:lineRule="auto"/>
        <w:outlineLvl w:val="0"/>
        <w:divId w:val="828784925"/>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 xml:space="preserve">4. Stakeholder Roles, Responsibilities, Benefits &amp; Challenges </w:t>
      </w:r>
    </w:p>
    <w:p w14:paraId="18BDDEFF" w14:textId="77777777" w:rsidR="00B05FB0" w:rsidRPr="00E51FA0" w:rsidRDefault="00B05FB0" w:rsidP="00B05FB0">
      <w:pPr>
        <w:spacing w:before="100" w:beforeAutospacing="1" w:after="100" w:afterAutospacing="1" w:line="240" w:lineRule="auto"/>
        <w:divId w:val="828784925"/>
        <w:rPr>
          <w:rFonts w:ascii="Arial" w:hAnsi="Arial" w:cs="Arial"/>
          <w:sz w:val="24"/>
          <w:szCs w:val="24"/>
          <w:lang w:eastAsia="ro-RO"/>
        </w:rPr>
      </w:pPr>
    </w:p>
    <w:p w14:paraId="48FE8C2E" w14:textId="77777777" w:rsidR="00DC208B" w:rsidRPr="00E51FA0" w:rsidRDefault="00DC208B">
      <w:pPr>
        <w:pStyle w:val="p1"/>
        <w:divId w:val="776098771"/>
        <w:rPr>
          <w:rFonts w:ascii="Arial" w:hAnsi="Arial" w:cs="Arial"/>
        </w:rPr>
      </w:pPr>
      <w:r w:rsidRPr="00E51FA0">
        <w:rPr>
          <w:rStyle w:val="s1"/>
          <w:rFonts w:ascii="Arial" w:hAnsi="Arial" w:cs="Arial"/>
        </w:rPr>
        <w:t>Stakeholders play a critical role in ensuring the successful launch of Fitbit UK’s new wearable health device. Each group contributes distinct expertise, resources and influence that shape the project’s direction and outcomes. Understanding their roles, responsibilities, benefits and potential challenges is essential for developing effective engagement strategies.</w:t>
      </w:r>
    </w:p>
    <w:p w14:paraId="47208EEA" w14:textId="28091CC2" w:rsidR="00B05FB0" w:rsidRPr="00E51FA0" w:rsidRDefault="00B05FB0" w:rsidP="00B05FB0">
      <w:pPr>
        <w:spacing w:before="100" w:beforeAutospacing="1" w:after="100" w:afterAutospacing="1" w:line="240" w:lineRule="auto"/>
        <w:divId w:val="828784925"/>
        <w:rPr>
          <w:rFonts w:ascii="Arial" w:hAnsi="Arial" w:cs="Arial"/>
          <w:sz w:val="24"/>
          <w:szCs w:val="24"/>
          <w:lang w:eastAsia="ro-RO"/>
        </w:rPr>
      </w:pPr>
    </w:p>
    <w:p w14:paraId="41A522CE" w14:textId="77777777" w:rsidR="0070335C" w:rsidRPr="00E51FA0" w:rsidRDefault="0070335C" w:rsidP="0070335C">
      <w:pPr>
        <w:spacing w:before="100" w:beforeAutospacing="1" w:after="100" w:afterAutospacing="1" w:line="240" w:lineRule="auto"/>
        <w:outlineLvl w:val="2"/>
        <w:divId w:val="1932007635"/>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1. Senior Management</w:t>
      </w:r>
    </w:p>
    <w:p w14:paraId="77350004"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474E88B9"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Roles &amp; Responsibilities: Senior management provides strategic leadership, allocates resources and approves key decisions related to product development, marketing and launch timelines. They ensure alignment between the new device and the overall business strategy of Fitbit UK.</w:t>
      </w:r>
    </w:p>
    <w:p w14:paraId="2ADFF102"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Benefits: Effective engagement ensures top-level support, budget approval and organisational commitment.</w:t>
      </w:r>
    </w:p>
    <w:p w14:paraId="6C2D9E5C"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lastRenderedPageBreak/>
        <w:t>Challenges: Competing strategic priorities may delay decisions or limit available resources.</w:t>
      </w:r>
    </w:p>
    <w:p w14:paraId="2D2117F3"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69A087BD" w14:textId="77777777" w:rsidR="0070335C" w:rsidRPr="00E51FA0" w:rsidRDefault="0070335C" w:rsidP="0070335C">
      <w:pPr>
        <w:spacing w:before="100" w:beforeAutospacing="1" w:after="100" w:afterAutospacing="1" w:line="240" w:lineRule="auto"/>
        <w:outlineLvl w:val="2"/>
        <w:divId w:val="1932007635"/>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2. Product Development Team</w:t>
      </w:r>
    </w:p>
    <w:p w14:paraId="4E843BEB"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41FB938B"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Roles &amp; Responsibilities: This team leads the design, engineering, prototyping and testing of the wearable device. They ensure the device meets technical, safety and regulatory standards.</w:t>
      </w:r>
    </w:p>
    <w:p w14:paraId="6B5807EC"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Benefits: Strong engagement results in a more innovative, reliable and compliant product.</w:t>
      </w:r>
    </w:p>
    <w:p w14:paraId="2B34CD11"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Challenges: Time pressure, technological limitations and resource constraints can impact performance.</w:t>
      </w:r>
    </w:p>
    <w:p w14:paraId="23ABC10C"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0F19A1DC" w14:textId="77777777" w:rsidR="0070335C" w:rsidRPr="00E51FA0" w:rsidRDefault="0070335C" w:rsidP="0070335C">
      <w:pPr>
        <w:spacing w:before="100" w:beforeAutospacing="1" w:after="100" w:afterAutospacing="1" w:line="240" w:lineRule="auto"/>
        <w:outlineLvl w:val="2"/>
        <w:divId w:val="1932007635"/>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3. Marketing Department</w:t>
      </w:r>
    </w:p>
    <w:p w14:paraId="656326BF"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27D26593"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Roles &amp; Responsibilities: Marketing oversees promotional campaigns, brand positioning, market research and customer-facing messaging. It aligns the product with consumer expectations and UK market trends.</w:t>
      </w:r>
    </w:p>
    <w:p w14:paraId="4D8F795D"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Benefits: Effective engagement ensures compelling promotional campaigns and strong product-market fit.</w:t>
      </w:r>
    </w:p>
    <w:p w14:paraId="142FD122"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Challenges: Misalignment with product features or delayed input from other departments may weaken campaign effectiveness.</w:t>
      </w:r>
    </w:p>
    <w:p w14:paraId="0976D1DB"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2E5D837E" w14:textId="1FA26B0B" w:rsidR="0070335C" w:rsidRPr="00E51FA0" w:rsidRDefault="0070335C" w:rsidP="00340384">
      <w:pPr>
        <w:tabs>
          <w:tab w:val="left" w:pos="7756"/>
        </w:tabs>
        <w:spacing w:before="100" w:beforeAutospacing="1" w:after="100" w:afterAutospacing="1" w:line="240" w:lineRule="auto"/>
        <w:outlineLvl w:val="2"/>
        <w:divId w:val="1932007635"/>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4. Sales Department</w:t>
      </w:r>
      <w:r w:rsidR="00340384" w:rsidRPr="00E51FA0">
        <w:rPr>
          <w:rFonts w:ascii="Arial" w:eastAsia="Times New Roman" w:hAnsi="Arial" w:cs="Arial"/>
          <w:b/>
          <w:bCs/>
          <w:sz w:val="27"/>
          <w:szCs w:val="27"/>
          <w:lang w:eastAsia="ro-RO"/>
        </w:rPr>
        <w:tab/>
      </w:r>
    </w:p>
    <w:p w14:paraId="548A56CF"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p>
    <w:p w14:paraId="5A311B77"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Roles &amp; Responsibilities: Sales teams negotiate with retailers, establish distribution channels and set sales targets. They provide market feedback that shapes pricing and inventory levels.</w:t>
      </w:r>
    </w:p>
    <w:p w14:paraId="28F77D06"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t>Benefits: Their involvement supports strong launch performance and broad product availability.</w:t>
      </w:r>
    </w:p>
    <w:p w14:paraId="39840C06" w14:textId="77777777" w:rsidR="0070335C" w:rsidRPr="00E51FA0" w:rsidRDefault="0070335C" w:rsidP="0070335C">
      <w:pPr>
        <w:spacing w:before="100" w:beforeAutospacing="1" w:after="100" w:afterAutospacing="1" w:line="240" w:lineRule="auto"/>
        <w:divId w:val="1932007635"/>
        <w:rPr>
          <w:rFonts w:ascii="Arial" w:hAnsi="Arial" w:cs="Arial"/>
          <w:sz w:val="24"/>
          <w:szCs w:val="24"/>
          <w:lang w:eastAsia="ro-RO"/>
        </w:rPr>
      </w:pPr>
      <w:r w:rsidRPr="00E51FA0">
        <w:rPr>
          <w:rFonts w:ascii="Arial" w:hAnsi="Arial" w:cs="Arial"/>
          <w:sz w:val="24"/>
          <w:szCs w:val="24"/>
          <w:lang w:eastAsia="ro-RO"/>
        </w:rPr>
        <w:lastRenderedPageBreak/>
        <w:t>Challenges: Conflicts may arise if sales expectations differ from product capabilities or production capacity.</w:t>
      </w:r>
    </w:p>
    <w:p w14:paraId="2BF1B7EB" w14:textId="77777777" w:rsidR="0070335C" w:rsidRPr="00E51FA0" w:rsidRDefault="0070335C" w:rsidP="00B05FB0">
      <w:pPr>
        <w:spacing w:before="100" w:beforeAutospacing="1" w:after="100" w:afterAutospacing="1" w:line="240" w:lineRule="auto"/>
        <w:divId w:val="828784925"/>
        <w:rPr>
          <w:rFonts w:ascii="Arial" w:hAnsi="Arial" w:cs="Arial"/>
          <w:sz w:val="24"/>
          <w:szCs w:val="24"/>
          <w:lang w:eastAsia="ro-RO"/>
        </w:rPr>
      </w:pPr>
    </w:p>
    <w:p w14:paraId="1CFD101F" w14:textId="0DE7090E" w:rsidR="19DF5ED4" w:rsidRPr="00E51FA0" w:rsidRDefault="19DF5ED4" w:rsidP="19DF5ED4">
      <w:pPr>
        <w:spacing w:line="600" w:lineRule="auto"/>
        <w:rPr>
          <w:rFonts w:ascii="Arial" w:hAnsi="Arial" w:cs="Arial"/>
          <w:b/>
          <w:bCs/>
          <w:i/>
          <w:iCs/>
        </w:rPr>
      </w:pPr>
    </w:p>
    <w:p w14:paraId="34E9BC37"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5. IT &amp; Data Security Specialists</w:t>
      </w:r>
    </w:p>
    <w:p w14:paraId="05E65104"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6FBEC16B"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They ensure that user data is protected in accordance with UK GDPR and Google’s internal compliance standards. They oversee cybersecurity, data encryption and risk mitigation.</w:t>
      </w:r>
    </w:p>
    <w:p w14:paraId="040F2434"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Their contribution enhances user trust and ensures legal compliance.</w:t>
      </w:r>
    </w:p>
    <w:p w14:paraId="53EC9BCE"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Challenges: Strict regulations and evolving cyber threats require constant adaptation.</w:t>
      </w:r>
    </w:p>
    <w:p w14:paraId="37222187"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336CFCE7"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6. Suppliers and Manufacturers</w:t>
      </w:r>
    </w:p>
    <w:p w14:paraId="772F00FB"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61459FEF"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Suppliers provide essential components such as sensors, batteries and processors. Manufacturers assemble the device according to technical specifications.</w:t>
      </w:r>
    </w:p>
    <w:p w14:paraId="47156C50"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Strong supplier relationships reduce delays, ensure quality and maintain cost efficiency.</w:t>
      </w:r>
    </w:p>
    <w:p w14:paraId="1BE926C3"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Challenges: Global supply chain disruptions, quality issues or component shortages may threaten deadlines.</w:t>
      </w:r>
    </w:p>
    <w:p w14:paraId="5A80B751"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17058C46"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7. Regulatory Bodies (MHRA, ICO)</w:t>
      </w:r>
    </w:p>
    <w:p w14:paraId="4AE317D8"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05169F13"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Regulators ensure compliance with medical device standards and data protection laws. They may require testing, certification or documentation.</w:t>
      </w:r>
    </w:p>
    <w:p w14:paraId="4FE15B11"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Compliance strengthens credibility and market acceptance.</w:t>
      </w:r>
    </w:p>
    <w:p w14:paraId="136F79BD"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lastRenderedPageBreak/>
        <w:t>Challenges: Regulatory approval can be time-consuming and complex.</w:t>
      </w:r>
    </w:p>
    <w:p w14:paraId="369E03FA"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670B7020"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8. Retail Partners</w:t>
      </w:r>
    </w:p>
    <w:p w14:paraId="3CD96174"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7A7C7335"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Retailers such as Amazon UK, Argos and Boots distribute and promote the product. They manage inventory and provide customer feedback.</w:t>
      </w:r>
    </w:p>
    <w:p w14:paraId="135CB0D1"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They ensure wide market reach and availability.</w:t>
      </w:r>
    </w:p>
    <w:p w14:paraId="65F7FF71"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Challenges: Retailers may demand competitive pricing or exclusive launches.</w:t>
      </w:r>
    </w:p>
    <w:p w14:paraId="760F70C2"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4965B318"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9. Healthcare and Insurance Partners</w:t>
      </w:r>
    </w:p>
    <w:p w14:paraId="5D9479DB"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2413B41B"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These partners may integrate the device into health programmes or clinical monitoring initiatives.</w:t>
      </w:r>
    </w:p>
    <w:p w14:paraId="22F138B7"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Collaboration enhances market expansion and long-term adoption.</w:t>
      </w:r>
    </w:p>
    <w:p w14:paraId="1B199435"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Challenges: Data security, clinical validation and organisational bureaucracy may slow adoption.</w:t>
      </w:r>
    </w:p>
    <w:p w14:paraId="3F5772EC"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18E08E05" w14:textId="77777777" w:rsidR="008C0486" w:rsidRPr="00E51FA0" w:rsidRDefault="008C0486" w:rsidP="008C0486">
      <w:pPr>
        <w:spacing w:before="100" w:beforeAutospacing="1" w:after="100" w:afterAutospacing="1" w:line="240" w:lineRule="auto"/>
        <w:outlineLvl w:val="2"/>
        <w:divId w:val="829101752"/>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10. Customers (End Users)</w:t>
      </w:r>
    </w:p>
    <w:p w14:paraId="79B517D3"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p>
    <w:p w14:paraId="335FFAD4"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Roles &amp; Responsibilities: Users provide feedback, adopt the product and contribute to brand reputation.</w:t>
      </w:r>
    </w:p>
    <w:p w14:paraId="0426768E"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Benefits: Engaged users support product improvements and market success.</w:t>
      </w:r>
    </w:p>
    <w:p w14:paraId="529EC967" w14:textId="77777777" w:rsidR="008C0486" w:rsidRPr="00E51FA0" w:rsidRDefault="008C0486" w:rsidP="008C0486">
      <w:pPr>
        <w:spacing w:before="100" w:beforeAutospacing="1" w:after="100" w:afterAutospacing="1" w:line="240" w:lineRule="auto"/>
        <w:divId w:val="829101752"/>
        <w:rPr>
          <w:rFonts w:ascii="Arial" w:hAnsi="Arial" w:cs="Arial"/>
          <w:sz w:val="24"/>
          <w:szCs w:val="24"/>
          <w:lang w:eastAsia="ro-RO"/>
        </w:rPr>
      </w:pPr>
      <w:r w:rsidRPr="00E51FA0">
        <w:rPr>
          <w:rFonts w:ascii="Arial" w:hAnsi="Arial" w:cs="Arial"/>
          <w:sz w:val="24"/>
          <w:szCs w:val="24"/>
          <w:lang w:eastAsia="ro-RO"/>
        </w:rPr>
        <w:t>Challenges: Expectations for accuracy, usability and data protection are high.</w:t>
      </w:r>
    </w:p>
    <w:p w14:paraId="2DBEBD15" w14:textId="56E1C93C" w:rsidR="19DF5ED4" w:rsidRPr="00E51FA0" w:rsidRDefault="19DF5ED4" w:rsidP="19DF5ED4">
      <w:pPr>
        <w:spacing w:line="600" w:lineRule="auto"/>
        <w:rPr>
          <w:rFonts w:ascii="Arial" w:hAnsi="Arial" w:cs="Arial"/>
          <w:b/>
          <w:bCs/>
          <w:i/>
          <w:iCs/>
        </w:rPr>
      </w:pPr>
    </w:p>
    <w:p w14:paraId="6D8B169F" w14:textId="1AFA9E58" w:rsidR="19DF5ED4" w:rsidRPr="00E51FA0" w:rsidRDefault="19DF5ED4" w:rsidP="19DF5ED4">
      <w:pPr>
        <w:spacing w:line="600" w:lineRule="auto"/>
        <w:rPr>
          <w:rFonts w:ascii="Arial" w:hAnsi="Arial" w:cs="Arial"/>
          <w:b/>
          <w:bCs/>
          <w:i/>
          <w:iCs/>
        </w:rPr>
      </w:pPr>
    </w:p>
    <w:p w14:paraId="22F2FF30" w14:textId="566A3541" w:rsidR="00F43FC7" w:rsidRPr="00E51FA0" w:rsidRDefault="00F43FC7" w:rsidP="00F43FC7">
      <w:pPr>
        <w:spacing w:before="100" w:beforeAutospacing="1" w:after="100" w:afterAutospacing="1" w:line="240" w:lineRule="auto"/>
        <w:outlineLvl w:val="0"/>
        <w:divId w:val="1779057889"/>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lastRenderedPageBreak/>
        <w:t xml:space="preserve"> 5 </w:t>
      </w:r>
      <w:r w:rsidR="00074719" w:rsidRPr="00E51FA0">
        <w:rPr>
          <w:rFonts w:ascii="Arial" w:eastAsia="Times New Roman" w:hAnsi="Arial" w:cs="Arial"/>
          <w:b/>
          <w:bCs/>
          <w:kern w:val="36"/>
          <w:sz w:val="48"/>
          <w:szCs w:val="48"/>
          <w:lang w:eastAsia="ro-RO"/>
        </w:rPr>
        <w:t>.</w:t>
      </w:r>
      <w:r w:rsidRPr="00E51FA0">
        <w:rPr>
          <w:rFonts w:ascii="Arial" w:eastAsia="Times New Roman" w:hAnsi="Arial" w:cs="Arial"/>
          <w:b/>
          <w:bCs/>
          <w:kern w:val="36"/>
          <w:sz w:val="48"/>
          <w:szCs w:val="48"/>
          <w:lang w:eastAsia="ro-RO"/>
        </w:rPr>
        <w:t>Frameworks, Models and Theories for Stakeholder Engagement</w:t>
      </w:r>
    </w:p>
    <w:p w14:paraId="5F348870"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7D630CC5" w14:textId="6FED7B46"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5BEDEAD5"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5156E497"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Effective stakeholder engagement requires a structured approach supported by recognised frameworks and models. For the launch of Fitbit UK’s new wearable health device, three tools are particularly valuable: the Stakeholder Power–Interest Matrix, the Stakeholder Engagement &amp; Communication Plan, and the RACI Matrix. These frameworks ensure clarity in roles, communication expectations and levels of involvement throughout the project lifecycle.</w:t>
      </w:r>
    </w:p>
    <w:p w14:paraId="0D8C4E53" w14:textId="77777777" w:rsidR="00F43FC7" w:rsidRPr="00E51FA0" w:rsidRDefault="00F43FC7" w:rsidP="00F43FC7">
      <w:pPr>
        <w:spacing w:after="0" w:line="240" w:lineRule="auto"/>
        <w:divId w:val="1779057889"/>
        <w:rPr>
          <w:rFonts w:ascii="Arial" w:eastAsia="Times New Roman" w:hAnsi="Arial" w:cs="Arial"/>
          <w:sz w:val="24"/>
          <w:szCs w:val="24"/>
          <w:lang w:eastAsia="ro-RO"/>
        </w:rPr>
      </w:pPr>
      <w:r w:rsidRPr="00E51FA0">
        <w:rPr>
          <w:rFonts w:ascii="Arial" w:eastAsia="Times New Roman" w:hAnsi="Arial" w:cs="Arial"/>
          <w:noProof/>
          <w:sz w:val="24"/>
          <w:szCs w:val="24"/>
          <w:lang w:eastAsia="ro-RO"/>
        </w:rPr>
        <mc:AlternateContent>
          <mc:Choice Requires="wps">
            <w:drawing>
              <wp:inline distT="0" distB="0" distL="0" distR="0" wp14:anchorId="45C1AE72" wp14:editId="324E1E49">
                <wp:extent cx="5731510" cy="1270"/>
                <wp:effectExtent l="0" t="31750" r="0" b="36830"/>
                <wp:docPr id="1094020549"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B4AC993"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4C7DF70" w14:textId="77777777" w:rsidR="008B0D3E" w:rsidRPr="00E51FA0" w:rsidRDefault="008B0D3E" w:rsidP="00F43FC7">
      <w:pPr>
        <w:spacing w:before="100" w:beforeAutospacing="1" w:after="100" w:afterAutospacing="1" w:line="240" w:lineRule="auto"/>
        <w:outlineLvl w:val="0"/>
        <w:divId w:val="1779057889"/>
        <w:rPr>
          <w:rFonts w:ascii="Arial" w:eastAsia="Times New Roman" w:hAnsi="Arial" w:cs="Arial"/>
          <w:b/>
          <w:bCs/>
          <w:kern w:val="36"/>
          <w:sz w:val="48"/>
          <w:szCs w:val="48"/>
          <w:lang w:eastAsia="ro-RO"/>
        </w:rPr>
      </w:pPr>
    </w:p>
    <w:p w14:paraId="5AA574FB" w14:textId="0398E640" w:rsidR="00F43FC7" w:rsidRPr="00E51FA0" w:rsidRDefault="00074719" w:rsidP="00F43FC7">
      <w:pPr>
        <w:spacing w:before="100" w:beforeAutospacing="1" w:after="100" w:afterAutospacing="1" w:line="240" w:lineRule="auto"/>
        <w:outlineLvl w:val="0"/>
        <w:divId w:val="1779057889"/>
        <w:rPr>
          <w:rFonts w:ascii="Arial" w:hAnsi="Arial" w:cs="Arial"/>
          <w:b/>
          <w:bCs/>
          <w:kern w:val="36"/>
          <w:sz w:val="32"/>
          <w:szCs w:val="32"/>
          <w:lang w:eastAsia="ro-RO"/>
        </w:rPr>
      </w:pPr>
      <w:r w:rsidRPr="00E51FA0">
        <w:rPr>
          <w:rFonts w:ascii="Arial" w:eastAsia="Times New Roman" w:hAnsi="Arial" w:cs="Arial"/>
          <w:b/>
          <w:bCs/>
          <w:kern w:val="36"/>
          <w:sz w:val="32"/>
          <w:szCs w:val="32"/>
          <w:lang w:eastAsia="ro-RO"/>
        </w:rPr>
        <w:t>1.</w:t>
      </w:r>
      <w:r w:rsidR="00F43FC7" w:rsidRPr="00E51FA0">
        <w:rPr>
          <w:rFonts w:ascii="Arial" w:eastAsia="Times New Roman" w:hAnsi="Arial" w:cs="Arial"/>
          <w:b/>
          <w:bCs/>
          <w:kern w:val="36"/>
          <w:sz w:val="32"/>
          <w:szCs w:val="32"/>
          <w:lang w:eastAsia="ro-RO"/>
        </w:rPr>
        <w:t xml:space="preserve"> Stakeholder Power–Interest Matrix</w:t>
      </w:r>
    </w:p>
    <w:p w14:paraId="1885AF2E"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5B9E4410"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The Power–Interest Matrix (Mendelow, 1991) categorises stakeholders based on their influence over the project and their level of interest in its outcomes.</w:t>
      </w:r>
    </w:p>
    <w:p w14:paraId="61A5F72C"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37083943" w14:textId="77777777" w:rsidR="00F43FC7" w:rsidRPr="00E51FA0" w:rsidRDefault="00F43FC7" w:rsidP="00F43FC7">
      <w:pPr>
        <w:spacing w:before="100" w:beforeAutospacing="1" w:after="100" w:afterAutospacing="1" w:line="240" w:lineRule="auto"/>
        <w:outlineLvl w:val="2"/>
        <w:divId w:val="177905788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Quadrant 1 – High Power, High Interest (Manage Closely)</w:t>
      </w:r>
    </w:p>
    <w:p w14:paraId="518996DB" w14:textId="77777777" w:rsidR="00F43FC7" w:rsidRPr="00E51FA0" w:rsidRDefault="00F43FC7" w:rsidP="00F43FC7">
      <w:pPr>
        <w:numPr>
          <w:ilvl w:val="0"/>
          <w:numId w:val="6"/>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Senior Management</w:t>
      </w:r>
    </w:p>
    <w:p w14:paraId="266D2F65" w14:textId="77777777" w:rsidR="00F43FC7" w:rsidRPr="00E51FA0" w:rsidRDefault="00F43FC7" w:rsidP="00F43FC7">
      <w:pPr>
        <w:numPr>
          <w:ilvl w:val="0"/>
          <w:numId w:val="6"/>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Product Development Team</w:t>
      </w:r>
    </w:p>
    <w:p w14:paraId="45BFF561" w14:textId="77777777" w:rsidR="00F43FC7" w:rsidRPr="00E51FA0" w:rsidRDefault="00F43FC7" w:rsidP="00F43FC7">
      <w:pPr>
        <w:numPr>
          <w:ilvl w:val="0"/>
          <w:numId w:val="6"/>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IT &amp; Data Security</w:t>
      </w:r>
    </w:p>
    <w:p w14:paraId="70357336" w14:textId="77777777" w:rsidR="00F43FC7" w:rsidRPr="00E51FA0" w:rsidRDefault="00F43FC7" w:rsidP="00F43FC7">
      <w:pPr>
        <w:numPr>
          <w:ilvl w:val="0"/>
          <w:numId w:val="6"/>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Regulatory Bodies (MHRA, ICO)</w:t>
      </w:r>
    </w:p>
    <w:p w14:paraId="4D91CAD0"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6D1E727D"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These stakeholders require active, continuous engagement. Regular meetings, progress reports and collaborative decision-making ensure their commitment and alignment with project goals.</w:t>
      </w:r>
    </w:p>
    <w:p w14:paraId="441B18F3"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5E98FF90" w14:textId="77777777" w:rsidR="00F43FC7" w:rsidRPr="00E51FA0" w:rsidRDefault="00F43FC7" w:rsidP="00F43FC7">
      <w:pPr>
        <w:spacing w:before="100" w:beforeAutospacing="1" w:after="100" w:afterAutospacing="1" w:line="240" w:lineRule="auto"/>
        <w:outlineLvl w:val="2"/>
        <w:divId w:val="177905788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Quadrant 2 – High Power, Low Interest (Keep Satisfied)</w:t>
      </w:r>
    </w:p>
    <w:p w14:paraId="2E91169F" w14:textId="77777777" w:rsidR="00F43FC7" w:rsidRPr="00E51FA0" w:rsidRDefault="00F43FC7" w:rsidP="00F43FC7">
      <w:pPr>
        <w:numPr>
          <w:ilvl w:val="0"/>
          <w:numId w:val="7"/>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lastRenderedPageBreak/>
        <w:t>Retail Partners</w:t>
      </w:r>
    </w:p>
    <w:p w14:paraId="0F1DAD67" w14:textId="77777777" w:rsidR="00F43FC7" w:rsidRPr="00E51FA0" w:rsidRDefault="00F43FC7" w:rsidP="00F43FC7">
      <w:pPr>
        <w:numPr>
          <w:ilvl w:val="0"/>
          <w:numId w:val="7"/>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Key Suppliers</w:t>
      </w:r>
    </w:p>
    <w:p w14:paraId="00920184" w14:textId="77777777" w:rsidR="00F43FC7" w:rsidRPr="00E51FA0" w:rsidRDefault="00F43FC7" w:rsidP="00F43FC7">
      <w:pPr>
        <w:numPr>
          <w:ilvl w:val="0"/>
          <w:numId w:val="7"/>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Google Corporate Oversight</w:t>
      </w:r>
    </w:p>
    <w:p w14:paraId="7C50E829"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46E76A7A"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They have significant influence but may not require detailed involvement. Clear updates, contractual clarity and reassurance about timelines help maintain satisfaction.</w:t>
      </w:r>
    </w:p>
    <w:p w14:paraId="36EC99D2"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2DD5DC6A" w14:textId="77777777" w:rsidR="00F43FC7" w:rsidRPr="00E51FA0" w:rsidRDefault="00F43FC7" w:rsidP="00F43FC7">
      <w:pPr>
        <w:spacing w:before="100" w:beforeAutospacing="1" w:after="100" w:afterAutospacing="1" w:line="240" w:lineRule="auto"/>
        <w:outlineLvl w:val="2"/>
        <w:divId w:val="177905788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Quadrant 3 – Low Power, High Interest (Keep Informed)</w:t>
      </w:r>
    </w:p>
    <w:p w14:paraId="0075A128" w14:textId="77777777" w:rsidR="00F43FC7" w:rsidRPr="00E51FA0" w:rsidRDefault="00F43FC7" w:rsidP="00F43FC7">
      <w:pPr>
        <w:numPr>
          <w:ilvl w:val="0"/>
          <w:numId w:val="8"/>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Marketing Team</w:t>
      </w:r>
    </w:p>
    <w:p w14:paraId="3BB43C6B" w14:textId="77777777" w:rsidR="00F43FC7" w:rsidRPr="00E51FA0" w:rsidRDefault="00F43FC7" w:rsidP="00F43FC7">
      <w:pPr>
        <w:numPr>
          <w:ilvl w:val="0"/>
          <w:numId w:val="8"/>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Sales Team</w:t>
      </w:r>
    </w:p>
    <w:p w14:paraId="0C7EBA41" w14:textId="77777777" w:rsidR="00F43FC7" w:rsidRPr="00E51FA0" w:rsidRDefault="00F43FC7" w:rsidP="00F43FC7">
      <w:pPr>
        <w:numPr>
          <w:ilvl w:val="0"/>
          <w:numId w:val="8"/>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Healthcare Partners</w:t>
      </w:r>
    </w:p>
    <w:p w14:paraId="74BC0555" w14:textId="77777777" w:rsidR="00F43FC7" w:rsidRPr="00E51FA0" w:rsidRDefault="00F43FC7" w:rsidP="00F43FC7">
      <w:pPr>
        <w:numPr>
          <w:ilvl w:val="0"/>
          <w:numId w:val="8"/>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Insurance Organisations</w:t>
      </w:r>
    </w:p>
    <w:p w14:paraId="6C259725"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79245DA6"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These stakeholders benefit from regular communication but do not need involvement in high-level decisions. Providing accessible updates fosters alignment.</w:t>
      </w:r>
    </w:p>
    <w:p w14:paraId="0329A936"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704D327D" w14:textId="77777777" w:rsidR="00F43FC7" w:rsidRPr="00E51FA0" w:rsidRDefault="00F43FC7" w:rsidP="00F43FC7">
      <w:pPr>
        <w:spacing w:before="100" w:beforeAutospacing="1" w:after="100" w:afterAutospacing="1" w:line="240" w:lineRule="auto"/>
        <w:outlineLvl w:val="2"/>
        <w:divId w:val="177905788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Quadrant 4 – Low Power, Low Interest (Monitor)</w:t>
      </w:r>
    </w:p>
    <w:p w14:paraId="5C96D641" w14:textId="77777777" w:rsidR="00F43FC7" w:rsidRPr="00E51FA0" w:rsidRDefault="00F43FC7" w:rsidP="00F43FC7">
      <w:pPr>
        <w:numPr>
          <w:ilvl w:val="0"/>
          <w:numId w:val="9"/>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Media Analysts</w:t>
      </w:r>
    </w:p>
    <w:p w14:paraId="21A65B26" w14:textId="77777777" w:rsidR="00F43FC7" w:rsidRPr="00E51FA0" w:rsidRDefault="00F43FC7" w:rsidP="00F43FC7">
      <w:pPr>
        <w:numPr>
          <w:ilvl w:val="0"/>
          <w:numId w:val="9"/>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General Public</w:t>
      </w:r>
    </w:p>
    <w:p w14:paraId="06038AFD" w14:textId="77777777" w:rsidR="00F43FC7" w:rsidRPr="00E51FA0" w:rsidRDefault="00F43FC7" w:rsidP="00F43FC7">
      <w:pPr>
        <w:numPr>
          <w:ilvl w:val="0"/>
          <w:numId w:val="9"/>
        </w:num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Non-primary users</w:t>
      </w:r>
    </w:p>
    <w:p w14:paraId="50F7B8A4"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p>
    <w:p w14:paraId="4A735647" w14:textId="77777777" w:rsidR="00F43FC7" w:rsidRPr="00E51FA0" w:rsidRDefault="00F43FC7" w:rsidP="00F43FC7">
      <w:pPr>
        <w:spacing w:before="100" w:beforeAutospacing="1" w:after="100" w:afterAutospacing="1" w:line="240" w:lineRule="auto"/>
        <w:divId w:val="1779057889"/>
        <w:rPr>
          <w:rFonts w:ascii="Arial" w:hAnsi="Arial" w:cs="Arial"/>
          <w:sz w:val="24"/>
          <w:szCs w:val="24"/>
          <w:lang w:eastAsia="ro-RO"/>
        </w:rPr>
      </w:pPr>
      <w:r w:rsidRPr="00E51FA0">
        <w:rPr>
          <w:rFonts w:ascii="Arial" w:hAnsi="Arial" w:cs="Arial"/>
          <w:sz w:val="24"/>
          <w:szCs w:val="24"/>
          <w:lang w:eastAsia="ro-RO"/>
        </w:rPr>
        <w:t>Minimal engagement is required; occasional updates are sufficient.</w:t>
      </w:r>
    </w:p>
    <w:p w14:paraId="082E9941" w14:textId="407513F6" w:rsidR="19DF5ED4" w:rsidRPr="00E51FA0" w:rsidRDefault="19DF5ED4" w:rsidP="19DF5ED4">
      <w:pPr>
        <w:spacing w:line="600" w:lineRule="auto"/>
        <w:rPr>
          <w:rFonts w:ascii="Arial" w:hAnsi="Arial" w:cs="Arial"/>
          <w:b/>
          <w:bCs/>
          <w:i/>
          <w:iCs/>
        </w:rPr>
      </w:pPr>
    </w:p>
    <w:p w14:paraId="327BF786" w14:textId="33591B8A" w:rsidR="00140896" w:rsidRPr="00E51FA0" w:rsidRDefault="00140896" w:rsidP="00140896">
      <w:pPr>
        <w:spacing w:before="100" w:beforeAutospacing="1" w:after="100" w:afterAutospacing="1" w:line="240" w:lineRule="auto"/>
        <w:outlineLvl w:val="0"/>
        <w:divId w:val="392513024"/>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 xml:space="preserve">2 </w:t>
      </w:r>
      <w:r w:rsidR="00074719" w:rsidRPr="00E51FA0">
        <w:rPr>
          <w:rFonts w:ascii="Arial" w:eastAsia="Times New Roman" w:hAnsi="Arial" w:cs="Arial"/>
          <w:b/>
          <w:bCs/>
          <w:kern w:val="36"/>
          <w:sz w:val="48"/>
          <w:szCs w:val="48"/>
          <w:lang w:eastAsia="ro-RO"/>
        </w:rPr>
        <w:t>.</w:t>
      </w:r>
      <w:r w:rsidRPr="00E51FA0">
        <w:rPr>
          <w:rFonts w:ascii="Arial" w:eastAsia="Times New Roman" w:hAnsi="Arial" w:cs="Arial"/>
          <w:b/>
          <w:bCs/>
          <w:kern w:val="36"/>
          <w:sz w:val="48"/>
          <w:szCs w:val="48"/>
          <w:lang w:eastAsia="ro-RO"/>
        </w:rPr>
        <w:t>Stakeholder Engagement Plan</w:t>
      </w:r>
    </w:p>
    <w:p w14:paraId="58D396EF"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48524510"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An engagement plan determines how, when and why each stakeholder will be involved. This supports transparency and reduces miscommunication.</w:t>
      </w:r>
    </w:p>
    <w:p w14:paraId="1730426B"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3170C0EA" w14:textId="77777777" w:rsidR="00140896" w:rsidRPr="00E51FA0" w:rsidRDefault="00140896" w:rsidP="00140896">
      <w:pPr>
        <w:spacing w:before="100" w:beforeAutospacing="1" w:after="100" w:afterAutospacing="1" w:line="240" w:lineRule="auto"/>
        <w:outlineLvl w:val="2"/>
        <w:divId w:val="392513024"/>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lastRenderedPageBreak/>
        <w:t>Key Elements of the Engagement Plan:</w:t>
      </w:r>
    </w:p>
    <w:p w14:paraId="4DA593C5"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6422C056"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1. Objectives</w:t>
      </w:r>
    </w:p>
    <w:p w14:paraId="24397FEE" w14:textId="77777777" w:rsidR="00140896" w:rsidRPr="00E51FA0" w:rsidRDefault="00140896" w:rsidP="00140896">
      <w:pPr>
        <w:numPr>
          <w:ilvl w:val="0"/>
          <w:numId w:val="10"/>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Ensure all stakeholders understand their roles.</w:t>
      </w:r>
    </w:p>
    <w:p w14:paraId="4CED9B63" w14:textId="77777777" w:rsidR="00140896" w:rsidRPr="00E51FA0" w:rsidRDefault="00140896" w:rsidP="00140896">
      <w:pPr>
        <w:numPr>
          <w:ilvl w:val="0"/>
          <w:numId w:val="10"/>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Maintain alignment on timelines, budgets and product functionality.</w:t>
      </w:r>
    </w:p>
    <w:p w14:paraId="526EFB35" w14:textId="77777777" w:rsidR="00140896" w:rsidRPr="00E51FA0" w:rsidRDefault="00140896" w:rsidP="00140896">
      <w:pPr>
        <w:numPr>
          <w:ilvl w:val="0"/>
          <w:numId w:val="10"/>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Reduce uncertainty and potential conflict.</w:t>
      </w:r>
    </w:p>
    <w:p w14:paraId="06A7FCB8" w14:textId="77777777" w:rsidR="00140896" w:rsidRPr="00E51FA0" w:rsidRDefault="00140896" w:rsidP="00140896">
      <w:pPr>
        <w:numPr>
          <w:ilvl w:val="0"/>
          <w:numId w:val="10"/>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Strengthen commitment to the product launch.</w:t>
      </w:r>
    </w:p>
    <w:p w14:paraId="7596D7DC"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36E41BE4"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2. Engagement Strategies</w:t>
      </w:r>
    </w:p>
    <w:p w14:paraId="680ED52A" w14:textId="77777777" w:rsidR="00140896" w:rsidRPr="00E51FA0" w:rsidRDefault="00140896" w:rsidP="00140896">
      <w:pPr>
        <w:numPr>
          <w:ilvl w:val="0"/>
          <w:numId w:val="11"/>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Consultation: Workshops with product developers, regulators and IT security teams.</w:t>
      </w:r>
    </w:p>
    <w:p w14:paraId="1C149635" w14:textId="77777777" w:rsidR="00140896" w:rsidRPr="00E51FA0" w:rsidRDefault="00140896" w:rsidP="00140896">
      <w:pPr>
        <w:numPr>
          <w:ilvl w:val="0"/>
          <w:numId w:val="11"/>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Collaboration: Joint planning sessions between marketing, sales and product teams.</w:t>
      </w:r>
    </w:p>
    <w:p w14:paraId="5CD342F3" w14:textId="77777777" w:rsidR="00140896" w:rsidRPr="00E51FA0" w:rsidRDefault="00140896" w:rsidP="00140896">
      <w:pPr>
        <w:numPr>
          <w:ilvl w:val="0"/>
          <w:numId w:val="11"/>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Communication: Progress briefings, newsletters and performance dashboards.</w:t>
      </w:r>
    </w:p>
    <w:p w14:paraId="2FBC39FF" w14:textId="77777777" w:rsidR="00140896" w:rsidRPr="00E51FA0" w:rsidRDefault="00140896" w:rsidP="00140896">
      <w:pPr>
        <w:numPr>
          <w:ilvl w:val="0"/>
          <w:numId w:val="11"/>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Feedback Cycles: User testing groups and retail partner evaluations.</w:t>
      </w:r>
    </w:p>
    <w:p w14:paraId="6309BDAE"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07BEB872"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3. Methods and Tools</w:t>
      </w:r>
    </w:p>
    <w:p w14:paraId="3AB6A709"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Email updates</w:t>
      </w:r>
    </w:p>
    <w:p w14:paraId="0C32D1E6"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Teams/Google Meet sessions</w:t>
      </w:r>
    </w:p>
    <w:p w14:paraId="14AB1EED"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Project dashboards (e.g., Trello, Asana, Jira)</w:t>
      </w:r>
    </w:p>
    <w:p w14:paraId="03CE30AF"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Weekly sprints (Agile methodology)</w:t>
      </w:r>
    </w:p>
    <w:p w14:paraId="182E6119"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Risk logs and compliance checklists</w:t>
      </w:r>
    </w:p>
    <w:p w14:paraId="464FC669" w14:textId="77777777" w:rsidR="00140896" w:rsidRPr="00E51FA0" w:rsidRDefault="00140896" w:rsidP="00140896">
      <w:pPr>
        <w:numPr>
          <w:ilvl w:val="0"/>
          <w:numId w:val="12"/>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Pilot user groups and beta testers</w:t>
      </w:r>
    </w:p>
    <w:p w14:paraId="7D7B8B2C"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p>
    <w:p w14:paraId="07971FCF" w14:textId="77777777" w:rsidR="00140896" w:rsidRPr="00E51FA0" w:rsidRDefault="00140896" w:rsidP="00140896">
      <w:p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4. Engagement Frequency</w:t>
      </w:r>
    </w:p>
    <w:p w14:paraId="4BABEF3D" w14:textId="77777777" w:rsidR="00140896" w:rsidRPr="00E51FA0" w:rsidRDefault="00140896" w:rsidP="00140896">
      <w:pPr>
        <w:numPr>
          <w:ilvl w:val="0"/>
          <w:numId w:val="13"/>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Weekly: Product development, IT security</w:t>
      </w:r>
    </w:p>
    <w:p w14:paraId="1E05C2FD" w14:textId="77777777" w:rsidR="00140896" w:rsidRPr="00E51FA0" w:rsidRDefault="00140896" w:rsidP="00140896">
      <w:pPr>
        <w:numPr>
          <w:ilvl w:val="0"/>
          <w:numId w:val="13"/>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Bi-weekly: Marketing, sales, retailers</w:t>
      </w:r>
    </w:p>
    <w:p w14:paraId="5E1636DB" w14:textId="77777777" w:rsidR="00140896" w:rsidRPr="00E51FA0" w:rsidRDefault="00140896" w:rsidP="00140896">
      <w:pPr>
        <w:numPr>
          <w:ilvl w:val="0"/>
          <w:numId w:val="13"/>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Monthly: Senior management, healthcare partners</w:t>
      </w:r>
    </w:p>
    <w:p w14:paraId="15434C53" w14:textId="77777777" w:rsidR="00140896" w:rsidRPr="00E51FA0" w:rsidRDefault="00140896" w:rsidP="00140896">
      <w:pPr>
        <w:numPr>
          <w:ilvl w:val="0"/>
          <w:numId w:val="13"/>
        </w:numPr>
        <w:spacing w:before="100" w:beforeAutospacing="1" w:after="100" w:afterAutospacing="1" w:line="240" w:lineRule="auto"/>
        <w:divId w:val="392513024"/>
        <w:rPr>
          <w:rFonts w:ascii="Arial" w:hAnsi="Arial" w:cs="Arial"/>
          <w:sz w:val="24"/>
          <w:szCs w:val="24"/>
          <w:lang w:eastAsia="ro-RO"/>
        </w:rPr>
      </w:pPr>
      <w:r w:rsidRPr="00E51FA0">
        <w:rPr>
          <w:rFonts w:ascii="Arial" w:hAnsi="Arial" w:cs="Arial"/>
          <w:sz w:val="24"/>
          <w:szCs w:val="24"/>
          <w:lang w:eastAsia="ro-RO"/>
        </w:rPr>
        <w:t>As needed: Regulators, suppliers</w:t>
      </w:r>
    </w:p>
    <w:p w14:paraId="6DEB6CDE" w14:textId="0B221502" w:rsidR="19DF5ED4" w:rsidRPr="00E51FA0" w:rsidRDefault="19DF5ED4" w:rsidP="19DF5ED4">
      <w:pPr>
        <w:spacing w:line="600" w:lineRule="auto"/>
        <w:rPr>
          <w:rFonts w:ascii="Arial" w:hAnsi="Arial" w:cs="Arial"/>
          <w:b/>
          <w:bCs/>
          <w:i/>
          <w:iCs/>
        </w:rPr>
      </w:pPr>
    </w:p>
    <w:p w14:paraId="1C5F4720" w14:textId="7F4EFB7D" w:rsidR="19DF5ED4" w:rsidRPr="00E51FA0" w:rsidRDefault="19DF5ED4" w:rsidP="19DF5ED4">
      <w:pPr>
        <w:spacing w:line="600" w:lineRule="auto"/>
        <w:rPr>
          <w:rFonts w:ascii="Arial" w:hAnsi="Arial" w:cs="Arial"/>
          <w:b/>
          <w:bCs/>
          <w:i/>
          <w:iCs/>
        </w:rPr>
      </w:pPr>
    </w:p>
    <w:p w14:paraId="1028C0FF" w14:textId="39E974B0" w:rsidR="19DF5ED4" w:rsidRPr="00E51FA0" w:rsidRDefault="19DF5ED4" w:rsidP="19DF5ED4">
      <w:pPr>
        <w:spacing w:line="600" w:lineRule="auto"/>
        <w:rPr>
          <w:rFonts w:ascii="Arial" w:hAnsi="Arial" w:cs="Arial"/>
          <w:b/>
          <w:bCs/>
          <w:i/>
          <w:iCs/>
        </w:rPr>
      </w:pPr>
    </w:p>
    <w:p w14:paraId="2D3FA84B" w14:textId="1D83EB86" w:rsidR="00EE61A7" w:rsidRPr="00E51FA0" w:rsidRDefault="00EE61A7" w:rsidP="00EE61A7">
      <w:pPr>
        <w:spacing w:before="100" w:beforeAutospacing="1" w:after="100" w:afterAutospacing="1" w:line="240" w:lineRule="auto"/>
        <w:outlineLvl w:val="0"/>
        <w:divId w:val="2107337184"/>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3</w:t>
      </w:r>
      <w:r w:rsidR="00074719" w:rsidRPr="00E51FA0">
        <w:rPr>
          <w:rFonts w:ascii="Arial" w:eastAsia="Times New Roman" w:hAnsi="Arial" w:cs="Arial"/>
          <w:b/>
          <w:bCs/>
          <w:kern w:val="36"/>
          <w:sz w:val="48"/>
          <w:szCs w:val="48"/>
          <w:lang w:eastAsia="ro-RO"/>
        </w:rPr>
        <w:t>.</w:t>
      </w:r>
      <w:r w:rsidRPr="00E51FA0">
        <w:rPr>
          <w:rFonts w:ascii="Arial" w:eastAsia="Times New Roman" w:hAnsi="Arial" w:cs="Arial"/>
          <w:b/>
          <w:bCs/>
          <w:kern w:val="36"/>
          <w:sz w:val="48"/>
          <w:szCs w:val="48"/>
          <w:lang w:eastAsia="ro-RO"/>
        </w:rPr>
        <w:t xml:space="preserve"> Communication Plan</w:t>
      </w:r>
    </w:p>
    <w:p w14:paraId="7E28095A" w14:textId="77777777" w:rsidR="00EE61A7" w:rsidRPr="00E51FA0" w:rsidRDefault="00EE61A7" w:rsidP="00EE61A7">
      <w:pPr>
        <w:spacing w:before="100" w:beforeAutospacing="1" w:after="100" w:afterAutospacing="1" w:line="240" w:lineRule="auto"/>
        <w:divId w:val="2107337184"/>
        <w:rPr>
          <w:rFonts w:ascii="Arial" w:hAnsi="Arial" w:cs="Arial"/>
          <w:sz w:val="24"/>
          <w:szCs w:val="24"/>
          <w:lang w:eastAsia="ro-RO"/>
        </w:rPr>
      </w:pPr>
    </w:p>
    <w:p w14:paraId="60FBC62B" w14:textId="77777777" w:rsidR="00EE61A7" w:rsidRPr="00E51FA0" w:rsidRDefault="00EE61A7" w:rsidP="00EE61A7">
      <w:pPr>
        <w:spacing w:before="100" w:beforeAutospacing="1" w:after="100" w:afterAutospacing="1" w:line="240" w:lineRule="auto"/>
        <w:divId w:val="2107337184"/>
        <w:rPr>
          <w:rFonts w:ascii="Arial" w:hAnsi="Arial" w:cs="Arial"/>
          <w:sz w:val="24"/>
          <w:szCs w:val="24"/>
          <w:lang w:eastAsia="ro-RO"/>
        </w:rPr>
      </w:pPr>
      <w:r w:rsidRPr="00E51FA0">
        <w:rPr>
          <w:rFonts w:ascii="Arial" w:hAnsi="Arial" w:cs="Arial"/>
          <w:sz w:val="24"/>
          <w:szCs w:val="24"/>
          <w:lang w:eastAsia="ro-RO"/>
        </w:rPr>
        <w:t>A communication plan ensures consistency and clarity across all project stakeholders.</w:t>
      </w:r>
    </w:p>
    <w:p w14:paraId="35EE3EDB" w14:textId="77777777" w:rsidR="00EE61A7" w:rsidRPr="00E51FA0" w:rsidRDefault="00EE61A7" w:rsidP="00EE61A7">
      <w:pPr>
        <w:spacing w:before="100" w:beforeAutospacing="1" w:after="100" w:afterAutospacing="1" w:line="240" w:lineRule="auto"/>
        <w:divId w:val="2107337184"/>
        <w:rPr>
          <w:rFonts w:ascii="Arial" w:hAnsi="Arial" w:cs="Arial"/>
          <w:sz w:val="24"/>
          <w:szCs w:val="24"/>
          <w:lang w:eastAsia="ro-RO"/>
        </w:rPr>
      </w:pPr>
    </w:p>
    <w:p w14:paraId="0FEE2C3B" w14:textId="77777777" w:rsidR="00EE61A7" w:rsidRPr="00E51FA0" w:rsidRDefault="00EE61A7" w:rsidP="00EE61A7">
      <w:pPr>
        <w:spacing w:before="100" w:beforeAutospacing="1" w:after="100" w:afterAutospacing="1" w:line="240" w:lineRule="auto"/>
        <w:outlineLvl w:val="2"/>
        <w:divId w:val="2107337184"/>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Communication Principles</w:t>
      </w:r>
    </w:p>
    <w:p w14:paraId="3F2390A6" w14:textId="77777777" w:rsidR="00EE61A7" w:rsidRPr="00E51FA0" w:rsidRDefault="00EE61A7" w:rsidP="00EE61A7">
      <w:pPr>
        <w:numPr>
          <w:ilvl w:val="0"/>
          <w:numId w:val="14"/>
        </w:numPr>
        <w:spacing w:before="100" w:beforeAutospacing="1" w:after="100" w:afterAutospacing="1" w:line="240" w:lineRule="auto"/>
        <w:divId w:val="2107337184"/>
        <w:rPr>
          <w:rFonts w:ascii="Arial" w:hAnsi="Arial" w:cs="Arial"/>
          <w:sz w:val="24"/>
          <w:szCs w:val="24"/>
          <w:lang w:eastAsia="ro-RO"/>
        </w:rPr>
      </w:pPr>
      <w:r w:rsidRPr="00E51FA0">
        <w:rPr>
          <w:rFonts w:ascii="Arial" w:hAnsi="Arial" w:cs="Arial"/>
          <w:sz w:val="24"/>
          <w:szCs w:val="24"/>
          <w:lang w:eastAsia="ro-RO"/>
        </w:rPr>
        <w:t>Timely, accurate and relevant information</w:t>
      </w:r>
    </w:p>
    <w:p w14:paraId="52711981" w14:textId="77777777" w:rsidR="00EE61A7" w:rsidRPr="00E51FA0" w:rsidRDefault="00EE61A7" w:rsidP="00EE61A7">
      <w:pPr>
        <w:numPr>
          <w:ilvl w:val="0"/>
          <w:numId w:val="14"/>
        </w:numPr>
        <w:spacing w:before="100" w:beforeAutospacing="1" w:after="100" w:afterAutospacing="1" w:line="240" w:lineRule="auto"/>
        <w:divId w:val="2107337184"/>
        <w:rPr>
          <w:rFonts w:ascii="Arial" w:hAnsi="Arial" w:cs="Arial"/>
          <w:sz w:val="24"/>
          <w:szCs w:val="24"/>
          <w:lang w:eastAsia="ro-RO"/>
        </w:rPr>
      </w:pPr>
      <w:r w:rsidRPr="00E51FA0">
        <w:rPr>
          <w:rFonts w:ascii="Arial" w:hAnsi="Arial" w:cs="Arial"/>
          <w:sz w:val="24"/>
          <w:szCs w:val="24"/>
          <w:lang w:eastAsia="ro-RO"/>
        </w:rPr>
        <w:t>Clear escalation channels</w:t>
      </w:r>
    </w:p>
    <w:p w14:paraId="57EC449A" w14:textId="77777777" w:rsidR="00EE61A7" w:rsidRPr="00E51FA0" w:rsidRDefault="00EE61A7" w:rsidP="00EE61A7">
      <w:pPr>
        <w:numPr>
          <w:ilvl w:val="0"/>
          <w:numId w:val="14"/>
        </w:numPr>
        <w:spacing w:before="100" w:beforeAutospacing="1" w:after="100" w:afterAutospacing="1" w:line="240" w:lineRule="auto"/>
        <w:divId w:val="2107337184"/>
        <w:rPr>
          <w:rFonts w:ascii="Arial" w:hAnsi="Arial" w:cs="Arial"/>
          <w:sz w:val="24"/>
          <w:szCs w:val="24"/>
          <w:lang w:eastAsia="ro-RO"/>
        </w:rPr>
      </w:pPr>
      <w:r w:rsidRPr="00E51FA0">
        <w:rPr>
          <w:rFonts w:ascii="Arial" w:hAnsi="Arial" w:cs="Arial"/>
          <w:sz w:val="24"/>
          <w:szCs w:val="24"/>
          <w:lang w:eastAsia="ro-RO"/>
        </w:rPr>
        <w:t>Differentiated communication formats per stakeholder group</w:t>
      </w:r>
    </w:p>
    <w:p w14:paraId="1E10A083" w14:textId="77777777" w:rsidR="00EE61A7" w:rsidRPr="00E51FA0" w:rsidRDefault="00EE61A7" w:rsidP="00EE61A7">
      <w:pPr>
        <w:numPr>
          <w:ilvl w:val="0"/>
          <w:numId w:val="14"/>
        </w:numPr>
        <w:spacing w:before="100" w:beforeAutospacing="1" w:after="100" w:afterAutospacing="1" w:line="240" w:lineRule="auto"/>
        <w:divId w:val="2107337184"/>
        <w:rPr>
          <w:rFonts w:ascii="Arial" w:hAnsi="Arial" w:cs="Arial"/>
          <w:sz w:val="24"/>
          <w:szCs w:val="24"/>
          <w:lang w:eastAsia="ro-RO"/>
        </w:rPr>
      </w:pPr>
      <w:r w:rsidRPr="00E51FA0">
        <w:rPr>
          <w:rFonts w:ascii="Arial" w:hAnsi="Arial" w:cs="Arial"/>
          <w:sz w:val="24"/>
          <w:szCs w:val="24"/>
          <w:lang w:eastAsia="ro-RO"/>
        </w:rPr>
        <w:t>Transparency regarding risks, delays or changes</w:t>
      </w:r>
    </w:p>
    <w:p w14:paraId="7EEA8FE3" w14:textId="77777777" w:rsidR="00EE61A7" w:rsidRPr="00E51FA0" w:rsidRDefault="00EE61A7" w:rsidP="00EE61A7">
      <w:pPr>
        <w:spacing w:before="100" w:beforeAutospacing="1" w:after="100" w:afterAutospacing="1" w:line="240" w:lineRule="auto"/>
        <w:divId w:val="2107337184"/>
        <w:rPr>
          <w:rFonts w:ascii="Arial" w:hAnsi="Arial" w:cs="Arial"/>
          <w:sz w:val="24"/>
          <w:szCs w:val="24"/>
          <w:lang w:eastAsia="ro-RO"/>
        </w:rPr>
      </w:pPr>
    </w:p>
    <w:p w14:paraId="079EF08D" w14:textId="77777777" w:rsidR="00EE61A7" w:rsidRPr="00E51FA0" w:rsidRDefault="00EE61A7" w:rsidP="00EE61A7">
      <w:pPr>
        <w:spacing w:before="100" w:beforeAutospacing="1" w:after="100" w:afterAutospacing="1" w:line="240" w:lineRule="auto"/>
        <w:outlineLvl w:val="2"/>
        <w:divId w:val="2107337184"/>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Communication Methods &amp; Formats</w:t>
      </w:r>
    </w:p>
    <w:tbl>
      <w:tblPr>
        <w:tblStyle w:val="GridTable5Dark-Accent6"/>
        <w:tblW w:w="0" w:type="auto"/>
        <w:tblLook w:val="04A0" w:firstRow="1" w:lastRow="0" w:firstColumn="1" w:lastColumn="0" w:noHBand="0" w:noVBand="1"/>
      </w:tblPr>
      <w:tblGrid>
        <w:gridCol w:w="2308"/>
        <w:gridCol w:w="2376"/>
        <w:gridCol w:w="1766"/>
        <w:gridCol w:w="2566"/>
      </w:tblGrid>
      <w:tr w:rsidR="00677153" w:rsidRPr="00E51FA0" w14:paraId="00CAAEE8" w14:textId="77777777" w:rsidTr="0088320B">
        <w:trPr>
          <w:cnfStyle w:val="100000000000" w:firstRow="1" w:lastRow="0" w:firstColumn="0" w:lastColumn="0" w:oddVBand="0" w:evenVBand="0" w:oddHBand="0" w:evenHBand="0" w:firstRowFirstColumn="0" w:firstRowLastColumn="0" w:lastRowFirstColumn="0" w:lastRowLastColumn="0"/>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58C33003" w14:textId="77777777" w:rsidR="00677153" w:rsidRPr="00E51FA0" w:rsidRDefault="00677153" w:rsidP="00677153">
            <w:pPr>
              <w:spacing w:before="100" w:beforeAutospacing="1" w:after="100" w:afterAutospacing="1"/>
              <w:jc w:val="center"/>
              <w:rPr>
                <w:rFonts w:ascii="Arial" w:hAnsi="Arial" w:cs="Arial"/>
                <w:b w:val="0"/>
                <w:bCs w:val="0"/>
                <w:sz w:val="24"/>
                <w:szCs w:val="24"/>
                <w:lang w:eastAsia="ro-RO"/>
              </w:rPr>
            </w:pPr>
            <w:r w:rsidRPr="00E51FA0">
              <w:rPr>
                <w:rFonts w:ascii="Arial" w:hAnsi="Arial" w:cs="Arial"/>
                <w:sz w:val="24"/>
                <w:szCs w:val="24"/>
                <w:lang w:eastAsia="ro-RO"/>
              </w:rPr>
              <w:t>Stakeholder Group</w:t>
            </w:r>
          </w:p>
        </w:tc>
        <w:tc>
          <w:tcPr>
            <w:tcW w:w="0" w:type="auto"/>
            <w:hideMark/>
          </w:tcPr>
          <w:p w14:paraId="5315C3D2" w14:textId="77777777" w:rsidR="00677153" w:rsidRPr="00E51FA0" w:rsidRDefault="00677153" w:rsidP="00677153">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Method</w:t>
            </w:r>
          </w:p>
        </w:tc>
        <w:tc>
          <w:tcPr>
            <w:tcW w:w="0" w:type="auto"/>
            <w:hideMark/>
          </w:tcPr>
          <w:p w14:paraId="05063C3D" w14:textId="77777777" w:rsidR="00677153" w:rsidRPr="00E51FA0" w:rsidRDefault="00677153" w:rsidP="00677153">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Frequency</w:t>
            </w:r>
          </w:p>
        </w:tc>
        <w:tc>
          <w:tcPr>
            <w:tcW w:w="0" w:type="auto"/>
            <w:hideMark/>
          </w:tcPr>
          <w:p w14:paraId="5B41A7AE" w14:textId="77777777" w:rsidR="00677153" w:rsidRPr="00E51FA0" w:rsidRDefault="00677153" w:rsidP="00677153">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Content</w:t>
            </w:r>
          </w:p>
        </w:tc>
      </w:tr>
      <w:tr w:rsidR="00677153" w:rsidRPr="00E51FA0" w14:paraId="1E9BAEAB" w14:textId="77777777" w:rsidTr="0088320B">
        <w:trPr>
          <w:cnfStyle w:val="000000100000" w:firstRow="0" w:lastRow="0" w:firstColumn="0" w:lastColumn="0" w:oddVBand="0" w:evenVBand="0" w:oddHBand="1" w:evenHBand="0" w:firstRowFirstColumn="0" w:firstRowLastColumn="0" w:lastRowFirstColumn="0" w:lastRowLastColumn="0"/>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7AA4B4F2"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Senior Management</w:t>
            </w:r>
          </w:p>
        </w:tc>
        <w:tc>
          <w:tcPr>
            <w:tcW w:w="0" w:type="auto"/>
            <w:hideMark/>
          </w:tcPr>
          <w:p w14:paraId="1BBEB0BD"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Reports + Meetings</w:t>
            </w:r>
          </w:p>
        </w:tc>
        <w:tc>
          <w:tcPr>
            <w:tcW w:w="0" w:type="auto"/>
            <w:hideMark/>
          </w:tcPr>
          <w:p w14:paraId="7D8EF53C"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Monthly</w:t>
            </w:r>
          </w:p>
        </w:tc>
        <w:tc>
          <w:tcPr>
            <w:tcW w:w="0" w:type="auto"/>
            <w:hideMark/>
          </w:tcPr>
          <w:p w14:paraId="7062EFF0"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KPIs, risks, budget</w:t>
            </w:r>
          </w:p>
        </w:tc>
      </w:tr>
      <w:tr w:rsidR="00677153" w:rsidRPr="00E51FA0" w14:paraId="7306C770" w14:textId="77777777" w:rsidTr="0088320B">
        <w:trPr>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55889FED"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Product Development</w:t>
            </w:r>
          </w:p>
        </w:tc>
        <w:tc>
          <w:tcPr>
            <w:tcW w:w="0" w:type="auto"/>
            <w:hideMark/>
          </w:tcPr>
          <w:p w14:paraId="756C1DB6"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Daily Stand-ups</w:t>
            </w:r>
          </w:p>
        </w:tc>
        <w:tc>
          <w:tcPr>
            <w:tcW w:w="0" w:type="auto"/>
            <w:hideMark/>
          </w:tcPr>
          <w:p w14:paraId="4FBCCE6B"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Daily</w:t>
            </w:r>
          </w:p>
        </w:tc>
        <w:tc>
          <w:tcPr>
            <w:tcW w:w="0" w:type="auto"/>
            <w:hideMark/>
          </w:tcPr>
          <w:p w14:paraId="1947D017"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Tasks, progress</w:t>
            </w:r>
          </w:p>
        </w:tc>
      </w:tr>
      <w:tr w:rsidR="00677153" w:rsidRPr="00E51FA0" w14:paraId="6D0C7269" w14:textId="77777777" w:rsidTr="0088320B">
        <w:trPr>
          <w:cnfStyle w:val="000000100000" w:firstRow="0" w:lastRow="0" w:firstColumn="0" w:lastColumn="0" w:oddVBand="0" w:evenVBand="0" w:oddHBand="1" w:evenHBand="0" w:firstRowFirstColumn="0" w:firstRowLastColumn="0" w:lastRowFirstColumn="0" w:lastRowLastColumn="0"/>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661DFFA8"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Marketing</w:t>
            </w:r>
          </w:p>
        </w:tc>
        <w:tc>
          <w:tcPr>
            <w:tcW w:w="0" w:type="auto"/>
            <w:hideMark/>
          </w:tcPr>
          <w:p w14:paraId="27E5C67F"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Sprint Reviews</w:t>
            </w:r>
          </w:p>
        </w:tc>
        <w:tc>
          <w:tcPr>
            <w:tcW w:w="0" w:type="auto"/>
            <w:hideMark/>
          </w:tcPr>
          <w:p w14:paraId="34FCB048"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Bi-weekly</w:t>
            </w:r>
          </w:p>
        </w:tc>
        <w:tc>
          <w:tcPr>
            <w:tcW w:w="0" w:type="auto"/>
            <w:hideMark/>
          </w:tcPr>
          <w:p w14:paraId="5D039232"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Campaign alignment</w:t>
            </w:r>
          </w:p>
        </w:tc>
      </w:tr>
      <w:tr w:rsidR="00677153" w:rsidRPr="00E51FA0" w14:paraId="3A40F8A5" w14:textId="77777777" w:rsidTr="0088320B">
        <w:trPr>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118E15B7"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Sales</w:t>
            </w:r>
          </w:p>
        </w:tc>
        <w:tc>
          <w:tcPr>
            <w:tcW w:w="0" w:type="auto"/>
            <w:hideMark/>
          </w:tcPr>
          <w:p w14:paraId="12E3D2CB"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Email + Meetings</w:t>
            </w:r>
          </w:p>
        </w:tc>
        <w:tc>
          <w:tcPr>
            <w:tcW w:w="0" w:type="auto"/>
            <w:hideMark/>
          </w:tcPr>
          <w:p w14:paraId="491A69E5"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Weekly</w:t>
            </w:r>
          </w:p>
        </w:tc>
        <w:tc>
          <w:tcPr>
            <w:tcW w:w="0" w:type="auto"/>
            <w:hideMark/>
          </w:tcPr>
          <w:p w14:paraId="155D6038"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Forecasts, retailer updates</w:t>
            </w:r>
          </w:p>
        </w:tc>
      </w:tr>
      <w:tr w:rsidR="00677153" w:rsidRPr="00E51FA0" w14:paraId="60A07A63" w14:textId="77777777" w:rsidTr="0088320B">
        <w:trPr>
          <w:cnfStyle w:val="000000100000" w:firstRow="0" w:lastRow="0" w:firstColumn="0" w:lastColumn="0" w:oddVBand="0" w:evenVBand="0" w:oddHBand="1" w:evenHBand="0" w:firstRowFirstColumn="0" w:firstRowLastColumn="0" w:lastRowFirstColumn="0" w:lastRowLastColumn="0"/>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698FA389"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Regulators</w:t>
            </w:r>
          </w:p>
        </w:tc>
        <w:tc>
          <w:tcPr>
            <w:tcW w:w="0" w:type="auto"/>
            <w:hideMark/>
          </w:tcPr>
          <w:p w14:paraId="4681B78E"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Compliance Submissions</w:t>
            </w:r>
          </w:p>
        </w:tc>
        <w:tc>
          <w:tcPr>
            <w:tcW w:w="0" w:type="auto"/>
            <w:hideMark/>
          </w:tcPr>
          <w:p w14:paraId="796B94EE"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As required</w:t>
            </w:r>
          </w:p>
        </w:tc>
        <w:tc>
          <w:tcPr>
            <w:tcW w:w="0" w:type="auto"/>
            <w:hideMark/>
          </w:tcPr>
          <w:p w14:paraId="2F3D6034"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Documentation</w:t>
            </w:r>
          </w:p>
        </w:tc>
      </w:tr>
      <w:tr w:rsidR="00677153" w:rsidRPr="00E51FA0" w14:paraId="5E6A1909" w14:textId="77777777" w:rsidTr="0088320B">
        <w:trPr>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07841D75"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Retail Partners</w:t>
            </w:r>
          </w:p>
        </w:tc>
        <w:tc>
          <w:tcPr>
            <w:tcW w:w="0" w:type="auto"/>
            <w:hideMark/>
          </w:tcPr>
          <w:p w14:paraId="726ABDC9"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Joint Calls</w:t>
            </w:r>
          </w:p>
        </w:tc>
        <w:tc>
          <w:tcPr>
            <w:tcW w:w="0" w:type="auto"/>
            <w:hideMark/>
          </w:tcPr>
          <w:p w14:paraId="03FFAF46"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Bi-weekly</w:t>
            </w:r>
          </w:p>
        </w:tc>
        <w:tc>
          <w:tcPr>
            <w:tcW w:w="0" w:type="auto"/>
            <w:hideMark/>
          </w:tcPr>
          <w:p w14:paraId="02F3CF73" w14:textId="77777777" w:rsidR="00677153" w:rsidRPr="00E51FA0" w:rsidRDefault="00677153" w:rsidP="0067715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Inventory &amp; launch prep</w:t>
            </w:r>
          </w:p>
        </w:tc>
      </w:tr>
      <w:tr w:rsidR="00677153" w:rsidRPr="00E51FA0" w14:paraId="2B556FF0" w14:textId="77777777" w:rsidTr="0088320B">
        <w:trPr>
          <w:cnfStyle w:val="000000100000" w:firstRow="0" w:lastRow="0" w:firstColumn="0" w:lastColumn="0" w:oddVBand="0" w:evenVBand="0" w:oddHBand="1" w:evenHBand="0" w:firstRowFirstColumn="0" w:firstRowLastColumn="0" w:lastRowFirstColumn="0" w:lastRowLastColumn="0"/>
          <w:divId w:val="139620063"/>
        </w:trPr>
        <w:tc>
          <w:tcPr>
            <w:cnfStyle w:val="001000000000" w:firstRow="0" w:lastRow="0" w:firstColumn="1" w:lastColumn="0" w:oddVBand="0" w:evenVBand="0" w:oddHBand="0" w:evenHBand="0" w:firstRowFirstColumn="0" w:firstRowLastColumn="0" w:lastRowFirstColumn="0" w:lastRowLastColumn="0"/>
            <w:tcW w:w="0" w:type="auto"/>
            <w:hideMark/>
          </w:tcPr>
          <w:p w14:paraId="274F5932" w14:textId="77777777" w:rsidR="00677153" w:rsidRPr="00E51FA0" w:rsidRDefault="00677153" w:rsidP="00677153">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Customers</w:t>
            </w:r>
          </w:p>
        </w:tc>
        <w:tc>
          <w:tcPr>
            <w:tcW w:w="0" w:type="auto"/>
            <w:hideMark/>
          </w:tcPr>
          <w:p w14:paraId="2A1DA55D"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Social Media + Surveys</w:t>
            </w:r>
          </w:p>
        </w:tc>
        <w:tc>
          <w:tcPr>
            <w:tcW w:w="0" w:type="auto"/>
            <w:hideMark/>
          </w:tcPr>
          <w:p w14:paraId="4E5D9E3A"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Pre/Post Launch</w:t>
            </w:r>
          </w:p>
        </w:tc>
        <w:tc>
          <w:tcPr>
            <w:tcW w:w="0" w:type="auto"/>
            <w:hideMark/>
          </w:tcPr>
          <w:p w14:paraId="788BEECF" w14:textId="77777777" w:rsidR="00677153" w:rsidRPr="00E51FA0" w:rsidRDefault="00677153" w:rsidP="0067715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Feedback</w:t>
            </w:r>
          </w:p>
        </w:tc>
      </w:tr>
    </w:tbl>
    <w:p w14:paraId="1766FA8E" w14:textId="30C7E9B5" w:rsidR="19DF5ED4" w:rsidRPr="00E51FA0" w:rsidRDefault="19DF5ED4" w:rsidP="19DF5ED4">
      <w:pPr>
        <w:spacing w:line="600" w:lineRule="auto"/>
        <w:rPr>
          <w:rFonts w:ascii="Arial" w:hAnsi="Arial" w:cs="Arial"/>
          <w:b/>
          <w:bCs/>
          <w:i/>
          <w:iCs/>
        </w:rPr>
      </w:pPr>
    </w:p>
    <w:p w14:paraId="6A5CE00D" w14:textId="77777777" w:rsidR="006A7026" w:rsidRPr="00E51FA0" w:rsidRDefault="006A7026">
      <w:pPr>
        <w:pStyle w:val="p1"/>
        <w:divId w:val="717052226"/>
        <w:rPr>
          <w:rFonts w:ascii="Arial" w:hAnsi="Arial" w:cs="Arial"/>
        </w:rPr>
      </w:pPr>
      <w:r w:rsidRPr="00E51FA0">
        <w:rPr>
          <w:rStyle w:val="s1"/>
          <w:rFonts w:ascii="Arial" w:hAnsi="Arial" w:cs="Arial"/>
        </w:rPr>
        <w:t>A strong communication plan reduces uncertainty, aligns expectations and increases project cohesion.</w:t>
      </w:r>
    </w:p>
    <w:p w14:paraId="1CB1F156" w14:textId="6D95C674" w:rsidR="00CB4FB2" w:rsidRPr="00E51FA0" w:rsidRDefault="00CB4FB2" w:rsidP="00CB4FB2">
      <w:pPr>
        <w:spacing w:before="100" w:beforeAutospacing="1" w:after="100" w:afterAutospacing="1" w:line="240" w:lineRule="auto"/>
        <w:outlineLvl w:val="0"/>
        <w:divId w:val="537163490"/>
        <w:rPr>
          <w:rFonts w:ascii="Arial" w:eastAsia="Times New Roman" w:hAnsi="Arial" w:cs="Arial"/>
          <w:b/>
          <w:bCs/>
          <w:kern w:val="36"/>
          <w:sz w:val="32"/>
          <w:szCs w:val="32"/>
          <w:lang w:eastAsia="ro-RO"/>
        </w:rPr>
      </w:pPr>
      <w:r w:rsidRPr="00E51FA0">
        <w:rPr>
          <w:rFonts w:ascii="Arial" w:eastAsia="Times New Roman" w:hAnsi="Arial" w:cs="Arial"/>
          <w:b/>
          <w:bCs/>
          <w:kern w:val="36"/>
          <w:sz w:val="32"/>
          <w:szCs w:val="32"/>
          <w:lang w:eastAsia="ro-RO"/>
        </w:rPr>
        <w:t>4</w:t>
      </w:r>
      <w:r w:rsidR="00074719" w:rsidRPr="00E51FA0">
        <w:rPr>
          <w:rFonts w:ascii="Arial" w:eastAsia="Times New Roman" w:hAnsi="Arial" w:cs="Arial"/>
          <w:b/>
          <w:bCs/>
          <w:kern w:val="36"/>
          <w:sz w:val="32"/>
          <w:szCs w:val="32"/>
          <w:lang w:eastAsia="ro-RO"/>
        </w:rPr>
        <w:t>.</w:t>
      </w:r>
      <w:r w:rsidRPr="00E51FA0">
        <w:rPr>
          <w:rFonts w:ascii="Arial" w:eastAsia="Times New Roman" w:hAnsi="Arial" w:cs="Arial"/>
          <w:b/>
          <w:bCs/>
          <w:kern w:val="36"/>
          <w:sz w:val="32"/>
          <w:szCs w:val="32"/>
          <w:lang w:eastAsia="ro-RO"/>
        </w:rPr>
        <w:t xml:space="preserve"> RACI Matrix</w:t>
      </w:r>
    </w:p>
    <w:p w14:paraId="7184407D" w14:textId="77777777" w:rsidR="00CB4FB2" w:rsidRPr="00E51FA0" w:rsidRDefault="00CB4FB2" w:rsidP="00CB4FB2">
      <w:pPr>
        <w:spacing w:before="100" w:beforeAutospacing="1" w:after="100" w:afterAutospacing="1" w:line="240" w:lineRule="auto"/>
        <w:divId w:val="537163490"/>
        <w:rPr>
          <w:rFonts w:ascii="Arial" w:hAnsi="Arial" w:cs="Arial"/>
          <w:sz w:val="24"/>
          <w:szCs w:val="24"/>
          <w:lang w:eastAsia="ro-RO"/>
        </w:rPr>
      </w:pPr>
    </w:p>
    <w:p w14:paraId="79AAE9DA" w14:textId="77777777" w:rsidR="00CB4FB2" w:rsidRPr="00E51FA0" w:rsidRDefault="00CB4FB2" w:rsidP="00CB4FB2">
      <w:pPr>
        <w:spacing w:before="100" w:beforeAutospacing="1" w:after="100" w:afterAutospacing="1" w:line="240" w:lineRule="auto"/>
        <w:divId w:val="537163490"/>
        <w:rPr>
          <w:rFonts w:ascii="Arial" w:hAnsi="Arial" w:cs="Arial"/>
          <w:sz w:val="24"/>
          <w:szCs w:val="24"/>
          <w:lang w:eastAsia="ro-RO"/>
        </w:rPr>
      </w:pPr>
      <w:r w:rsidRPr="00E51FA0">
        <w:rPr>
          <w:rFonts w:ascii="Arial" w:hAnsi="Arial" w:cs="Arial"/>
          <w:sz w:val="24"/>
          <w:szCs w:val="24"/>
          <w:lang w:eastAsia="ro-RO"/>
        </w:rPr>
        <w:lastRenderedPageBreak/>
        <w:t>The RACI matrix defines who is Responsible, Accountable, Consulted and Informed. This ensures clarity and prevents role conflicts.</w:t>
      </w:r>
    </w:p>
    <w:tbl>
      <w:tblPr>
        <w:tblStyle w:val="GridTable5Dark-Accent5"/>
        <w:tblW w:w="0" w:type="auto"/>
        <w:tblLook w:val="04A0" w:firstRow="1" w:lastRow="0" w:firstColumn="1" w:lastColumn="0" w:noHBand="0" w:noVBand="1"/>
      </w:tblPr>
      <w:tblGrid>
        <w:gridCol w:w="1762"/>
        <w:gridCol w:w="1148"/>
        <w:gridCol w:w="1350"/>
        <w:gridCol w:w="844"/>
        <w:gridCol w:w="1444"/>
        <w:gridCol w:w="998"/>
        <w:gridCol w:w="1470"/>
      </w:tblGrid>
      <w:tr w:rsidR="00F0536C" w:rsidRPr="00E51FA0" w14:paraId="55F18DDF" w14:textId="77777777" w:rsidTr="0088320B">
        <w:trPr>
          <w:cnfStyle w:val="100000000000" w:firstRow="1" w:lastRow="0" w:firstColumn="0" w:lastColumn="0" w:oddVBand="0" w:evenVBand="0" w:oddHBand="0" w:evenHBand="0" w:firstRowFirstColumn="0" w:firstRowLastColumn="0" w:lastRowFirstColumn="0" w:lastRowLastColumn="0"/>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5C1D1493" w14:textId="77777777" w:rsidR="00F0536C" w:rsidRPr="00E51FA0" w:rsidRDefault="00F0536C" w:rsidP="00F0536C">
            <w:pPr>
              <w:spacing w:before="100" w:beforeAutospacing="1" w:after="100" w:afterAutospacing="1"/>
              <w:jc w:val="center"/>
              <w:rPr>
                <w:rFonts w:ascii="Arial" w:hAnsi="Arial" w:cs="Arial"/>
                <w:b w:val="0"/>
                <w:bCs w:val="0"/>
                <w:sz w:val="24"/>
                <w:szCs w:val="24"/>
                <w:lang w:eastAsia="ro-RO"/>
              </w:rPr>
            </w:pPr>
            <w:r w:rsidRPr="00E51FA0">
              <w:rPr>
                <w:rFonts w:ascii="Arial" w:hAnsi="Arial" w:cs="Arial"/>
                <w:sz w:val="24"/>
                <w:szCs w:val="24"/>
                <w:lang w:eastAsia="ro-RO"/>
              </w:rPr>
              <w:t>Task/Activity</w:t>
            </w:r>
          </w:p>
        </w:tc>
        <w:tc>
          <w:tcPr>
            <w:tcW w:w="0" w:type="auto"/>
            <w:hideMark/>
          </w:tcPr>
          <w:p w14:paraId="62AB4589"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Product Dev</w:t>
            </w:r>
          </w:p>
        </w:tc>
        <w:tc>
          <w:tcPr>
            <w:tcW w:w="0" w:type="auto"/>
            <w:hideMark/>
          </w:tcPr>
          <w:p w14:paraId="5F977574"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Marketing</w:t>
            </w:r>
          </w:p>
        </w:tc>
        <w:tc>
          <w:tcPr>
            <w:tcW w:w="0" w:type="auto"/>
            <w:hideMark/>
          </w:tcPr>
          <w:p w14:paraId="5081D76E"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Sales</w:t>
            </w:r>
          </w:p>
        </w:tc>
        <w:tc>
          <w:tcPr>
            <w:tcW w:w="0" w:type="auto"/>
            <w:hideMark/>
          </w:tcPr>
          <w:p w14:paraId="20326D35"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IT/Security</w:t>
            </w:r>
          </w:p>
        </w:tc>
        <w:tc>
          <w:tcPr>
            <w:tcW w:w="0" w:type="auto"/>
            <w:hideMark/>
          </w:tcPr>
          <w:p w14:paraId="4994405A"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Senior Mgmt</w:t>
            </w:r>
          </w:p>
        </w:tc>
        <w:tc>
          <w:tcPr>
            <w:tcW w:w="0" w:type="auto"/>
            <w:hideMark/>
          </w:tcPr>
          <w:p w14:paraId="57759C14" w14:textId="77777777" w:rsidR="00F0536C" w:rsidRPr="00E51FA0" w:rsidRDefault="00F0536C" w:rsidP="00F0536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ro-RO"/>
              </w:rPr>
            </w:pPr>
            <w:r w:rsidRPr="00E51FA0">
              <w:rPr>
                <w:rFonts w:ascii="Arial" w:hAnsi="Arial" w:cs="Arial"/>
                <w:sz w:val="24"/>
                <w:szCs w:val="24"/>
                <w:lang w:eastAsia="ro-RO"/>
              </w:rPr>
              <w:t>Regulators</w:t>
            </w:r>
          </w:p>
        </w:tc>
      </w:tr>
      <w:tr w:rsidR="00F0536C" w:rsidRPr="00E51FA0" w14:paraId="711648BF" w14:textId="77777777" w:rsidTr="0088320B">
        <w:trPr>
          <w:cnfStyle w:val="000000100000" w:firstRow="0" w:lastRow="0" w:firstColumn="0" w:lastColumn="0" w:oddVBand="0" w:evenVBand="0" w:oddHBand="1" w:evenHBand="0" w:firstRowFirstColumn="0" w:firstRowLastColumn="0" w:lastRowFirstColumn="0" w:lastRowLastColumn="0"/>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2EDC7F5A"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Device design</w:t>
            </w:r>
          </w:p>
        </w:tc>
        <w:tc>
          <w:tcPr>
            <w:tcW w:w="0" w:type="auto"/>
            <w:hideMark/>
          </w:tcPr>
          <w:p w14:paraId="5C0E6347"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2F0394DA"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377244EA"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35CA970E"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3811C9F4"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1D7D75A0"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r>
      <w:tr w:rsidR="00F0536C" w:rsidRPr="00E51FA0" w14:paraId="17FA4DC8" w14:textId="77777777" w:rsidTr="0088320B">
        <w:trPr>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7EF1CE7B"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Prototype testing</w:t>
            </w:r>
          </w:p>
        </w:tc>
        <w:tc>
          <w:tcPr>
            <w:tcW w:w="0" w:type="auto"/>
            <w:hideMark/>
          </w:tcPr>
          <w:p w14:paraId="1D8B31B5"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7FFEAB51"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67FF35F7"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44C62204"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0013D2C4"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13895E7B"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r>
      <w:tr w:rsidR="00F0536C" w:rsidRPr="00E51FA0" w14:paraId="5D9C5B8E" w14:textId="77777777" w:rsidTr="0088320B">
        <w:trPr>
          <w:cnfStyle w:val="000000100000" w:firstRow="0" w:lastRow="0" w:firstColumn="0" w:lastColumn="0" w:oddVBand="0" w:evenVBand="0" w:oddHBand="1" w:evenHBand="0" w:firstRowFirstColumn="0" w:firstRowLastColumn="0" w:lastRowFirstColumn="0" w:lastRowLastColumn="0"/>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7886C285"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Compliance approval</w:t>
            </w:r>
          </w:p>
        </w:tc>
        <w:tc>
          <w:tcPr>
            <w:tcW w:w="0" w:type="auto"/>
            <w:hideMark/>
          </w:tcPr>
          <w:p w14:paraId="64E1604B"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35380E2A"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428430D5"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64523178"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4040BD7B"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0EB1FF50"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r>
      <w:tr w:rsidR="00F0536C" w:rsidRPr="00E51FA0" w14:paraId="23A5CA95" w14:textId="77777777" w:rsidTr="0088320B">
        <w:trPr>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527138F7"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Market research</w:t>
            </w:r>
          </w:p>
        </w:tc>
        <w:tc>
          <w:tcPr>
            <w:tcW w:w="0" w:type="auto"/>
            <w:hideMark/>
          </w:tcPr>
          <w:p w14:paraId="5CA34886"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7F2232FD"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5E0B0CD8"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68F89AC0"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2455A140"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0417E481"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r>
      <w:tr w:rsidR="00F0536C" w:rsidRPr="00E51FA0" w14:paraId="6082010D" w14:textId="77777777" w:rsidTr="0088320B">
        <w:trPr>
          <w:cnfStyle w:val="000000100000" w:firstRow="0" w:lastRow="0" w:firstColumn="0" w:lastColumn="0" w:oddVBand="0" w:evenVBand="0" w:oddHBand="1" w:evenHBand="0" w:firstRowFirstColumn="0" w:firstRowLastColumn="0" w:lastRowFirstColumn="0" w:lastRowLastColumn="0"/>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2A5985EE"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Launch campaign</w:t>
            </w:r>
          </w:p>
        </w:tc>
        <w:tc>
          <w:tcPr>
            <w:tcW w:w="0" w:type="auto"/>
            <w:hideMark/>
          </w:tcPr>
          <w:p w14:paraId="4773C018"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3E9D413E"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31DCD046"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7F2EE4B8"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45095823"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128702C5"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r>
      <w:tr w:rsidR="00F0536C" w:rsidRPr="00E51FA0" w14:paraId="52CB436E" w14:textId="77777777" w:rsidTr="0088320B">
        <w:trPr>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766F467B"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Distribution agreements</w:t>
            </w:r>
          </w:p>
        </w:tc>
        <w:tc>
          <w:tcPr>
            <w:tcW w:w="0" w:type="auto"/>
            <w:hideMark/>
          </w:tcPr>
          <w:p w14:paraId="25EFD911"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7D6728BB"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799279AD"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0352E9B2"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1EDC1148"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7B8FB2CC"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r>
      <w:tr w:rsidR="00F0536C" w:rsidRPr="00E51FA0" w14:paraId="2D087988" w14:textId="77777777" w:rsidTr="0088320B">
        <w:trPr>
          <w:cnfStyle w:val="000000100000" w:firstRow="0" w:lastRow="0" w:firstColumn="0" w:lastColumn="0" w:oddVBand="0" w:evenVBand="0" w:oddHBand="1" w:evenHBand="0" w:firstRowFirstColumn="0" w:firstRowLastColumn="0" w:lastRowFirstColumn="0" w:lastRowLastColumn="0"/>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5AE6AE72"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Data protection checks</w:t>
            </w:r>
          </w:p>
        </w:tc>
        <w:tc>
          <w:tcPr>
            <w:tcW w:w="0" w:type="auto"/>
            <w:hideMark/>
          </w:tcPr>
          <w:p w14:paraId="5EBF434C"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6A85AC6C"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2534A811"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70205F2D"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R</w:t>
            </w:r>
          </w:p>
        </w:tc>
        <w:tc>
          <w:tcPr>
            <w:tcW w:w="0" w:type="auto"/>
            <w:hideMark/>
          </w:tcPr>
          <w:p w14:paraId="24F03ABC"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2F09FBAA" w14:textId="77777777" w:rsidR="00F0536C" w:rsidRPr="00E51FA0" w:rsidRDefault="00F0536C" w:rsidP="00F0536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r>
      <w:tr w:rsidR="00F0536C" w:rsidRPr="00E51FA0" w14:paraId="58DE611C" w14:textId="77777777" w:rsidTr="0088320B">
        <w:trPr>
          <w:divId w:val="1277172762"/>
        </w:trPr>
        <w:tc>
          <w:tcPr>
            <w:cnfStyle w:val="001000000000" w:firstRow="0" w:lastRow="0" w:firstColumn="1" w:lastColumn="0" w:oddVBand="0" w:evenVBand="0" w:oddHBand="0" w:evenHBand="0" w:firstRowFirstColumn="0" w:firstRowLastColumn="0" w:lastRowFirstColumn="0" w:lastRowLastColumn="0"/>
            <w:tcW w:w="0" w:type="auto"/>
            <w:hideMark/>
          </w:tcPr>
          <w:p w14:paraId="392B28E7" w14:textId="77777777" w:rsidR="00F0536C" w:rsidRPr="00E51FA0" w:rsidRDefault="00F0536C" w:rsidP="00F0536C">
            <w:pPr>
              <w:spacing w:before="100" w:beforeAutospacing="1" w:after="100" w:afterAutospacing="1"/>
              <w:rPr>
                <w:rFonts w:ascii="Arial" w:hAnsi="Arial" w:cs="Arial"/>
                <w:sz w:val="24"/>
                <w:szCs w:val="24"/>
                <w:lang w:eastAsia="ro-RO"/>
              </w:rPr>
            </w:pPr>
            <w:r w:rsidRPr="00E51FA0">
              <w:rPr>
                <w:rFonts w:ascii="Arial" w:hAnsi="Arial" w:cs="Arial"/>
                <w:sz w:val="24"/>
                <w:szCs w:val="24"/>
                <w:lang w:eastAsia="ro-RO"/>
              </w:rPr>
              <w:t>Final launch decision</w:t>
            </w:r>
          </w:p>
        </w:tc>
        <w:tc>
          <w:tcPr>
            <w:tcW w:w="0" w:type="auto"/>
            <w:hideMark/>
          </w:tcPr>
          <w:p w14:paraId="47CCFF3B"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1E68680E"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266CB0F6"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c>
          <w:tcPr>
            <w:tcW w:w="0" w:type="auto"/>
            <w:hideMark/>
          </w:tcPr>
          <w:p w14:paraId="32CD98F9"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C</w:t>
            </w:r>
          </w:p>
        </w:tc>
        <w:tc>
          <w:tcPr>
            <w:tcW w:w="0" w:type="auto"/>
            <w:hideMark/>
          </w:tcPr>
          <w:p w14:paraId="14724680"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A</w:t>
            </w:r>
          </w:p>
        </w:tc>
        <w:tc>
          <w:tcPr>
            <w:tcW w:w="0" w:type="auto"/>
            <w:hideMark/>
          </w:tcPr>
          <w:p w14:paraId="7F075F42" w14:textId="77777777" w:rsidR="00F0536C" w:rsidRPr="00E51FA0" w:rsidRDefault="00F0536C" w:rsidP="00F0536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ro-RO"/>
              </w:rPr>
            </w:pPr>
            <w:r w:rsidRPr="00E51FA0">
              <w:rPr>
                <w:rFonts w:ascii="Arial" w:hAnsi="Arial" w:cs="Arial"/>
                <w:sz w:val="24"/>
                <w:szCs w:val="24"/>
                <w:lang w:eastAsia="ro-RO"/>
              </w:rPr>
              <w:t>I</w:t>
            </w:r>
          </w:p>
        </w:tc>
      </w:tr>
    </w:tbl>
    <w:p w14:paraId="795AC82B" w14:textId="77777777" w:rsidR="006A7026" w:rsidRPr="00E51FA0" w:rsidRDefault="006A7026" w:rsidP="19DF5ED4">
      <w:pPr>
        <w:spacing w:line="600" w:lineRule="auto"/>
        <w:rPr>
          <w:rFonts w:ascii="Arial" w:hAnsi="Arial" w:cs="Arial"/>
          <w:b/>
          <w:bCs/>
          <w:i/>
          <w:iCs/>
        </w:rPr>
      </w:pPr>
    </w:p>
    <w:p w14:paraId="0EF4DE37" w14:textId="77777777" w:rsidR="002735CF" w:rsidRPr="00E51FA0" w:rsidRDefault="002735CF">
      <w:pPr>
        <w:pStyle w:val="p1"/>
        <w:divId w:val="1041784641"/>
        <w:rPr>
          <w:rStyle w:val="s1"/>
          <w:rFonts w:ascii="Arial" w:hAnsi="Arial" w:cs="Arial"/>
        </w:rPr>
      </w:pPr>
      <w:r w:rsidRPr="00E51FA0">
        <w:rPr>
          <w:rStyle w:val="s1"/>
          <w:rFonts w:ascii="Arial" w:hAnsi="Arial" w:cs="Arial"/>
        </w:rPr>
        <w:t>This matrix clarifies responsibilities and ensures accountability at every stage of the project.</w:t>
      </w:r>
    </w:p>
    <w:p w14:paraId="7059DBF0" w14:textId="77777777" w:rsidR="0056343B" w:rsidRPr="00E51FA0" w:rsidRDefault="0056343B">
      <w:pPr>
        <w:pStyle w:val="p1"/>
        <w:divId w:val="1041784641"/>
        <w:rPr>
          <w:rFonts w:ascii="Arial" w:hAnsi="Arial" w:cs="Arial"/>
        </w:rPr>
      </w:pPr>
    </w:p>
    <w:p w14:paraId="4025B9E0" w14:textId="63DA337E" w:rsidR="00D10524" w:rsidRPr="00E51FA0" w:rsidRDefault="00D10524" w:rsidP="00D10524">
      <w:pPr>
        <w:spacing w:before="100" w:beforeAutospacing="1" w:after="100" w:afterAutospacing="1" w:line="240" w:lineRule="auto"/>
        <w:outlineLvl w:val="0"/>
        <w:divId w:val="1747452838"/>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6</w:t>
      </w:r>
      <w:r w:rsidR="00E967DD" w:rsidRPr="00E51FA0">
        <w:rPr>
          <w:rFonts w:ascii="Arial" w:eastAsia="Times New Roman" w:hAnsi="Arial" w:cs="Arial"/>
          <w:b/>
          <w:bCs/>
          <w:kern w:val="36"/>
          <w:sz w:val="48"/>
          <w:szCs w:val="48"/>
          <w:lang w:eastAsia="ro-RO"/>
        </w:rPr>
        <w:t>.</w:t>
      </w:r>
      <w:r w:rsidRPr="00E51FA0">
        <w:rPr>
          <w:rFonts w:ascii="Arial" w:eastAsia="Times New Roman" w:hAnsi="Arial" w:cs="Arial"/>
          <w:b/>
          <w:bCs/>
          <w:kern w:val="36"/>
          <w:sz w:val="48"/>
          <w:szCs w:val="48"/>
          <w:lang w:eastAsia="ro-RO"/>
        </w:rPr>
        <w:t>Critical Explanation of the Stakeholder Engagement Process Using the 4C Model</w:t>
      </w:r>
    </w:p>
    <w:p w14:paraId="1D5D6BC6" w14:textId="379178B8" w:rsidR="00D10524" w:rsidRPr="00E51FA0" w:rsidRDefault="00D10524" w:rsidP="00D10524">
      <w:pPr>
        <w:spacing w:before="100" w:beforeAutospacing="1" w:after="100" w:afterAutospacing="1" w:line="240" w:lineRule="auto"/>
        <w:divId w:val="1747452838"/>
        <w:rPr>
          <w:rFonts w:ascii="Arial" w:hAnsi="Arial" w:cs="Arial"/>
          <w:sz w:val="24"/>
          <w:szCs w:val="24"/>
          <w:lang w:val="en-US" w:eastAsia="ro-RO"/>
        </w:rPr>
      </w:pPr>
    </w:p>
    <w:p w14:paraId="23FC5BC8"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p>
    <w:p w14:paraId="2359D1C3"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r w:rsidRPr="00E51FA0">
        <w:rPr>
          <w:rFonts w:ascii="Arial" w:hAnsi="Arial" w:cs="Arial"/>
          <w:sz w:val="24"/>
          <w:szCs w:val="24"/>
          <w:lang w:eastAsia="ro-RO"/>
        </w:rPr>
        <w:t>Effective stakeholder engagement is essential for the success of Fitbit UK’s new wearable device launch. As project manager, applying structured engagement processes enables alignment, reduces risks, strengthens relationships and drives project performance. The 4C Model—Communication, Coordination, Cooperation and Collaboration—provides a practical framework for assessing and enhancing how stakeholders interact throughout the project lifecycle. Each component is critically evaluated below in the context of Fitbit UK’s operational environment and the product launch.</w:t>
      </w:r>
    </w:p>
    <w:p w14:paraId="47D0F1F8" w14:textId="77777777" w:rsidR="00D10524" w:rsidRPr="00E51FA0" w:rsidRDefault="00D10524" w:rsidP="00D10524">
      <w:pPr>
        <w:spacing w:after="0" w:line="240" w:lineRule="auto"/>
        <w:divId w:val="1747452838"/>
        <w:rPr>
          <w:rFonts w:ascii="Arial" w:eastAsia="Times New Roman" w:hAnsi="Arial" w:cs="Arial"/>
          <w:sz w:val="24"/>
          <w:szCs w:val="24"/>
          <w:lang w:eastAsia="ro-RO"/>
        </w:rPr>
      </w:pPr>
      <w:r w:rsidRPr="00E51FA0">
        <w:rPr>
          <w:rFonts w:ascii="Arial" w:eastAsia="Times New Roman" w:hAnsi="Arial" w:cs="Arial"/>
          <w:noProof/>
          <w:sz w:val="24"/>
          <w:szCs w:val="24"/>
          <w:lang w:eastAsia="ro-RO"/>
        </w:rPr>
        <w:lastRenderedPageBreak/>
        <mc:AlternateContent>
          <mc:Choice Requires="wps">
            <w:drawing>
              <wp:inline distT="0" distB="0" distL="0" distR="0" wp14:anchorId="7B4C1BD9" wp14:editId="31D55D1A">
                <wp:extent cx="5731510" cy="1270"/>
                <wp:effectExtent l="0" t="31750" r="0" b="36830"/>
                <wp:docPr id="666031978"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671E1CD"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5DF7F8D" w14:textId="1F7EAA9D" w:rsidR="00D10524" w:rsidRPr="00E51FA0" w:rsidRDefault="00D10524" w:rsidP="00D10524">
      <w:pPr>
        <w:spacing w:before="100" w:beforeAutospacing="1" w:after="100" w:afterAutospacing="1" w:line="240" w:lineRule="auto"/>
        <w:outlineLvl w:val="1"/>
        <w:divId w:val="1747452838"/>
        <w:rPr>
          <w:rFonts w:ascii="Arial" w:hAnsi="Arial" w:cs="Arial"/>
          <w:b/>
          <w:bCs/>
          <w:sz w:val="36"/>
          <w:szCs w:val="36"/>
          <w:lang w:eastAsia="ro-RO"/>
        </w:rPr>
      </w:pPr>
      <w:r w:rsidRPr="00E51FA0">
        <w:rPr>
          <w:rFonts w:ascii="Arial" w:eastAsia="Times New Roman" w:hAnsi="Arial" w:cs="Arial"/>
          <w:b/>
          <w:bCs/>
          <w:sz w:val="36"/>
          <w:szCs w:val="36"/>
          <w:lang w:eastAsia="ro-RO"/>
        </w:rPr>
        <w:t xml:space="preserve">1 </w:t>
      </w:r>
      <w:r w:rsidR="00E967DD"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Communication</w:t>
      </w:r>
    </w:p>
    <w:p w14:paraId="5A2D1080"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p>
    <w:p w14:paraId="0DDED4E5"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r w:rsidRPr="00E51FA0">
        <w:rPr>
          <w:rFonts w:ascii="Arial" w:hAnsi="Arial" w:cs="Arial"/>
          <w:sz w:val="24"/>
          <w:szCs w:val="24"/>
          <w:lang w:eastAsia="ro-RO"/>
        </w:rPr>
        <w:t>Communication is the foundation of all stakeholder engagement activities. For Fitbit UK, communication must be timely, accurate and tailored to the varying needs of stakeholders. Internal teams such as product development, sales and marketing require frequent updates to align on design, timelines and promotional strategies. External stakeholders, including regulators, suppliers and retail partners, require structured and formal communication to ensure compliance and efficient integration.</w:t>
      </w:r>
    </w:p>
    <w:p w14:paraId="389A193A"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p>
    <w:p w14:paraId="0AC69D37"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r w:rsidRPr="00E51FA0">
        <w:rPr>
          <w:rFonts w:ascii="Arial" w:hAnsi="Arial" w:cs="Arial"/>
          <w:sz w:val="24"/>
          <w:szCs w:val="24"/>
          <w:lang w:eastAsia="ro-RO"/>
        </w:rPr>
        <w:t>A critical element is the differentiation between informational communication (e.g., reporting progress) and strategic communication (e.g., negotiating with suppliers or regulators). Miscommunication can result in incorrect assumptions about product readiness, regulatory compliance or market positioning. For example, if marketing receives incomplete information about device capabilities, promotional campaigns may misrepresent features, leading to customer dissatisfaction.</w:t>
      </w:r>
    </w:p>
    <w:p w14:paraId="008A03FA"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p>
    <w:p w14:paraId="49C73BC0" w14:textId="77777777" w:rsidR="00D10524" w:rsidRPr="00E51FA0" w:rsidRDefault="00D10524" w:rsidP="00D10524">
      <w:pPr>
        <w:spacing w:before="100" w:beforeAutospacing="1" w:after="100" w:afterAutospacing="1" w:line="240" w:lineRule="auto"/>
        <w:divId w:val="1747452838"/>
        <w:rPr>
          <w:rFonts w:ascii="Arial" w:hAnsi="Arial" w:cs="Arial"/>
          <w:sz w:val="24"/>
          <w:szCs w:val="24"/>
          <w:lang w:eastAsia="ro-RO"/>
        </w:rPr>
      </w:pPr>
      <w:r w:rsidRPr="00E51FA0">
        <w:rPr>
          <w:rFonts w:ascii="Arial" w:hAnsi="Arial" w:cs="Arial"/>
          <w:sz w:val="24"/>
          <w:szCs w:val="24"/>
          <w:lang w:eastAsia="ro-RO"/>
        </w:rPr>
        <w:t>To mitigate such risks, communication channels must be clearly defined. Daily stand-ups, weekly progress reports, monthly executive briefings and compliance documentation ensure transparency and minimise delays. Digital collaboration tools such as Jira, Trello and Google Workspace enable visibility and accountability, while structured escalation pathways ensure rapid issue resolution. As project manager, maintaining consistent messaging and ensuring information symmetry across teams helps prevent misunderstanding and supports cohesive project execution.</w:t>
      </w:r>
    </w:p>
    <w:p w14:paraId="5977D314" w14:textId="355C96F5" w:rsidR="00331C8A" w:rsidRPr="00E51FA0" w:rsidRDefault="00331C8A" w:rsidP="00331C8A">
      <w:pPr>
        <w:spacing w:before="100" w:beforeAutospacing="1" w:after="100" w:afterAutospacing="1" w:line="240" w:lineRule="auto"/>
        <w:outlineLvl w:val="1"/>
        <w:divId w:val="2137134925"/>
        <w:rPr>
          <w:rFonts w:ascii="Arial" w:eastAsia="Times New Roman" w:hAnsi="Arial" w:cs="Arial"/>
          <w:b/>
          <w:bCs/>
          <w:sz w:val="36"/>
          <w:szCs w:val="36"/>
          <w:lang w:eastAsia="ro-RO"/>
        </w:rPr>
      </w:pPr>
      <w:r w:rsidRPr="00E51FA0">
        <w:rPr>
          <w:rFonts w:ascii="Arial" w:eastAsia="Times New Roman" w:hAnsi="Arial" w:cs="Arial"/>
          <w:b/>
          <w:bCs/>
          <w:sz w:val="36"/>
          <w:szCs w:val="36"/>
          <w:lang w:eastAsia="ro-RO"/>
        </w:rPr>
        <w:t>2</w:t>
      </w:r>
      <w:r w:rsidR="00E967DD"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 xml:space="preserve"> Coordination</w:t>
      </w:r>
    </w:p>
    <w:p w14:paraId="64E9825A"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p>
    <w:p w14:paraId="6D3AB09A"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r w:rsidRPr="00E51FA0">
        <w:rPr>
          <w:rFonts w:ascii="Arial" w:hAnsi="Arial" w:cs="Arial"/>
          <w:sz w:val="24"/>
          <w:szCs w:val="24"/>
          <w:lang w:eastAsia="ro-RO"/>
        </w:rPr>
        <w:t>Coordination involves synchronising tasks, timelines and responsibilities across stakeholders. Given the complexity of developing a health-monitoring device, coordination is essential to align technical development, regulatory compliance, marketing campaigns and distribution logistics.</w:t>
      </w:r>
    </w:p>
    <w:p w14:paraId="7F95F216"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p>
    <w:p w14:paraId="367536A5"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r w:rsidRPr="00E51FA0">
        <w:rPr>
          <w:rFonts w:ascii="Arial" w:hAnsi="Arial" w:cs="Arial"/>
          <w:sz w:val="24"/>
          <w:szCs w:val="24"/>
          <w:lang w:eastAsia="ro-RO"/>
        </w:rPr>
        <w:t>The project manager plays a central role in coordinating these interrelated activities. Using tools such as Gantt charts, stakeholder schedules and risk registers, the manager ensures interdependencies are managed proactively. For example, regulatory submissions must be completed before retailers begin promotional activities, and suppliers must confirm component availability before production schedules are finalised.</w:t>
      </w:r>
    </w:p>
    <w:p w14:paraId="49BE2D22"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p>
    <w:p w14:paraId="1FD65F59"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r w:rsidRPr="00E51FA0">
        <w:rPr>
          <w:rFonts w:ascii="Arial" w:hAnsi="Arial" w:cs="Arial"/>
          <w:sz w:val="24"/>
          <w:szCs w:val="24"/>
          <w:lang w:eastAsia="ro-RO"/>
        </w:rPr>
        <w:t>A critical perspective is that coordination is often challenged by conflicting priorities. Product developers may prioritise technical performance, while sales teams focus on marketability and speed to market. As coordinator, the project manager must balance these tensions by negotiating compromises and aligning objectives through structured processes such as milestone reviews, cross-departmental meetings and Agile sprint planning.</w:t>
      </w:r>
    </w:p>
    <w:p w14:paraId="7E14A5AE"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p>
    <w:p w14:paraId="792507EF" w14:textId="77777777" w:rsidR="00331C8A" w:rsidRPr="00E51FA0" w:rsidRDefault="00331C8A" w:rsidP="00331C8A">
      <w:pPr>
        <w:spacing w:before="100" w:beforeAutospacing="1" w:after="100" w:afterAutospacing="1" w:line="240" w:lineRule="auto"/>
        <w:divId w:val="2137134925"/>
        <w:rPr>
          <w:rFonts w:ascii="Arial" w:hAnsi="Arial" w:cs="Arial"/>
          <w:sz w:val="24"/>
          <w:szCs w:val="24"/>
          <w:lang w:eastAsia="ro-RO"/>
        </w:rPr>
      </w:pPr>
      <w:r w:rsidRPr="00E51FA0">
        <w:rPr>
          <w:rFonts w:ascii="Arial" w:hAnsi="Arial" w:cs="Arial"/>
          <w:sz w:val="24"/>
          <w:szCs w:val="24"/>
          <w:lang w:eastAsia="ro-RO"/>
        </w:rPr>
        <w:t>Coordination is strengthened by clearly defined responsibilities. The RACI matrix is a powerful tool in this context, ensuring there is no ambiguity regarding who is responsible, accountable, consulted or informed. This reduces duplication of work, prevents delays and ensures that decision-making is efficient and traceable.</w:t>
      </w:r>
    </w:p>
    <w:p w14:paraId="4DB771CB" w14:textId="46BED1FE" w:rsidR="00B142FF" w:rsidRPr="00E51FA0" w:rsidRDefault="00E967DD" w:rsidP="00B142FF">
      <w:pPr>
        <w:spacing w:before="100" w:beforeAutospacing="1" w:after="100" w:afterAutospacing="1" w:line="240" w:lineRule="auto"/>
        <w:outlineLvl w:val="1"/>
        <w:divId w:val="15814346"/>
        <w:rPr>
          <w:rFonts w:ascii="Arial" w:eastAsia="Times New Roman" w:hAnsi="Arial" w:cs="Arial"/>
          <w:b/>
          <w:bCs/>
          <w:sz w:val="36"/>
          <w:szCs w:val="36"/>
          <w:lang w:eastAsia="ro-RO"/>
        </w:rPr>
      </w:pPr>
      <w:r w:rsidRPr="00E51FA0">
        <w:rPr>
          <w:rFonts w:ascii="Arial" w:eastAsia="Times New Roman" w:hAnsi="Arial" w:cs="Arial"/>
          <w:b/>
          <w:bCs/>
          <w:sz w:val="36"/>
          <w:szCs w:val="36"/>
          <w:lang w:eastAsia="ro-RO"/>
        </w:rPr>
        <w:t>3.</w:t>
      </w:r>
      <w:r w:rsidR="00B142FF" w:rsidRPr="00E51FA0">
        <w:rPr>
          <w:rFonts w:ascii="Arial" w:eastAsia="Times New Roman" w:hAnsi="Arial" w:cs="Arial"/>
          <w:b/>
          <w:bCs/>
          <w:sz w:val="36"/>
          <w:szCs w:val="36"/>
          <w:lang w:eastAsia="ro-RO"/>
        </w:rPr>
        <w:t xml:space="preserve"> Cooperation</w:t>
      </w:r>
    </w:p>
    <w:p w14:paraId="11954600"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p>
    <w:p w14:paraId="26AB2BE5"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r w:rsidRPr="00E51FA0">
        <w:rPr>
          <w:rFonts w:ascii="Arial" w:hAnsi="Arial" w:cs="Arial"/>
          <w:sz w:val="24"/>
          <w:szCs w:val="24"/>
          <w:lang w:eastAsia="ro-RO"/>
        </w:rPr>
        <w:t>Cooperation refers to stakeholders willingly sharing information, resources and support to achieve project goals. At Fitbit UK, cooperation is particularly important between teams with different functional expertise, such as engineering, marketing and regulatory compliance.</w:t>
      </w:r>
    </w:p>
    <w:p w14:paraId="0FBFA505"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p>
    <w:p w14:paraId="462A6677"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r w:rsidRPr="00E51FA0">
        <w:rPr>
          <w:rFonts w:ascii="Arial" w:hAnsi="Arial" w:cs="Arial"/>
          <w:sz w:val="24"/>
          <w:szCs w:val="24"/>
          <w:lang w:eastAsia="ro-RO"/>
        </w:rPr>
        <w:t>A critical barrier to cooperation can be organisational silos. Departments may work independently, resulting in limited information flow or misaligned priorities. This may lead to technical features being misunderstood by marketing, unrealistic sales forecasts or regulatory requirements being overlooked. As project manager, fostering a culture of cooperation involves encouraging transparency, demonstrating respect for each team’s expertise and creating forums for open discussion.</w:t>
      </w:r>
    </w:p>
    <w:p w14:paraId="63A9BF2A"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p>
    <w:p w14:paraId="0217A998"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r w:rsidRPr="00E51FA0">
        <w:rPr>
          <w:rFonts w:ascii="Arial" w:hAnsi="Arial" w:cs="Arial"/>
          <w:sz w:val="24"/>
          <w:szCs w:val="24"/>
          <w:lang w:eastAsia="ro-RO"/>
        </w:rPr>
        <w:t>Cooperation is encouraged through shared objectives, such as the SMART goals established for the project. When stakeholders understand how their contributions affect overall success, they are more likely to engage proactively. Incentives, recognition and performance metrics can further motivate cooperative behaviour.</w:t>
      </w:r>
    </w:p>
    <w:p w14:paraId="60D1DEF2"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p>
    <w:p w14:paraId="6E62C2A1"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r w:rsidRPr="00E51FA0">
        <w:rPr>
          <w:rFonts w:ascii="Arial" w:hAnsi="Arial" w:cs="Arial"/>
          <w:sz w:val="24"/>
          <w:szCs w:val="24"/>
          <w:lang w:eastAsia="ro-RO"/>
        </w:rPr>
        <w:t>External cooperation is equally important. Suppliers must coordinate production timelines with Fitbit UK’s internal teams, and regulatory bodies require detailed technical documentation. Retail partners must collaborate on stocking, promotional campaigns and post-launch feedback. Failure to cooperate across these groups can result in supply shortages, delays in certification or poor customer experience.</w:t>
      </w:r>
    </w:p>
    <w:p w14:paraId="5DD18DBA"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p>
    <w:p w14:paraId="4B370058" w14:textId="77777777" w:rsidR="00B142FF" w:rsidRPr="00E51FA0" w:rsidRDefault="00B142FF" w:rsidP="00B142FF">
      <w:pPr>
        <w:spacing w:before="100" w:beforeAutospacing="1" w:after="100" w:afterAutospacing="1" w:line="240" w:lineRule="auto"/>
        <w:divId w:val="15814346"/>
        <w:rPr>
          <w:rFonts w:ascii="Arial" w:hAnsi="Arial" w:cs="Arial"/>
          <w:sz w:val="24"/>
          <w:szCs w:val="24"/>
          <w:lang w:eastAsia="ro-RO"/>
        </w:rPr>
      </w:pPr>
      <w:r w:rsidRPr="00E51FA0">
        <w:rPr>
          <w:rFonts w:ascii="Arial" w:hAnsi="Arial" w:cs="Arial"/>
          <w:sz w:val="24"/>
          <w:szCs w:val="24"/>
          <w:lang w:eastAsia="ro-RO"/>
        </w:rPr>
        <w:t>One limitation is that cooperation is voluntary and depends on mutual trust. To mitigate this risk, formal agreements, regular progress reviews and transparent communication create an environment where cooperation becomes both expected and routine.</w:t>
      </w:r>
    </w:p>
    <w:p w14:paraId="7D1A9E98" w14:textId="0B0F35F4" w:rsidR="00E94925" w:rsidRPr="00E51FA0" w:rsidRDefault="00E94925" w:rsidP="00E94925">
      <w:pPr>
        <w:spacing w:before="100" w:beforeAutospacing="1" w:after="100" w:afterAutospacing="1" w:line="240" w:lineRule="auto"/>
        <w:outlineLvl w:val="1"/>
        <w:divId w:val="1317879343"/>
        <w:rPr>
          <w:rFonts w:ascii="Arial" w:eastAsia="Times New Roman" w:hAnsi="Arial" w:cs="Arial"/>
          <w:b/>
          <w:bCs/>
          <w:sz w:val="36"/>
          <w:szCs w:val="36"/>
          <w:lang w:eastAsia="ro-RO"/>
        </w:rPr>
      </w:pPr>
      <w:r w:rsidRPr="00E51FA0">
        <w:rPr>
          <w:rFonts w:ascii="Arial" w:eastAsia="Times New Roman" w:hAnsi="Arial" w:cs="Arial"/>
          <w:b/>
          <w:bCs/>
          <w:sz w:val="36"/>
          <w:szCs w:val="36"/>
          <w:lang w:eastAsia="ro-RO"/>
        </w:rPr>
        <w:t>4</w:t>
      </w:r>
      <w:r w:rsidR="00E967DD"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Collaboration</w:t>
      </w:r>
    </w:p>
    <w:p w14:paraId="01433A63"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p>
    <w:p w14:paraId="0B23A389"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r w:rsidRPr="00E51FA0">
        <w:rPr>
          <w:rFonts w:ascii="Arial" w:hAnsi="Arial" w:cs="Arial"/>
          <w:sz w:val="24"/>
          <w:szCs w:val="24"/>
          <w:lang w:eastAsia="ro-RO"/>
        </w:rPr>
        <w:t>Collaboration represents the highest level of stakeholder engagement and involves stakeholders actively co-creating solutions and decisions. For Fitbit UK, collaboration is essential for innovation, problem-solving and continuous improvement.</w:t>
      </w:r>
    </w:p>
    <w:p w14:paraId="714581C1"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p>
    <w:p w14:paraId="128FBD4B"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r w:rsidRPr="00E51FA0">
        <w:rPr>
          <w:rFonts w:ascii="Arial" w:hAnsi="Arial" w:cs="Arial"/>
          <w:sz w:val="24"/>
          <w:szCs w:val="24"/>
          <w:lang w:eastAsia="ro-RO"/>
        </w:rPr>
        <w:t>Collaborative activities include joint product design workshops, cross-functional innovation sessions, beta testing with customers, and strategic discussions with healthcare partners. Collaboration enables diverse stakeholders to contribute expertise, resulting in a product that is technically robust, market-ready and compliant with UK regulations.</w:t>
      </w:r>
    </w:p>
    <w:p w14:paraId="2F5D9ED1"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p>
    <w:p w14:paraId="35A29716"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r w:rsidRPr="00E51FA0">
        <w:rPr>
          <w:rFonts w:ascii="Arial" w:hAnsi="Arial" w:cs="Arial"/>
          <w:sz w:val="24"/>
          <w:szCs w:val="24"/>
          <w:lang w:eastAsia="ro-RO"/>
        </w:rPr>
        <w:t>A critical challenge in collaboration is managing conflict. When stakeholders with different priorities work together, disagreements naturally arise—particularly around timelines, budget, and feature sets. As project manager, conflict resolution strategies such as negotiation, mediation and compromise must be applied. The Thomas–Kilmann conflict model may be used to identify appropriate conflict-handling styles depending on the situation.</w:t>
      </w:r>
    </w:p>
    <w:p w14:paraId="398AF4B2"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p>
    <w:p w14:paraId="22DA1201"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r w:rsidRPr="00E51FA0">
        <w:rPr>
          <w:rFonts w:ascii="Arial" w:hAnsi="Arial" w:cs="Arial"/>
          <w:sz w:val="24"/>
          <w:szCs w:val="24"/>
          <w:lang w:eastAsia="ro-RO"/>
        </w:rPr>
        <w:t>Another challenge is balancing collaboration with efficiency. Collaborative decision-making can be slow and resource-intensive. To avoid delays, collaboration should be structured, time-bound and facilitated through clear agendas, decision frameworks and defined outcomes.</w:t>
      </w:r>
    </w:p>
    <w:p w14:paraId="22F172D4"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p>
    <w:p w14:paraId="23CEE6EA" w14:textId="77777777" w:rsidR="00E94925" w:rsidRPr="00E51FA0" w:rsidRDefault="00E94925" w:rsidP="00E94925">
      <w:pPr>
        <w:spacing w:before="100" w:beforeAutospacing="1" w:after="100" w:afterAutospacing="1" w:line="240" w:lineRule="auto"/>
        <w:divId w:val="1317879343"/>
        <w:rPr>
          <w:rFonts w:ascii="Arial" w:hAnsi="Arial" w:cs="Arial"/>
          <w:sz w:val="24"/>
          <w:szCs w:val="24"/>
          <w:lang w:eastAsia="ro-RO"/>
        </w:rPr>
      </w:pPr>
      <w:r w:rsidRPr="00E51FA0">
        <w:rPr>
          <w:rFonts w:ascii="Arial" w:hAnsi="Arial" w:cs="Arial"/>
          <w:sz w:val="24"/>
          <w:szCs w:val="24"/>
          <w:lang w:eastAsia="ro-RO"/>
        </w:rPr>
        <w:t>Despite the challenges, collaboration produces significant advantages. It enhances innovation, reduces rework, increases stakeholder buy-in and improves product quality. When stakeholders feel they have contributed to the development process, they are more committed to successful implementation.</w:t>
      </w:r>
    </w:p>
    <w:p w14:paraId="04CE075A" w14:textId="3CBE1927" w:rsidR="0086052A" w:rsidRPr="00E51FA0" w:rsidRDefault="0086052A" w:rsidP="0086052A">
      <w:pPr>
        <w:spacing w:before="100" w:beforeAutospacing="1" w:after="100" w:afterAutospacing="1" w:line="240" w:lineRule="auto"/>
        <w:outlineLvl w:val="1"/>
        <w:divId w:val="1460490682"/>
        <w:rPr>
          <w:rFonts w:ascii="Arial" w:eastAsia="Times New Roman" w:hAnsi="Arial" w:cs="Arial"/>
          <w:b/>
          <w:bCs/>
          <w:sz w:val="36"/>
          <w:szCs w:val="36"/>
          <w:lang w:eastAsia="ro-RO"/>
        </w:rPr>
      </w:pPr>
      <w:r w:rsidRPr="00E51FA0">
        <w:rPr>
          <w:rFonts w:ascii="Arial" w:eastAsia="Times New Roman" w:hAnsi="Arial" w:cs="Arial"/>
          <w:b/>
          <w:bCs/>
          <w:sz w:val="36"/>
          <w:szCs w:val="36"/>
          <w:lang w:eastAsia="ro-RO"/>
        </w:rPr>
        <w:t>5</w:t>
      </w:r>
      <w:r w:rsidR="00E967DD"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 xml:space="preserve"> Overall Critical Evaluation</w:t>
      </w:r>
    </w:p>
    <w:p w14:paraId="6EFCC655" w14:textId="77777777" w:rsidR="0086052A" w:rsidRPr="00E51FA0" w:rsidRDefault="0086052A" w:rsidP="0086052A">
      <w:pPr>
        <w:spacing w:before="100" w:beforeAutospacing="1" w:after="100" w:afterAutospacing="1" w:line="240" w:lineRule="auto"/>
        <w:divId w:val="1460490682"/>
        <w:rPr>
          <w:rFonts w:ascii="Arial" w:hAnsi="Arial" w:cs="Arial"/>
          <w:sz w:val="24"/>
          <w:szCs w:val="24"/>
          <w:lang w:eastAsia="ro-RO"/>
        </w:rPr>
      </w:pPr>
    </w:p>
    <w:p w14:paraId="7251A562" w14:textId="77777777" w:rsidR="0086052A" w:rsidRPr="00E51FA0" w:rsidRDefault="0086052A" w:rsidP="0086052A">
      <w:pPr>
        <w:spacing w:before="100" w:beforeAutospacing="1" w:after="100" w:afterAutospacing="1" w:line="240" w:lineRule="auto"/>
        <w:divId w:val="1460490682"/>
        <w:rPr>
          <w:rFonts w:ascii="Arial" w:hAnsi="Arial" w:cs="Arial"/>
          <w:sz w:val="24"/>
          <w:szCs w:val="24"/>
          <w:lang w:eastAsia="ro-RO"/>
        </w:rPr>
      </w:pPr>
      <w:r w:rsidRPr="00E51FA0">
        <w:rPr>
          <w:rFonts w:ascii="Arial" w:hAnsi="Arial" w:cs="Arial"/>
          <w:sz w:val="24"/>
          <w:szCs w:val="24"/>
          <w:lang w:eastAsia="ro-RO"/>
        </w:rPr>
        <w:lastRenderedPageBreak/>
        <w:t>The 4C model provides a strong framework for managing stakeholder engagement in Fitbit UK’s device launch. Communication ensures stakeholders receive the information they need; coordination ensures work progresses smoothly; cooperation builds trust; and collaboration fosters innovation. However, the model requires strong leadership, clear expectations and tools such as RACI matrices, engagement plans and communication strategies to be effective. The project manager’s role is crucial in operationalising the 4Cs and ensuring that all stakeholders work cohesively toward the project’s success.</w:t>
      </w:r>
    </w:p>
    <w:p w14:paraId="197D12EC" w14:textId="649C4805" w:rsidR="003332D3" w:rsidRPr="00E51FA0" w:rsidRDefault="004F51BF" w:rsidP="003332D3">
      <w:pPr>
        <w:spacing w:before="100" w:beforeAutospacing="1" w:after="100" w:afterAutospacing="1" w:line="240" w:lineRule="auto"/>
        <w:outlineLvl w:val="0"/>
        <w:divId w:val="1984659107"/>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7.</w:t>
      </w:r>
      <w:r w:rsidR="003332D3" w:rsidRPr="00E51FA0">
        <w:rPr>
          <w:rFonts w:ascii="Arial" w:eastAsia="Times New Roman" w:hAnsi="Arial" w:cs="Arial"/>
          <w:b/>
          <w:bCs/>
          <w:kern w:val="36"/>
          <w:sz w:val="48"/>
          <w:szCs w:val="48"/>
          <w:lang w:eastAsia="ro-RO"/>
        </w:rPr>
        <w:t>Evaluation of the Impact of Stakeholder Engagement on Company Performance &amp; Recommendations</w:t>
      </w:r>
    </w:p>
    <w:p w14:paraId="6E4BAA45"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67CFFE4B" w14:textId="027AB08E"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315B6C5F"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1B594C49"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Effective stakeholder engagement is essential to the success of Fitbit UK’s new wearable health device launch. By involving internal and external stakeholders strategically, the organisation enhances decision-making, reduces project risks, supports innovation and strengthens market performance. This section critically evaluates the impact of stakeholder engagement on Fitbit UK’s overall business performance and provides recommendations to enhance engagement practices in future projects.</w:t>
      </w:r>
    </w:p>
    <w:p w14:paraId="4BD042D8" w14:textId="77777777" w:rsidR="003332D3" w:rsidRPr="00E51FA0" w:rsidRDefault="003332D3" w:rsidP="003332D3">
      <w:pPr>
        <w:spacing w:after="0" w:line="240" w:lineRule="auto"/>
        <w:divId w:val="1984659107"/>
        <w:rPr>
          <w:rFonts w:ascii="Arial" w:eastAsia="Times New Roman" w:hAnsi="Arial" w:cs="Arial"/>
          <w:sz w:val="24"/>
          <w:szCs w:val="24"/>
          <w:lang w:eastAsia="ro-RO"/>
        </w:rPr>
      </w:pPr>
      <w:r w:rsidRPr="00E51FA0">
        <w:rPr>
          <w:rFonts w:ascii="Arial" w:eastAsia="Times New Roman" w:hAnsi="Arial" w:cs="Arial"/>
          <w:noProof/>
          <w:sz w:val="24"/>
          <w:szCs w:val="24"/>
          <w:lang w:eastAsia="ro-RO"/>
        </w:rPr>
        <mc:AlternateContent>
          <mc:Choice Requires="wps">
            <w:drawing>
              <wp:inline distT="0" distB="0" distL="0" distR="0" wp14:anchorId="28F4F57A" wp14:editId="587A1BBE">
                <wp:extent cx="5731510" cy="1270"/>
                <wp:effectExtent l="0" t="31750" r="0" b="36830"/>
                <wp:docPr id="184562629"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22BD2A7"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FA12666" w14:textId="7F46358B" w:rsidR="003332D3" w:rsidRPr="00E51FA0" w:rsidRDefault="003332D3" w:rsidP="003332D3">
      <w:pPr>
        <w:spacing w:before="100" w:beforeAutospacing="1" w:after="100" w:afterAutospacing="1" w:line="240" w:lineRule="auto"/>
        <w:outlineLvl w:val="1"/>
        <w:divId w:val="1984659107"/>
        <w:rPr>
          <w:rFonts w:ascii="Arial" w:hAnsi="Arial" w:cs="Arial"/>
          <w:b/>
          <w:bCs/>
          <w:sz w:val="36"/>
          <w:szCs w:val="36"/>
          <w:lang w:eastAsia="ro-RO"/>
        </w:rPr>
      </w:pPr>
      <w:r w:rsidRPr="00E51FA0">
        <w:rPr>
          <w:rFonts w:ascii="Arial" w:eastAsia="Times New Roman" w:hAnsi="Arial" w:cs="Arial"/>
          <w:b/>
          <w:bCs/>
          <w:sz w:val="36"/>
          <w:szCs w:val="36"/>
          <w:lang w:eastAsia="ro-RO"/>
        </w:rPr>
        <w:t xml:space="preserve">1 </w:t>
      </w:r>
      <w:r w:rsidR="004F51BF"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Impact on Organisational Performance</w:t>
      </w:r>
    </w:p>
    <w:p w14:paraId="344AC6EF"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33BE9B49" w14:textId="52856313" w:rsidR="003332D3" w:rsidRPr="00E51FA0" w:rsidRDefault="003332D3" w:rsidP="003332D3">
      <w:pPr>
        <w:spacing w:before="100" w:beforeAutospacing="1" w:after="100" w:afterAutospacing="1" w:line="240" w:lineRule="auto"/>
        <w:outlineLvl w:val="2"/>
        <w:divId w:val="1984659107"/>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Improved Product Quality and Innovation</w:t>
      </w:r>
    </w:p>
    <w:p w14:paraId="32581EE8"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79A66685"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Stakeholder engagement enables the integration of diverse expertise across engineering, regulatory, marketing and user groups. The feedback loops established with product developers, regulators and customers ensure that the device’s features align with user expectations, clinical standards and market trends. This collaborative approach contributes to enhanced product quality and innovation, especially in a highly competitive wearable technology market.</w:t>
      </w:r>
    </w:p>
    <w:p w14:paraId="7FB7FE04"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5098C97A" w14:textId="1568179F" w:rsidR="003332D3" w:rsidRPr="00E51FA0" w:rsidRDefault="003332D3" w:rsidP="003332D3">
      <w:pPr>
        <w:spacing w:before="100" w:beforeAutospacing="1" w:after="100" w:afterAutospacing="1" w:line="240" w:lineRule="auto"/>
        <w:outlineLvl w:val="2"/>
        <w:divId w:val="1984659107"/>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lastRenderedPageBreak/>
        <w:t>Enhanced Regulatory Compliance</w:t>
      </w:r>
    </w:p>
    <w:p w14:paraId="10762810"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1FEBA004"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Early and continuous engagement with regulatory bodies such as the MHRA and the Information Commissioner’s Office (ICO) ensures Fitbit UK’s compliance with medical device requirements and UK GDPR. This reduces the risk of delays, penalties or reputational damage. Strong regulatory engagement also increases credibility, particularly for features that involve health data or clinical indicators such as oxygen saturation and heart rhythm monitoring.</w:t>
      </w:r>
    </w:p>
    <w:p w14:paraId="2D6687C1"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5172C9D5" w14:textId="29344E1A" w:rsidR="003332D3" w:rsidRPr="00E51FA0" w:rsidRDefault="003332D3" w:rsidP="003332D3">
      <w:pPr>
        <w:spacing w:before="100" w:beforeAutospacing="1" w:after="100" w:afterAutospacing="1" w:line="240" w:lineRule="auto"/>
        <w:outlineLvl w:val="2"/>
        <w:divId w:val="1984659107"/>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 xml:space="preserve"> Efficient Project Delivery and Reduced Risks</w:t>
      </w:r>
    </w:p>
    <w:p w14:paraId="3BB5DE99"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4B2974D7"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Stakeholder engagement supports effective risk management. Identifying risks early, particularly those related to supply chains, data protection or technical limitations, allows stakeholders to address challenges collaboratively. Coordination with suppliers, manufacturers and IT security teams ensures realistic timelines and mitigates supply shortages or performance failures. As a result, the project progresses more efficiently, with fewer disruptions and greater predictability.</w:t>
      </w:r>
    </w:p>
    <w:p w14:paraId="10742D1B"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53F325D8" w14:textId="15B95223" w:rsidR="003332D3" w:rsidRPr="00E51FA0" w:rsidRDefault="003332D3" w:rsidP="003332D3">
      <w:pPr>
        <w:spacing w:before="100" w:beforeAutospacing="1" w:after="100" w:afterAutospacing="1" w:line="240" w:lineRule="auto"/>
        <w:outlineLvl w:val="2"/>
        <w:divId w:val="1984659107"/>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Strong Market Positioning and Consumer Trust</w:t>
      </w:r>
    </w:p>
    <w:p w14:paraId="31FFC2C9"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3BE06167"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Marketing and sales teams, when properly engaged, align product messaging with customer expectations, ensuring accurate representation of device capabilities. This alignment improves brand reputation and supports stronger product adoption at launch. Furthermore, transparent communication about data privacy and device functionality increases user trust—a critical factor in the digital health market.</w:t>
      </w:r>
    </w:p>
    <w:p w14:paraId="2A0571BA"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2DE8C716" w14:textId="41DBA394" w:rsidR="003332D3" w:rsidRPr="00E51FA0" w:rsidRDefault="003332D3" w:rsidP="003332D3">
      <w:pPr>
        <w:spacing w:before="100" w:beforeAutospacing="1" w:after="100" w:afterAutospacing="1" w:line="240" w:lineRule="auto"/>
        <w:outlineLvl w:val="2"/>
        <w:divId w:val="1984659107"/>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Better Strategic Alignment Across the Organisation</w:t>
      </w:r>
    </w:p>
    <w:p w14:paraId="562A5AA7"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p>
    <w:p w14:paraId="31E49355" w14:textId="77777777" w:rsidR="003332D3" w:rsidRPr="00E51FA0" w:rsidRDefault="003332D3" w:rsidP="003332D3">
      <w:pPr>
        <w:spacing w:before="100" w:beforeAutospacing="1" w:after="100" w:afterAutospacing="1" w:line="240" w:lineRule="auto"/>
        <w:divId w:val="1984659107"/>
        <w:rPr>
          <w:rFonts w:ascii="Arial" w:hAnsi="Arial" w:cs="Arial"/>
          <w:sz w:val="24"/>
          <w:szCs w:val="24"/>
          <w:lang w:eastAsia="ro-RO"/>
        </w:rPr>
      </w:pPr>
      <w:r w:rsidRPr="00E51FA0">
        <w:rPr>
          <w:rFonts w:ascii="Arial" w:hAnsi="Arial" w:cs="Arial"/>
          <w:sz w:val="24"/>
          <w:szCs w:val="24"/>
          <w:lang w:eastAsia="ro-RO"/>
        </w:rPr>
        <w:t>Stakeholder engagement ensures that all departments understand the project’s objectives, constraints and success criteria. Senior management becomes more confident in strategic decisions, while operational teams work with greater clarity and purpose. This alignment reduces internal conflict, increases accountability and contributes to a unified organisational direction.</w:t>
      </w:r>
    </w:p>
    <w:p w14:paraId="5D774133" w14:textId="77CF1C64"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Stronger Long-Term Partnerships</w:t>
      </w:r>
    </w:p>
    <w:p w14:paraId="430D278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6AB161DE"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Transparent engagement with retailers, healthcare providers and insurance firms strengthens long-term relationships. These partnerships provide future opportunities for integration into health programmes, corporate wellness initiatives or clinical pilot studies. Continuous collaboration enhances Fitbit UK’s influence within the UK digital health ecosystem.</w:t>
      </w:r>
    </w:p>
    <w:p w14:paraId="320471F8" w14:textId="77777777" w:rsidR="00D75050" w:rsidRPr="00E51FA0" w:rsidRDefault="00D75050" w:rsidP="00D75050">
      <w:pPr>
        <w:spacing w:after="0" w:line="240" w:lineRule="auto"/>
        <w:divId w:val="1531526529"/>
        <w:rPr>
          <w:rFonts w:ascii="Arial" w:eastAsia="Times New Roman" w:hAnsi="Arial" w:cs="Arial"/>
          <w:sz w:val="24"/>
          <w:szCs w:val="24"/>
          <w:lang w:eastAsia="ro-RO"/>
        </w:rPr>
      </w:pPr>
      <w:r w:rsidRPr="00E51FA0">
        <w:rPr>
          <w:rFonts w:ascii="Arial" w:eastAsia="Times New Roman" w:hAnsi="Arial" w:cs="Arial"/>
          <w:noProof/>
          <w:sz w:val="24"/>
          <w:szCs w:val="24"/>
          <w:lang w:eastAsia="ro-RO"/>
        </w:rPr>
        <mc:AlternateContent>
          <mc:Choice Requires="wps">
            <w:drawing>
              <wp:inline distT="0" distB="0" distL="0" distR="0" wp14:anchorId="0B5C9408" wp14:editId="79A7BACA">
                <wp:extent cx="5731510" cy="1270"/>
                <wp:effectExtent l="0" t="31750" r="0" b="36830"/>
                <wp:docPr id="1463939525" name="Dreptunghi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40A94AF"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F94F548" w14:textId="39D405A0" w:rsidR="00D75050" w:rsidRPr="00E51FA0" w:rsidRDefault="00EB59B5" w:rsidP="00D75050">
      <w:pPr>
        <w:spacing w:before="100" w:beforeAutospacing="1" w:after="100" w:afterAutospacing="1" w:line="240" w:lineRule="auto"/>
        <w:outlineLvl w:val="1"/>
        <w:divId w:val="1531526529"/>
        <w:rPr>
          <w:rFonts w:ascii="Arial" w:hAnsi="Arial" w:cs="Arial"/>
          <w:b/>
          <w:bCs/>
          <w:sz w:val="36"/>
          <w:szCs w:val="36"/>
          <w:lang w:eastAsia="ro-RO"/>
        </w:rPr>
      </w:pPr>
      <w:r w:rsidRPr="00E51FA0">
        <w:rPr>
          <w:rFonts w:ascii="Arial" w:eastAsia="Times New Roman" w:hAnsi="Arial" w:cs="Arial"/>
          <w:b/>
          <w:bCs/>
          <w:sz w:val="36"/>
          <w:szCs w:val="36"/>
          <w:lang w:eastAsia="ro-RO"/>
        </w:rPr>
        <w:t>2.</w:t>
      </w:r>
      <w:r w:rsidR="00D75050" w:rsidRPr="00E51FA0">
        <w:rPr>
          <w:rFonts w:ascii="Arial" w:eastAsia="Times New Roman" w:hAnsi="Arial" w:cs="Arial"/>
          <w:b/>
          <w:bCs/>
          <w:sz w:val="36"/>
          <w:szCs w:val="36"/>
          <w:lang w:eastAsia="ro-RO"/>
        </w:rPr>
        <w:t xml:space="preserve"> Barriers and Challenges to Effective Stakeholder Engagement</w:t>
      </w:r>
    </w:p>
    <w:p w14:paraId="4092C238"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931A9F2"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Despite its benefits, stakeholder engagement presents several challenges:</w:t>
      </w:r>
    </w:p>
    <w:p w14:paraId="61518D5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10A7458E" w14:textId="32DAFE30"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 xml:space="preserve"> Misaligned Priorities</w:t>
      </w:r>
    </w:p>
    <w:p w14:paraId="7C2405FD"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0D06BDF7"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Engineering teams may prioritise technical excellence, while sales teams prioritise speed-to-market. These differences can create friction, requiring skilled mediation by the project manager.</w:t>
      </w:r>
    </w:p>
    <w:p w14:paraId="56B2545E"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125B775D" w14:textId="07F7884A"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 xml:space="preserve"> Communication Overload</w:t>
      </w:r>
    </w:p>
    <w:p w14:paraId="59FEDCC3"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2168049A"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Excessive communication can overwhelm stakeholders, resulting in decreased responsiveness or disengagement. The challenge lies in achieving balance—not too much information, but not too little.</w:t>
      </w:r>
    </w:p>
    <w:p w14:paraId="2E8540AB"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490EA6DA" w14:textId="619A5F0E"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Regulatory Complexity</w:t>
      </w:r>
    </w:p>
    <w:p w14:paraId="5223E504"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4615B2E7"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Wearable devices involving health data are subject to stringent regulations. Misinterpretation or shifting regulatory requirements can lead to delays.</w:t>
      </w:r>
    </w:p>
    <w:p w14:paraId="497D29B3"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61B59370" w14:textId="22D85BB1"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lastRenderedPageBreak/>
        <w:t>Power Dynamics</w:t>
      </w:r>
    </w:p>
    <w:p w14:paraId="0DE6209C"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07DA9E2"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Stakeholders with high power may dominate the decision-making process, reducing input from those with valuable insights but lower influence. This can hinder innovation and inclusivity.</w:t>
      </w:r>
    </w:p>
    <w:p w14:paraId="7FEB193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793261B0" w14:textId="145260AF"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Cultural and Organisational Silos</w:t>
      </w:r>
    </w:p>
    <w:p w14:paraId="1CDA849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061C6A3F"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Departments may be accustomed to operating independently, making collaboration difficult. Organisational culture plays a significant role in engagement success.</w:t>
      </w:r>
    </w:p>
    <w:p w14:paraId="0B24B5E0" w14:textId="77777777" w:rsidR="00D75050" w:rsidRPr="00E51FA0" w:rsidRDefault="00D75050" w:rsidP="00D75050">
      <w:pPr>
        <w:spacing w:after="0" w:line="240" w:lineRule="auto"/>
        <w:divId w:val="1531526529"/>
        <w:rPr>
          <w:rFonts w:ascii="Arial" w:eastAsia="Times New Roman" w:hAnsi="Arial" w:cs="Arial"/>
          <w:sz w:val="24"/>
          <w:szCs w:val="24"/>
          <w:lang w:eastAsia="ro-RO"/>
        </w:rPr>
      </w:pPr>
      <w:r w:rsidRPr="00E51FA0">
        <w:rPr>
          <w:rFonts w:ascii="Arial" w:eastAsia="Times New Roman" w:hAnsi="Arial" w:cs="Arial"/>
          <w:noProof/>
          <w:sz w:val="24"/>
          <w:szCs w:val="24"/>
          <w:lang w:eastAsia="ro-RO"/>
        </w:rPr>
        <mc:AlternateContent>
          <mc:Choice Requires="wps">
            <w:drawing>
              <wp:inline distT="0" distB="0" distL="0" distR="0" wp14:anchorId="32B5C6F4" wp14:editId="029E43F4">
                <wp:extent cx="5731510" cy="1270"/>
                <wp:effectExtent l="0" t="31750" r="0" b="36830"/>
                <wp:docPr id="1317349310"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399CF7F0"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A6214B0" w14:textId="2B8A9096" w:rsidR="00D75050" w:rsidRPr="00E51FA0" w:rsidRDefault="00EB59B5" w:rsidP="00D75050">
      <w:pPr>
        <w:spacing w:before="100" w:beforeAutospacing="1" w:after="100" w:afterAutospacing="1" w:line="240" w:lineRule="auto"/>
        <w:outlineLvl w:val="1"/>
        <w:divId w:val="1531526529"/>
        <w:rPr>
          <w:rFonts w:ascii="Arial" w:hAnsi="Arial" w:cs="Arial"/>
          <w:b/>
          <w:bCs/>
          <w:sz w:val="32"/>
          <w:szCs w:val="32"/>
          <w:lang w:eastAsia="ro-RO"/>
        </w:rPr>
      </w:pPr>
      <w:r w:rsidRPr="00E51FA0">
        <w:rPr>
          <w:rFonts w:ascii="Arial" w:eastAsia="Times New Roman" w:hAnsi="Arial" w:cs="Arial"/>
          <w:b/>
          <w:bCs/>
          <w:sz w:val="32"/>
          <w:szCs w:val="32"/>
          <w:lang w:eastAsia="ro-RO"/>
        </w:rPr>
        <w:t>3.</w:t>
      </w:r>
      <w:r w:rsidR="00D75050" w:rsidRPr="00E51FA0">
        <w:rPr>
          <w:rFonts w:ascii="Arial" w:eastAsia="Times New Roman" w:hAnsi="Arial" w:cs="Arial"/>
          <w:b/>
          <w:bCs/>
          <w:sz w:val="32"/>
          <w:szCs w:val="32"/>
          <w:lang w:eastAsia="ro-RO"/>
        </w:rPr>
        <w:t xml:space="preserve"> Recommendations for Future Stakeholder Engagement</w:t>
      </w:r>
    </w:p>
    <w:p w14:paraId="3FC07443"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538FD63" w14:textId="758ACAE0"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 xml:space="preserve"> Develop a Formal Stakeholder Engagement Framework</w:t>
      </w:r>
    </w:p>
    <w:p w14:paraId="065DB102"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35C5EBC"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Fitbit UK should institutionalise a structured engagement framework that outlines the frequency of interactions, communication formats, and conflict-resolution mechanisms. This reduces uncertainty and increases consistency across projects.</w:t>
      </w:r>
    </w:p>
    <w:p w14:paraId="5875591E" w14:textId="4650D300"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Strengthen Cross-Functional Collaboration through Agile Practices</w:t>
      </w:r>
    </w:p>
    <w:p w14:paraId="28E8AD1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01441E80"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Using Agile methodologies such as sprint cycles, retrospectives and cross-functional squads can significantly enhance coordination and cooperation. These methods promote transparency, adaptability and continuous improvement.</w:t>
      </w:r>
    </w:p>
    <w:p w14:paraId="2D52C64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B8C7677" w14:textId="2C182F15"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Increase Investment in Data Security and Compliance Training</w:t>
      </w:r>
    </w:p>
    <w:p w14:paraId="36A9AA2E"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25F27B02"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Given the increasing regulatory scrutiny and consumer concern regarding health data, Fitbit UK should provide ongoing training in GDPR, cybersecurity and medical device standards for all relevant departments.</w:t>
      </w:r>
    </w:p>
    <w:p w14:paraId="73FBF8AB" w14:textId="573AEE4D"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lastRenderedPageBreak/>
        <w:t>Improve Supplier and Manufacturing Integration</w:t>
      </w:r>
    </w:p>
    <w:p w14:paraId="247FB75A"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52A9BB81"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Closer alignment with suppliers through shared forecasting tools, joint planning sessions and performance dashboards will enhance supply chain resilience and reduce delays.</w:t>
      </w:r>
    </w:p>
    <w:p w14:paraId="548B2C76"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7A359A95" w14:textId="41653552"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Establish Customer Co-Creation Channels</w:t>
      </w:r>
    </w:p>
    <w:p w14:paraId="75783FA9"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212F2810"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Involving customers earlier through beta-testing programmes, online communities and user panels allows Fitbit to refine features before launch. This strengthens user satisfaction and product-market fit.</w:t>
      </w:r>
    </w:p>
    <w:p w14:paraId="67030115" w14:textId="792D537A"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Implement Stakeholder Satisfaction Metrics</w:t>
      </w:r>
    </w:p>
    <w:p w14:paraId="794D7724"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2BE08B3A"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r w:rsidRPr="00E51FA0">
        <w:rPr>
          <w:rFonts w:ascii="Arial" w:hAnsi="Arial" w:cs="Arial"/>
          <w:sz w:val="24"/>
          <w:szCs w:val="24"/>
          <w:lang w:eastAsia="ro-RO"/>
        </w:rPr>
        <w:t>Fitbit UK should track stakeholder satisfaction using surveys, engagement scores and performance indicators. This data would support continuous improvement in engagement strategies.</w:t>
      </w:r>
    </w:p>
    <w:p w14:paraId="604A002B" w14:textId="77777777" w:rsidR="00D75050" w:rsidRPr="00E51FA0" w:rsidRDefault="00D75050" w:rsidP="00D75050">
      <w:pPr>
        <w:spacing w:before="100" w:beforeAutospacing="1" w:after="100" w:afterAutospacing="1" w:line="240" w:lineRule="auto"/>
        <w:divId w:val="1531526529"/>
        <w:rPr>
          <w:rFonts w:ascii="Arial" w:hAnsi="Arial" w:cs="Arial"/>
          <w:sz w:val="24"/>
          <w:szCs w:val="24"/>
          <w:lang w:eastAsia="ro-RO"/>
        </w:rPr>
      </w:pPr>
    </w:p>
    <w:p w14:paraId="11F55222" w14:textId="400C712B" w:rsidR="00D75050" w:rsidRPr="00E51FA0" w:rsidRDefault="00D75050" w:rsidP="00D75050">
      <w:pPr>
        <w:spacing w:before="100" w:beforeAutospacing="1" w:after="100" w:afterAutospacing="1" w:line="240" w:lineRule="auto"/>
        <w:outlineLvl w:val="2"/>
        <w:divId w:val="1531526529"/>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Enhance Transparency with Retail and Healthcare Partners</w:t>
      </w:r>
    </w:p>
    <w:p w14:paraId="49FE1CCF" w14:textId="77777777" w:rsidR="00660900" w:rsidRPr="00E51FA0" w:rsidRDefault="00660900" w:rsidP="00660900">
      <w:pPr>
        <w:spacing w:before="100" w:beforeAutospacing="1" w:after="100" w:afterAutospacing="1" w:line="240" w:lineRule="auto"/>
        <w:divId w:val="71779340"/>
        <w:rPr>
          <w:rFonts w:ascii="Arial" w:hAnsi="Arial" w:cs="Arial"/>
          <w:sz w:val="24"/>
          <w:szCs w:val="24"/>
          <w:lang w:eastAsia="ro-RO"/>
        </w:rPr>
      </w:pPr>
      <w:r w:rsidRPr="00E51FA0">
        <w:rPr>
          <w:rFonts w:ascii="Arial" w:hAnsi="Arial" w:cs="Arial"/>
          <w:sz w:val="24"/>
          <w:szCs w:val="24"/>
          <w:lang w:eastAsia="ro-RO"/>
        </w:rPr>
        <w:t>Providing clearer data on expected demand, regulatory progress and product updates ensures partner trust and optimises distribution planning.</w:t>
      </w:r>
    </w:p>
    <w:p w14:paraId="34A4105C" w14:textId="77777777" w:rsidR="00660900" w:rsidRPr="00E51FA0" w:rsidRDefault="00660900" w:rsidP="00660900">
      <w:pPr>
        <w:spacing w:before="100" w:beforeAutospacing="1" w:after="100" w:afterAutospacing="1" w:line="240" w:lineRule="auto"/>
        <w:divId w:val="71779340"/>
        <w:rPr>
          <w:rFonts w:ascii="Arial" w:hAnsi="Arial" w:cs="Arial"/>
          <w:sz w:val="24"/>
          <w:szCs w:val="24"/>
          <w:lang w:eastAsia="ro-RO"/>
        </w:rPr>
      </w:pPr>
    </w:p>
    <w:p w14:paraId="15146720" w14:textId="0B72352F" w:rsidR="00660900" w:rsidRPr="00E51FA0" w:rsidRDefault="00660900" w:rsidP="00660900">
      <w:pPr>
        <w:spacing w:before="100" w:beforeAutospacing="1" w:after="100" w:afterAutospacing="1" w:line="240" w:lineRule="auto"/>
        <w:outlineLvl w:val="2"/>
        <w:divId w:val="71779340"/>
        <w:rPr>
          <w:rFonts w:ascii="Arial" w:eastAsia="Times New Roman" w:hAnsi="Arial" w:cs="Arial"/>
          <w:b/>
          <w:bCs/>
          <w:sz w:val="27"/>
          <w:szCs w:val="27"/>
          <w:lang w:eastAsia="ro-RO"/>
        </w:rPr>
      </w:pPr>
      <w:r w:rsidRPr="00E51FA0">
        <w:rPr>
          <w:rFonts w:ascii="Arial" w:eastAsia="Times New Roman" w:hAnsi="Arial" w:cs="Arial"/>
          <w:b/>
          <w:bCs/>
          <w:sz w:val="27"/>
          <w:szCs w:val="27"/>
          <w:lang w:eastAsia="ro-RO"/>
        </w:rPr>
        <w:t xml:space="preserve"> Embed Conflict Management Processes</w:t>
      </w:r>
    </w:p>
    <w:p w14:paraId="4AC4F7F6" w14:textId="77777777" w:rsidR="00660900" w:rsidRPr="00E51FA0" w:rsidRDefault="00660900" w:rsidP="00660900">
      <w:pPr>
        <w:spacing w:before="100" w:beforeAutospacing="1" w:after="100" w:afterAutospacing="1" w:line="240" w:lineRule="auto"/>
        <w:divId w:val="71779340"/>
        <w:rPr>
          <w:rFonts w:ascii="Arial" w:hAnsi="Arial" w:cs="Arial"/>
          <w:sz w:val="24"/>
          <w:szCs w:val="24"/>
          <w:lang w:eastAsia="ro-RO"/>
        </w:rPr>
      </w:pPr>
    </w:p>
    <w:p w14:paraId="01698132" w14:textId="77777777" w:rsidR="00660900" w:rsidRPr="00E51FA0" w:rsidRDefault="00660900" w:rsidP="00660900">
      <w:pPr>
        <w:spacing w:before="100" w:beforeAutospacing="1" w:after="100" w:afterAutospacing="1" w:line="240" w:lineRule="auto"/>
        <w:divId w:val="71779340"/>
        <w:rPr>
          <w:rFonts w:ascii="Arial" w:hAnsi="Arial" w:cs="Arial"/>
          <w:sz w:val="24"/>
          <w:szCs w:val="24"/>
          <w:lang w:eastAsia="ro-RO"/>
        </w:rPr>
      </w:pPr>
      <w:r w:rsidRPr="00E51FA0">
        <w:rPr>
          <w:rFonts w:ascii="Arial" w:hAnsi="Arial" w:cs="Arial"/>
          <w:sz w:val="24"/>
          <w:szCs w:val="24"/>
          <w:lang w:eastAsia="ro-RO"/>
        </w:rPr>
        <w:t>Training in negotiation, mediation and conflict-resolution methods will help prevent escalation and support productive collaboration. The Thomas–Kilmann model can be integrated into project management practices.</w:t>
      </w:r>
    </w:p>
    <w:p w14:paraId="307E139F" w14:textId="3A44AE67" w:rsidR="00660900" w:rsidRPr="00E51FA0" w:rsidRDefault="00660900" w:rsidP="0040164C">
      <w:pPr>
        <w:spacing w:after="0" w:line="240" w:lineRule="auto"/>
        <w:divId w:val="71779340"/>
        <w:rPr>
          <w:rFonts w:ascii="Arial" w:eastAsia="Times New Roman" w:hAnsi="Arial" w:cs="Arial"/>
          <w:sz w:val="24"/>
          <w:szCs w:val="24"/>
          <w:lang w:eastAsia="ro-RO"/>
        </w:rPr>
      </w:pPr>
      <w:r w:rsidRPr="00E51FA0">
        <w:rPr>
          <w:rFonts w:ascii="Arial" w:eastAsia="Times New Roman" w:hAnsi="Arial" w:cs="Arial"/>
          <w:noProof/>
          <w:sz w:val="24"/>
          <w:szCs w:val="24"/>
          <w:lang w:eastAsia="ro-RO"/>
        </w:rPr>
        <mc:AlternateContent>
          <mc:Choice Requires="wps">
            <w:drawing>
              <wp:inline distT="0" distB="0" distL="0" distR="0" wp14:anchorId="28D92AA2" wp14:editId="2E454D56">
                <wp:extent cx="5731510" cy="1270"/>
                <wp:effectExtent l="0" t="31750" r="0" b="36830"/>
                <wp:docPr id="1870139743"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3B24C14"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r w:rsidRPr="00E51FA0">
        <w:rPr>
          <w:rFonts w:ascii="Arial" w:eastAsia="Times New Roman" w:hAnsi="Arial" w:cs="Arial"/>
          <w:b/>
          <w:bCs/>
          <w:sz w:val="36"/>
          <w:szCs w:val="36"/>
          <w:lang w:eastAsia="ro-RO"/>
        </w:rPr>
        <w:t xml:space="preserve">4 </w:t>
      </w:r>
      <w:r w:rsidR="0040164C" w:rsidRPr="00E51FA0">
        <w:rPr>
          <w:rFonts w:ascii="Arial" w:eastAsia="Times New Roman" w:hAnsi="Arial" w:cs="Arial"/>
          <w:b/>
          <w:bCs/>
          <w:sz w:val="36"/>
          <w:szCs w:val="36"/>
          <w:lang w:eastAsia="ro-RO"/>
        </w:rPr>
        <w:t>.</w:t>
      </w:r>
      <w:r w:rsidRPr="00E51FA0">
        <w:rPr>
          <w:rFonts w:ascii="Arial" w:eastAsia="Times New Roman" w:hAnsi="Arial" w:cs="Arial"/>
          <w:b/>
          <w:bCs/>
          <w:sz w:val="36"/>
          <w:szCs w:val="36"/>
          <w:lang w:eastAsia="ro-RO"/>
        </w:rPr>
        <w:t>Overall Evaluation</w:t>
      </w:r>
    </w:p>
    <w:p w14:paraId="6FC392A6" w14:textId="77777777" w:rsidR="00660900" w:rsidRPr="00E51FA0" w:rsidRDefault="00660900" w:rsidP="00660900">
      <w:pPr>
        <w:spacing w:before="100" w:beforeAutospacing="1" w:after="100" w:afterAutospacing="1" w:line="240" w:lineRule="auto"/>
        <w:divId w:val="71779340"/>
        <w:rPr>
          <w:rFonts w:ascii="Arial" w:hAnsi="Arial" w:cs="Arial"/>
          <w:sz w:val="24"/>
          <w:szCs w:val="24"/>
          <w:lang w:eastAsia="ro-RO"/>
        </w:rPr>
      </w:pPr>
    </w:p>
    <w:p w14:paraId="30EA8700" w14:textId="77777777" w:rsidR="0040164C" w:rsidRPr="00E51FA0" w:rsidRDefault="00660900" w:rsidP="0040164C">
      <w:pPr>
        <w:spacing w:before="100" w:beforeAutospacing="1" w:after="100" w:afterAutospacing="1" w:line="240" w:lineRule="auto"/>
        <w:divId w:val="71779340"/>
        <w:rPr>
          <w:rFonts w:ascii="Arial" w:hAnsi="Arial" w:cs="Arial"/>
          <w:sz w:val="24"/>
          <w:szCs w:val="24"/>
          <w:lang w:eastAsia="ro-RO"/>
        </w:rPr>
      </w:pPr>
      <w:r w:rsidRPr="00E51FA0">
        <w:rPr>
          <w:rFonts w:ascii="Arial" w:hAnsi="Arial" w:cs="Arial"/>
          <w:sz w:val="24"/>
          <w:szCs w:val="24"/>
          <w:lang w:eastAsia="ro-RO"/>
        </w:rPr>
        <w:lastRenderedPageBreak/>
        <w:t>Stakeholder engagement contributes significantly to Fitbit UK’s organisational performance by improving product quality, reducing risks, increasing regulatory compliance, and strengthening internal and external relationships. The long-term impact extends beyond a single product launch, influencing brand reputation, operational efficiency and strategic competitiveness. By adopting the recommendations above, Fitbit UK can further enhance its stakeholder engagement capability, ensuring future projects benefit from strong partnerships, effective communication and collaborative innovatio</w:t>
      </w:r>
    </w:p>
    <w:p w14:paraId="4FDB5ADB" w14:textId="31762089" w:rsidR="0040164C" w:rsidRPr="00E51FA0" w:rsidRDefault="000F364E" w:rsidP="00714949">
      <w:pPr>
        <w:tabs>
          <w:tab w:val="left" w:pos="4993"/>
        </w:tabs>
        <w:spacing w:before="100" w:beforeAutospacing="1" w:after="100" w:afterAutospacing="1" w:line="240" w:lineRule="auto"/>
        <w:divId w:val="71779340"/>
        <w:rPr>
          <w:rFonts w:ascii="Arial" w:eastAsia="Times New Roman" w:hAnsi="Arial" w:cs="Arial"/>
          <w:b/>
          <w:bCs/>
          <w:kern w:val="36"/>
          <w:sz w:val="48"/>
          <w:szCs w:val="48"/>
          <w:lang w:eastAsia="ro-RO"/>
        </w:rPr>
      </w:pPr>
      <w:r w:rsidRPr="00E51FA0">
        <w:rPr>
          <w:rFonts w:ascii="Arial" w:eastAsia="Times New Roman" w:hAnsi="Arial" w:cs="Arial"/>
          <w:b/>
          <w:bCs/>
          <w:kern w:val="36"/>
          <w:sz w:val="48"/>
          <w:szCs w:val="48"/>
          <w:lang w:eastAsia="ro-RO"/>
        </w:rPr>
        <w:t xml:space="preserve"> </w:t>
      </w:r>
      <w:r w:rsidR="00714949" w:rsidRPr="00E51FA0">
        <w:rPr>
          <w:rFonts w:ascii="Arial" w:eastAsia="Times New Roman" w:hAnsi="Arial" w:cs="Arial"/>
          <w:b/>
          <w:bCs/>
          <w:kern w:val="36"/>
          <w:sz w:val="48"/>
          <w:szCs w:val="48"/>
          <w:lang w:eastAsia="ro-RO"/>
        </w:rPr>
        <w:tab/>
      </w:r>
    </w:p>
    <w:p w14:paraId="0B0BF763" w14:textId="77777777" w:rsidR="0040164C" w:rsidRPr="00E51FA0" w:rsidRDefault="0040164C" w:rsidP="0040164C">
      <w:pPr>
        <w:spacing w:before="100" w:beforeAutospacing="1" w:after="100" w:afterAutospacing="1" w:line="240" w:lineRule="auto"/>
        <w:divId w:val="71779340"/>
        <w:rPr>
          <w:rFonts w:ascii="Arial" w:eastAsia="Times New Roman" w:hAnsi="Arial" w:cs="Arial"/>
          <w:b/>
          <w:bCs/>
          <w:kern w:val="36"/>
          <w:sz w:val="48"/>
          <w:szCs w:val="48"/>
          <w:lang w:eastAsia="ro-RO"/>
        </w:rPr>
      </w:pPr>
    </w:p>
    <w:p w14:paraId="02FC3F37" w14:textId="40AA9AA8" w:rsidR="000F364E" w:rsidRPr="00E51FA0" w:rsidRDefault="0040164C" w:rsidP="0040164C">
      <w:pPr>
        <w:spacing w:before="100" w:beforeAutospacing="1" w:after="100" w:afterAutospacing="1" w:line="240" w:lineRule="auto"/>
        <w:divId w:val="71779340"/>
        <w:rPr>
          <w:rFonts w:ascii="Arial" w:hAnsi="Arial" w:cs="Arial"/>
          <w:sz w:val="24"/>
          <w:szCs w:val="24"/>
          <w:lang w:eastAsia="ro-RO"/>
        </w:rPr>
      </w:pPr>
      <w:r w:rsidRPr="00E51FA0">
        <w:rPr>
          <w:rFonts w:ascii="Arial" w:eastAsia="Times New Roman" w:hAnsi="Arial" w:cs="Arial"/>
          <w:b/>
          <w:bCs/>
          <w:kern w:val="36"/>
          <w:sz w:val="48"/>
          <w:szCs w:val="48"/>
          <w:lang w:eastAsia="ro-RO"/>
        </w:rPr>
        <w:t>8.</w:t>
      </w:r>
      <w:r w:rsidR="000F364E" w:rsidRPr="00E51FA0">
        <w:rPr>
          <w:rFonts w:ascii="Arial" w:eastAsia="Times New Roman" w:hAnsi="Arial" w:cs="Arial"/>
          <w:b/>
          <w:bCs/>
          <w:kern w:val="36"/>
          <w:sz w:val="48"/>
          <w:szCs w:val="48"/>
          <w:lang w:eastAsia="ro-RO"/>
        </w:rPr>
        <w:t xml:space="preserve"> Conclusion </w:t>
      </w:r>
    </w:p>
    <w:p w14:paraId="2211DD4D"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p>
    <w:p w14:paraId="22638EEB"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r w:rsidRPr="00E51FA0">
        <w:rPr>
          <w:rFonts w:ascii="Arial" w:hAnsi="Arial" w:cs="Arial"/>
          <w:sz w:val="24"/>
          <w:szCs w:val="24"/>
          <w:lang w:eastAsia="ro-RO"/>
        </w:rPr>
        <w:t>The development and launch of Fitbit UK’s new wearable health device demonstrates the critical importance of effective project management and strategic stakeholder engagement within a highly competitive and regulated digital health market. This assessment has shown that successful delivery depends on careful planning, strong cross-functional collaboration and the ability to balance technical innovation with regulatory and commercial requirements.</w:t>
      </w:r>
    </w:p>
    <w:p w14:paraId="606EA3D6"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p>
    <w:p w14:paraId="0F903A1D"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r w:rsidRPr="00E51FA0">
        <w:rPr>
          <w:rFonts w:ascii="Arial" w:hAnsi="Arial" w:cs="Arial"/>
          <w:sz w:val="24"/>
          <w:szCs w:val="24"/>
          <w:lang w:eastAsia="ro-RO"/>
        </w:rPr>
        <w:t>The analysis of stakeholder groups revealed that Fitbit UK operates within a complex ecosystem involving internal teams, regulatory bodies, suppliers, retailers, healthcare partners and end users. Using tools such as stakeholder mapping, the power–interest grid and Mendelow’s matrix, the project team was able to identify the level of influence each stakeholder holds and determine the communication approach required for productive engagement. This structured approach helps prevent misunderstandings, supports risk mitigation and enhances decision-making, especially when dealing with sensitive health data and deadlines for regulatory approval.</w:t>
      </w:r>
    </w:p>
    <w:p w14:paraId="2B121732"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p>
    <w:p w14:paraId="70109687"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r w:rsidRPr="00E51FA0">
        <w:rPr>
          <w:rFonts w:ascii="Arial" w:hAnsi="Arial" w:cs="Arial"/>
          <w:sz w:val="24"/>
          <w:szCs w:val="24"/>
          <w:lang w:eastAsia="ro-RO"/>
        </w:rPr>
        <w:t>The evaluation of engagement strategies demonstrated that effective communication, transparency and early involvement lead to improved product quality, stronger market positioning and greater operational efficiency. Conversely, barriers such as misaligned priorities, regulatory complexity and communication overload highlight the need for continuous improvement and organisational adaptability. Recommended actions—including implementing a formal engagement framework, enhancing cross-functional collaboration through Agile methods, investing in compliance training, strengthening supplier integration and involving customers through co-creation—offer practical steps to support future success.</w:t>
      </w:r>
    </w:p>
    <w:p w14:paraId="476BB02E" w14:textId="77777777" w:rsidR="000F364E" w:rsidRPr="00E51FA0" w:rsidRDefault="000F364E" w:rsidP="000F364E">
      <w:pPr>
        <w:spacing w:before="100" w:beforeAutospacing="1" w:after="100" w:afterAutospacing="1" w:line="240" w:lineRule="auto"/>
        <w:divId w:val="2018843881"/>
        <w:rPr>
          <w:rFonts w:ascii="Arial" w:hAnsi="Arial" w:cs="Arial"/>
          <w:sz w:val="24"/>
          <w:szCs w:val="24"/>
          <w:lang w:eastAsia="ro-RO"/>
        </w:rPr>
      </w:pPr>
    </w:p>
    <w:p w14:paraId="02D5B56A" w14:textId="77777777" w:rsidR="007117F9" w:rsidRPr="00E51FA0" w:rsidRDefault="000F364E" w:rsidP="007117F9">
      <w:pPr>
        <w:spacing w:before="100" w:beforeAutospacing="1" w:after="100" w:afterAutospacing="1" w:line="240" w:lineRule="auto"/>
        <w:divId w:val="2018843881"/>
        <w:rPr>
          <w:rFonts w:ascii="Arial" w:hAnsi="Arial" w:cs="Arial"/>
          <w:sz w:val="24"/>
          <w:szCs w:val="24"/>
          <w:lang w:eastAsia="ro-RO"/>
        </w:rPr>
      </w:pPr>
      <w:r w:rsidRPr="00E51FA0">
        <w:rPr>
          <w:rFonts w:ascii="Arial" w:hAnsi="Arial" w:cs="Arial"/>
          <w:sz w:val="24"/>
          <w:szCs w:val="24"/>
          <w:lang w:eastAsia="ro-RO"/>
        </w:rPr>
        <w:t>Overall, this assessment concludes that stakeholder engagement is not merely an operational requirement but a strategic asset that significantly shapes project outcomes and long-term organisational performance. For Fitbit UK, maintaining a consistent, inclusive and data-driven engagement approach will be essential to remain competitive and innovative as the digital health landscape evolves. The lessons gained from this project can serve as a blueprint for future initiatives, ensuring that Fitbit continues to deliver trusted, high-quality health technologies that meet both regulatory standards and consumer expectations.</w:t>
      </w:r>
    </w:p>
    <w:p w14:paraId="3FE21EEB" w14:textId="77777777" w:rsidR="007117F9" w:rsidRPr="00E51FA0" w:rsidRDefault="007117F9" w:rsidP="007117F9">
      <w:pPr>
        <w:spacing w:before="100" w:beforeAutospacing="1" w:after="100" w:afterAutospacing="1" w:line="240" w:lineRule="auto"/>
        <w:divId w:val="2018843881"/>
        <w:rPr>
          <w:rFonts w:ascii="Arial" w:hAnsi="Arial" w:cs="Arial"/>
          <w:sz w:val="24"/>
          <w:szCs w:val="24"/>
          <w:lang w:eastAsia="ro-RO"/>
        </w:rPr>
      </w:pPr>
    </w:p>
    <w:p w14:paraId="411FED07" w14:textId="62C2F117" w:rsidR="000F2107" w:rsidRPr="00E51FA0" w:rsidRDefault="000F2107" w:rsidP="007117F9">
      <w:pPr>
        <w:spacing w:before="100" w:beforeAutospacing="1" w:after="100" w:afterAutospacing="1" w:line="240" w:lineRule="auto"/>
        <w:divId w:val="2018843881"/>
        <w:rPr>
          <w:rFonts w:ascii="Arial" w:hAnsi="Arial" w:cs="Arial"/>
          <w:sz w:val="24"/>
          <w:szCs w:val="24"/>
          <w:lang w:eastAsia="ro-RO"/>
        </w:rPr>
      </w:pPr>
      <w:r w:rsidRPr="00E51FA0">
        <w:rPr>
          <w:rFonts w:ascii="Arial" w:eastAsia="Times New Roman" w:hAnsi="Arial" w:cs="Arial"/>
          <w:b/>
          <w:bCs/>
          <w:kern w:val="36"/>
          <w:sz w:val="48"/>
          <w:szCs w:val="48"/>
          <w:lang w:eastAsia="ro-RO"/>
        </w:rPr>
        <w:t xml:space="preserve"> </w:t>
      </w:r>
      <w:r w:rsidR="0040164C" w:rsidRPr="00E51FA0">
        <w:rPr>
          <w:rFonts w:ascii="Arial" w:eastAsia="Times New Roman" w:hAnsi="Arial" w:cs="Arial"/>
          <w:b/>
          <w:bCs/>
          <w:kern w:val="36"/>
          <w:sz w:val="48"/>
          <w:szCs w:val="48"/>
          <w:lang w:eastAsia="ro-RO"/>
        </w:rPr>
        <w:t>9.</w:t>
      </w:r>
      <w:r w:rsidRPr="00E51FA0">
        <w:rPr>
          <w:rFonts w:ascii="Arial" w:eastAsia="Times New Roman" w:hAnsi="Arial" w:cs="Arial"/>
          <w:b/>
          <w:bCs/>
          <w:kern w:val="36"/>
          <w:sz w:val="48"/>
          <w:szCs w:val="48"/>
          <w:lang w:eastAsia="ro-RO"/>
        </w:rPr>
        <w:t>Reference</w:t>
      </w:r>
      <w:r w:rsidR="007E2617">
        <w:rPr>
          <w:rFonts w:ascii="Arial" w:eastAsia="Times New Roman" w:hAnsi="Arial" w:cs="Arial"/>
          <w:b/>
          <w:bCs/>
          <w:kern w:val="36"/>
          <w:sz w:val="48"/>
          <w:szCs w:val="48"/>
          <w:lang w:eastAsia="ro-RO"/>
        </w:rPr>
        <w:t>s</w:t>
      </w:r>
    </w:p>
    <w:p w14:paraId="00D4F233"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p>
    <w:p w14:paraId="045C3B0A"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Books &amp; Academic Sources</w:t>
      </w:r>
    </w:p>
    <w:p w14:paraId="61519E10"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Freeman, R.E. (1984) Strategic Management: A Stakeholder Approach. Boston: Pitman.</w:t>
      </w:r>
    </w:p>
    <w:p w14:paraId="1329B055"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Mendelow, A. (1991) ‘Environmental Scanning: The Impact of the Stakeholder Concept’, in ICIS Proceedings. Cambridge, MA: MIT.</w:t>
      </w:r>
    </w:p>
    <w:p w14:paraId="415E66F3"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Bourne, L. (2016) Stakeholder Relationship Management: A Maturity Model for Organisational Implementation. 2nd edn. Farnham: Gower.</w:t>
      </w:r>
    </w:p>
    <w:p w14:paraId="5DA04959"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Harrison, J.S. &amp; Wicks, A.C. (2013) ‘Stakeholder Theory, Value, and Firm Performance’, Business Ethics Quarterly, 23(1), pp. 97–124.</w:t>
      </w:r>
    </w:p>
    <w:p w14:paraId="692AC9B3"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Johnson, G., Scholes, K. &amp; Whittington, R. (2020) Exploring Corporate Strategy. 12th edn. Harlow: Pearson.</w:t>
      </w:r>
    </w:p>
    <w:p w14:paraId="2988C739"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Project Management Institute (PMI) (2021) A Guide to the Project Management Body of Knowledge (PMBOK Guide). 7th edn. Newtown Square: PMI.</w:t>
      </w:r>
    </w:p>
    <w:p w14:paraId="7F4F9E75" w14:textId="77777777" w:rsidR="000F2107" w:rsidRPr="00E51FA0" w:rsidRDefault="000F2107" w:rsidP="000F2107">
      <w:pPr>
        <w:numPr>
          <w:ilvl w:val="0"/>
          <w:numId w:val="15"/>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Slack, N., Brandon-Jones, A. &amp; Burgess, N. (2022) Operations Management. 10th edn. Harlow: Pearson Education.</w:t>
      </w:r>
    </w:p>
    <w:p w14:paraId="2C7EFD05"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p>
    <w:p w14:paraId="1EBD6EBA"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Digital Health &amp; Wearables</w:t>
      </w:r>
    </w:p>
    <w:p w14:paraId="644D9B1A" w14:textId="77777777" w:rsidR="000F2107" w:rsidRPr="00E51FA0" w:rsidRDefault="000F2107" w:rsidP="000F2107">
      <w:pPr>
        <w:numPr>
          <w:ilvl w:val="0"/>
          <w:numId w:val="16"/>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Piwek, L., Ellis, D.A., Andrews, S. &amp; Joinson, A. (2016) ‘The Rise of Consumer Health Wearables’, PLOS Medicine, 13(2), pp. 1–9.</w:t>
      </w:r>
    </w:p>
    <w:p w14:paraId="104423DE" w14:textId="77777777" w:rsidR="000F2107" w:rsidRPr="00E51FA0" w:rsidRDefault="000F2107" w:rsidP="000F2107">
      <w:pPr>
        <w:numPr>
          <w:ilvl w:val="0"/>
          <w:numId w:val="16"/>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Swan, M. (2012) ‘Sensor Mania! The Internet of Things, Wearable Computing, and the Quantified Self’, Journal of Sensor and Actuator Networks, 1(3), pp. 217–253.</w:t>
      </w:r>
    </w:p>
    <w:p w14:paraId="2120B2F3" w14:textId="77777777" w:rsidR="000F2107" w:rsidRPr="00E51FA0" w:rsidRDefault="000F2107" w:rsidP="000F2107">
      <w:pPr>
        <w:numPr>
          <w:ilvl w:val="0"/>
          <w:numId w:val="16"/>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Patel, M.S., Asch, D.A. &amp; Volpp, K.G. (2015) ‘Wearable Devices as Facilitators, Not Drivers, of Health Behavior Change’, JAMA, 313(5), pp. 459–460.</w:t>
      </w:r>
    </w:p>
    <w:p w14:paraId="7E7DC9B3"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p>
    <w:p w14:paraId="3AAFC56C"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lastRenderedPageBreak/>
        <w:t>Regulatory &amp; UK Government Sources</w:t>
      </w:r>
    </w:p>
    <w:p w14:paraId="0435A192" w14:textId="77777777" w:rsidR="000F2107" w:rsidRPr="00E51FA0" w:rsidRDefault="000F2107" w:rsidP="000F2107">
      <w:pPr>
        <w:numPr>
          <w:ilvl w:val="0"/>
          <w:numId w:val="17"/>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UK Government (2023) UK GDPR: Guide to Data Protection. Available at: https://www.gov.uk/data-protection (Accessed: [date]).</w:t>
      </w:r>
    </w:p>
    <w:p w14:paraId="18840FA5" w14:textId="77777777" w:rsidR="000F2107" w:rsidRPr="00E51FA0" w:rsidRDefault="000F2107" w:rsidP="000F2107">
      <w:pPr>
        <w:numPr>
          <w:ilvl w:val="0"/>
          <w:numId w:val="17"/>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Medicines and Healthcare products Regulatory Agency (MHRA) (2021) Medical Devices Regulations: Guidance. Available at: https://www.gov.uk/government/organisations/mhra (Accessed: [date]).</w:t>
      </w:r>
    </w:p>
    <w:p w14:paraId="1D58E9DC"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p>
    <w:p w14:paraId="77106A3F" w14:textId="77777777" w:rsidR="000F2107" w:rsidRPr="00E51FA0" w:rsidRDefault="000F2107" w:rsidP="000F2107">
      <w:p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Industry Reports &amp; Fitbit Sources</w:t>
      </w:r>
    </w:p>
    <w:p w14:paraId="4BC8DE1C" w14:textId="77777777" w:rsidR="000F2107" w:rsidRPr="00E51FA0" w:rsidRDefault="000F2107" w:rsidP="000F2107">
      <w:pPr>
        <w:numPr>
          <w:ilvl w:val="0"/>
          <w:numId w:val="18"/>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Google Fit &amp; Fitbit (2023) Fitbit Health Solutions Overview. Fitbit Official Documentation. Available at: https://www.fitbit.com (Accessed: [date]).</w:t>
      </w:r>
    </w:p>
    <w:p w14:paraId="73FDAF50" w14:textId="77777777" w:rsidR="000F2107" w:rsidRPr="00E51FA0" w:rsidRDefault="000F2107" w:rsidP="000F2107">
      <w:pPr>
        <w:numPr>
          <w:ilvl w:val="0"/>
          <w:numId w:val="18"/>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Statista (2023) Wearable Technology Market Insights. Available at: https://www.statista.com (Accessed: [date]).</w:t>
      </w:r>
    </w:p>
    <w:p w14:paraId="663B736A" w14:textId="77777777" w:rsidR="000F2107" w:rsidRPr="00E51FA0" w:rsidRDefault="000F2107" w:rsidP="000F2107">
      <w:pPr>
        <w:numPr>
          <w:ilvl w:val="0"/>
          <w:numId w:val="18"/>
        </w:numPr>
        <w:spacing w:before="100" w:beforeAutospacing="1" w:after="100" w:afterAutospacing="1" w:line="240" w:lineRule="auto"/>
        <w:divId w:val="1892377812"/>
        <w:rPr>
          <w:rFonts w:ascii="Arial" w:hAnsi="Arial" w:cs="Arial"/>
          <w:sz w:val="24"/>
          <w:szCs w:val="24"/>
          <w:lang w:eastAsia="ro-RO"/>
        </w:rPr>
      </w:pPr>
      <w:r w:rsidRPr="00E51FA0">
        <w:rPr>
          <w:rFonts w:ascii="Arial" w:hAnsi="Arial" w:cs="Arial"/>
          <w:sz w:val="24"/>
          <w:szCs w:val="24"/>
          <w:lang w:eastAsia="ro-RO"/>
        </w:rPr>
        <w:t>Deloitte (2022) Digital Health and Wearable Technology Trends. Deloitte Insights.</w:t>
      </w:r>
    </w:p>
    <w:p w14:paraId="3A62F30A" w14:textId="77777777" w:rsidR="00E040C0" w:rsidRPr="00E51FA0" w:rsidRDefault="00E040C0" w:rsidP="19DF5ED4">
      <w:pPr>
        <w:spacing w:line="600" w:lineRule="auto"/>
        <w:rPr>
          <w:rFonts w:ascii="Arial" w:hAnsi="Arial" w:cs="Arial"/>
          <w:b/>
          <w:bCs/>
          <w:i/>
          <w:iCs/>
        </w:rPr>
      </w:pPr>
    </w:p>
    <w:sectPr w:rsidR="00E040C0" w:rsidRPr="00E51FA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D9C86" w14:textId="77777777" w:rsidR="00BE4AFB" w:rsidRDefault="00BE4AFB" w:rsidP="00F37B62">
      <w:pPr>
        <w:spacing w:after="0" w:line="240" w:lineRule="auto"/>
      </w:pPr>
      <w:r>
        <w:separator/>
      </w:r>
    </w:p>
  </w:endnote>
  <w:endnote w:type="continuationSeparator" w:id="0">
    <w:p w14:paraId="20AA5ADC" w14:textId="77777777" w:rsidR="00BE4AFB" w:rsidRDefault="00BE4AFB"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463166"/>
      <w:docPartObj>
        <w:docPartGallery w:val="Page Numbers (Bottom of Page)"/>
        <w:docPartUnique/>
      </w:docPartObj>
    </w:sdtPr>
    <w:sdtEndPr>
      <w:rPr>
        <w:noProof/>
      </w:rPr>
    </w:sdtEndPr>
    <w:sdtContent>
      <w:p w14:paraId="26D0A0B4" w14:textId="2094B2B4" w:rsidR="00D7004A" w:rsidRDefault="00D7004A" w:rsidP="00D7004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6A040CC7" w14:textId="77777777" w:rsidR="00D7004A" w:rsidRDefault="00D70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E4F1D" w14:textId="77777777" w:rsidR="00BE4AFB" w:rsidRDefault="00BE4AFB" w:rsidP="00F37B62">
      <w:pPr>
        <w:spacing w:after="0" w:line="240" w:lineRule="auto"/>
      </w:pPr>
      <w:r>
        <w:separator/>
      </w:r>
    </w:p>
  </w:footnote>
  <w:footnote w:type="continuationSeparator" w:id="0">
    <w:p w14:paraId="1695761A" w14:textId="77777777" w:rsidR="00BE4AFB" w:rsidRDefault="00BE4AFB"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6FAC"/>
    <w:multiLevelType w:val="multilevel"/>
    <w:tmpl w:val="FFFFFFFF"/>
    <w:lvl w:ilvl="0">
      <w:start w:val="1"/>
      <w:numFmt w:val="bullet"/>
      <w:lvlText w:val=""/>
      <w:lvlJc w:val="left"/>
      <w:pPr>
        <w:tabs>
          <w:tab w:val="num" w:pos="3420"/>
        </w:tabs>
        <w:ind w:left="3420" w:hanging="360"/>
      </w:pPr>
      <w:rPr>
        <w:rFonts w:ascii="Symbol" w:hAnsi="Symbol" w:hint="default"/>
        <w:sz w:val="20"/>
      </w:rPr>
    </w:lvl>
    <w:lvl w:ilvl="1" w:tentative="1">
      <w:start w:val="1"/>
      <w:numFmt w:val="bullet"/>
      <w:lvlText w:val="o"/>
      <w:lvlJc w:val="left"/>
      <w:pPr>
        <w:tabs>
          <w:tab w:val="num" w:pos="4140"/>
        </w:tabs>
        <w:ind w:left="4140" w:hanging="360"/>
      </w:pPr>
      <w:rPr>
        <w:rFonts w:ascii="Courier New" w:hAnsi="Courier New" w:hint="default"/>
        <w:sz w:val="20"/>
      </w:rPr>
    </w:lvl>
    <w:lvl w:ilvl="2" w:tentative="1">
      <w:start w:val="1"/>
      <w:numFmt w:val="bullet"/>
      <w:lvlText w:val=""/>
      <w:lvlJc w:val="left"/>
      <w:pPr>
        <w:tabs>
          <w:tab w:val="num" w:pos="4860"/>
        </w:tabs>
        <w:ind w:left="4860" w:hanging="360"/>
      </w:pPr>
      <w:rPr>
        <w:rFonts w:ascii="Wingdings" w:hAnsi="Wingdings" w:hint="default"/>
        <w:sz w:val="20"/>
      </w:rPr>
    </w:lvl>
    <w:lvl w:ilvl="3" w:tentative="1">
      <w:start w:val="1"/>
      <w:numFmt w:val="bullet"/>
      <w:lvlText w:val=""/>
      <w:lvlJc w:val="left"/>
      <w:pPr>
        <w:tabs>
          <w:tab w:val="num" w:pos="5580"/>
        </w:tabs>
        <w:ind w:left="5580" w:hanging="360"/>
      </w:pPr>
      <w:rPr>
        <w:rFonts w:ascii="Wingdings" w:hAnsi="Wingdings" w:hint="default"/>
        <w:sz w:val="20"/>
      </w:rPr>
    </w:lvl>
    <w:lvl w:ilvl="4" w:tentative="1">
      <w:start w:val="1"/>
      <w:numFmt w:val="bullet"/>
      <w:lvlText w:val=""/>
      <w:lvlJc w:val="left"/>
      <w:pPr>
        <w:tabs>
          <w:tab w:val="num" w:pos="6300"/>
        </w:tabs>
        <w:ind w:left="6300" w:hanging="360"/>
      </w:pPr>
      <w:rPr>
        <w:rFonts w:ascii="Wingdings" w:hAnsi="Wingdings" w:hint="default"/>
        <w:sz w:val="20"/>
      </w:rPr>
    </w:lvl>
    <w:lvl w:ilvl="5" w:tentative="1">
      <w:start w:val="1"/>
      <w:numFmt w:val="bullet"/>
      <w:lvlText w:val=""/>
      <w:lvlJc w:val="left"/>
      <w:pPr>
        <w:tabs>
          <w:tab w:val="num" w:pos="7020"/>
        </w:tabs>
        <w:ind w:left="7020" w:hanging="360"/>
      </w:pPr>
      <w:rPr>
        <w:rFonts w:ascii="Wingdings" w:hAnsi="Wingdings" w:hint="default"/>
        <w:sz w:val="20"/>
      </w:rPr>
    </w:lvl>
    <w:lvl w:ilvl="6" w:tentative="1">
      <w:start w:val="1"/>
      <w:numFmt w:val="bullet"/>
      <w:lvlText w:val=""/>
      <w:lvlJc w:val="left"/>
      <w:pPr>
        <w:tabs>
          <w:tab w:val="num" w:pos="7740"/>
        </w:tabs>
        <w:ind w:left="7740" w:hanging="360"/>
      </w:pPr>
      <w:rPr>
        <w:rFonts w:ascii="Wingdings" w:hAnsi="Wingdings" w:hint="default"/>
        <w:sz w:val="20"/>
      </w:rPr>
    </w:lvl>
    <w:lvl w:ilvl="7" w:tentative="1">
      <w:start w:val="1"/>
      <w:numFmt w:val="bullet"/>
      <w:lvlText w:val=""/>
      <w:lvlJc w:val="left"/>
      <w:pPr>
        <w:tabs>
          <w:tab w:val="num" w:pos="8460"/>
        </w:tabs>
        <w:ind w:left="8460" w:hanging="360"/>
      </w:pPr>
      <w:rPr>
        <w:rFonts w:ascii="Wingdings" w:hAnsi="Wingdings" w:hint="default"/>
        <w:sz w:val="20"/>
      </w:rPr>
    </w:lvl>
    <w:lvl w:ilvl="8" w:tentative="1">
      <w:start w:val="1"/>
      <w:numFmt w:val="bullet"/>
      <w:lvlText w:val=""/>
      <w:lvlJc w:val="left"/>
      <w:pPr>
        <w:tabs>
          <w:tab w:val="num" w:pos="9180"/>
        </w:tabs>
        <w:ind w:left="9180" w:hanging="360"/>
      </w:pPr>
      <w:rPr>
        <w:rFonts w:ascii="Wingdings" w:hAnsi="Wingdings" w:hint="default"/>
        <w:sz w:val="20"/>
      </w:rPr>
    </w:lvl>
  </w:abstractNum>
  <w:abstractNum w:abstractNumId="1" w15:restartNumberingAfterBreak="0">
    <w:nsid w:val="012E69ED"/>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F715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D10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E01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B133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C170D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803E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529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AA3DDF"/>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542B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A26966"/>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EE5AA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885F5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536E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C658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6D7EB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A24379"/>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845B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401799">
    <w:abstractNumId w:val="16"/>
  </w:num>
  <w:num w:numId="2" w16cid:durableId="738092755">
    <w:abstractNumId w:val="17"/>
  </w:num>
  <w:num w:numId="3" w16cid:durableId="1137068147">
    <w:abstractNumId w:val="13"/>
  </w:num>
  <w:num w:numId="4" w16cid:durableId="185366813">
    <w:abstractNumId w:val="5"/>
  </w:num>
  <w:num w:numId="5" w16cid:durableId="1952200682">
    <w:abstractNumId w:val="6"/>
  </w:num>
  <w:num w:numId="6" w16cid:durableId="202407430">
    <w:abstractNumId w:val="15"/>
  </w:num>
  <w:num w:numId="7" w16cid:durableId="201744691">
    <w:abstractNumId w:val="3"/>
  </w:num>
  <w:num w:numId="8" w16cid:durableId="1319575176">
    <w:abstractNumId w:val="8"/>
  </w:num>
  <w:num w:numId="9" w16cid:durableId="48461701">
    <w:abstractNumId w:val="2"/>
  </w:num>
  <w:num w:numId="10" w16cid:durableId="1876041520">
    <w:abstractNumId w:val="0"/>
  </w:num>
  <w:num w:numId="11" w16cid:durableId="1630353552">
    <w:abstractNumId w:val="10"/>
  </w:num>
  <w:num w:numId="12" w16cid:durableId="1261530392">
    <w:abstractNumId w:val="7"/>
  </w:num>
  <w:num w:numId="13" w16cid:durableId="682973887">
    <w:abstractNumId w:val="18"/>
  </w:num>
  <w:num w:numId="14" w16cid:durableId="1262832771">
    <w:abstractNumId w:val="4"/>
  </w:num>
  <w:num w:numId="15" w16cid:durableId="897284222">
    <w:abstractNumId w:val="14"/>
  </w:num>
  <w:num w:numId="16" w16cid:durableId="1100761279">
    <w:abstractNumId w:val="9"/>
  </w:num>
  <w:num w:numId="17" w16cid:durableId="1322978">
    <w:abstractNumId w:val="1"/>
  </w:num>
  <w:num w:numId="18" w16cid:durableId="881132252">
    <w:abstractNumId w:val="11"/>
  </w:num>
  <w:num w:numId="19" w16cid:durableId="19151197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FCB"/>
    <w:rsid w:val="000027BA"/>
    <w:rsid w:val="00006A33"/>
    <w:rsid w:val="00040603"/>
    <w:rsid w:val="00043D8C"/>
    <w:rsid w:val="000659B0"/>
    <w:rsid w:val="00074719"/>
    <w:rsid w:val="000833C8"/>
    <w:rsid w:val="00092DCD"/>
    <w:rsid w:val="00096EB2"/>
    <w:rsid w:val="000A4BFD"/>
    <w:rsid w:val="000B1EED"/>
    <w:rsid w:val="000B4E76"/>
    <w:rsid w:val="000B5CB5"/>
    <w:rsid w:val="000C25B5"/>
    <w:rsid w:val="000D2E56"/>
    <w:rsid w:val="000D5A2D"/>
    <w:rsid w:val="000F2107"/>
    <w:rsid w:val="000F364E"/>
    <w:rsid w:val="0010699D"/>
    <w:rsid w:val="00112C4A"/>
    <w:rsid w:val="00130ADD"/>
    <w:rsid w:val="00137572"/>
    <w:rsid w:val="00140896"/>
    <w:rsid w:val="00155827"/>
    <w:rsid w:val="0016005A"/>
    <w:rsid w:val="001C5FA7"/>
    <w:rsid w:val="001C7759"/>
    <w:rsid w:val="001E7763"/>
    <w:rsid w:val="001F5B7D"/>
    <w:rsid w:val="00203DC3"/>
    <w:rsid w:val="002128CE"/>
    <w:rsid w:val="00213FD7"/>
    <w:rsid w:val="00221A32"/>
    <w:rsid w:val="00244316"/>
    <w:rsid w:val="00247DC6"/>
    <w:rsid w:val="002540A3"/>
    <w:rsid w:val="00270887"/>
    <w:rsid w:val="002735CF"/>
    <w:rsid w:val="002740C0"/>
    <w:rsid w:val="00293DE5"/>
    <w:rsid w:val="002A171E"/>
    <w:rsid w:val="002B5904"/>
    <w:rsid w:val="002C1237"/>
    <w:rsid w:val="002C579E"/>
    <w:rsid w:val="002D6811"/>
    <w:rsid w:val="002E109F"/>
    <w:rsid w:val="002E2DC1"/>
    <w:rsid w:val="00323719"/>
    <w:rsid w:val="00331C8A"/>
    <w:rsid w:val="003332D3"/>
    <w:rsid w:val="00336791"/>
    <w:rsid w:val="00340384"/>
    <w:rsid w:val="0034375F"/>
    <w:rsid w:val="003525F5"/>
    <w:rsid w:val="00357467"/>
    <w:rsid w:val="00373FED"/>
    <w:rsid w:val="003B12BC"/>
    <w:rsid w:val="003B581E"/>
    <w:rsid w:val="003C42A2"/>
    <w:rsid w:val="003D1DCE"/>
    <w:rsid w:val="003D7DAC"/>
    <w:rsid w:val="003E4EF7"/>
    <w:rsid w:val="003F3651"/>
    <w:rsid w:val="003F50A5"/>
    <w:rsid w:val="0040164C"/>
    <w:rsid w:val="004076EF"/>
    <w:rsid w:val="0041033D"/>
    <w:rsid w:val="004369A0"/>
    <w:rsid w:val="00437E79"/>
    <w:rsid w:val="004447AB"/>
    <w:rsid w:val="00453B84"/>
    <w:rsid w:val="00455F83"/>
    <w:rsid w:val="004759BD"/>
    <w:rsid w:val="00480A68"/>
    <w:rsid w:val="004831B5"/>
    <w:rsid w:val="004915E1"/>
    <w:rsid w:val="00493DAB"/>
    <w:rsid w:val="004A2502"/>
    <w:rsid w:val="004A7C74"/>
    <w:rsid w:val="004B771D"/>
    <w:rsid w:val="004E1AE3"/>
    <w:rsid w:val="004E6B8E"/>
    <w:rsid w:val="004F51BF"/>
    <w:rsid w:val="00510C2F"/>
    <w:rsid w:val="00512638"/>
    <w:rsid w:val="005345EF"/>
    <w:rsid w:val="005474C1"/>
    <w:rsid w:val="005537DB"/>
    <w:rsid w:val="0056070C"/>
    <w:rsid w:val="0056343B"/>
    <w:rsid w:val="00566576"/>
    <w:rsid w:val="005743F4"/>
    <w:rsid w:val="005803B8"/>
    <w:rsid w:val="005A7901"/>
    <w:rsid w:val="005B2C41"/>
    <w:rsid w:val="006153A1"/>
    <w:rsid w:val="00616A56"/>
    <w:rsid w:val="0062283F"/>
    <w:rsid w:val="0062371F"/>
    <w:rsid w:val="00651985"/>
    <w:rsid w:val="00651996"/>
    <w:rsid w:val="006606FF"/>
    <w:rsid w:val="00660900"/>
    <w:rsid w:val="006655E7"/>
    <w:rsid w:val="00673260"/>
    <w:rsid w:val="00674405"/>
    <w:rsid w:val="00677153"/>
    <w:rsid w:val="006833D5"/>
    <w:rsid w:val="00684177"/>
    <w:rsid w:val="00687CB3"/>
    <w:rsid w:val="006A1953"/>
    <w:rsid w:val="006A4B94"/>
    <w:rsid w:val="006A7026"/>
    <w:rsid w:val="006C75D0"/>
    <w:rsid w:val="006C767E"/>
    <w:rsid w:val="006E79D4"/>
    <w:rsid w:val="006F108C"/>
    <w:rsid w:val="0070335C"/>
    <w:rsid w:val="007117F9"/>
    <w:rsid w:val="0071226C"/>
    <w:rsid w:val="00714949"/>
    <w:rsid w:val="00722188"/>
    <w:rsid w:val="0072707E"/>
    <w:rsid w:val="00733CF6"/>
    <w:rsid w:val="00743267"/>
    <w:rsid w:val="00760725"/>
    <w:rsid w:val="00781D9D"/>
    <w:rsid w:val="007A1F87"/>
    <w:rsid w:val="007B20E4"/>
    <w:rsid w:val="007B25AD"/>
    <w:rsid w:val="007C1D07"/>
    <w:rsid w:val="007E2617"/>
    <w:rsid w:val="007F62F4"/>
    <w:rsid w:val="00810C32"/>
    <w:rsid w:val="0081271F"/>
    <w:rsid w:val="00852E6F"/>
    <w:rsid w:val="0086052A"/>
    <w:rsid w:val="0087016C"/>
    <w:rsid w:val="008762AA"/>
    <w:rsid w:val="0088320B"/>
    <w:rsid w:val="008B014A"/>
    <w:rsid w:val="008B0D3E"/>
    <w:rsid w:val="008C0486"/>
    <w:rsid w:val="008C3013"/>
    <w:rsid w:val="008C5CFD"/>
    <w:rsid w:val="008D0E2B"/>
    <w:rsid w:val="008D1598"/>
    <w:rsid w:val="008D2B9A"/>
    <w:rsid w:val="008E1C69"/>
    <w:rsid w:val="008E7DBF"/>
    <w:rsid w:val="008F0362"/>
    <w:rsid w:val="008F4215"/>
    <w:rsid w:val="009110E4"/>
    <w:rsid w:val="009144ED"/>
    <w:rsid w:val="00933FDE"/>
    <w:rsid w:val="009350A5"/>
    <w:rsid w:val="0094364C"/>
    <w:rsid w:val="00960FDE"/>
    <w:rsid w:val="0096183D"/>
    <w:rsid w:val="00961F51"/>
    <w:rsid w:val="00966DA7"/>
    <w:rsid w:val="00971FC0"/>
    <w:rsid w:val="00984631"/>
    <w:rsid w:val="009B5C67"/>
    <w:rsid w:val="009C4102"/>
    <w:rsid w:val="009D1A16"/>
    <w:rsid w:val="009F1EBA"/>
    <w:rsid w:val="00A33539"/>
    <w:rsid w:val="00A33809"/>
    <w:rsid w:val="00A34C0A"/>
    <w:rsid w:val="00A365AD"/>
    <w:rsid w:val="00A43D4D"/>
    <w:rsid w:val="00A46FE9"/>
    <w:rsid w:val="00A658FE"/>
    <w:rsid w:val="00A7015D"/>
    <w:rsid w:val="00A8229B"/>
    <w:rsid w:val="00AB0A1F"/>
    <w:rsid w:val="00AB7613"/>
    <w:rsid w:val="00AD5D13"/>
    <w:rsid w:val="00AE25FD"/>
    <w:rsid w:val="00AE268C"/>
    <w:rsid w:val="00B05FB0"/>
    <w:rsid w:val="00B142FF"/>
    <w:rsid w:val="00B3573A"/>
    <w:rsid w:val="00B465A0"/>
    <w:rsid w:val="00B5596A"/>
    <w:rsid w:val="00B848E2"/>
    <w:rsid w:val="00B92612"/>
    <w:rsid w:val="00BD0B8A"/>
    <w:rsid w:val="00BE4AFB"/>
    <w:rsid w:val="00BE4C64"/>
    <w:rsid w:val="00BF4976"/>
    <w:rsid w:val="00BF5CCA"/>
    <w:rsid w:val="00C06E99"/>
    <w:rsid w:val="00C206BD"/>
    <w:rsid w:val="00C26B5B"/>
    <w:rsid w:val="00C310F9"/>
    <w:rsid w:val="00C7048C"/>
    <w:rsid w:val="00C76309"/>
    <w:rsid w:val="00C81AE5"/>
    <w:rsid w:val="00C8479C"/>
    <w:rsid w:val="00CA1BBE"/>
    <w:rsid w:val="00CA4169"/>
    <w:rsid w:val="00CB4FB2"/>
    <w:rsid w:val="00CC4D21"/>
    <w:rsid w:val="00CE2DA2"/>
    <w:rsid w:val="00CE740E"/>
    <w:rsid w:val="00D10524"/>
    <w:rsid w:val="00D1531E"/>
    <w:rsid w:val="00D216D6"/>
    <w:rsid w:val="00D23E4D"/>
    <w:rsid w:val="00D41CE9"/>
    <w:rsid w:val="00D51FAD"/>
    <w:rsid w:val="00D53F06"/>
    <w:rsid w:val="00D64835"/>
    <w:rsid w:val="00D7004A"/>
    <w:rsid w:val="00D75050"/>
    <w:rsid w:val="00D917C5"/>
    <w:rsid w:val="00D94C81"/>
    <w:rsid w:val="00DB308C"/>
    <w:rsid w:val="00DC208B"/>
    <w:rsid w:val="00DC5046"/>
    <w:rsid w:val="00DD4742"/>
    <w:rsid w:val="00DD7455"/>
    <w:rsid w:val="00DF3067"/>
    <w:rsid w:val="00E0371E"/>
    <w:rsid w:val="00E040C0"/>
    <w:rsid w:val="00E12960"/>
    <w:rsid w:val="00E235D3"/>
    <w:rsid w:val="00E24D31"/>
    <w:rsid w:val="00E4349E"/>
    <w:rsid w:val="00E51FA0"/>
    <w:rsid w:val="00E525CB"/>
    <w:rsid w:val="00E63964"/>
    <w:rsid w:val="00E6675A"/>
    <w:rsid w:val="00E67FB2"/>
    <w:rsid w:val="00E755DD"/>
    <w:rsid w:val="00E824E0"/>
    <w:rsid w:val="00E93578"/>
    <w:rsid w:val="00E94925"/>
    <w:rsid w:val="00E95D02"/>
    <w:rsid w:val="00E967DD"/>
    <w:rsid w:val="00EA324B"/>
    <w:rsid w:val="00EB59B5"/>
    <w:rsid w:val="00EC043E"/>
    <w:rsid w:val="00EE4D51"/>
    <w:rsid w:val="00EE61A7"/>
    <w:rsid w:val="00EF7141"/>
    <w:rsid w:val="00F01070"/>
    <w:rsid w:val="00F039BB"/>
    <w:rsid w:val="00F0536C"/>
    <w:rsid w:val="00F062BD"/>
    <w:rsid w:val="00F146DE"/>
    <w:rsid w:val="00F165CC"/>
    <w:rsid w:val="00F16ABC"/>
    <w:rsid w:val="00F21BA7"/>
    <w:rsid w:val="00F35A37"/>
    <w:rsid w:val="00F37B62"/>
    <w:rsid w:val="00F43FC7"/>
    <w:rsid w:val="00F5191F"/>
    <w:rsid w:val="00F525E4"/>
    <w:rsid w:val="00F5543D"/>
    <w:rsid w:val="00F67811"/>
    <w:rsid w:val="00F76C18"/>
    <w:rsid w:val="00F924D9"/>
    <w:rsid w:val="00FA283A"/>
    <w:rsid w:val="00FA3CBF"/>
    <w:rsid w:val="00FE1F03"/>
    <w:rsid w:val="00FE372C"/>
    <w:rsid w:val="00FE4381"/>
    <w:rsid w:val="00FF11C5"/>
    <w:rsid w:val="00FF2558"/>
    <w:rsid w:val="00FF5DC3"/>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827BB285-1C61-4FAF-956C-5F536EB0E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D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66D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7455"/>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2Char">
    <w:name w:val="Heading 2 Char"/>
    <w:basedOn w:val="DefaultParagraphFont"/>
    <w:link w:val="Heading2"/>
    <w:uiPriority w:val="9"/>
    <w:semiHidden/>
    <w:rsid w:val="00966DA7"/>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966DA7"/>
    <w:rPr>
      <w:rFonts w:asciiTheme="majorHAnsi" w:eastAsiaTheme="majorEastAsia" w:hAnsiTheme="majorHAnsi" w:cstheme="majorBidi"/>
      <w:color w:val="2F5496" w:themeColor="accent1" w:themeShade="BF"/>
      <w:sz w:val="40"/>
      <w:szCs w:val="40"/>
    </w:rPr>
  </w:style>
  <w:style w:type="character" w:customStyle="1" w:styleId="s1">
    <w:name w:val="s1"/>
    <w:basedOn w:val="DefaultParagraphFont"/>
    <w:rsid w:val="00966DA7"/>
  </w:style>
  <w:style w:type="paragraph" w:customStyle="1" w:styleId="p2">
    <w:name w:val="p2"/>
    <w:basedOn w:val="Normal"/>
    <w:rsid w:val="00966DA7"/>
    <w:pPr>
      <w:spacing w:before="100" w:beforeAutospacing="1" w:after="100" w:afterAutospacing="1" w:line="240" w:lineRule="auto"/>
    </w:pPr>
    <w:rPr>
      <w:rFonts w:ascii="Times New Roman" w:hAnsi="Times New Roman" w:cs="Times New Roman"/>
      <w:sz w:val="24"/>
      <w:szCs w:val="24"/>
      <w:lang w:eastAsia="ro-RO"/>
    </w:rPr>
  </w:style>
  <w:style w:type="character" w:customStyle="1" w:styleId="s2">
    <w:name w:val="s2"/>
    <w:basedOn w:val="DefaultParagraphFont"/>
    <w:rsid w:val="00966DA7"/>
  </w:style>
  <w:style w:type="paragraph" w:customStyle="1" w:styleId="p3">
    <w:name w:val="p3"/>
    <w:basedOn w:val="Normal"/>
    <w:rsid w:val="00966DA7"/>
    <w:pPr>
      <w:spacing w:before="100" w:beforeAutospacing="1" w:after="100" w:afterAutospacing="1" w:line="240" w:lineRule="auto"/>
    </w:pPr>
    <w:rPr>
      <w:rFonts w:ascii="Times New Roman" w:hAnsi="Times New Roman" w:cs="Times New Roman"/>
      <w:sz w:val="24"/>
      <w:szCs w:val="24"/>
      <w:lang w:eastAsia="ro-RO"/>
    </w:rPr>
  </w:style>
  <w:style w:type="paragraph" w:customStyle="1" w:styleId="p1">
    <w:name w:val="p1"/>
    <w:basedOn w:val="Normal"/>
    <w:rsid w:val="00FE1F03"/>
    <w:pPr>
      <w:spacing w:before="100" w:beforeAutospacing="1" w:after="100" w:afterAutospacing="1" w:line="240" w:lineRule="auto"/>
    </w:pPr>
    <w:rPr>
      <w:rFonts w:ascii="Times New Roman" w:hAnsi="Times New Roman" w:cs="Times New Roman"/>
      <w:sz w:val="24"/>
      <w:szCs w:val="24"/>
      <w:lang w:eastAsia="ro-RO"/>
    </w:rPr>
  </w:style>
  <w:style w:type="character" w:customStyle="1" w:styleId="apple-converted-space">
    <w:name w:val="apple-converted-space"/>
    <w:basedOn w:val="DefaultParagraphFont"/>
    <w:rsid w:val="00FE1F03"/>
  </w:style>
  <w:style w:type="character" w:customStyle="1" w:styleId="Heading3Char">
    <w:name w:val="Heading 3 Char"/>
    <w:basedOn w:val="DefaultParagraphFont"/>
    <w:link w:val="Heading3"/>
    <w:uiPriority w:val="9"/>
    <w:semiHidden/>
    <w:rsid w:val="00DD7455"/>
    <w:rPr>
      <w:rFonts w:eastAsiaTheme="majorEastAsia" w:cstheme="majorBidi"/>
      <w:color w:val="2F5496" w:themeColor="accent1" w:themeShade="BF"/>
      <w:sz w:val="28"/>
      <w:szCs w:val="28"/>
    </w:rPr>
  </w:style>
  <w:style w:type="character" w:customStyle="1" w:styleId="s3">
    <w:name w:val="s3"/>
    <w:basedOn w:val="DefaultParagraphFont"/>
    <w:rsid w:val="00B05FB0"/>
  </w:style>
  <w:style w:type="character" w:customStyle="1" w:styleId="s4">
    <w:name w:val="s4"/>
    <w:basedOn w:val="DefaultParagraphFont"/>
    <w:rsid w:val="00F43FC7"/>
  </w:style>
  <w:style w:type="table" w:styleId="GridTable5Dark-Accent2">
    <w:name w:val="Grid Table 5 Dark Accent 2"/>
    <w:basedOn w:val="TableNormal"/>
    <w:uiPriority w:val="50"/>
    <w:rsid w:val="002708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88320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88320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88320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2B590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8C5CF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5">
    <w:name w:val="Grid Table 1 Light Accent 5"/>
    <w:basedOn w:val="TableNormal"/>
    <w:uiPriority w:val="46"/>
    <w:rsid w:val="008C5CF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8C5CFD"/>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1">
    <w:name w:val="Grid Table 6 Colorful Accent 1"/>
    <w:basedOn w:val="TableNormal"/>
    <w:uiPriority w:val="51"/>
    <w:rsid w:val="008C5CF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6">
    <w:name w:val="Grid Table 6 Colorful Accent 6"/>
    <w:basedOn w:val="TableNormal"/>
    <w:uiPriority w:val="51"/>
    <w:rsid w:val="006C767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4346">
      <w:bodyDiv w:val="1"/>
      <w:marLeft w:val="0"/>
      <w:marRight w:val="0"/>
      <w:marTop w:val="0"/>
      <w:marBottom w:val="0"/>
      <w:divBdr>
        <w:top w:val="none" w:sz="0" w:space="0" w:color="auto"/>
        <w:left w:val="none" w:sz="0" w:space="0" w:color="auto"/>
        <w:bottom w:val="none" w:sz="0" w:space="0" w:color="auto"/>
        <w:right w:val="none" w:sz="0" w:space="0" w:color="auto"/>
      </w:divBdr>
    </w:div>
    <w:div w:id="71779340">
      <w:bodyDiv w:val="1"/>
      <w:marLeft w:val="0"/>
      <w:marRight w:val="0"/>
      <w:marTop w:val="0"/>
      <w:marBottom w:val="0"/>
      <w:divBdr>
        <w:top w:val="none" w:sz="0" w:space="0" w:color="auto"/>
        <w:left w:val="none" w:sz="0" w:space="0" w:color="auto"/>
        <w:bottom w:val="none" w:sz="0" w:space="0" w:color="auto"/>
        <w:right w:val="none" w:sz="0" w:space="0" w:color="auto"/>
      </w:divBdr>
    </w:div>
    <w:div w:id="139620063">
      <w:bodyDiv w:val="1"/>
      <w:marLeft w:val="0"/>
      <w:marRight w:val="0"/>
      <w:marTop w:val="0"/>
      <w:marBottom w:val="0"/>
      <w:divBdr>
        <w:top w:val="none" w:sz="0" w:space="0" w:color="auto"/>
        <w:left w:val="none" w:sz="0" w:space="0" w:color="auto"/>
        <w:bottom w:val="none" w:sz="0" w:space="0" w:color="auto"/>
        <w:right w:val="none" w:sz="0" w:space="0" w:color="auto"/>
      </w:divBdr>
    </w:div>
    <w:div w:id="353191279">
      <w:bodyDiv w:val="1"/>
      <w:marLeft w:val="0"/>
      <w:marRight w:val="0"/>
      <w:marTop w:val="0"/>
      <w:marBottom w:val="0"/>
      <w:divBdr>
        <w:top w:val="none" w:sz="0" w:space="0" w:color="auto"/>
        <w:left w:val="none" w:sz="0" w:space="0" w:color="auto"/>
        <w:bottom w:val="none" w:sz="0" w:space="0" w:color="auto"/>
        <w:right w:val="none" w:sz="0" w:space="0" w:color="auto"/>
      </w:divBdr>
    </w:div>
    <w:div w:id="392513024">
      <w:bodyDiv w:val="1"/>
      <w:marLeft w:val="0"/>
      <w:marRight w:val="0"/>
      <w:marTop w:val="0"/>
      <w:marBottom w:val="0"/>
      <w:divBdr>
        <w:top w:val="none" w:sz="0" w:space="0" w:color="auto"/>
        <w:left w:val="none" w:sz="0" w:space="0" w:color="auto"/>
        <w:bottom w:val="none" w:sz="0" w:space="0" w:color="auto"/>
        <w:right w:val="none" w:sz="0" w:space="0" w:color="auto"/>
      </w:divBdr>
    </w:div>
    <w:div w:id="443229700">
      <w:bodyDiv w:val="1"/>
      <w:marLeft w:val="0"/>
      <w:marRight w:val="0"/>
      <w:marTop w:val="0"/>
      <w:marBottom w:val="0"/>
      <w:divBdr>
        <w:top w:val="none" w:sz="0" w:space="0" w:color="auto"/>
        <w:left w:val="none" w:sz="0" w:space="0" w:color="auto"/>
        <w:bottom w:val="none" w:sz="0" w:space="0" w:color="auto"/>
        <w:right w:val="none" w:sz="0" w:space="0" w:color="auto"/>
      </w:divBdr>
    </w:div>
    <w:div w:id="537163490">
      <w:bodyDiv w:val="1"/>
      <w:marLeft w:val="0"/>
      <w:marRight w:val="0"/>
      <w:marTop w:val="0"/>
      <w:marBottom w:val="0"/>
      <w:divBdr>
        <w:top w:val="none" w:sz="0" w:space="0" w:color="auto"/>
        <w:left w:val="none" w:sz="0" w:space="0" w:color="auto"/>
        <w:bottom w:val="none" w:sz="0" w:space="0" w:color="auto"/>
        <w:right w:val="none" w:sz="0" w:space="0" w:color="auto"/>
      </w:divBdr>
    </w:div>
    <w:div w:id="537667783">
      <w:bodyDiv w:val="1"/>
      <w:marLeft w:val="0"/>
      <w:marRight w:val="0"/>
      <w:marTop w:val="0"/>
      <w:marBottom w:val="0"/>
      <w:divBdr>
        <w:top w:val="none" w:sz="0" w:space="0" w:color="auto"/>
        <w:left w:val="none" w:sz="0" w:space="0" w:color="auto"/>
        <w:bottom w:val="none" w:sz="0" w:space="0" w:color="auto"/>
        <w:right w:val="none" w:sz="0" w:space="0" w:color="auto"/>
      </w:divBdr>
    </w:div>
    <w:div w:id="592708423">
      <w:bodyDiv w:val="1"/>
      <w:marLeft w:val="0"/>
      <w:marRight w:val="0"/>
      <w:marTop w:val="0"/>
      <w:marBottom w:val="0"/>
      <w:divBdr>
        <w:top w:val="none" w:sz="0" w:space="0" w:color="auto"/>
        <w:left w:val="none" w:sz="0" w:space="0" w:color="auto"/>
        <w:bottom w:val="none" w:sz="0" w:space="0" w:color="auto"/>
        <w:right w:val="none" w:sz="0" w:space="0" w:color="auto"/>
      </w:divBdr>
    </w:div>
    <w:div w:id="717052226">
      <w:bodyDiv w:val="1"/>
      <w:marLeft w:val="0"/>
      <w:marRight w:val="0"/>
      <w:marTop w:val="0"/>
      <w:marBottom w:val="0"/>
      <w:divBdr>
        <w:top w:val="none" w:sz="0" w:space="0" w:color="auto"/>
        <w:left w:val="none" w:sz="0" w:space="0" w:color="auto"/>
        <w:bottom w:val="none" w:sz="0" w:space="0" w:color="auto"/>
        <w:right w:val="none" w:sz="0" w:space="0" w:color="auto"/>
      </w:divBdr>
    </w:div>
    <w:div w:id="775095166">
      <w:bodyDiv w:val="1"/>
      <w:marLeft w:val="0"/>
      <w:marRight w:val="0"/>
      <w:marTop w:val="0"/>
      <w:marBottom w:val="0"/>
      <w:divBdr>
        <w:top w:val="none" w:sz="0" w:space="0" w:color="auto"/>
        <w:left w:val="none" w:sz="0" w:space="0" w:color="auto"/>
        <w:bottom w:val="none" w:sz="0" w:space="0" w:color="auto"/>
        <w:right w:val="none" w:sz="0" w:space="0" w:color="auto"/>
      </w:divBdr>
    </w:div>
    <w:div w:id="828784925">
      <w:bodyDiv w:val="1"/>
      <w:marLeft w:val="0"/>
      <w:marRight w:val="0"/>
      <w:marTop w:val="0"/>
      <w:marBottom w:val="0"/>
      <w:divBdr>
        <w:top w:val="none" w:sz="0" w:space="0" w:color="auto"/>
        <w:left w:val="none" w:sz="0" w:space="0" w:color="auto"/>
        <w:bottom w:val="none" w:sz="0" w:space="0" w:color="auto"/>
        <w:right w:val="none" w:sz="0" w:space="0" w:color="auto"/>
      </w:divBdr>
      <w:divsChild>
        <w:div w:id="776098771">
          <w:marLeft w:val="0"/>
          <w:marRight w:val="0"/>
          <w:marTop w:val="0"/>
          <w:marBottom w:val="0"/>
          <w:divBdr>
            <w:top w:val="none" w:sz="0" w:space="0" w:color="auto"/>
            <w:left w:val="none" w:sz="0" w:space="0" w:color="auto"/>
            <w:bottom w:val="none" w:sz="0" w:space="0" w:color="auto"/>
            <w:right w:val="none" w:sz="0" w:space="0" w:color="auto"/>
          </w:divBdr>
        </w:div>
        <w:div w:id="1932007635">
          <w:marLeft w:val="0"/>
          <w:marRight w:val="0"/>
          <w:marTop w:val="0"/>
          <w:marBottom w:val="0"/>
          <w:divBdr>
            <w:top w:val="none" w:sz="0" w:space="0" w:color="auto"/>
            <w:left w:val="none" w:sz="0" w:space="0" w:color="auto"/>
            <w:bottom w:val="none" w:sz="0" w:space="0" w:color="auto"/>
            <w:right w:val="none" w:sz="0" w:space="0" w:color="auto"/>
          </w:divBdr>
        </w:div>
      </w:divsChild>
    </w:div>
    <w:div w:id="829101752">
      <w:bodyDiv w:val="1"/>
      <w:marLeft w:val="0"/>
      <w:marRight w:val="0"/>
      <w:marTop w:val="0"/>
      <w:marBottom w:val="0"/>
      <w:divBdr>
        <w:top w:val="none" w:sz="0" w:space="0" w:color="auto"/>
        <w:left w:val="none" w:sz="0" w:space="0" w:color="auto"/>
        <w:bottom w:val="none" w:sz="0" w:space="0" w:color="auto"/>
        <w:right w:val="none" w:sz="0" w:space="0" w:color="auto"/>
      </w:divBdr>
    </w:div>
    <w:div w:id="877090833">
      <w:bodyDiv w:val="1"/>
      <w:marLeft w:val="0"/>
      <w:marRight w:val="0"/>
      <w:marTop w:val="0"/>
      <w:marBottom w:val="0"/>
      <w:divBdr>
        <w:top w:val="none" w:sz="0" w:space="0" w:color="auto"/>
        <w:left w:val="none" w:sz="0" w:space="0" w:color="auto"/>
        <w:bottom w:val="none" w:sz="0" w:space="0" w:color="auto"/>
        <w:right w:val="none" w:sz="0" w:space="0" w:color="auto"/>
      </w:divBdr>
    </w:div>
    <w:div w:id="982546623">
      <w:bodyDiv w:val="1"/>
      <w:marLeft w:val="0"/>
      <w:marRight w:val="0"/>
      <w:marTop w:val="0"/>
      <w:marBottom w:val="0"/>
      <w:divBdr>
        <w:top w:val="none" w:sz="0" w:space="0" w:color="auto"/>
        <w:left w:val="none" w:sz="0" w:space="0" w:color="auto"/>
        <w:bottom w:val="none" w:sz="0" w:space="0" w:color="auto"/>
        <w:right w:val="none" w:sz="0" w:space="0" w:color="auto"/>
      </w:divBdr>
    </w:div>
    <w:div w:id="1041784641">
      <w:bodyDiv w:val="1"/>
      <w:marLeft w:val="0"/>
      <w:marRight w:val="0"/>
      <w:marTop w:val="0"/>
      <w:marBottom w:val="0"/>
      <w:divBdr>
        <w:top w:val="none" w:sz="0" w:space="0" w:color="auto"/>
        <w:left w:val="none" w:sz="0" w:space="0" w:color="auto"/>
        <w:bottom w:val="none" w:sz="0" w:space="0" w:color="auto"/>
        <w:right w:val="none" w:sz="0" w:space="0" w:color="auto"/>
      </w:divBdr>
    </w:div>
    <w:div w:id="1270311905">
      <w:bodyDiv w:val="1"/>
      <w:marLeft w:val="0"/>
      <w:marRight w:val="0"/>
      <w:marTop w:val="0"/>
      <w:marBottom w:val="0"/>
      <w:divBdr>
        <w:top w:val="none" w:sz="0" w:space="0" w:color="auto"/>
        <w:left w:val="none" w:sz="0" w:space="0" w:color="auto"/>
        <w:bottom w:val="none" w:sz="0" w:space="0" w:color="auto"/>
        <w:right w:val="none" w:sz="0" w:space="0" w:color="auto"/>
      </w:divBdr>
    </w:div>
    <w:div w:id="1277172762">
      <w:bodyDiv w:val="1"/>
      <w:marLeft w:val="0"/>
      <w:marRight w:val="0"/>
      <w:marTop w:val="0"/>
      <w:marBottom w:val="0"/>
      <w:divBdr>
        <w:top w:val="none" w:sz="0" w:space="0" w:color="auto"/>
        <w:left w:val="none" w:sz="0" w:space="0" w:color="auto"/>
        <w:bottom w:val="none" w:sz="0" w:space="0" w:color="auto"/>
        <w:right w:val="none" w:sz="0" w:space="0" w:color="auto"/>
      </w:divBdr>
    </w:div>
    <w:div w:id="1317879343">
      <w:bodyDiv w:val="1"/>
      <w:marLeft w:val="0"/>
      <w:marRight w:val="0"/>
      <w:marTop w:val="0"/>
      <w:marBottom w:val="0"/>
      <w:divBdr>
        <w:top w:val="none" w:sz="0" w:space="0" w:color="auto"/>
        <w:left w:val="none" w:sz="0" w:space="0" w:color="auto"/>
        <w:bottom w:val="none" w:sz="0" w:space="0" w:color="auto"/>
        <w:right w:val="none" w:sz="0" w:space="0" w:color="auto"/>
      </w:divBdr>
    </w:div>
    <w:div w:id="1460490682">
      <w:bodyDiv w:val="1"/>
      <w:marLeft w:val="0"/>
      <w:marRight w:val="0"/>
      <w:marTop w:val="0"/>
      <w:marBottom w:val="0"/>
      <w:divBdr>
        <w:top w:val="none" w:sz="0" w:space="0" w:color="auto"/>
        <w:left w:val="none" w:sz="0" w:space="0" w:color="auto"/>
        <w:bottom w:val="none" w:sz="0" w:space="0" w:color="auto"/>
        <w:right w:val="none" w:sz="0" w:space="0" w:color="auto"/>
      </w:divBdr>
    </w:div>
    <w:div w:id="1517232391">
      <w:bodyDiv w:val="1"/>
      <w:marLeft w:val="0"/>
      <w:marRight w:val="0"/>
      <w:marTop w:val="0"/>
      <w:marBottom w:val="0"/>
      <w:divBdr>
        <w:top w:val="none" w:sz="0" w:space="0" w:color="auto"/>
        <w:left w:val="none" w:sz="0" w:space="0" w:color="auto"/>
        <w:bottom w:val="none" w:sz="0" w:space="0" w:color="auto"/>
        <w:right w:val="none" w:sz="0" w:space="0" w:color="auto"/>
      </w:divBdr>
      <w:divsChild>
        <w:div w:id="1359697109">
          <w:marLeft w:val="0"/>
          <w:marRight w:val="0"/>
          <w:marTop w:val="0"/>
          <w:marBottom w:val="0"/>
          <w:divBdr>
            <w:top w:val="none" w:sz="0" w:space="0" w:color="auto"/>
            <w:left w:val="none" w:sz="0" w:space="0" w:color="auto"/>
            <w:bottom w:val="none" w:sz="0" w:space="0" w:color="auto"/>
            <w:right w:val="none" w:sz="0" w:space="0" w:color="auto"/>
          </w:divBdr>
        </w:div>
        <w:div w:id="1826773432">
          <w:marLeft w:val="0"/>
          <w:marRight w:val="0"/>
          <w:marTop w:val="0"/>
          <w:marBottom w:val="0"/>
          <w:divBdr>
            <w:top w:val="none" w:sz="0" w:space="0" w:color="auto"/>
            <w:left w:val="none" w:sz="0" w:space="0" w:color="auto"/>
            <w:bottom w:val="none" w:sz="0" w:space="0" w:color="auto"/>
            <w:right w:val="none" w:sz="0" w:space="0" w:color="auto"/>
          </w:divBdr>
        </w:div>
      </w:divsChild>
    </w:div>
    <w:div w:id="1531526529">
      <w:bodyDiv w:val="1"/>
      <w:marLeft w:val="0"/>
      <w:marRight w:val="0"/>
      <w:marTop w:val="0"/>
      <w:marBottom w:val="0"/>
      <w:divBdr>
        <w:top w:val="none" w:sz="0" w:space="0" w:color="auto"/>
        <w:left w:val="none" w:sz="0" w:space="0" w:color="auto"/>
        <w:bottom w:val="none" w:sz="0" w:space="0" w:color="auto"/>
        <w:right w:val="none" w:sz="0" w:space="0" w:color="auto"/>
      </w:divBdr>
    </w:div>
    <w:div w:id="1740860120">
      <w:bodyDiv w:val="1"/>
      <w:marLeft w:val="0"/>
      <w:marRight w:val="0"/>
      <w:marTop w:val="0"/>
      <w:marBottom w:val="0"/>
      <w:divBdr>
        <w:top w:val="none" w:sz="0" w:space="0" w:color="auto"/>
        <w:left w:val="none" w:sz="0" w:space="0" w:color="auto"/>
        <w:bottom w:val="none" w:sz="0" w:space="0" w:color="auto"/>
        <w:right w:val="none" w:sz="0" w:space="0" w:color="auto"/>
      </w:divBdr>
    </w:div>
    <w:div w:id="1747452838">
      <w:bodyDiv w:val="1"/>
      <w:marLeft w:val="0"/>
      <w:marRight w:val="0"/>
      <w:marTop w:val="0"/>
      <w:marBottom w:val="0"/>
      <w:divBdr>
        <w:top w:val="none" w:sz="0" w:space="0" w:color="auto"/>
        <w:left w:val="none" w:sz="0" w:space="0" w:color="auto"/>
        <w:bottom w:val="none" w:sz="0" w:space="0" w:color="auto"/>
        <w:right w:val="none" w:sz="0" w:space="0" w:color="auto"/>
      </w:divBdr>
    </w:div>
    <w:div w:id="1779057889">
      <w:bodyDiv w:val="1"/>
      <w:marLeft w:val="0"/>
      <w:marRight w:val="0"/>
      <w:marTop w:val="0"/>
      <w:marBottom w:val="0"/>
      <w:divBdr>
        <w:top w:val="none" w:sz="0" w:space="0" w:color="auto"/>
        <w:left w:val="none" w:sz="0" w:space="0" w:color="auto"/>
        <w:bottom w:val="none" w:sz="0" w:space="0" w:color="auto"/>
        <w:right w:val="none" w:sz="0" w:space="0" w:color="auto"/>
      </w:divBdr>
    </w:div>
    <w:div w:id="1892377812">
      <w:bodyDiv w:val="1"/>
      <w:marLeft w:val="0"/>
      <w:marRight w:val="0"/>
      <w:marTop w:val="0"/>
      <w:marBottom w:val="0"/>
      <w:divBdr>
        <w:top w:val="none" w:sz="0" w:space="0" w:color="auto"/>
        <w:left w:val="none" w:sz="0" w:space="0" w:color="auto"/>
        <w:bottom w:val="none" w:sz="0" w:space="0" w:color="auto"/>
        <w:right w:val="none" w:sz="0" w:space="0" w:color="auto"/>
      </w:divBdr>
    </w:div>
    <w:div w:id="1984659107">
      <w:bodyDiv w:val="1"/>
      <w:marLeft w:val="0"/>
      <w:marRight w:val="0"/>
      <w:marTop w:val="0"/>
      <w:marBottom w:val="0"/>
      <w:divBdr>
        <w:top w:val="none" w:sz="0" w:space="0" w:color="auto"/>
        <w:left w:val="none" w:sz="0" w:space="0" w:color="auto"/>
        <w:bottom w:val="none" w:sz="0" w:space="0" w:color="auto"/>
        <w:right w:val="none" w:sz="0" w:space="0" w:color="auto"/>
      </w:divBdr>
    </w:div>
    <w:div w:id="2018843881">
      <w:bodyDiv w:val="1"/>
      <w:marLeft w:val="0"/>
      <w:marRight w:val="0"/>
      <w:marTop w:val="0"/>
      <w:marBottom w:val="0"/>
      <w:divBdr>
        <w:top w:val="none" w:sz="0" w:space="0" w:color="auto"/>
        <w:left w:val="none" w:sz="0" w:space="0" w:color="auto"/>
        <w:bottom w:val="none" w:sz="0" w:space="0" w:color="auto"/>
        <w:right w:val="none" w:sz="0" w:space="0" w:color="auto"/>
      </w:divBdr>
    </w:div>
    <w:div w:id="2025593700">
      <w:bodyDiv w:val="1"/>
      <w:marLeft w:val="0"/>
      <w:marRight w:val="0"/>
      <w:marTop w:val="0"/>
      <w:marBottom w:val="0"/>
      <w:divBdr>
        <w:top w:val="none" w:sz="0" w:space="0" w:color="auto"/>
        <w:left w:val="none" w:sz="0" w:space="0" w:color="auto"/>
        <w:bottom w:val="none" w:sz="0" w:space="0" w:color="auto"/>
        <w:right w:val="none" w:sz="0" w:space="0" w:color="auto"/>
      </w:divBdr>
    </w:div>
    <w:div w:id="2107337184">
      <w:bodyDiv w:val="1"/>
      <w:marLeft w:val="0"/>
      <w:marRight w:val="0"/>
      <w:marTop w:val="0"/>
      <w:marBottom w:val="0"/>
      <w:divBdr>
        <w:top w:val="none" w:sz="0" w:space="0" w:color="auto"/>
        <w:left w:val="none" w:sz="0" w:space="0" w:color="auto"/>
        <w:bottom w:val="none" w:sz="0" w:space="0" w:color="auto"/>
        <w:right w:val="none" w:sz="0" w:space="0" w:color="auto"/>
      </w:divBdr>
    </w:div>
    <w:div w:id="213713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5424</Words>
  <Characters>30923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Mirela Negrea (2412055)</cp:lastModifiedBy>
  <cp:revision>176</cp:revision>
  <dcterms:created xsi:type="dcterms:W3CDTF">2025-12-06T11:30:00Z</dcterms:created>
  <dcterms:modified xsi:type="dcterms:W3CDTF">2025-12-08T18:13:00Z</dcterms:modified>
</cp:coreProperties>
</file>