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0DFFE" w14:textId="77777777" w:rsidR="00DF2D0E" w:rsidRPr="002277E5" w:rsidRDefault="00DF2D0E" w:rsidP="002E01CE">
      <w:pPr>
        <w:pStyle w:val="p1"/>
        <w:spacing w:line="276" w:lineRule="auto"/>
        <w:rPr>
          <w:rFonts w:ascii="Arial" w:hAnsi="Arial" w:cs="Arial"/>
          <w:b/>
          <w:bCs/>
          <w:sz w:val="20"/>
          <w:szCs w:val="20"/>
        </w:rPr>
      </w:pPr>
      <w:r w:rsidRPr="002277E5">
        <w:rPr>
          <w:rStyle w:val="s1"/>
          <w:rFonts w:ascii="Arial" w:hAnsi="Arial" w:cs="Arial"/>
          <w:sz w:val="20"/>
          <w:szCs w:val="20"/>
        </w:rPr>
        <w:t>Briefing Paper: The Importance of Reflective Practice in Early Years Education</w:t>
      </w:r>
    </w:p>
    <w:p w14:paraId="3AADFBE0" w14:textId="77777777" w:rsidR="00DF2D0E" w:rsidRPr="002277E5" w:rsidRDefault="00DF2D0E">
      <w:pPr>
        <w:pStyle w:val="p2"/>
        <w:rPr>
          <w:rFonts w:ascii="Arial" w:hAnsi="Arial" w:cs="Arial"/>
          <w:b/>
          <w:bCs/>
          <w:sz w:val="20"/>
          <w:szCs w:val="20"/>
        </w:rPr>
      </w:pPr>
    </w:p>
    <w:p w14:paraId="3FA489BB" w14:textId="77777777" w:rsidR="00DF2D0E" w:rsidRPr="002277E5" w:rsidRDefault="00DF2D0E">
      <w:pPr>
        <w:pStyle w:val="p1"/>
        <w:rPr>
          <w:rFonts w:ascii="Arial" w:hAnsi="Arial" w:cs="Arial"/>
          <w:b/>
          <w:bCs/>
          <w:sz w:val="20"/>
          <w:szCs w:val="20"/>
        </w:rPr>
      </w:pPr>
      <w:r w:rsidRPr="002277E5">
        <w:rPr>
          <w:rStyle w:val="s1"/>
          <w:rFonts w:ascii="Arial" w:hAnsi="Arial" w:cs="Arial"/>
          <w:sz w:val="20"/>
          <w:szCs w:val="20"/>
        </w:rPr>
        <w:t>What is Reflection and Reflective Practice?</w:t>
      </w:r>
    </w:p>
    <w:p w14:paraId="26449E1B" w14:textId="77777777" w:rsidR="00DF2D0E" w:rsidRPr="002277E5" w:rsidRDefault="00DF2D0E">
      <w:pPr>
        <w:pStyle w:val="p2"/>
        <w:rPr>
          <w:rFonts w:ascii="Arial" w:hAnsi="Arial" w:cs="Arial"/>
          <w:b/>
          <w:bCs/>
          <w:sz w:val="20"/>
          <w:szCs w:val="20"/>
        </w:rPr>
      </w:pPr>
    </w:p>
    <w:p w14:paraId="31723D1D"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 xml:space="preserve">Reflection involves critically analysing one’s actions and experiences to improve future practice. Dewey (1933) described it as “active, persistent, and careful consideration” of beliefs and experiences. Schön (1983) later expanded this idea, defining </w:t>
      </w:r>
      <w:r w:rsidRPr="00630C85">
        <w:rPr>
          <w:rStyle w:val="s3"/>
          <w:rFonts w:ascii="Arial" w:hAnsi="Arial" w:cs="Arial"/>
          <w:i w:val="0"/>
          <w:iCs w:val="0"/>
          <w:sz w:val="20"/>
          <w:szCs w:val="20"/>
        </w:rPr>
        <w:t>reflective practice</w:t>
      </w:r>
      <w:r w:rsidRPr="00630C85">
        <w:rPr>
          <w:rStyle w:val="s2"/>
          <w:rFonts w:ascii="Arial" w:hAnsi="Arial" w:cs="Arial"/>
          <w:sz w:val="20"/>
          <w:szCs w:val="20"/>
        </w:rPr>
        <w:t xml:space="preserve"> as a continuous process of “reflection-in-action” (thinking while doing) and “reflection-on-action” (thinking after doing).</w:t>
      </w:r>
    </w:p>
    <w:p w14:paraId="069F4A12" w14:textId="77777777" w:rsidR="00DF2D0E" w:rsidRPr="00630C85" w:rsidRDefault="00DF2D0E">
      <w:pPr>
        <w:pStyle w:val="p2"/>
        <w:rPr>
          <w:rFonts w:ascii="Arial" w:hAnsi="Arial" w:cs="Arial"/>
          <w:sz w:val="20"/>
          <w:szCs w:val="20"/>
        </w:rPr>
      </w:pPr>
    </w:p>
    <w:p w14:paraId="27E9416C"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In Early Years (EY) education, reflective practice means practitioners analyse their work with children, families, and colleagues to enhance learning and care. It transforms daily experiences into professional growth opportunities, leading to improved outcomes for children (Lindon and Trodd, 2016).</w:t>
      </w:r>
    </w:p>
    <w:p w14:paraId="3A7F9E82" w14:textId="77777777" w:rsidR="00DF2D0E" w:rsidRPr="00630C85" w:rsidRDefault="00DF2D0E">
      <w:pPr>
        <w:pStyle w:val="p2"/>
        <w:rPr>
          <w:rFonts w:ascii="Arial" w:hAnsi="Arial" w:cs="Arial"/>
          <w:sz w:val="20"/>
          <w:szCs w:val="20"/>
        </w:rPr>
      </w:pPr>
    </w:p>
    <w:p w14:paraId="4CF0A5A3" w14:textId="77777777" w:rsidR="00DF2D0E" w:rsidRPr="002277E5" w:rsidRDefault="00DF2D0E">
      <w:pPr>
        <w:pStyle w:val="p1"/>
        <w:rPr>
          <w:rFonts w:ascii="Arial" w:hAnsi="Arial" w:cs="Arial"/>
          <w:sz w:val="20"/>
          <w:szCs w:val="20"/>
        </w:rPr>
      </w:pPr>
      <w:r w:rsidRPr="002277E5">
        <w:rPr>
          <w:rStyle w:val="s1"/>
          <w:rFonts w:ascii="Arial" w:hAnsi="Arial" w:cs="Arial"/>
          <w:sz w:val="20"/>
          <w:szCs w:val="20"/>
        </w:rPr>
        <w:t>Why Reflective Practice is Important in Early Years Education</w:t>
      </w:r>
    </w:p>
    <w:p w14:paraId="470F31D6" w14:textId="77777777" w:rsidR="00DF2D0E" w:rsidRPr="00630C85" w:rsidRDefault="00DF2D0E">
      <w:pPr>
        <w:pStyle w:val="p2"/>
        <w:rPr>
          <w:rFonts w:ascii="Arial" w:hAnsi="Arial" w:cs="Arial"/>
          <w:sz w:val="20"/>
          <w:szCs w:val="20"/>
        </w:rPr>
      </w:pPr>
    </w:p>
    <w:p w14:paraId="2CF7AD7E"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Reflective practice underpins professionalism in EY settings. It enables practitioners to question assumptions, challenge bias, and adapt to children’s diverse needs (Hallet, 2013). It supports accountability by encouraging professionals to evaluate how their work aligns with the EYFS and ethical standards (McMahon and Dyer, 2018). Reflection also enhances wellbeing and resilience by helping practitioners process complex emotions and identify areas for development (Lindon and Trodd, 2016).</w:t>
      </w:r>
    </w:p>
    <w:p w14:paraId="34C790F1" w14:textId="77777777" w:rsidR="00DF2D0E" w:rsidRPr="00630C85" w:rsidRDefault="00DF2D0E">
      <w:pPr>
        <w:pStyle w:val="p2"/>
        <w:rPr>
          <w:rFonts w:ascii="Arial" w:hAnsi="Arial" w:cs="Arial"/>
          <w:sz w:val="20"/>
          <w:szCs w:val="20"/>
        </w:rPr>
      </w:pPr>
    </w:p>
    <w:p w14:paraId="6710430B"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Overall, it ensures practice remains inclusive, ethical, and responsive to the needs of every child.</w:t>
      </w:r>
    </w:p>
    <w:p w14:paraId="75E8E07F" w14:textId="77777777" w:rsidR="00DF2D0E" w:rsidRPr="00630C85" w:rsidRDefault="00DF2D0E">
      <w:pPr>
        <w:pStyle w:val="p2"/>
        <w:rPr>
          <w:rFonts w:ascii="Arial" w:hAnsi="Arial" w:cs="Arial"/>
          <w:sz w:val="20"/>
          <w:szCs w:val="20"/>
        </w:rPr>
      </w:pPr>
    </w:p>
    <w:p w14:paraId="01F970BC" w14:textId="77777777" w:rsidR="00DF2D0E" w:rsidRPr="002277E5" w:rsidRDefault="00DF2D0E">
      <w:pPr>
        <w:pStyle w:val="p1"/>
        <w:rPr>
          <w:rFonts w:ascii="Arial" w:hAnsi="Arial" w:cs="Arial"/>
          <w:sz w:val="20"/>
          <w:szCs w:val="20"/>
        </w:rPr>
      </w:pPr>
      <w:r w:rsidRPr="002277E5">
        <w:rPr>
          <w:rStyle w:val="s1"/>
          <w:rFonts w:ascii="Arial" w:hAnsi="Arial" w:cs="Arial"/>
          <w:sz w:val="20"/>
          <w:szCs w:val="20"/>
        </w:rPr>
        <w:t>Theoretical Foundations</w:t>
      </w:r>
    </w:p>
    <w:p w14:paraId="596694DE" w14:textId="77777777" w:rsidR="00DF2D0E" w:rsidRPr="00630C85" w:rsidRDefault="00DF2D0E">
      <w:pPr>
        <w:pStyle w:val="p2"/>
        <w:rPr>
          <w:rFonts w:ascii="Arial" w:hAnsi="Arial" w:cs="Arial"/>
          <w:sz w:val="20"/>
          <w:szCs w:val="20"/>
        </w:rPr>
      </w:pPr>
    </w:p>
    <w:p w14:paraId="4F69E7CF"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 xml:space="preserve">Dewey (1933) viewed reflection as active reasoning and learning from experience. Schön (1983) developed this further through </w:t>
      </w:r>
      <w:r w:rsidRPr="00630C85">
        <w:rPr>
          <w:rStyle w:val="s3"/>
          <w:rFonts w:ascii="Arial" w:hAnsi="Arial" w:cs="Arial"/>
          <w:i w:val="0"/>
          <w:iCs w:val="0"/>
          <w:sz w:val="20"/>
          <w:szCs w:val="20"/>
        </w:rPr>
        <w:t>reflection-in-action</w:t>
      </w:r>
      <w:r w:rsidRPr="00630C85">
        <w:rPr>
          <w:rStyle w:val="s2"/>
          <w:rFonts w:ascii="Arial" w:hAnsi="Arial" w:cs="Arial"/>
          <w:sz w:val="20"/>
          <w:szCs w:val="20"/>
        </w:rPr>
        <w:t xml:space="preserve"> and </w:t>
      </w:r>
      <w:r w:rsidRPr="00630C85">
        <w:rPr>
          <w:rStyle w:val="s3"/>
          <w:rFonts w:ascii="Arial" w:hAnsi="Arial" w:cs="Arial"/>
          <w:i w:val="0"/>
          <w:iCs w:val="0"/>
          <w:sz w:val="20"/>
          <w:szCs w:val="20"/>
        </w:rPr>
        <w:t>reflection-on-action</w:t>
      </w:r>
      <w:r w:rsidRPr="00630C85">
        <w:rPr>
          <w:rStyle w:val="s2"/>
          <w:rFonts w:ascii="Arial" w:hAnsi="Arial" w:cs="Arial"/>
          <w:sz w:val="20"/>
          <w:szCs w:val="20"/>
        </w:rPr>
        <w:t>, showing how professionals learn during and after experiences. Their ideas form the basis of widely used reflective models such as Gibbs (1988), Kolb (1984), and Driscoll (1994).</w:t>
      </w:r>
    </w:p>
    <w:p w14:paraId="2CEED4E8" w14:textId="77777777" w:rsidR="00DF2D0E" w:rsidRPr="00630C85" w:rsidRDefault="00DF2D0E">
      <w:pPr>
        <w:pStyle w:val="p2"/>
        <w:rPr>
          <w:rFonts w:ascii="Arial" w:hAnsi="Arial" w:cs="Arial"/>
          <w:sz w:val="20"/>
          <w:szCs w:val="20"/>
        </w:rPr>
      </w:pPr>
    </w:p>
    <w:p w14:paraId="616A808D" w14:textId="77777777" w:rsidR="00DF2D0E" w:rsidRPr="002277E5" w:rsidRDefault="00DF2D0E">
      <w:pPr>
        <w:pStyle w:val="p1"/>
        <w:rPr>
          <w:rFonts w:ascii="Arial" w:hAnsi="Arial" w:cs="Arial"/>
          <w:sz w:val="20"/>
          <w:szCs w:val="20"/>
        </w:rPr>
      </w:pPr>
      <w:r w:rsidRPr="002277E5">
        <w:rPr>
          <w:rStyle w:val="s1"/>
          <w:rFonts w:ascii="Arial" w:hAnsi="Arial" w:cs="Arial"/>
          <w:sz w:val="20"/>
          <w:szCs w:val="20"/>
        </w:rPr>
        <w:t>Comparing Reflective Models</w:t>
      </w:r>
    </w:p>
    <w:p w14:paraId="4DD28ADF" w14:textId="77777777" w:rsidR="00DF2D0E" w:rsidRPr="00630C85" w:rsidRDefault="00DF2D0E">
      <w:pPr>
        <w:pStyle w:val="p2"/>
        <w:rPr>
          <w:rFonts w:ascii="Arial" w:hAnsi="Arial" w:cs="Arial"/>
          <w:sz w:val="20"/>
          <w:szCs w:val="20"/>
        </w:rPr>
      </w:pPr>
    </w:p>
    <w:p w14:paraId="21266B33"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Reflective models provide structured ways to review experiences and improve practice.</w:t>
      </w:r>
    </w:p>
    <w:p w14:paraId="59EB435D" w14:textId="77777777" w:rsidR="00DF2D0E" w:rsidRPr="00630C85" w:rsidRDefault="00DF2D0E">
      <w:pPr>
        <w:pStyle w:val="p2"/>
        <w:rPr>
          <w:rFonts w:ascii="Arial" w:hAnsi="Arial" w:cs="Arial"/>
          <w:sz w:val="20"/>
          <w:szCs w:val="20"/>
        </w:rPr>
      </w:pPr>
    </w:p>
    <w:p w14:paraId="342784E4" w14:textId="77777777" w:rsidR="00DE4B92" w:rsidRDefault="00DF2D0E" w:rsidP="00DE4B92">
      <w:pPr>
        <w:pStyle w:val="p1"/>
        <w:numPr>
          <w:ilvl w:val="0"/>
          <w:numId w:val="2"/>
        </w:numPr>
        <w:rPr>
          <w:rFonts w:ascii="Arial" w:hAnsi="Arial" w:cs="Arial"/>
          <w:sz w:val="20"/>
          <w:szCs w:val="20"/>
        </w:rPr>
      </w:pPr>
      <w:r w:rsidRPr="002277E5">
        <w:rPr>
          <w:rStyle w:val="s1"/>
          <w:rFonts w:ascii="Arial" w:hAnsi="Arial" w:cs="Arial"/>
          <w:sz w:val="20"/>
          <w:szCs w:val="20"/>
        </w:rPr>
        <w:t xml:space="preserve">Gibbs’ Reflective Cycle </w:t>
      </w:r>
      <w:r w:rsidRPr="00630C85">
        <w:rPr>
          <w:rStyle w:val="s1"/>
          <w:rFonts w:ascii="Arial" w:hAnsi="Arial" w:cs="Arial"/>
          <w:b w:val="0"/>
          <w:bCs w:val="0"/>
          <w:sz w:val="20"/>
          <w:szCs w:val="20"/>
        </w:rPr>
        <w:t>(1988)</w:t>
      </w:r>
      <w:r w:rsidRPr="00630C85">
        <w:rPr>
          <w:rStyle w:val="s2"/>
          <w:rFonts w:ascii="Arial" w:hAnsi="Arial" w:cs="Arial"/>
          <w:sz w:val="20"/>
          <w:szCs w:val="20"/>
        </w:rPr>
        <w:t xml:space="preserve"> has six stages: </w:t>
      </w:r>
      <w:r w:rsidRPr="00630C85">
        <w:rPr>
          <w:rStyle w:val="s3"/>
          <w:rFonts w:ascii="Arial" w:hAnsi="Arial" w:cs="Arial"/>
          <w:i w:val="0"/>
          <w:iCs w:val="0"/>
          <w:sz w:val="20"/>
          <w:szCs w:val="20"/>
        </w:rPr>
        <w:t>Description, Feelings, Evaluation, Analysis, Conclusion,</w:t>
      </w:r>
      <w:r w:rsidRPr="00630C85">
        <w:rPr>
          <w:rStyle w:val="s2"/>
          <w:rFonts w:ascii="Arial" w:hAnsi="Arial" w:cs="Arial"/>
          <w:sz w:val="20"/>
          <w:szCs w:val="20"/>
        </w:rPr>
        <w:t xml:space="preserve"> and </w:t>
      </w:r>
      <w:r w:rsidRPr="00630C85">
        <w:rPr>
          <w:rStyle w:val="s3"/>
          <w:rFonts w:ascii="Arial" w:hAnsi="Arial" w:cs="Arial"/>
          <w:i w:val="0"/>
          <w:iCs w:val="0"/>
          <w:sz w:val="20"/>
          <w:szCs w:val="20"/>
        </w:rPr>
        <w:t>Action Plan.</w:t>
      </w:r>
      <w:r w:rsidRPr="00630C85">
        <w:rPr>
          <w:rStyle w:val="s2"/>
          <w:rFonts w:ascii="Arial" w:hAnsi="Arial" w:cs="Arial"/>
          <w:sz w:val="20"/>
          <w:szCs w:val="20"/>
        </w:rPr>
        <w:t xml:space="preserve"> It encourages emotional awareness and structured analysis.</w:t>
      </w:r>
    </w:p>
    <w:p w14:paraId="13543A0F" w14:textId="77777777" w:rsidR="00DE4B92" w:rsidRDefault="00DF2D0E" w:rsidP="00DE4B92">
      <w:pPr>
        <w:pStyle w:val="p1"/>
        <w:ind w:left="720"/>
        <w:rPr>
          <w:rFonts w:ascii="Arial" w:hAnsi="Arial" w:cs="Arial"/>
          <w:sz w:val="20"/>
          <w:szCs w:val="20"/>
        </w:rPr>
      </w:pPr>
      <w:r w:rsidRPr="00DE4B92">
        <w:rPr>
          <w:rStyle w:val="s1"/>
          <w:rFonts w:ascii="Arial" w:hAnsi="Arial" w:cs="Arial"/>
          <w:sz w:val="20"/>
          <w:szCs w:val="20"/>
        </w:rPr>
        <w:t>Advantages</w:t>
      </w:r>
      <w:r w:rsidRPr="00DE4B92">
        <w:rPr>
          <w:rStyle w:val="s1"/>
          <w:rFonts w:ascii="Arial" w:hAnsi="Arial" w:cs="Arial"/>
          <w:b w:val="0"/>
          <w:bCs w:val="0"/>
          <w:sz w:val="20"/>
          <w:szCs w:val="20"/>
        </w:rPr>
        <w:t>:</w:t>
      </w:r>
      <w:r w:rsidRPr="00DE4B92">
        <w:rPr>
          <w:rStyle w:val="s2"/>
          <w:rFonts w:ascii="Arial" w:hAnsi="Arial" w:cs="Arial"/>
          <w:sz w:val="20"/>
          <w:szCs w:val="20"/>
        </w:rPr>
        <w:t xml:space="preserve"> Comprehensive and systematic; includes emotional insight.</w:t>
      </w:r>
    </w:p>
    <w:p w14:paraId="5CC0C813" w14:textId="4DCED87E" w:rsidR="00DF2D0E" w:rsidRPr="00630C85" w:rsidRDefault="00DF2D0E" w:rsidP="00DE4B92">
      <w:pPr>
        <w:pStyle w:val="p1"/>
        <w:ind w:left="720"/>
        <w:rPr>
          <w:rFonts w:ascii="Arial" w:hAnsi="Arial" w:cs="Arial"/>
          <w:sz w:val="20"/>
          <w:szCs w:val="20"/>
        </w:rPr>
      </w:pPr>
      <w:r w:rsidRPr="00DE4B92">
        <w:rPr>
          <w:rStyle w:val="s1"/>
          <w:rFonts w:ascii="Arial" w:hAnsi="Arial" w:cs="Arial"/>
          <w:sz w:val="20"/>
          <w:szCs w:val="20"/>
        </w:rPr>
        <w:t>Limitations</w:t>
      </w:r>
      <w:r w:rsidRPr="00630C85">
        <w:rPr>
          <w:rStyle w:val="s1"/>
          <w:rFonts w:ascii="Arial" w:hAnsi="Arial" w:cs="Arial"/>
          <w:b w:val="0"/>
          <w:bCs w:val="0"/>
          <w:sz w:val="20"/>
          <w:szCs w:val="20"/>
        </w:rPr>
        <w:t>:</w:t>
      </w:r>
      <w:r w:rsidRPr="00630C85">
        <w:rPr>
          <w:rStyle w:val="s2"/>
          <w:rFonts w:ascii="Arial" w:hAnsi="Arial" w:cs="Arial"/>
          <w:sz w:val="20"/>
          <w:szCs w:val="20"/>
        </w:rPr>
        <w:t xml:space="preserve"> Time-consuming and sometimes repetitive (McMahon and Dyer, 2018).</w:t>
      </w:r>
    </w:p>
    <w:p w14:paraId="6AC86D65" w14:textId="77777777" w:rsidR="00DF2D0E" w:rsidRPr="00630C85" w:rsidRDefault="00DF2D0E">
      <w:pPr>
        <w:pStyle w:val="p2"/>
        <w:rPr>
          <w:rFonts w:ascii="Arial" w:hAnsi="Arial" w:cs="Arial"/>
          <w:sz w:val="20"/>
          <w:szCs w:val="20"/>
        </w:rPr>
      </w:pPr>
    </w:p>
    <w:p w14:paraId="11D95E7E" w14:textId="77777777" w:rsidR="00F362D7" w:rsidRDefault="00DF2D0E" w:rsidP="00F362D7">
      <w:pPr>
        <w:pStyle w:val="p1"/>
        <w:numPr>
          <w:ilvl w:val="0"/>
          <w:numId w:val="2"/>
        </w:numPr>
        <w:rPr>
          <w:rFonts w:ascii="Arial" w:hAnsi="Arial" w:cs="Arial"/>
          <w:sz w:val="20"/>
          <w:szCs w:val="20"/>
        </w:rPr>
      </w:pPr>
      <w:r w:rsidRPr="00F362D7">
        <w:rPr>
          <w:rStyle w:val="s1"/>
          <w:rFonts w:ascii="Arial" w:hAnsi="Arial" w:cs="Arial"/>
          <w:sz w:val="20"/>
          <w:szCs w:val="20"/>
        </w:rPr>
        <w:t>Kolb’s Experiential Learning Cycle</w:t>
      </w:r>
      <w:r w:rsidRPr="00630C85">
        <w:rPr>
          <w:rStyle w:val="s1"/>
          <w:rFonts w:ascii="Arial" w:hAnsi="Arial" w:cs="Arial"/>
          <w:b w:val="0"/>
          <w:bCs w:val="0"/>
          <w:sz w:val="20"/>
          <w:szCs w:val="20"/>
        </w:rPr>
        <w:t xml:space="preserve"> (1984)</w:t>
      </w:r>
      <w:r w:rsidRPr="00630C85">
        <w:rPr>
          <w:rStyle w:val="s2"/>
          <w:rFonts w:ascii="Arial" w:hAnsi="Arial" w:cs="Arial"/>
          <w:sz w:val="20"/>
          <w:szCs w:val="20"/>
        </w:rPr>
        <w:t xml:space="preserve"> includes </w:t>
      </w:r>
      <w:r w:rsidRPr="00630C85">
        <w:rPr>
          <w:rStyle w:val="s3"/>
          <w:rFonts w:ascii="Arial" w:hAnsi="Arial" w:cs="Arial"/>
          <w:i w:val="0"/>
          <w:iCs w:val="0"/>
          <w:sz w:val="20"/>
          <w:szCs w:val="20"/>
        </w:rPr>
        <w:t>Concrete Experience, Reflective Observation, Abstract Conceptualisation,</w:t>
      </w:r>
      <w:r w:rsidRPr="00630C85">
        <w:rPr>
          <w:rStyle w:val="s2"/>
          <w:rFonts w:ascii="Arial" w:hAnsi="Arial" w:cs="Arial"/>
          <w:sz w:val="20"/>
          <w:szCs w:val="20"/>
        </w:rPr>
        <w:t xml:space="preserve"> and </w:t>
      </w:r>
      <w:r w:rsidRPr="00630C85">
        <w:rPr>
          <w:rStyle w:val="s3"/>
          <w:rFonts w:ascii="Arial" w:hAnsi="Arial" w:cs="Arial"/>
          <w:i w:val="0"/>
          <w:iCs w:val="0"/>
          <w:sz w:val="20"/>
          <w:szCs w:val="20"/>
        </w:rPr>
        <w:t>Active Experimentation.</w:t>
      </w:r>
      <w:r w:rsidRPr="00630C85">
        <w:rPr>
          <w:rStyle w:val="s2"/>
          <w:rFonts w:ascii="Arial" w:hAnsi="Arial" w:cs="Arial"/>
          <w:sz w:val="20"/>
          <w:szCs w:val="20"/>
        </w:rPr>
        <w:t xml:space="preserve"> It links experience to theory and mirrors EY observation and planning cycles.</w:t>
      </w:r>
    </w:p>
    <w:p w14:paraId="438F7551" w14:textId="77777777" w:rsidR="00F362D7" w:rsidRDefault="00DF2D0E" w:rsidP="00F362D7">
      <w:pPr>
        <w:pStyle w:val="p1"/>
        <w:ind w:left="720"/>
        <w:rPr>
          <w:rFonts w:ascii="Arial" w:hAnsi="Arial" w:cs="Arial"/>
          <w:sz w:val="20"/>
          <w:szCs w:val="20"/>
        </w:rPr>
      </w:pPr>
      <w:r w:rsidRPr="00F362D7">
        <w:rPr>
          <w:rStyle w:val="s1"/>
          <w:rFonts w:ascii="Arial" w:hAnsi="Arial" w:cs="Arial"/>
          <w:sz w:val="20"/>
          <w:szCs w:val="20"/>
        </w:rPr>
        <w:t>Advantages</w:t>
      </w:r>
      <w:r w:rsidRPr="00F362D7">
        <w:rPr>
          <w:rStyle w:val="s1"/>
          <w:rFonts w:ascii="Arial" w:hAnsi="Arial" w:cs="Arial"/>
          <w:b w:val="0"/>
          <w:bCs w:val="0"/>
          <w:sz w:val="20"/>
          <w:szCs w:val="20"/>
        </w:rPr>
        <w:t>:</w:t>
      </w:r>
      <w:r w:rsidRPr="00F362D7">
        <w:rPr>
          <w:rStyle w:val="s2"/>
          <w:rFonts w:ascii="Arial" w:hAnsi="Arial" w:cs="Arial"/>
          <w:sz w:val="20"/>
          <w:szCs w:val="20"/>
        </w:rPr>
        <w:t xml:space="preserve"> Encourages application of learning and professional experimentation.</w:t>
      </w:r>
    </w:p>
    <w:p w14:paraId="5AD253AB" w14:textId="07E6FD48" w:rsidR="00DF2D0E" w:rsidRPr="00630C85" w:rsidRDefault="00DF2D0E" w:rsidP="00F362D7">
      <w:pPr>
        <w:pStyle w:val="p1"/>
        <w:ind w:left="720"/>
        <w:rPr>
          <w:rFonts w:ascii="Arial" w:hAnsi="Arial" w:cs="Arial"/>
          <w:sz w:val="20"/>
          <w:szCs w:val="20"/>
        </w:rPr>
      </w:pPr>
      <w:r w:rsidRPr="00F362D7">
        <w:rPr>
          <w:rStyle w:val="s1"/>
          <w:rFonts w:ascii="Arial" w:hAnsi="Arial" w:cs="Arial"/>
          <w:sz w:val="20"/>
          <w:szCs w:val="20"/>
        </w:rPr>
        <w:t>Limitations</w:t>
      </w:r>
      <w:r w:rsidRPr="00630C85">
        <w:rPr>
          <w:rStyle w:val="s1"/>
          <w:rFonts w:ascii="Arial" w:hAnsi="Arial" w:cs="Arial"/>
          <w:b w:val="0"/>
          <w:bCs w:val="0"/>
          <w:sz w:val="20"/>
          <w:szCs w:val="20"/>
        </w:rPr>
        <w:t>:</w:t>
      </w:r>
      <w:r w:rsidRPr="00630C85">
        <w:rPr>
          <w:rStyle w:val="s2"/>
          <w:rFonts w:ascii="Arial" w:hAnsi="Arial" w:cs="Arial"/>
          <w:sz w:val="20"/>
          <w:szCs w:val="20"/>
        </w:rPr>
        <w:t xml:space="preserve"> Less emphasis on emotion; assumes a linear learning process.</w:t>
      </w:r>
    </w:p>
    <w:p w14:paraId="51E0BA96" w14:textId="77777777" w:rsidR="00DF2D0E" w:rsidRPr="00630C85" w:rsidRDefault="00DF2D0E">
      <w:pPr>
        <w:pStyle w:val="p2"/>
        <w:rPr>
          <w:rFonts w:ascii="Arial" w:hAnsi="Arial" w:cs="Arial"/>
          <w:sz w:val="20"/>
          <w:szCs w:val="20"/>
        </w:rPr>
      </w:pPr>
    </w:p>
    <w:p w14:paraId="4ADA2D23" w14:textId="77777777" w:rsidR="00F362D7" w:rsidRDefault="00DF2D0E" w:rsidP="00F362D7">
      <w:pPr>
        <w:pStyle w:val="p1"/>
        <w:numPr>
          <w:ilvl w:val="0"/>
          <w:numId w:val="2"/>
        </w:numPr>
        <w:rPr>
          <w:rFonts w:ascii="Arial" w:hAnsi="Arial" w:cs="Arial"/>
          <w:sz w:val="20"/>
          <w:szCs w:val="20"/>
        </w:rPr>
      </w:pPr>
      <w:r w:rsidRPr="00F362D7">
        <w:rPr>
          <w:rStyle w:val="s1"/>
          <w:rFonts w:ascii="Arial" w:hAnsi="Arial" w:cs="Arial"/>
          <w:sz w:val="20"/>
          <w:szCs w:val="20"/>
        </w:rPr>
        <w:t xml:space="preserve">Driscoll’s ‘What?’ Model </w:t>
      </w:r>
      <w:r w:rsidRPr="00630C85">
        <w:rPr>
          <w:rStyle w:val="s1"/>
          <w:rFonts w:ascii="Arial" w:hAnsi="Arial" w:cs="Arial"/>
          <w:b w:val="0"/>
          <w:bCs w:val="0"/>
          <w:sz w:val="20"/>
          <w:szCs w:val="20"/>
        </w:rPr>
        <w:t>(1994)</w:t>
      </w:r>
      <w:r w:rsidRPr="00630C85">
        <w:rPr>
          <w:rStyle w:val="s2"/>
          <w:rFonts w:ascii="Arial" w:hAnsi="Arial" w:cs="Arial"/>
          <w:sz w:val="20"/>
          <w:szCs w:val="20"/>
        </w:rPr>
        <w:t xml:space="preserve"> simplifies reflection into </w:t>
      </w:r>
      <w:r w:rsidRPr="00630C85">
        <w:rPr>
          <w:rStyle w:val="s3"/>
          <w:rFonts w:ascii="Arial" w:hAnsi="Arial" w:cs="Arial"/>
          <w:i w:val="0"/>
          <w:iCs w:val="0"/>
          <w:sz w:val="20"/>
          <w:szCs w:val="20"/>
        </w:rPr>
        <w:t>What? So What? Now What?</w:t>
      </w:r>
      <w:r w:rsidRPr="00630C85">
        <w:rPr>
          <w:rStyle w:val="s2"/>
          <w:rFonts w:ascii="Arial" w:hAnsi="Arial" w:cs="Arial"/>
          <w:sz w:val="20"/>
          <w:szCs w:val="20"/>
        </w:rPr>
        <w:t xml:space="preserve"> offering a quick, action-based approach.</w:t>
      </w:r>
    </w:p>
    <w:p w14:paraId="6CCA900E" w14:textId="77777777" w:rsidR="00F362D7" w:rsidRDefault="00DF2D0E" w:rsidP="00F362D7">
      <w:pPr>
        <w:pStyle w:val="p1"/>
        <w:ind w:left="720"/>
        <w:rPr>
          <w:rFonts w:ascii="Arial" w:hAnsi="Arial" w:cs="Arial"/>
          <w:sz w:val="20"/>
          <w:szCs w:val="20"/>
        </w:rPr>
      </w:pPr>
      <w:r w:rsidRPr="00F362D7">
        <w:rPr>
          <w:rStyle w:val="s1"/>
          <w:rFonts w:ascii="Arial" w:hAnsi="Arial" w:cs="Arial"/>
          <w:sz w:val="20"/>
          <w:szCs w:val="20"/>
        </w:rPr>
        <w:t>Advantages</w:t>
      </w:r>
      <w:r w:rsidRPr="00F362D7">
        <w:rPr>
          <w:rStyle w:val="s1"/>
          <w:rFonts w:ascii="Arial" w:hAnsi="Arial" w:cs="Arial"/>
          <w:b w:val="0"/>
          <w:bCs w:val="0"/>
          <w:sz w:val="20"/>
          <w:szCs w:val="20"/>
        </w:rPr>
        <w:t>:</w:t>
      </w:r>
      <w:r w:rsidRPr="00F362D7">
        <w:rPr>
          <w:rStyle w:val="s2"/>
          <w:rFonts w:ascii="Arial" w:hAnsi="Arial" w:cs="Arial"/>
          <w:sz w:val="20"/>
          <w:szCs w:val="20"/>
        </w:rPr>
        <w:t xml:space="preserve"> Simple, adaptable, and ideal for daily reflection.</w:t>
      </w:r>
    </w:p>
    <w:p w14:paraId="0805B5C1" w14:textId="7A4CBBB9" w:rsidR="00DF2D0E" w:rsidRPr="00630C85" w:rsidRDefault="00DF2D0E" w:rsidP="00F362D7">
      <w:pPr>
        <w:pStyle w:val="p1"/>
        <w:ind w:left="720"/>
        <w:rPr>
          <w:rFonts w:ascii="Arial" w:hAnsi="Arial" w:cs="Arial"/>
          <w:sz w:val="20"/>
          <w:szCs w:val="20"/>
        </w:rPr>
      </w:pPr>
      <w:r w:rsidRPr="00F362D7">
        <w:rPr>
          <w:rStyle w:val="s1"/>
          <w:rFonts w:ascii="Arial" w:hAnsi="Arial" w:cs="Arial"/>
          <w:sz w:val="20"/>
          <w:szCs w:val="20"/>
        </w:rPr>
        <w:t>Limitations</w:t>
      </w:r>
      <w:r w:rsidRPr="00630C85">
        <w:rPr>
          <w:rStyle w:val="s1"/>
          <w:rFonts w:ascii="Arial" w:hAnsi="Arial" w:cs="Arial"/>
          <w:b w:val="0"/>
          <w:bCs w:val="0"/>
          <w:sz w:val="20"/>
          <w:szCs w:val="20"/>
        </w:rPr>
        <w:t>:</w:t>
      </w:r>
      <w:r w:rsidRPr="00630C85">
        <w:rPr>
          <w:rStyle w:val="s2"/>
          <w:rFonts w:ascii="Arial" w:hAnsi="Arial" w:cs="Arial"/>
          <w:sz w:val="20"/>
          <w:szCs w:val="20"/>
        </w:rPr>
        <w:t xml:space="preserve"> Can lack depth for complex or emotional issues (Hallet, 2013).</w:t>
      </w:r>
    </w:p>
    <w:p w14:paraId="5E1A69BB" w14:textId="77777777" w:rsidR="00DF2D0E" w:rsidRPr="00630C85" w:rsidRDefault="00DF2D0E">
      <w:pPr>
        <w:pStyle w:val="p2"/>
        <w:rPr>
          <w:rFonts w:ascii="Arial" w:hAnsi="Arial" w:cs="Arial"/>
          <w:sz w:val="20"/>
          <w:szCs w:val="20"/>
        </w:rPr>
      </w:pPr>
    </w:p>
    <w:p w14:paraId="365702C0" w14:textId="77777777" w:rsidR="00DF2D0E" w:rsidRPr="00630C85" w:rsidRDefault="00DF2D0E">
      <w:pPr>
        <w:pStyle w:val="p1"/>
        <w:rPr>
          <w:rFonts w:ascii="Arial" w:hAnsi="Arial" w:cs="Arial"/>
          <w:sz w:val="20"/>
          <w:szCs w:val="20"/>
        </w:rPr>
      </w:pPr>
      <w:r w:rsidRPr="00583B22">
        <w:rPr>
          <w:rStyle w:val="s1"/>
          <w:rFonts w:ascii="Arial" w:hAnsi="Arial" w:cs="Arial"/>
          <w:sz w:val="20"/>
          <w:szCs w:val="20"/>
        </w:rPr>
        <w:t>Comparison</w:t>
      </w:r>
      <w:r w:rsidRPr="00630C85">
        <w:rPr>
          <w:rStyle w:val="s1"/>
          <w:rFonts w:ascii="Arial" w:hAnsi="Arial" w:cs="Arial"/>
          <w:b w:val="0"/>
          <w:bCs w:val="0"/>
          <w:sz w:val="20"/>
          <w:szCs w:val="20"/>
        </w:rPr>
        <w:t>:</w:t>
      </w:r>
      <w:r w:rsidRPr="00630C85">
        <w:rPr>
          <w:rStyle w:val="s2"/>
          <w:rFonts w:ascii="Arial" w:hAnsi="Arial" w:cs="Arial"/>
          <w:sz w:val="20"/>
          <w:szCs w:val="20"/>
        </w:rPr>
        <w:t xml:space="preserve"> Gibbs’ model supports detailed reflection and emotional depth; Kolb focuses on learning from experience; Driscoll promotes speed and practicality. Using them flexibly allows practitioners to reflect effectively across different situations (Lindon and Trodd, 2016).</w:t>
      </w:r>
    </w:p>
    <w:p w14:paraId="43115518" w14:textId="77777777" w:rsidR="00DF2D0E" w:rsidRPr="00630C85" w:rsidRDefault="00DF2D0E">
      <w:pPr>
        <w:pStyle w:val="p2"/>
        <w:rPr>
          <w:rFonts w:ascii="Arial" w:hAnsi="Arial" w:cs="Arial"/>
          <w:sz w:val="20"/>
          <w:szCs w:val="20"/>
        </w:rPr>
      </w:pPr>
    </w:p>
    <w:p w14:paraId="0AFA4F4A" w14:textId="77777777" w:rsidR="00DF2D0E" w:rsidRPr="00583B22" w:rsidRDefault="00DF2D0E">
      <w:pPr>
        <w:pStyle w:val="p1"/>
        <w:rPr>
          <w:rFonts w:ascii="Arial" w:hAnsi="Arial" w:cs="Arial"/>
          <w:sz w:val="20"/>
          <w:szCs w:val="20"/>
        </w:rPr>
      </w:pPr>
      <w:r w:rsidRPr="00583B22">
        <w:rPr>
          <w:rStyle w:val="s1"/>
          <w:rFonts w:ascii="Arial" w:hAnsi="Arial" w:cs="Arial"/>
          <w:sz w:val="20"/>
          <w:szCs w:val="20"/>
        </w:rPr>
        <w:t>Conclusion</w:t>
      </w:r>
    </w:p>
    <w:p w14:paraId="3FC08DFE" w14:textId="77777777" w:rsidR="00DF2D0E" w:rsidRPr="00630C85" w:rsidRDefault="00DF2D0E">
      <w:pPr>
        <w:pStyle w:val="p2"/>
        <w:rPr>
          <w:rFonts w:ascii="Arial" w:hAnsi="Arial" w:cs="Arial"/>
          <w:sz w:val="20"/>
          <w:szCs w:val="20"/>
        </w:rPr>
      </w:pPr>
    </w:p>
    <w:p w14:paraId="59142762" w14:textId="77777777" w:rsidR="00DF2D0E" w:rsidRPr="00630C85" w:rsidRDefault="00DF2D0E">
      <w:pPr>
        <w:pStyle w:val="p1"/>
        <w:rPr>
          <w:rFonts w:ascii="Arial" w:hAnsi="Arial" w:cs="Arial"/>
          <w:sz w:val="20"/>
          <w:szCs w:val="20"/>
        </w:rPr>
      </w:pPr>
      <w:r w:rsidRPr="00630C85">
        <w:rPr>
          <w:rStyle w:val="s2"/>
          <w:rFonts w:ascii="Arial" w:hAnsi="Arial" w:cs="Arial"/>
          <w:sz w:val="20"/>
          <w:szCs w:val="20"/>
        </w:rPr>
        <w:t>Reflective practice is central to Early Years professionalism, linking theory to practice and promoting inclusion, ethics, and continuous learning. Grounded in Dewey’s and Schön’s theories, it empowers practitioners to evaluate experiences critically and enhance the quality of their work. Models such as Gibbs, Kolb, and Driscoll each contribute unique strengths deep analysis, experiential learning, and quick reflection helping practitioners remain self-aware, adaptable, and committed to high-quality, inclusive Early Years education.</w:t>
      </w:r>
    </w:p>
    <w:p w14:paraId="26315EE4" w14:textId="14AFB786" w:rsidR="00B46D36" w:rsidRDefault="00B46D36" w:rsidP="00907766">
      <w:pPr>
        <w:spacing w:after="0" w:line="276" w:lineRule="auto"/>
        <w:rPr>
          <w:rFonts w:ascii="Arial" w:hAnsi="Arial" w:cs="Arial"/>
          <w:sz w:val="20"/>
          <w:szCs w:val="20"/>
        </w:rPr>
      </w:pPr>
    </w:p>
    <w:p w14:paraId="34205A4F" w14:textId="77777777" w:rsidR="00B46D36" w:rsidRDefault="00B46D36">
      <w:pPr>
        <w:rPr>
          <w:rFonts w:ascii="Arial" w:hAnsi="Arial" w:cs="Arial"/>
          <w:sz w:val="20"/>
          <w:szCs w:val="20"/>
        </w:rPr>
      </w:pPr>
      <w:r>
        <w:rPr>
          <w:rFonts w:ascii="Arial" w:hAnsi="Arial" w:cs="Arial"/>
          <w:sz w:val="20"/>
          <w:szCs w:val="20"/>
        </w:rPr>
        <w:br w:type="page"/>
      </w:r>
    </w:p>
    <w:p w14:paraId="539A1BAF" w14:textId="77777777" w:rsidR="0035559D" w:rsidRPr="00B50367" w:rsidRDefault="0035559D" w:rsidP="0035559D">
      <w:pPr>
        <w:spacing w:line="276" w:lineRule="auto"/>
        <w:rPr>
          <w:rFonts w:ascii="Arial" w:hAnsi="Arial" w:cs="Arial"/>
          <w:b/>
          <w:bCs/>
          <w:sz w:val="20"/>
          <w:szCs w:val="20"/>
        </w:rPr>
      </w:pPr>
      <w:r w:rsidRPr="00B50367">
        <w:rPr>
          <w:rFonts w:ascii="Arial" w:hAnsi="Arial" w:cs="Arial"/>
          <w:b/>
          <w:bCs/>
          <w:sz w:val="20"/>
          <w:szCs w:val="20"/>
        </w:rPr>
        <w:lastRenderedPageBreak/>
        <w:t xml:space="preserve">References </w:t>
      </w:r>
    </w:p>
    <w:p w14:paraId="03C5EF93" w14:textId="44B54EC9"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Dewey, J. (1933) </w:t>
      </w:r>
      <w:r w:rsidRPr="0035559D">
        <w:rPr>
          <w:rFonts w:ascii="Arial" w:hAnsi="Arial" w:cs="Arial"/>
          <w:i/>
          <w:iCs/>
          <w:sz w:val="20"/>
          <w:szCs w:val="20"/>
        </w:rPr>
        <w:t>How We Think: A Restatement of the Relation of Reflective Thinking to the Educative Process</w:t>
      </w:r>
      <w:r w:rsidRPr="0035559D">
        <w:rPr>
          <w:rFonts w:ascii="Arial" w:hAnsi="Arial" w:cs="Arial"/>
          <w:sz w:val="20"/>
          <w:szCs w:val="20"/>
        </w:rPr>
        <w:t>. Boston: D.C. Heath.</w:t>
      </w:r>
    </w:p>
    <w:p w14:paraId="073842EE" w14:textId="4DF9685E"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Sch</w:t>
      </w:r>
      <w:r w:rsidR="00B50367">
        <w:rPr>
          <w:rFonts w:ascii="Arial" w:hAnsi="Arial" w:cs="Arial"/>
          <w:sz w:val="20"/>
          <w:szCs w:val="20"/>
        </w:rPr>
        <w:t>o</w:t>
      </w:r>
      <w:r w:rsidRPr="0035559D">
        <w:rPr>
          <w:rFonts w:ascii="Arial" w:hAnsi="Arial" w:cs="Arial"/>
          <w:sz w:val="20"/>
          <w:szCs w:val="20"/>
        </w:rPr>
        <w:t xml:space="preserve">n, D.A. (1983) </w:t>
      </w:r>
      <w:r w:rsidRPr="0035559D">
        <w:rPr>
          <w:rFonts w:ascii="Arial" w:hAnsi="Arial" w:cs="Arial"/>
          <w:i/>
          <w:iCs/>
          <w:sz w:val="20"/>
          <w:szCs w:val="20"/>
        </w:rPr>
        <w:t>The Reflective Practitioner: How Professionals Think in Action</w:t>
      </w:r>
      <w:r w:rsidRPr="0035559D">
        <w:rPr>
          <w:rFonts w:ascii="Arial" w:hAnsi="Arial" w:cs="Arial"/>
          <w:sz w:val="20"/>
          <w:szCs w:val="20"/>
        </w:rPr>
        <w:t>. New York: Basic Books.</w:t>
      </w:r>
    </w:p>
    <w:p w14:paraId="1DDD8830" w14:textId="3CC23332"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Gibbs, G. (1988) </w:t>
      </w:r>
      <w:r w:rsidRPr="0035559D">
        <w:rPr>
          <w:rFonts w:ascii="Arial" w:hAnsi="Arial" w:cs="Arial"/>
          <w:i/>
          <w:iCs/>
          <w:sz w:val="20"/>
          <w:szCs w:val="20"/>
        </w:rPr>
        <w:t>Learning by Doing: A Guide to Teaching and Learning Methods</w:t>
      </w:r>
      <w:r w:rsidRPr="0035559D">
        <w:rPr>
          <w:rFonts w:ascii="Arial" w:hAnsi="Arial" w:cs="Arial"/>
          <w:sz w:val="20"/>
          <w:szCs w:val="20"/>
        </w:rPr>
        <w:t>. Oxford: Oxford Polytechnic.</w:t>
      </w:r>
    </w:p>
    <w:p w14:paraId="5D997EAE" w14:textId="5D57527E"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Kolb, D.A. (1984) </w:t>
      </w:r>
      <w:r w:rsidRPr="0035559D">
        <w:rPr>
          <w:rFonts w:ascii="Arial" w:hAnsi="Arial" w:cs="Arial"/>
          <w:i/>
          <w:iCs/>
          <w:sz w:val="20"/>
          <w:szCs w:val="20"/>
        </w:rPr>
        <w:t>Experiential Learning: Experience as the Source of Learning and Development</w:t>
      </w:r>
      <w:r w:rsidRPr="0035559D">
        <w:rPr>
          <w:rFonts w:ascii="Arial" w:hAnsi="Arial" w:cs="Arial"/>
          <w:sz w:val="20"/>
          <w:szCs w:val="20"/>
        </w:rPr>
        <w:t>. Englewood Cliffs, NJ: Prentice Hall.</w:t>
      </w:r>
    </w:p>
    <w:p w14:paraId="10D98C2C" w14:textId="3BAE982A"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Driscoll, J. (1994) ‘Reflective practice for practice’, </w:t>
      </w:r>
      <w:r w:rsidRPr="0035559D">
        <w:rPr>
          <w:rFonts w:ascii="Arial" w:hAnsi="Arial" w:cs="Arial"/>
          <w:i/>
          <w:iCs/>
          <w:sz w:val="20"/>
          <w:szCs w:val="20"/>
        </w:rPr>
        <w:t>Senior Nurse</w:t>
      </w:r>
      <w:r w:rsidRPr="0035559D">
        <w:rPr>
          <w:rFonts w:ascii="Arial" w:hAnsi="Arial" w:cs="Arial"/>
          <w:sz w:val="20"/>
          <w:szCs w:val="20"/>
        </w:rPr>
        <w:t>, 14(1), pp. 47–50.</w:t>
      </w:r>
    </w:p>
    <w:p w14:paraId="1D1101A4" w14:textId="36365009"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Lindon, J. and Trodd, L. (2016) </w:t>
      </w:r>
      <w:r w:rsidRPr="0035559D">
        <w:rPr>
          <w:rFonts w:ascii="Arial" w:hAnsi="Arial" w:cs="Arial"/>
          <w:i/>
          <w:iCs/>
          <w:sz w:val="20"/>
          <w:szCs w:val="20"/>
        </w:rPr>
        <w:t>Reflective Practice and Early Years Professionalism</w:t>
      </w:r>
      <w:r w:rsidRPr="0035559D">
        <w:rPr>
          <w:rFonts w:ascii="Arial" w:hAnsi="Arial" w:cs="Arial"/>
          <w:sz w:val="20"/>
          <w:szCs w:val="20"/>
        </w:rPr>
        <w:t>. 3rd edn. London: Hodder Education.</w:t>
      </w:r>
    </w:p>
    <w:p w14:paraId="2048B29A" w14:textId="2D8D425A"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McMahon, S. and Dyer, M. (2018) </w:t>
      </w:r>
      <w:r w:rsidRPr="0035559D">
        <w:rPr>
          <w:rFonts w:ascii="Arial" w:hAnsi="Arial" w:cs="Arial"/>
          <w:i/>
          <w:iCs/>
          <w:sz w:val="20"/>
          <w:szCs w:val="20"/>
        </w:rPr>
        <w:t>Advanced Work-Based Practice in the Early Years: A Guide for Students</w:t>
      </w:r>
      <w:r w:rsidRPr="0035559D">
        <w:rPr>
          <w:rFonts w:ascii="Arial" w:hAnsi="Arial" w:cs="Arial"/>
          <w:sz w:val="20"/>
          <w:szCs w:val="20"/>
        </w:rPr>
        <w:t>. London: Routledge.</w:t>
      </w:r>
    </w:p>
    <w:p w14:paraId="1FF89397" w14:textId="77777777" w:rsidR="0035559D" w:rsidRPr="0035559D" w:rsidRDefault="0035559D" w:rsidP="0035559D">
      <w:pPr>
        <w:spacing w:line="276" w:lineRule="auto"/>
        <w:rPr>
          <w:rFonts w:ascii="Arial" w:hAnsi="Arial" w:cs="Arial"/>
          <w:sz w:val="20"/>
          <w:szCs w:val="20"/>
        </w:rPr>
      </w:pPr>
      <w:r w:rsidRPr="0035559D">
        <w:rPr>
          <w:rFonts w:ascii="Arial" w:hAnsi="Arial" w:cs="Arial"/>
          <w:sz w:val="20"/>
          <w:szCs w:val="20"/>
        </w:rPr>
        <w:t xml:space="preserve">Hallet, E. (2013) </w:t>
      </w:r>
      <w:r w:rsidRPr="0035559D">
        <w:rPr>
          <w:rFonts w:ascii="Arial" w:hAnsi="Arial" w:cs="Arial"/>
          <w:i/>
          <w:iCs/>
          <w:sz w:val="20"/>
          <w:szCs w:val="20"/>
        </w:rPr>
        <w:t>The Reflective Early Years Practitioner</w:t>
      </w:r>
      <w:r w:rsidRPr="0035559D">
        <w:rPr>
          <w:rFonts w:ascii="Arial" w:hAnsi="Arial" w:cs="Arial"/>
          <w:sz w:val="20"/>
          <w:szCs w:val="20"/>
        </w:rPr>
        <w:t>. London: SAGE Publications Ltd.</w:t>
      </w:r>
    </w:p>
    <w:p w14:paraId="2CA6C3BB" w14:textId="77777777" w:rsidR="006111D1" w:rsidRPr="00630C85" w:rsidRDefault="006111D1" w:rsidP="00907766">
      <w:pPr>
        <w:spacing w:after="0" w:line="276" w:lineRule="auto"/>
        <w:rPr>
          <w:rFonts w:ascii="Arial" w:hAnsi="Arial" w:cs="Arial"/>
          <w:sz w:val="20"/>
          <w:szCs w:val="20"/>
        </w:rPr>
      </w:pPr>
    </w:p>
    <w:sectPr w:rsidR="006111D1" w:rsidRPr="00630C85" w:rsidSect="005279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D80"/>
    <w:multiLevelType w:val="hybridMultilevel"/>
    <w:tmpl w:val="DA00F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82E1C"/>
    <w:multiLevelType w:val="hybridMultilevel"/>
    <w:tmpl w:val="D498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899674">
    <w:abstractNumId w:val="0"/>
  </w:num>
  <w:num w:numId="2" w16cid:durableId="1275020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1D1"/>
    <w:rsid w:val="00070952"/>
    <w:rsid w:val="00194BE4"/>
    <w:rsid w:val="001C4643"/>
    <w:rsid w:val="001D0B9B"/>
    <w:rsid w:val="001D592F"/>
    <w:rsid w:val="002277E5"/>
    <w:rsid w:val="00263514"/>
    <w:rsid w:val="002E01CE"/>
    <w:rsid w:val="0035559D"/>
    <w:rsid w:val="00412DF1"/>
    <w:rsid w:val="00527915"/>
    <w:rsid w:val="00583B22"/>
    <w:rsid w:val="006111D1"/>
    <w:rsid w:val="00630C85"/>
    <w:rsid w:val="007F379D"/>
    <w:rsid w:val="008412B2"/>
    <w:rsid w:val="008C3AD5"/>
    <w:rsid w:val="00907766"/>
    <w:rsid w:val="00985110"/>
    <w:rsid w:val="00B2429D"/>
    <w:rsid w:val="00B3644F"/>
    <w:rsid w:val="00B46D36"/>
    <w:rsid w:val="00B50367"/>
    <w:rsid w:val="00D72F48"/>
    <w:rsid w:val="00DB5102"/>
    <w:rsid w:val="00DE4B92"/>
    <w:rsid w:val="00DF2D0E"/>
    <w:rsid w:val="00F362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FD864E2"/>
  <w15:chartTrackingRefBased/>
  <w15:docId w15:val="{4B96445E-B3D3-E540-BF0F-E5544E3A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1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11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11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11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11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11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1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1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1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1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11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11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11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11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11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1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1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1D1"/>
    <w:rPr>
      <w:rFonts w:eastAsiaTheme="majorEastAsia" w:cstheme="majorBidi"/>
      <w:color w:val="272727" w:themeColor="text1" w:themeTint="D8"/>
    </w:rPr>
  </w:style>
  <w:style w:type="paragraph" w:styleId="Title">
    <w:name w:val="Title"/>
    <w:basedOn w:val="Normal"/>
    <w:next w:val="Normal"/>
    <w:link w:val="TitleChar"/>
    <w:uiPriority w:val="10"/>
    <w:qFormat/>
    <w:rsid w:val="006111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1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1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1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1D1"/>
    <w:pPr>
      <w:spacing w:before="160"/>
      <w:jc w:val="center"/>
    </w:pPr>
    <w:rPr>
      <w:i/>
      <w:iCs/>
      <w:color w:val="404040" w:themeColor="text1" w:themeTint="BF"/>
    </w:rPr>
  </w:style>
  <w:style w:type="character" w:customStyle="1" w:styleId="QuoteChar">
    <w:name w:val="Quote Char"/>
    <w:basedOn w:val="DefaultParagraphFont"/>
    <w:link w:val="Quote"/>
    <w:uiPriority w:val="29"/>
    <w:rsid w:val="006111D1"/>
    <w:rPr>
      <w:i/>
      <w:iCs/>
      <w:color w:val="404040" w:themeColor="text1" w:themeTint="BF"/>
    </w:rPr>
  </w:style>
  <w:style w:type="paragraph" w:styleId="ListParagraph">
    <w:name w:val="List Paragraph"/>
    <w:basedOn w:val="Normal"/>
    <w:uiPriority w:val="34"/>
    <w:qFormat/>
    <w:rsid w:val="006111D1"/>
    <w:pPr>
      <w:ind w:left="720"/>
      <w:contextualSpacing/>
    </w:pPr>
  </w:style>
  <w:style w:type="character" w:styleId="IntenseEmphasis">
    <w:name w:val="Intense Emphasis"/>
    <w:basedOn w:val="DefaultParagraphFont"/>
    <w:uiPriority w:val="21"/>
    <w:qFormat/>
    <w:rsid w:val="006111D1"/>
    <w:rPr>
      <w:i/>
      <w:iCs/>
      <w:color w:val="0F4761" w:themeColor="accent1" w:themeShade="BF"/>
    </w:rPr>
  </w:style>
  <w:style w:type="paragraph" w:styleId="IntenseQuote">
    <w:name w:val="Intense Quote"/>
    <w:basedOn w:val="Normal"/>
    <w:next w:val="Normal"/>
    <w:link w:val="IntenseQuoteChar"/>
    <w:uiPriority w:val="30"/>
    <w:qFormat/>
    <w:rsid w:val="006111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11D1"/>
    <w:rPr>
      <w:i/>
      <w:iCs/>
      <w:color w:val="0F4761" w:themeColor="accent1" w:themeShade="BF"/>
    </w:rPr>
  </w:style>
  <w:style w:type="character" w:styleId="IntenseReference">
    <w:name w:val="Intense Reference"/>
    <w:basedOn w:val="DefaultParagraphFont"/>
    <w:uiPriority w:val="32"/>
    <w:qFormat/>
    <w:rsid w:val="006111D1"/>
    <w:rPr>
      <w:b/>
      <w:bCs/>
      <w:smallCaps/>
      <w:color w:val="0F4761" w:themeColor="accent1" w:themeShade="BF"/>
      <w:spacing w:val="5"/>
    </w:rPr>
  </w:style>
  <w:style w:type="paragraph" w:customStyle="1" w:styleId="p1">
    <w:name w:val="p1"/>
    <w:basedOn w:val="Normal"/>
    <w:rsid w:val="00DF2D0E"/>
    <w:pPr>
      <w:spacing w:after="0" w:line="240" w:lineRule="auto"/>
    </w:pPr>
    <w:rPr>
      <w:rFonts w:ascii=".AppleSystemUIFont" w:hAnsi=".AppleSystemUIFont" w:cs="Times New Roman"/>
      <w:kern w:val="0"/>
      <w:sz w:val="27"/>
      <w:szCs w:val="27"/>
      <w14:ligatures w14:val="none"/>
    </w:rPr>
  </w:style>
  <w:style w:type="paragraph" w:customStyle="1" w:styleId="p2">
    <w:name w:val="p2"/>
    <w:basedOn w:val="Normal"/>
    <w:rsid w:val="00DF2D0E"/>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DF2D0E"/>
    <w:rPr>
      <w:rFonts w:ascii="UICTFontTextStyleEmphasizedBody" w:hAnsi="UICTFontTextStyleEmphasizedBody" w:hint="default"/>
      <w:b/>
      <w:bCs/>
      <w:i w:val="0"/>
      <w:iCs w:val="0"/>
      <w:sz w:val="27"/>
      <w:szCs w:val="27"/>
    </w:rPr>
  </w:style>
  <w:style w:type="character" w:customStyle="1" w:styleId="s2">
    <w:name w:val="s2"/>
    <w:basedOn w:val="DefaultParagraphFont"/>
    <w:rsid w:val="00DF2D0E"/>
    <w:rPr>
      <w:rFonts w:ascii="UICTFontTextStyleBody" w:hAnsi="UICTFontTextStyleBody" w:hint="default"/>
      <w:b w:val="0"/>
      <w:bCs w:val="0"/>
      <w:i w:val="0"/>
      <w:iCs w:val="0"/>
      <w:sz w:val="27"/>
      <w:szCs w:val="27"/>
    </w:rPr>
  </w:style>
  <w:style w:type="character" w:customStyle="1" w:styleId="s3">
    <w:name w:val="s3"/>
    <w:basedOn w:val="DefaultParagraphFont"/>
    <w:rsid w:val="00DF2D0E"/>
    <w:rPr>
      <w:rFonts w:ascii="UICTFontTextStyleItalicBody" w:hAnsi="UICTFontTextStyleItalicBody" w:hint="default"/>
      <w:b w:val="0"/>
      <w:bCs w:val="0"/>
      <w:i/>
      <w:i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3996</Characters>
  <Application>Microsoft Office Word</Application>
  <DocSecurity>0</DocSecurity>
  <Lines>33</Lines>
  <Paragraphs>9</Paragraphs>
  <ScaleCrop>false</ScaleCrop>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Zaeema Fatima</dc:creator>
  <cp:keywords/>
  <dc:description/>
  <cp:lastModifiedBy>Zaeema Fatima</cp:lastModifiedBy>
  <cp:revision>2</cp:revision>
  <cp:lastPrinted>2025-10-20T15:05:00Z</cp:lastPrinted>
  <dcterms:created xsi:type="dcterms:W3CDTF">2025-10-25T14:42:00Z</dcterms:created>
  <dcterms:modified xsi:type="dcterms:W3CDTF">2025-10-25T14:42:00Z</dcterms:modified>
</cp:coreProperties>
</file>