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019279B9" w:rsidR="7908378C" w:rsidRDefault="7908378C" w:rsidP="33572C6E">
            <w:pPr>
              <w:ind w:right="237"/>
              <w:rPr>
                <w:b/>
                <w:bCs/>
                <w:color w:val="auto"/>
                <w:sz w:val="32"/>
                <w:szCs w:val="32"/>
              </w:rPr>
            </w:pPr>
            <w:r w:rsidRPr="33572C6E">
              <w:rPr>
                <w:b/>
                <w:bCs/>
                <w:color w:val="auto"/>
                <w:sz w:val="32"/>
                <w:szCs w:val="32"/>
              </w:rPr>
              <w:t xml:space="preserve">Learner name: </w:t>
            </w:r>
            <w:r w:rsidR="00E24C3F">
              <w:rPr>
                <w:b/>
                <w:bCs/>
                <w:color w:val="auto"/>
                <w:sz w:val="32"/>
                <w:szCs w:val="32"/>
              </w:rPr>
              <w:t xml:space="preserve">Thomas Barron </w:t>
            </w:r>
          </w:p>
          <w:p w14:paraId="3A3A802D" w14:textId="77777777" w:rsidR="33572C6E" w:rsidRDefault="33572C6E" w:rsidP="33572C6E">
            <w:pPr>
              <w:ind w:right="237"/>
              <w:rPr>
                <w:b/>
                <w:bCs/>
                <w:color w:val="auto"/>
                <w:sz w:val="32"/>
                <w:szCs w:val="32"/>
              </w:rPr>
            </w:pPr>
          </w:p>
          <w:p w14:paraId="1D86F74A" w14:textId="7A2C8464" w:rsidR="33572C6E" w:rsidRDefault="7908378C" w:rsidP="33572C6E">
            <w:pPr>
              <w:ind w:right="237"/>
              <w:rPr>
                <w:b/>
                <w:bCs/>
                <w:color w:val="auto"/>
                <w:sz w:val="32"/>
                <w:szCs w:val="32"/>
              </w:rPr>
            </w:pPr>
            <w:r w:rsidRPr="33572C6E">
              <w:rPr>
                <w:b/>
                <w:bCs/>
                <w:color w:val="auto"/>
                <w:sz w:val="32"/>
                <w:szCs w:val="32"/>
              </w:rPr>
              <w:t>Learner’s University Registration Number:</w:t>
            </w:r>
            <w:r w:rsidR="00E24C3F">
              <w:rPr>
                <w:b/>
                <w:bCs/>
                <w:color w:val="auto"/>
                <w:sz w:val="32"/>
                <w:szCs w:val="32"/>
              </w:rPr>
              <w:t xml:space="preserve"> 2125380</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A16619"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359601D5" w:rsidR="00446F80" w:rsidRPr="00E676F7" w:rsidRDefault="45E736F2" w:rsidP="32AC66E1">
            <w:pPr>
              <w:ind w:right="237"/>
              <w:jc w:val="both"/>
              <w:rPr>
                <w:b/>
                <w:bCs/>
                <w:sz w:val="24"/>
                <w:szCs w:val="24"/>
              </w:rPr>
            </w:pPr>
            <w:r w:rsidRPr="5CE196A1">
              <w:rPr>
                <w:b/>
                <w:bCs/>
                <w:sz w:val="24"/>
                <w:szCs w:val="24"/>
              </w:rPr>
              <w:t>2</w:t>
            </w:r>
            <w:r w:rsidR="00E24C3F">
              <w:rPr>
                <w:b/>
                <w:bCs/>
                <w:sz w:val="24"/>
                <w:szCs w:val="24"/>
              </w:rPr>
              <w:t>1</w:t>
            </w:r>
            <w:r w:rsidR="003F31B9">
              <w:rPr>
                <w:b/>
                <w:bCs/>
                <w:sz w:val="24"/>
                <w:szCs w:val="24"/>
              </w:rPr>
              <w:t>14</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E24C3F" w:rsidRDefault="44488298" w:rsidP="5CE196A1">
            <w:pPr>
              <w:ind w:right="237"/>
              <w:jc w:val="both"/>
              <w:rPr>
                <w:rFonts w:eastAsia="Arial"/>
                <w:color w:val="000000" w:themeColor="text1"/>
                <w:sz w:val="24"/>
                <w:szCs w:val="24"/>
                <w:highlight w:val="darkGray"/>
              </w:rPr>
            </w:pPr>
            <w:r w:rsidRPr="00E24C3F">
              <w:rPr>
                <w:rFonts w:eastAsia="Arial"/>
                <w:b/>
                <w:bCs/>
                <w:color w:val="000000" w:themeColor="text1"/>
                <w:sz w:val="24"/>
                <w:szCs w:val="24"/>
                <w:highlight w:val="darkGray"/>
              </w:rPr>
              <w:t>Response Policing</w:t>
            </w:r>
          </w:p>
          <w:p w14:paraId="33D72E10" w14:textId="79AD6073" w:rsidR="00446F80" w:rsidRPr="00E24C3F" w:rsidRDefault="00446F80" w:rsidP="5CE196A1">
            <w:pPr>
              <w:ind w:right="237"/>
              <w:jc w:val="both"/>
              <w:rPr>
                <w:rFonts w:eastAsia="Arial"/>
                <w:color w:val="000000" w:themeColor="text1"/>
                <w:sz w:val="24"/>
                <w:szCs w:val="24"/>
                <w:highlight w:val="darkGray"/>
              </w:rPr>
            </w:pPr>
          </w:p>
          <w:p w14:paraId="164B0702" w14:textId="57734B87" w:rsidR="00446F80" w:rsidRPr="00E24C3F" w:rsidRDefault="44488298" w:rsidP="5CE196A1">
            <w:pPr>
              <w:ind w:right="237"/>
              <w:jc w:val="both"/>
              <w:rPr>
                <w:rFonts w:eastAsia="Arial"/>
                <w:color w:val="000000" w:themeColor="text1"/>
                <w:sz w:val="24"/>
                <w:szCs w:val="24"/>
                <w:highlight w:val="darkGray"/>
              </w:rPr>
            </w:pPr>
            <w:r w:rsidRPr="00E24C3F">
              <w:rPr>
                <w:rFonts w:eastAsia="Arial"/>
                <w:b/>
                <w:bCs/>
                <w:color w:val="000000" w:themeColor="text1"/>
                <w:sz w:val="24"/>
                <w:szCs w:val="24"/>
                <w:highlight w:val="darkGray"/>
              </w:rPr>
              <w:t>Policing Communities</w:t>
            </w:r>
          </w:p>
          <w:p w14:paraId="34186546" w14:textId="3F796D84" w:rsidR="00446F80" w:rsidRPr="00E24C3F" w:rsidRDefault="00446F80" w:rsidP="5CE196A1">
            <w:pPr>
              <w:ind w:right="237"/>
              <w:jc w:val="both"/>
              <w:rPr>
                <w:rFonts w:eastAsia="Arial"/>
                <w:color w:val="000000" w:themeColor="text1"/>
                <w:sz w:val="24"/>
                <w:szCs w:val="24"/>
                <w:highlight w:val="darkGray"/>
              </w:rPr>
            </w:pPr>
          </w:p>
          <w:p w14:paraId="3D99E3F1" w14:textId="4CF72C66" w:rsidR="00446F80" w:rsidRPr="00E24C3F" w:rsidRDefault="44488298" w:rsidP="5CE196A1">
            <w:pPr>
              <w:ind w:right="237"/>
              <w:jc w:val="both"/>
              <w:rPr>
                <w:rFonts w:eastAsia="Arial"/>
                <w:color w:val="000000" w:themeColor="text1"/>
                <w:sz w:val="24"/>
                <w:szCs w:val="24"/>
                <w:highlight w:val="darkGray"/>
              </w:rPr>
            </w:pPr>
            <w:r w:rsidRPr="00E24C3F">
              <w:rPr>
                <w:rFonts w:eastAsia="Arial"/>
                <w:b/>
                <w:bCs/>
                <w:color w:val="000000" w:themeColor="text1"/>
                <w:sz w:val="24"/>
                <w:szCs w:val="24"/>
                <w:highlight w:val="darkGray"/>
              </w:rPr>
              <w:t xml:space="preserve">Road Policing </w:t>
            </w:r>
          </w:p>
          <w:p w14:paraId="352F653A" w14:textId="4A242E18" w:rsidR="00446F80" w:rsidRPr="00E24C3F" w:rsidRDefault="00446F80" w:rsidP="5CE196A1">
            <w:pPr>
              <w:ind w:right="237"/>
              <w:jc w:val="both"/>
              <w:rPr>
                <w:rFonts w:eastAsia="Arial"/>
                <w:color w:val="000000" w:themeColor="text1"/>
                <w:sz w:val="24"/>
                <w:szCs w:val="24"/>
                <w:highlight w:val="darkGray"/>
              </w:rPr>
            </w:pPr>
          </w:p>
          <w:p w14:paraId="73D08D38" w14:textId="52054D61" w:rsidR="00446F80" w:rsidRPr="0071499F" w:rsidRDefault="44488298" w:rsidP="5CE196A1">
            <w:pPr>
              <w:ind w:right="237"/>
              <w:jc w:val="both"/>
              <w:rPr>
                <w:rFonts w:eastAsia="Arial"/>
                <w:color w:val="000000" w:themeColor="text1"/>
                <w:sz w:val="24"/>
                <w:szCs w:val="24"/>
              </w:rPr>
            </w:pPr>
            <w:r w:rsidRPr="00E24C3F">
              <w:rPr>
                <w:rFonts w:eastAsia="Arial"/>
                <w:b/>
                <w:bCs/>
                <w:color w:val="000000" w:themeColor="text1"/>
                <w:sz w:val="24"/>
                <w:szCs w:val="24"/>
                <w:highlight w:val="darkGray"/>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265A4B93" w:rsidR="00446F80" w:rsidRPr="00E676F7" w:rsidRDefault="54F4C933" w:rsidP="7E289108">
            <w:pPr>
              <w:spacing w:line="259" w:lineRule="auto"/>
              <w:ind w:right="237"/>
              <w:jc w:val="both"/>
              <w:rPr>
                <w:b/>
                <w:bCs/>
                <w:sz w:val="24"/>
                <w:szCs w:val="24"/>
              </w:rPr>
            </w:pPr>
            <w:r w:rsidRPr="5CE196A1">
              <w:rPr>
                <w:b/>
                <w:bCs/>
                <w:sz w:val="24"/>
                <w:szCs w:val="24"/>
              </w:rPr>
              <w:t>2</w:t>
            </w:r>
            <w:r w:rsidR="00E24C3F">
              <w:rPr>
                <w:b/>
                <w:bCs/>
                <w:sz w:val="24"/>
                <w:szCs w:val="24"/>
              </w:rPr>
              <w:t>19</w:t>
            </w:r>
            <w:r w:rsidR="00081308">
              <w:rPr>
                <w:b/>
                <w:bCs/>
                <w:sz w:val="24"/>
                <w:szCs w:val="24"/>
              </w:rPr>
              <w:t>3</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5C9590A8" w:rsidR="00446F80" w:rsidRPr="00E676F7" w:rsidRDefault="00E24C3F" w:rsidP="5CE196A1">
            <w:pPr>
              <w:spacing w:line="360" w:lineRule="auto"/>
              <w:ind w:right="237"/>
              <w:jc w:val="both"/>
              <w:rPr>
                <w:b/>
                <w:bCs/>
                <w:color w:val="auto"/>
                <w:sz w:val="24"/>
                <w:szCs w:val="24"/>
              </w:rPr>
            </w:pPr>
            <w:r>
              <w:rPr>
                <w:b/>
                <w:bCs/>
                <w:color w:val="auto"/>
                <w:sz w:val="24"/>
                <w:szCs w:val="24"/>
              </w:rPr>
              <w:t>2083</w:t>
            </w: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28BBFB41" w14:textId="033703C2" w:rsidR="00E24C3F" w:rsidRPr="00E96377" w:rsidRDefault="00E24C3F" w:rsidP="00E24C3F">
      <w:pPr>
        <w:spacing w:line="360" w:lineRule="auto"/>
        <w:jc w:val="both"/>
        <w:rPr>
          <w:rFonts w:ascii="Times New Roman" w:hAnsi="Times New Roman" w:cs="Times New Roman"/>
          <w:color w:val="auto"/>
          <w:sz w:val="24"/>
          <w:szCs w:val="24"/>
        </w:rPr>
      </w:pPr>
      <w:r w:rsidRPr="00E96377">
        <w:rPr>
          <w:rFonts w:ascii="Times New Roman" w:hAnsi="Times New Roman" w:cs="Times New Roman"/>
          <w:color w:val="auto"/>
          <w:sz w:val="24"/>
          <w:szCs w:val="24"/>
        </w:rPr>
        <w:t xml:space="preserve">The police have a responsibility to prevent crime and protect individuals (HMIC, 2015a). With vulnerability considered to be intrinsic in all police encounters (Bartkowiak-The´ron and Asquith, 2014, 2017; Paterson and Best, 2016), vulnerable individuals are particularly in need of protection and support from the police and relevant partnership agencies. Therefore, it is vital that officers can identify vulnerable individuals so they can protect them and safeguard them from further risk and harm. Subsequently, it is critical that the term vulnerability is understood. </w:t>
      </w:r>
      <w:r>
        <w:rPr>
          <w:rFonts w:ascii="Times New Roman" w:hAnsi="Times New Roman" w:cs="Times New Roman"/>
          <w:color w:val="auto"/>
          <w:sz w:val="24"/>
          <w:szCs w:val="24"/>
        </w:rPr>
        <w:br/>
      </w:r>
    </w:p>
    <w:p w14:paraId="4EA2A482" w14:textId="5B76C0B8" w:rsidR="00E24C3F" w:rsidRPr="00E96377" w:rsidRDefault="00E24C3F" w:rsidP="00E24C3F">
      <w:pPr>
        <w:spacing w:line="360" w:lineRule="auto"/>
        <w:jc w:val="both"/>
        <w:rPr>
          <w:rFonts w:ascii="Times New Roman" w:hAnsi="Times New Roman" w:cs="Times New Roman"/>
          <w:color w:val="auto"/>
          <w:sz w:val="24"/>
          <w:szCs w:val="24"/>
        </w:rPr>
      </w:pPr>
      <w:r w:rsidRPr="00E96377">
        <w:rPr>
          <w:rFonts w:ascii="Times New Roman" w:hAnsi="Times New Roman" w:cs="Times New Roman"/>
          <w:color w:val="auto"/>
          <w:sz w:val="24"/>
          <w:szCs w:val="24"/>
        </w:rPr>
        <w:t>Although definitions of vulnerability vary (Bartkowiak-The´ron and Asquith, 2012a, 2012b</w:t>
      </w:r>
      <w:r w:rsidR="000724E3">
        <w:rPr>
          <w:rFonts w:ascii="Times New Roman" w:hAnsi="Times New Roman" w:cs="Times New Roman"/>
          <w:color w:val="auto"/>
          <w:sz w:val="24"/>
          <w:szCs w:val="24"/>
        </w:rPr>
        <w:t>)</w:t>
      </w:r>
      <w:r w:rsidRPr="00E96377">
        <w:rPr>
          <w:rFonts w:ascii="Times New Roman" w:hAnsi="Times New Roman" w:cs="Times New Roman"/>
          <w:color w:val="auto"/>
          <w:sz w:val="24"/>
          <w:szCs w:val="24"/>
        </w:rPr>
        <w:t xml:space="preserve">, the police define vulnerability using the Ministry of Justice Code of Practice for Victims of Crime definition. This outlines an individual as vulnerable if they are under 18 years old or have a physical or mental disability, disorder, or significant impairment (Ministry of Justice, 2015). Moreover, research suggests that vulnerability can be caused by factors such as psychological distress, and by environmental factors, (e.g., access to housing (Stanford, 2012)). </w:t>
      </w:r>
    </w:p>
    <w:p w14:paraId="508DFC65" w14:textId="24C8746F" w:rsidR="00E24C3F" w:rsidRPr="00E96377" w:rsidRDefault="00E24C3F" w:rsidP="00E24C3F">
      <w:pPr>
        <w:spacing w:line="360" w:lineRule="auto"/>
        <w:jc w:val="both"/>
        <w:rPr>
          <w:rFonts w:ascii="Times New Roman" w:hAnsi="Times New Roman" w:cs="Times New Roman"/>
          <w:color w:val="auto"/>
          <w:sz w:val="24"/>
          <w:szCs w:val="24"/>
        </w:rPr>
      </w:pPr>
      <w:r w:rsidRPr="00E96377">
        <w:rPr>
          <w:rFonts w:ascii="Times New Roman" w:hAnsi="Times New Roman" w:cs="Times New Roman"/>
          <w:color w:val="auto"/>
          <w:sz w:val="24"/>
          <w:szCs w:val="24"/>
        </w:rPr>
        <w:t xml:space="preserve">Police officers often experience difficulties identifying vulnerability (Dehaghani, 2017). </w:t>
      </w:r>
      <w:r>
        <w:rPr>
          <w:rFonts w:ascii="Times New Roman" w:hAnsi="Times New Roman" w:cs="Times New Roman"/>
          <w:color w:val="auto"/>
          <w:sz w:val="24"/>
          <w:szCs w:val="24"/>
        </w:rPr>
        <w:br/>
      </w:r>
      <w:r>
        <w:rPr>
          <w:rFonts w:ascii="Times New Roman" w:hAnsi="Times New Roman" w:cs="Times New Roman"/>
          <w:color w:val="auto"/>
          <w:sz w:val="24"/>
          <w:szCs w:val="24"/>
        </w:rPr>
        <w:br/>
      </w:r>
      <w:r>
        <w:rPr>
          <w:rFonts w:ascii="Times New Roman" w:hAnsi="Times New Roman" w:cs="Times New Roman"/>
          <w:color w:val="auto"/>
          <w:sz w:val="24"/>
          <w:szCs w:val="24"/>
        </w:rPr>
        <w:lastRenderedPageBreak/>
        <w:br/>
      </w:r>
      <w:r w:rsidRPr="00E96377">
        <w:rPr>
          <w:rFonts w:ascii="Times New Roman" w:hAnsi="Times New Roman" w:cs="Times New Roman"/>
          <w:color w:val="auto"/>
          <w:sz w:val="24"/>
          <w:szCs w:val="24"/>
        </w:rPr>
        <w:t xml:space="preserve">This is problematic because it can allow vulnerable individuals and those at risk, to be neglected (Asquith et al., 2016). Therefore, it is essential that officers remain vigilant, impartial, and unbiased when dealing with incidents, so that potential vulnerabilities can be identified at the earliest possibility. Unfortunately, there is not a specific example that would fit all incidents; thus, care must be taken when dealing with all individuals, both victims, and offenders. </w:t>
      </w:r>
    </w:p>
    <w:p w14:paraId="7218A17B" w14:textId="77777777" w:rsidR="00E24C3F" w:rsidRPr="00E96377" w:rsidRDefault="00E24C3F" w:rsidP="00E24C3F">
      <w:pPr>
        <w:spacing w:line="360" w:lineRule="auto"/>
        <w:jc w:val="both"/>
        <w:rPr>
          <w:rFonts w:ascii="Times New Roman" w:eastAsia="Arial" w:hAnsi="Times New Roman" w:cs="Times New Roman"/>
          <w:color w:val="auto"/>
          <w:sz w:val="24"/>
          <w:szCs w:val="24"/>
        </w:rPr>
      </w:pPr>
      <w:r w:rsidRPr="00E96377">
        <w:rPr>
          <w:rFonts w:ascii="Times New Roman" w:eastAsia="Arial" w:hAnsi="Times New Roman" w:cs="Times New Roman"/>
          <w:color w:val="auto"/>
          <w:sz w:val="24"/>
          <w:szCs w:val="24"/>
        </w:rPr>
        <w:br/>
      </w:r>
      <w:r w:rsidRPr="00E96377">
        <w:rPr>
          <w:rFonts w:ascii="Times New Roman" w:eastAsia="Arial" w:hAnsi="Times New Roman" w:cs="Times New Roman"/>
          <w:b/>
          <w:bCs/>
          <w:noProof/>
          <w:color w:val="auto"/>
          <w:sz w:val="24"/>
          <w:szCs w:val="24"/>
        </w:rPr>
        <mc:AlternateContent>
          <mc:Choice Requires="wps">
            <w:drawing>
              <wp:anchor distT="0" distB="0" distL="114300" distR="114300" simplePos="0" relativeHeight="251660288" behindDoc="0" locked="0" layoutInCell="1" allowOverlap="1" wp14:anchorId="2414308A" wp14:editId="3596EE62">
                <wp:simplePos x="0" y="0"/>
                <wp:positionH relativeFrom="column">
                  <wp:posOffset>5188494</wp:posOffset>
                </wp:positionH>
                <wp:positionV relativeFrom="paragraph">
                  <wp:posOffset>538265</wp:posOffset>
                </wp:positionV>
                <wp:extent cx="885139" cy="987552"/>
                <wp:effectExtent l="0" t="0" r="0" b="3175"/>
                <wp:wrapNone/>
                <wp:docPr id="4" name="Text Box 4"/>
                <wp:cNvGraphicFramePr/>
                <a:graphic xmlns:a="http://schemas.openxmlformats.org/drawingml/2006/main">
                  <a:graphicData uri="http://schemas.microsoft.com/office/word/2010/wordprocessingShape">
                    <wps:wsp>
                      <wps:cNvSpPr txBox="1"/>
                      <wps:spPr>
                        <a:xfrm>
                          <a:off x="0" y="0"/>
                          <a:ext cx="885139" cy="987552"/>
                        </a:xfrm>
                        <a:prstGeom prst="rect">
                          <a:avLst/>
                        </a:prstGeom>
                        <a:solidFill>
                          <a:schemeClr val="lt1"/>
                        </a:solidFill>
                        <a:ln w="6350">
                          <a:noFill/>
                        </a:ln>
                      </wps:spPr>
                      <wps:txbx>
                        <w:txbxContent>
                          <w:p w14:paraId="02B9476D" w14:textId="77777777" w:rsidR="00E24C3F" w:rsidRPr="00E36C1E" w:rsidRDefault="00E24C3F" w:rsidP="00E24C3F">
                            <w:pPr>
                              <w:rPr>
                                <w:b/>
                                <w:bCs/>
                                <w:i/>
                                <w:iCs/>
                              </w:rPr>
                            </w:pPr>
                            <w:r w:rsidRPr="00E36C1E">
                              <w:rPr>
                                <w:b/>
                                <w:bCs/>
                                <w:i/>
                                <w:iCs/>
                              </w:rPr>
                              <w:t>Appendix 1 – Gibbs (1988) Reflective Model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14308A" id="_x0000_t202" coordsize="21600,21600" o:spt="202" path="m,l,21600r21600,l21600,xe">
                <v:stroke joinstyle="miter"/>
                <v:path gradientshapeok="t" o:connecttype="rect"/>
              </v:shapetype>
              <v:shape id="Text Box 4" o:spid="_x0000_s1026" type="#_x0000_t202" style="position:absolute;left:0;text-align:left;margin-left:408.55pt;margin-top:42.4pt;width:69.7pt;height:77.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" fillcolor="white [3201]" stroked="f" strokeweight=".5pt">
                <v:textbox>
                  <w:txbxContent>
                    <w:p w14:paraId="02B9476D" w14:textId="77777777" w:rsidR="00E24C3F" w:rsidRPr="00E36C1E" w:rsidRDefault="00E24C3F" w:rsidP="00E24C3F">
                      <w:pPr>
                        <w:rPr>
                          <w:b/>
                          <w:bCs/>
                          <w:i/>
                          <w:iCs/>
                        </w:rPr>
                      </w:pPr>
                      <w:r w:rsidRPr="00E36C1E">
                        <w:rPr>
                          <w:b/>
                          <w:bCs/>
                          <w:i/>
                          <w:iCs/>
                        </w:rPr>
                        <w:t>Appendix 1 – Gibbs (1988) Reflective Model</w:t>
                      </w:r>
                    </w:p>
                  </w:txbxContent>
                </v:textbox>
              </v:shape>
            </w:pict>
          </mc:Fallback>
        </mc:AlternateContent>
      </w:r>
      <w:r w:rsidRPr="00E96377">
        <w:rPr>
          <w:rFonts w:ascii="Times New Roman" w:eastAsia="Arial" w:hAnsi="Times New Roman" w:cs="Times New Roman"/>
          <w:b/>
          <w:bCs/>
          <w:noProof/>
          <w:color w:val="auto"/>
          <w:sz w:val="24"/>
          <w:szCs w:val="24"/>
        </w:rPr>
        <w:drawing>
          <wp:anchor distT="0" distB="0" distL="114300" distR="114300" simplePos="0" relativeHeight="251659264" behindDoc="0" locked="0" layoutInCell="1" allowOverlap="1" wp14:anchorId="7A43EDAE" wp14:editId="1B022260">
            <wp:simplePos x="0" y="0"/>
            <wp:positionH relativeFrom="margin">
              <wp:posOffset>4684593</wp:posOffset>
            </wp:positionH>
            <wp:positionV relativeFrom="paragraph">
              <wp:posOffset>77033</wp:posOffset>
            </wp:positionV>
            <wp:extent cx="1860550" cy="1887855"/>
            <wp:effectExtent l="0" t="0" r="635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860550" cy="1887855"/>
                    </a:xfrm>
                    <a:prstGeom prst="rect">
                      <a:avLst/>
                    </a:prstGeom>
                    <a:noFill/>
                  </pic:spPr>
                </pic:pic>
              </a:graphicData>
            </a:graphic>
            <wp14:sizeRelH relativeFrom="margin">
              <wp14:pctWidth>0</wp14:pctWidth>
            </wp14:sizeRelH>
            <wp14:sizeRelV relativeFrom="margin">
              <wp14:pctHeight>0</wp14:pctHeight>
            </wp14:sizeRelV>
          </wp:anchor>
        </w:drawing>
      </w:r>
      <w:r w:rsidRPr="00E96377">
        <w:rPr>
          <w:rFonts w:ascii="Times New Roman" w:eastAsia="Arial" w:hAnsi="Times New Roman" w:cs="Times New Roman"/>
          <w:color w:val="auto"/>
          <w:sz w:val="24"/>
          <w:szCs w:val="24"/>
        </w:rPr>
        <w:t>Using Gibbs reflective model (1988) this essay describes a domestic incident in which I played a significant role, whereby vulnerability was a key factor. This essay critically analyses the actions taken to identify and safeguard vulnerable individuals and reflects upon different approaches taken by partner agencies to support vulnerable individuals.</w:t>
      </w:r>
    </w:p>
    <w:p w14:paraId="35F7D003" w14:textId="247DE409" w:rsidR="00E24C3F" w:rsidRPr="00E96377" w:rsidRDefault="00E24C3F" w:rsidP="00E24C3F">
      <w:pPr>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br/>
      </w:r>
      <w:r w:rsidRPr="00E96377">
        <w:rPr>
          <w:rFonts w:ascii="Times New Roman" w:hAnsi="Times New Roman" w:cs="Times New Roman"/>
          <w:color w:val="auto"/>
          <w:sz w:val="24"/>
          <w:szCs w:val="24"/>
        </w:rPr>
        <w:t xml:space="preserve">Gibbs’ Reflective cycle is comprised of 6 stages; description of what happened, thoughts and feelings, evaluation of positives and negatives of the situation, an analysis; conclusion, including possible alternate actions, and finally, an action plan outlining what actions I would do differently in similar circumstances.  </w:t>
      </w:r>
    </w:p>
    <w:p w14:paraId="7EF3E551" w14:textId="0CA1F9ED" w:rsidR="00E24C3F" w:rsidRPr="00E96377" w:rsidRDefault="00E24C3F" w:rsidP="00E24C3F">
      <w:pPr>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br/>
      </w:r>
      <w:r w:rsidRPr="00E96377">
        <w:rPr>
          <w:rFonts w:ascii="Times New Roman" w:hAnsi="Times New Roman" w:cs="Times New Roman"/>
          <w:color w:val="auto"/>
          <w:sz w:val="24"/>
          <w:szCs w:val="24"/>
        </w:rPr>
        <w:t xml:space="preserve">During this incident the victim had reported to the police that she had been assaulted by her partner during a verbal argument. She was extremely distressed and had sustained superficial injuries, but the offender had left the property. The victim was a repeat domestic abuse victim, and the offender was the same from that of previous incidents. There was extensive domestic abuse history between the two parties, and subsequently, the victim was subject to Multi-Agency Risk Assessment Conference (MARAC). </w:t>
      </w:r>
    </w:p>
    <w:p w14:paraId="6DB159A5" w14:textId="3CFDA59B" w:rsidR="00E24C3F" w:rsidRPr="00E96377" w:rsidRDefault="00E24C3F" w:rsidP="00E24C3F">
      <w:pPr>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br/>
      </w:r>
      <w:r w:rsidRPr="00E96377">
        <w:rPr>
          <w:rFonts w:ascii="Times New Roman" w:hAnsi="Times New Roman" w:cs="Times New Roman"/>
          <w:color w:val="auto"/>
          <w:sz w:val="24"/>
          <w:szCs w:val="24"/>
        </w:rPr>
        <w:t>By utilising the National Decision-Making Model (NDM), I conducted a dynamic risk assessment using this information to establish potential options, contingencies, and legal powers at my disposal to consider appropriate courses of action to deal with the incident. Due to the knowledge that the offender had left the property, this dramatically reduced the threat, risk, and potential harm to the victim, which enabled me to focus on safeguarding the victim and identify potential vulnerabilities.</w:t>
      </w:r>
      <w:r w:rsidRPr="00E96377">
        <w:rPr>
          <w:rFonts w:ascii="Times New Roman" w:hAnsi="Times New Roman" w:cs="Times New Roman"/>
          <w:color w:val="auto"/>
          <w:sz w:val="24"/>
          <w:szCs w:val="24"/>
        </w:rPr>
        <w:br/>
      </w:r>
      <w:r w:rsidRPr="00E96377">
        <w:rPr>
          <w:rFonts w:ascii="Times New Roman" w:hAnsi="Times New Roman" w:cs="Times New Roman"/>
          <w:color w:val="auto"/>
          <w:sz w:val="24"/>
          <w:szCs w:val="24"/>
        </w:rPr>
        <w:br/>
        <w:t xml:space="preserve">Upon engaging with the victim, I established the circumstances and confirmed that she had been experiencing ongoing domestic abuse which frequently involved violence and threatening </w:t>
      </w:r>
      <w:r w:rsidRPr="00E96377">
        <w:rPr>
          <w:rFonts w:ascii="Times New Roman" w:hAnsi="Times New Roman" w:cs="Times New Roman"/>
          <w:color w:val="auto"/>
          <w:sz w:val="24"/>
          <w:szCs w:val="24"/>
        </w:rPr>
        <w:lastRenderedPageBreak/>
        <w:t xml:space="preserve">behaviour. Consequently, the victim was extraordinarily vulnerable, and the threat and risk of further harm was significant. I found this deeply concerning, and I instantly recognised the importance of taking immediate positive action to protect the victim, and to prevent further escalation and repeat victimisation. Subsequently, the offender was located and arrested. </w:t>
      </w:r>
      <w:r w:rsidRPr="00E96377">
        <w:rPr>
          <w:rFonts w:ascii="Times New Roman" w:hAnsi="Times New Roman" w:cs="Times New Roman"/>
          <w:color w:val="auto"/>
          <w:sz w:val="24"/>
          <w:szCs w:val="24"/>
        </w:rPr>
        <w:br/>
      </w:r>
      <w:r w:rsidRPr="00E96377">
        <w:rPr>
          <w:rFonts w:ascii="Times New Roman" w:hAnsi="Times New Roman" w:cs="Times New Roman"/>
          <w:color w:val="auto"/>
          <w:sz w:val="24"/>
          <w:szCs w:val="24"/>
        </w:rPr>
        <w:br/>
        <w:t>Due to the knowledge that there was extensive domestic history between the two individuals, I adopted a holistic view and considered previous incidents to assess various course of action, and to identify reoccurring behaviour patterns. This enabled me to identify further vulnerabilities (Strang et al., 2014). I identified violence and threatening tendencies, coercive and controlling behaviour, and the offender’s substance abuse to be common themes.</w:t>
      </w:r>
    </w:p>
    <w:p w14:paraId="47C90DA5" w14:textId="69C70119" w:rsidR="00E24C3F" w:rsidRPr="00E96377" w:rsidRDefault="00E24C3F" w:rsidP="00E24C3F">
      <w:pPr>
        <w:spacing w:line="360" w:lineRule="auto"/>
        <w:jc w:val="both"/>
        <w:rPr>
          <w:rFonts w:ascii="Times New Roman" w:eastAsia="Arial" w:hAnsi="Times New Roman" w:cs="Times New Roman"/>
          <w:color w:val="auto"/>
          <w:sz w:val="24"/>
          <w:szCs w:val="24"/>
        </w:rPr>
      </w:pPr>
      <w:r>
        <w:rPr>
          <w:rFonts w:ascii="Times New Roman" w:hAnsi="Times New Roman" w:cs="Times New Roman"/>
          <w:color w:val="auto"/>
          <w:sz w:val="24"/>
          <w:szCs w:val="24"/>
        </w:rPr>
        <w:br/>
      </w:r>
      <w:r w:rsidRPr="00E96377">
        <w:rPr>
          <w:rFonts w:ascii="Times New Roman" w:hAnsi="Times New Roman" w:cs="Times New Roman"/>
          <w:color w:val="auto"/>
          <w:sz w:val="24"/>
          <w:szCs w:val="24"/>
        </w:rPr>
        <w:t xml:space="preserve">This was critical as this allowed me to recognise the relevant agencies that could provide support to the victim and safeguard her from further re-victimisation. It was important that I did not adopt a closed mind and deal with this as an isolated incident, because this may have resulted in an insufficient, or ineffective intervention </w:t>
      </w:r>
      <w:r w:rsidRPr="00E96377">
        <w:rPr>
          <w:rFonts w:ascii="Times New Roman" w:eastAsia="Arial" w:hAnsi="Times New Roman" w:cs="Times New Roman"/>
          <w:color w:val="auto"/>
          <w:sz w:val="24"/>
          <w:szCs w:val="24"/>
        </w:rPr>
        <w:t>(Kuma and Rajan, 2018).</w:t>
      </w:r>
    </w:p>
    <w:p w14:paraId="071D52C7" w14:textId="12821B77" w:rsidR="00E24C3F" w:rsidRPr="00E96377" w:rsidRDefault="00E24C3F" w:rsidP="00E24C3F">
      <w:pPr>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br/>
      </w:r>
      <w:r w:rsidRPr="00E96377">
        <w:rPr>
          <w:rFonts w:ascii="Times New Roman" w:hAnsi="Times New Roman" w:cs="Times New Roman"/>
          <w:color w:val="auto"/>
          <w:sz w:val="24"/>
          <w:szCs w:val="24"/>
        </w:rPr>
        <w:t xml:space="preserve">As part of police officer’s duty to protect all individuals in need, at risk of abuse, have been abused and vulnerable individuals, officers have a responsibility to make appropriate safeguarding referrals to the relevant local authority (Association of Chief Police Officers, 2012; HMIC, 2015b; Unicef, 2017). </w:t>
      </w:r>
    </w:p>
    <w:p w14:paraId="0AFD5BFC" w14:textId="24644F9E" w:rsidR="00E24C3F" w:rsidRPr="00E96377" w:rsidRDefault="00E24C3F" w:rsidP="00E24C3F">
      <w:pPr>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br/>
      </w:r>
      <w:r w:rsidRPr="00E96377">
        <w:rPr>
          <w:rFonts w:ascii="Times New Roman" w:hAnsi="Times New Roman" w:cs="Times New Roman"/>
          <w:color w:val="auto"/>
          <w:sz w:val="24"/>
          <w:szCs w:val="24"/>
        </w:rPr>
        <w:t>Police, therefore, play an integral role in the safeguarding of vulnerable individuals, and their actions can influence future interventions from partner agencies (Asquith et al., 2016; Bartkowiak-The´ron and Asquith, 2012b; Herrington and Clifford, 2012; Paterson and Best, 2016). To ensure optimal safeguarding to the victim, and ensure that the support is both relevant, and sufficient to prevent escalation and re-victimisation, it is important that the police response is adequate and that a multi-agency response results in in the required intervention (Waddell and Molloy, 2015).</w:t>
      </w:r>
    </w:p>
    <w:p w14:paraId="34BE9529" w14:textId="374F1A65" w:rsidR="00E24C3F" w:rsidRPr="00E96377" w:rsidRDefault="00E24C3F" w:rsidP="00E24C3F">
      <w:pPr>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br/>
      </w:r>
      <w:r w:rsidRPr="00E96377">
        <w:rPr>
          <w:rFonts w:ascii="Times New Roman" w:hAnsi="Times New Roman" w:cs="Times New Roman"/>
          <w:color w:val="auto"/>
          <w:sz w:val="24"/>
          <w:szCs w:val="24"/>
        </w:rPr>
        <w:t xml:space="preserve">In instances such as this, it is crucial that officers conduct an effective risk assessment, using the standard tool known as a domestic abuse, stalking and harassment risk assessment (DASHRA). This is a victim-based questionnaire that seeks to evaluate the risk to the victim (Turner et al., 2019). Research has demonstrated that threats often precede physical assaults (Hemphill, Hare, &amp; Wong, 1998), and once assaultive behaviour occurs in a relationship, it </w:t>
      </w:r>
      <w:r w:rsidRPr="00E96377">
        <w:rPr>
          <w:rFonts w:ascii="Times New Roman" w:hAnsi="Times New Roman" w:cs="Times New Roman"/>
          <w:color w:val="auto"/>
          <w:sz w:val="24"/>
          <w:szCs w:val="24"/>
        </w:rPr>
        <w:lastRenderedPageBreak/>
        <w:t xml:space="preserve">often becomes chronic (Straus, 1990). Therefore, these risk assessment tools have been shown to be good predictors of future violence (Hemphill, Hare, &amp; Wong, 1998), and are crucial to identifying individuals that are most at risk of experiencing future violence.  </w:t>
      </w:r>
    </w:p>
    <w:p w14:paraId="0E6D0BBB" w14:textId="70B45ECB" w:rsidR="00E24C3F" w:rsidRPr="00E96377" w:rsidRDefault="00E24C3F" w:rsidP="00E24C3F">
      <w:pPr>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br/>
      </w:r>
      <w:r w:rsidRPr="00E96377">
        <w:rPr>
          <w:rFonts w:ascii="Times New Roman" w:hAnsi="Times New Roman" w:cs="Times New Roman"/>
          <w:color w:val="auto"/>
          <w:sz w:val="24"/>
          <w:szCs w:val="24"/>
        </w:rPr>
        <w:t xml:space="preserve">Domestic risk assessments provide a structured way for officers to gather relevant, detailed information from victims, so that partner agencies can be informed of the victim’s vulnerability and of their support needs. Partner agencies can then intervene and provide tailored support to safeguard the victim. This information can also be used by officers to contribute towards their decision making when pursuing a prosecution in the absence of the support of the victim. </w:t>
      </w:r>
    </w:p>
    <w:p w14:paraId="0867C381" w14:textId="77777777" w:rsidR="00E24C3F" w:rsidRPr="00E96377" w:rsidRDefault="00E24C3F" w:rsidP="00E24C3F">
      <w:pPr>
        <w:spacing w:line="360" w:lineRule="auto"/>
        <w:jc w:val="both"/>
        <w:rPr>
          <w:rFonts w:ascii="Times New Roman" w:hAnsi="Times New Roman" w:cs="Times New Roman"/>
          <w:color w:val="auto"/>
          <w:sz w:val="24"/>
          <w:szCs w:val="24"/>
        </w:rPr>
      </w:pPr>
      <w:r w:rsidRPr="00E96377">
        <w:rPr>
          <w:rFonts w:ascii="Times New Roman" w:hAnsi="Times New Roman" w:cs="Times New Roman"/>
          <w:color w:val="auto"/>
          <w:sz w:val="24"/>
          <w:szCs w:val="24"/>
        </w:rPr>
        <w:t xml:space="preserve">When safeguarding notifications are shared by the police, the receiving agency conducts their own risk assessment to determine what, if any, involvement is necessary (Care Act, 2014). Different agencies may have varying approaches, depending on their priorities, and their focuses. </w:t>
      </w:r>
    </w:p>
    <w:p w14:paraId="0FC3D2AE" w14:textId="32CEE09E" w:rsidR="00E24C3F" w:rsidRPr="00E96377" w:rsidRDefault="00E24C3F" w:rsidP="00E24C3F">
      <w:pPr>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br/>
      </w:r>
      <w:r w:rsidRPr="00E96377">
        <w:rPr>
          <w:rFonts w:ascii="Times New Roman" w:hAnsi="Times New Roman" w:cs="Times New Roman"/>
          <w:color w:val="auto"/>
          <w:sz w:val="24"/>
          <w:szCs w:val="24"/>
        </w:rPr>
        <w:t>HMIC emphasised the necessity for effective partnership working between police and other professionals to risk assess individual’s situation, their needs and the level of intervention required (HMIC, 2015a). This highlights the importance of a collaborative approach, where agencies work together to ensure that victims are optimally safeguarded by all relevant partner agencies, and nothing is left to chance. In relation to this incident, I believed that it was of paramount importance that a multi-agency approach was taken to safeguard the victim from the extreme risk of harm, given her significant vulnerability. Therefore, I completed a MARAC referral.</w:t>
      </w:r>
      <w:r w:rsidRPr="00E96377">
        <w:rPr>
          <w:rFonts w:ascii="Times New Roman" w:hAnsi="Times New Roman" w:cs="Times New Roman"/>
          <w:color w:val="auto"/>
          <w:sz w:val="24"/>
          <w:szCs w:val="24"/>
        </w:rPr>
        <w:br/>
      </w:r>
      <w:r>
        <w:rPr>
          <w:rFonts w:ascii="Times New Roman" w:hAnsi="Times New Roman" w:cs="Times New Roman"/>
          <w:color w:val="auto"/>
          <w:sz w:val="24"/>
          <w:szCs w:val="24"/>
        </w:rPr>
        <w:br/>
      </w:r>
      <w:r w:rsidRPr="00E96377">
        <w:rPr>
          <w:rFonts w:ascii="Times New Roman" w:hAnsi="Times New Roman" w:cs="Times New Roman"/>
          <w:color w:val="auto"/>
          <w:sz w:val="24"/>
          <w:szCs w:val="24"/>
        </w:rPr>
        <w:t xml:space="preserve">MARACs are assembled when the sharing of information in relation to highest risk domestic abuse cases is required. This includes representatives of the police, health, child protection, independent domestic violence advisors (IDVAS), housing practitioners, probation, and other specialist organisations.  </w:t>
      </w:r>
      <w:r w:rsidRPr="00E96377">
        <w:rPr>
          <w:rFonts w:ascii="Times New Roman" w:hAnsi="Times New Roman" w:cs="Times New Roman"/>
          <w:color w:val="auto"/>
          <w:sz w:val="24"/>
          <w:szCs w:val="24"/>
        </w:rPr>
        <w:br/>
      </w:r>
      <w:r w:rsidRPr="00E96377">
        <w:rPr>
          <w:rFonts w:ascii="Times New Roman" w:hAnsi="Times New Roman" w:cs="Times New Roman"/>
          <w:color w:val="auto"/>
          <w:sz w:val="24"/>
          <w:szCs w:val="24"/>
        </w:rPr>
        <w:br/>
        <w:t xml:space="preserve">This multi-agency approach is the perfect example of how collaborative working between agencies is significant for reducing domestic violence in the community (Robinson &amp; Pickles, 2003). Significant research has shown various benefits from collaborations between police, mental health professionals and social workers (Compton et al., 2014; Greater Manchester Police and Crime Commissioner, 2017. These conferences promote information sharing between agencies and have the primary goal of safeguarding and supporting those at greatest </w:t>
      </w:r>
      <w:r w:rsidRPr="00E96377">
        <w:rPr>
          <w:rFonts w:ascii="Times New Roman" w:hAnsi="Times New Roman" w:cs="Times New Roman"/>
          <w:color w:val="auto"/>
          <w:sz w:val="24"/>
          <w:szCs w:val="24"/>
        </w:rPr>
        <w:lastRenderedPageBreak/>
        <w:t xml:space="preserve">risk of harm and victimisation (Robinson &amp; Pickles, 2003). </w:t>
      </w:r>
      <w:r w:rsidRPr="00E96377">
        <w:rPr>
          <w:rFonts w:ascii="Times New Roman" w:hAnsi="Times New Roman" w:cs="Times New Roman"/>
          <w:color w:val="auto"/>
          <w:sz w:val="24"/>
          <w:szCs w:val="24"/>
        </w:rPr>
        <w:br/>
      </w:r>
      <w:r w:rsidRPr="00E96377">
        <w:rPr>
          <w:rFonts w:ascii="Times New Roman" w:hAnsi="Times New Roman" w:cs="Times New Roman"/>
          <w:color w:val="auto"/>
          <w:sz w:val="24"/>
          <w:szCs w:val="24"/>
        </w:rPr>
        <w:br/>
        <w:t>Each agency contributes a valuable and unique perspective, and when combined, the information enables an accurate assessment of the risks to the victim and the ways in which different agencies can contribute to her safety. Certain agencies may lack some information and so, might grade the victim’s situation differently to those who have more in-depth information regarding the risks to the victim. It is of paramount importance that all relevant agencies have access to all the information, so they can fully understand the risks to the victim. Only then can they make an informed and effective intervention to help the victim.</w:t>
      </w:r>
      <w:r w:rsidRPr="00E96377">
        <w:rPr>
          <w:rFonts w:ascii="Times New Roman" w:hAnsi="Times New Roman" w:cs="Times New Roman"/>
          <w:color w:val="auto"/>
          <w:sz w:val="24"/>
          <w:szCs w:val="24"/>
        </w:rPr>
        <w:br/>
      </w:r>
      <w:r w:rsidRPr="00E96377">
        <w:rPr>
          <w:rFonts w:ascii="Times New Roman" w:hAnsi="Times New Roman" w:cs="Times New Roman"/>
          <w:color w:val="auto"/>
          <w:sz w:val="24"/>
          <w:szCs w:val="24"/>
        </w:rPr>
        <w:br/>
        <w:t xml:space="preserve">This incident was the perfect example of an incident whereby there was significant risk of both harm and of revictimization without a multi-agency intervention. Therefore, it was essential, that partner agency involvement took place to protect this victim from further abuse, and to provide ongoing support to reduce the risk of revictimization. </w:t>
      </w:r>
    </w:p>
    <w:p w14:paraId="66761422" w14:textId="041ECA36" w:rsidR="00E24C3F" w:rsidRPr="00E96377" w:rsidRDefault="00426EB2" w:rsidP="00E24C3F">
      <w:pPr>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br/>
      </w:r>
      <w:r w:rsidR="00E24C3F" w:rsidRPr="00E96377">
        <w:rPr>
          <w:rFonts w:ascii="Times New Roman" w:hAnsi="Times New Roman" w:cs="Times New Roman"/>
          <w:color w:val="auto"/>
          <w:sz w:val="24"/>
          <w:szCs w:val="24"/>
        </w:rPr>
        <w:t>The victim in this case, was not supportive of police action, which she stated was due to fear of the offender. She wanted only to end the relationship, and she wanted him to be removed from the property on a permanent basis. This presented a difficulty, as the offender was listed on the tenancy. The offender was removed from the property for a period of approximately 24 hours, however, with limited evidence, as was the case here, the offender was free to return to his property following his release from custody the next day without intervention from the police and the Courts.</w:t>
      </w:r>
      <w:r w:rsidR="00E24C3F" w:rsidRPr="00E96377">
        <w:rPr>
          <w:rFonts w:ascii="Times New Roman" w:hAnsi="Times New Roman" w:cs="Times New Roman"/>
          <w:color w:val="auto"/>
          <w:sz w:val="24"/>
          <w:szCs w:val="24"/>
        </w:rPr>
        <w:br/>
      </w:r>
      <w:r w:rsidR="00E24C3F" w:rsidRPr="00E96377">
        <w:rPr>
          <w:rFonts w:ascii="Times New Roman" w:hAnsi="Times New Roman" w:cs="Times New Roman"/>
          <w:color w:val="auto"/>
          <w:sz w:val="24"/>
          <w:szCs w:val="24"/>
        </w:rPr>
        <w:br/>
        <w:t xml:space="preserve">Therefore, to safeguard the victim from further harm, I completed a domestic abuse protection notice (DVPN) application, which was authorised by a superintendent.  </w:t>
      </w:r>
      <w:r w:rsidR="00E24C3F" w:rsidRPr="00E96377">
        <w:rPr>
          <w:rFonts w:ascii="Times New Roman" w:hAnsi="Times New Roman" w:cs="Times New Roman"/>
          <w:color w:val="auto"/>
          <w:sz w:val="24"/>
          <w:szCs w:val="24"/>
        </w:rPr>
        <w:br/>
        <w:t xml:space="preserve">DVPNs and Domestic Violence Protection Orders (DVPOs) are measures under the Crime and Security Act (CSA, 2010), that were introduced to better protect victims (Kelly et al., 2013). They are designed to secure an emergency, but temporary period of protection for victims immediately after a domestic abuse incident. This can last up to 28 days. </w:t>
      </w:r>
      <w:r w:rsidR="00E24C3F" w:rsidRPr="00E96377">
        <w:rPr>
          <w:rFonts w:ascii="Times New Roman" w:hAnsi="Times New Roman" w:cs="Times New Roman"/>
          <w:color w:val="auto"/>
          <w:sz w:val="24"/>
          <w:szCs w:val="24"/>
        </w:rPr>
        <w:br/>
      </w:r>
      <w:r w:rsidR="00E24C3F" w:rsidRPr="00E96377">
        <w:rPr>
          <w:rFonts w:ascii="Times New Roman" w:hAnsi="Times New Roman" w:cs="Times New Roman"/>
          <w:color w:val="auto"/>
          <w:sz w:val="24"/>
          <w:szCs w:val="24"/>
        </w:rPr>
        <w:br/>
        <w:t xml:space="preserve">The threshold for the implementation of these measures is relatively low. The criteria states that there must be a reasonable belief that violence or a threat of violence may take place. An extensive domestic abuse history is not required (Burton, 2015). This is a highly valuable tool in preventing re-victimisation and they are used in a last attempt to safeguard the victim when </w:t>
      </w:r>
      <w:r w:rsidR="00E24C3F" w:rsidRPr="00E96377">
        <w:rPr>
          <w:rFonts w:ascii="Times New Roman" w:hAnsi="Times New Roman" w:cs="Times New Roman"/>
          <w:color w:val="auto"/>
          <w:sz w:val="24"/>
          <w:szCs w:val="24"/>
        </w:rPr>
        <w:lastRenderedPageBreak/>
        <w:t xml:space="preserve">there is likely insufficient evidence to prosecute the offender, and when the victim does not support police action. </w:t>
      </w:r>
      <w:r w:rsidR="00E24C3F" w:rsidRPr="00E96377">
        <w:rPr>
          <w:rFonts w:ascii="Times New Roman" w:hAnsi="Times New Roman" w:cs="Times New Roman"/>
          <w:color w:val="auto"/>
          <w:sz w:val="24"/>
          <w:szCs w:val="24"/>
        </w:rPr>
        <w:br/>
      </w:r>
      <w:r w:rsidR="00E24C3F" w:rsidRPr="00E96377">
        <w:rPr>
          <w:rFonts w:ascii="Times New Roman" w:hAnsi="Times New Roman" w:cs="Times New Roman"/>
          <w:color w:val="auto"/>
          <w:sz w:val="24"/>
          <w:szCs w:val="24"/>
        </w:rPr>
        <w:br/>
        <w:t xml:space="preserve">Although research suggests there is a substantial risk that these orders will be violated, and the risk to the victim is greatest directly after its implementation (Benitez et al. 2010: p 384), conflicting research has evidenced that these measures are effective in reducing re-victimization when successfully managed throughout their duration of implementation (Woodhouse and Dempsey, 2016). This highlights the importance of continued collaboration between the police and partner agencies, to enforce these measures, and to provide sufficient safeguarding to the victim. </w:t>
      </w:r>
      <w:r w:rsidR="00E24C3F" w:rsidRPr="00E96377">
        <w:rPr>
          <w:rFonts w:ascii="Times New Roman" w:hAnsi="Times New Roman" w:cs="Times New Roman"/>
          <w:color w:val="auto"/>
          <w:sz w:val="24"/>
          <w:szCs w:val="24"/>
        </w:rPr>
        <w:br/>
      </w:r>
      <w:r w:rsidR="00E24C3F" w:rsidRPr="00E96377">
        <w:rPr>
          <w:rFonts w:ascii="Times New Roman" w:hAnsi="Times New Roman" w:cs="Times New Roman"/>
          <w:color w:val="auto"/>
          <w:sz w:val="24"/>
          <w:szCs w:val="24"/>
        </w:rPr>
        <w:br/>
        <w:t xml:space="preserve">These measures provided the victim with an opportunity to work with partner agencies, including emergency housing, and women’s aid, to plan an exit strategy from the relationship, and secure new accommodation in a place of safety, away from the offender.  </w:t>
      </w:r>
    </w:p>
    <w:p w14:paraId="5AEF3BA9" w14:textId="77777777" w:rsidR="00E24C3F" w:rsidRPr="00E96377" w:rsidRDefault="00E24C3F" w:rsidP="00E24C3F">
      <w:pPr>
        <w:spacing w:line="360" w:lineRule="auto"/>
        <w:jc w:val="both"/>
        <w:rPr>
          <w:rFonts w:ascii="Times New Roman" w:hAnsi="Times New Roman" w:cs="Times New Roman"/>
          <w:color w:val="auto"/>
          <w:sz w:val="24"/>
          <w:szCs w:val="24"/>
        </w:rPr>
      </w:pPr>
    </w:p>
    <w:p w14:paraId="26D09E09" w14:textId="77777777" w:rsidR="00E24C3F" w:rsidRPr="00E96377" w:rsidRDefault="00E24C3F" w:rsidP="00E24C3F">
      <w:pPr>
        <w:spacing w:line="360" w:lineRule="auto"/>
        <w:jc w:val="both"/>
        <w:rPr>
          <w:rFonts w:ascii="Times New Roman" w:hAnsi="Times New Roman" w:cs="Times New Roman"/>
          <w:color w:val="auto"/>
          <w:sz w:val="24"/>
          <w:szCs w:val="24"/>
        </w:rPr>
      </w:pPr>
      <w:r w:rsidRPr="00E96377">
        <w:rPr>
          <w:rFonts w:ascii="Times New Roman" w:hAnsi="Times New Roman" w:cs="Times New Roman"/>
          <w:color w:val="auto"/>
          <w:sz w:val="24"/>
          <w:szCs w:val="24"/>
        </w:rPr>
        <w:t>It is important that the victim receive ongoing support from partner agencies so they can receive information on how to gain access to therapeutic support, and so they engage in immediate safety planning. This can encourage victims to access relevant support from various organisations like social services and mental health organisations so that they can take action to reduce their risk of future victimization (Davis &amp; Smith, 1994).</w:t>
      </w:r>
    </w:p>
    <w:p w14:paraId="2C4B785E" w14:textId="49A9BB23" w:rsidR="00E24C3F" w:rsidRPr="00E96377" w:rsidRDefault="00E24C3F" w:rsidP="00E24C3F">
      <w:pPr>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br/>
      </w:r>
      <w:r w:rsidRPr="00E96377">
        <w:rPr>
          <w:rFonts w:ascii="Times New Roman" w:hAnsi="Times New Roman" w:cs="Times New Roman"/>
          <w:color w:val="auto"/>
          <w:sz w:val="24"/>
          <w:szCs w:val="24"/>
        </w:rPr>
        <w:t xml:space="preserve">In addition to safeguarding the victim, it was equally important that I remained impartial and upheld my values as a police officer and accommodated any vulnerabilities possessed by the offender. They had clearly been experiencing issues with substance abuse, with this being a common theme throughout previous domestic incidents between them. </w:t>
      </w:r>
    </w:p>
    <w:p w14:paraId="6655715B" w14:textId="0F7D059C" w:rsidR="00E24C3F" w:rsidRPr="00E96377" w:rsidRDefault="00E24C3F" w:rsidP="00E24C3F">
      <w:pPr>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br/>
      </w:r>
      <w:r w:rsidRPr="00E96377">
        <w:rPr>
          <w:rFonts w:ascii="Times New Roman" w:hAnsi="Times New Roman" w:cs="Times New Roman"/>
          <w:color w:val="auto"/>
          <w:sz w:val="24"/>
          <w:szCs w:val="24"/>
        </w:rPr>
        <w:t xml:space="preserve">Substance abuse is strongly linked with domestic violence (Coker, Smith, McKeown, and King 2000), and without intervention by partner agencies and myself, there was a strong possibility of re-offending. Therefore, instead of focussing on reminding the offender of the consequences of abusive behaviour, I felt that positive action was required to reduce the risk of re-offending. Therefore, I referred the male to Gwent Drug, Alcohol and Services (GDAS) so that he too, could receive the required support. </w:t>
      </w:r>
    </w:p>
    <w:p w14:paraId="76EAADA3" w14:textId="4A4CE79F" w:rsidR="00E24C3F" w:rsidRPr="00E96377" w:rsidRDefault="00E24C3F" w:rsidP="00E24C3F">
      <w:pPr>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br/>
      </w:r>
      <w:r w:rsidRPr="00E96377">
        <w:rPr>
          <w:rFonts w:ascii="Times New Roman" w:hAnsi="Times New Roman" w:cs="Times New Roman"/>
          <w:color w:val="auto"/>
          <w:sz w:val="24"/>
          <w:szCs w:val="24"/>
        </w:rPr>
        <w:t xml:space="preserve">When reflecting on my actions throughout this incident, I believe I acted in the most beneficial </w:t>
      </w:r>
      <w:r w:rsidRPr="00E96377">
        <w:rPr>
          <w:rFonts w:ascii="Times New Roman" w:hAnsi="Times New Roman" w:cs="Times New Roman"/>
          <w:color w:val="auto"/>
          <w:sz w:val="24"/>
          <w:szCs w:val="24"/>
        </w:rPr>
        <w:lastRenderedPageBreak/>
        <w:t xml:space="preserve">and effective manner to resolve the incident. I utilised the NDM to dramatically reduce the risk of harm to the victim, identify any potential vulnerabilities and I ensured that the victim received comprehensive and ongoing support to safeguard her from further harm and victimisation.   </w:t>
      </w:r>
      <w:r w:rsidRPr="00E96377">
        <w:rPr>
          <w:rFonts w:ascii="Times New Roman" w:hAnsi="Times New Roman" w:cs="Times New Roman"/>
          <w:color w:val="auto"/>
          <w:sz w:val="24"/>
          <w:szCs w:val="24"/>
        </w:rPr>
        <w:br/>
      </w:r>
      <w:r w:rsidRPr="00E96377">
        <w:rPr>
          <w:rFonts w:ascii="Times New Roman" w:hAnsi="Times New Roman" w:cs="Times New Roman"/>
          <w:color w:val="auto"/>
          <w:sz w:val="24"/>
          <w:szCs w:val="24"/>
        </w:rPr>
        <w:br/>
        <w:t>Rather than relying on the DASH grading for the risk and vulnerability of the victim, I used my professional judgement and took fast-track actions to ensure that multiple agencies could intervene at the earliest opportunity by referring the victim to MARAC (College of Policing, 2021). This ensured that the victim received a tailored, extensive, and ongoing support network from relevant partner agencies.</w:t>
      </w:r>
    </w:p>
    <w:p w14:paraId="68317E39" w14:textId="4877BB7F" w:rsidR="00E676F7" w:rsidRPr="00E676F7" w:rsidRDefault="00E676F7">
      <w:pPr>
        <w:overflowPunct/>
        <w:autoSpaceDE/>
        <w:autoSpaceDN/>
        <w:adjustRightInd/>
        <w:textAlignment w:val="auto"/>
        <w:rPr>
          <w:b/>
          <w:bCs/>
          <w:sz w:val="24"/>
          <w:szCs w:val="24"/>
        </w:rPr>
      </w:pP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52FB0921" w14:textId="035E9036" w:rsidR="69F7424F" w:rsidRDefault="00A221AB" w:rsidP="00E24C3F">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0E24C3F">
        <w:tc>
          <w:tcPr>
            <w:tcW w:w="9016" w:type="dxa"/>
            <w:shd w:val="clear" w:color="auto" w:fill="auto"/>
          </w:tcPr>
          <w:p w14:paraId="431EE8AF" w14:textId="6FDBBC08" w:rsidR="15800741" w:rsidRDefault="0FF883D4" w:rsidP="2531DC7A">
            <w:pPr>
              <w:ind w:right="237"/>
              <w:jc w:val="both"/>
              <w:rPr>
                <w:color w:val="000000" w:themeColor="text1"/>
                <w:sz w:val="24"/>
                <w:szCs w:val="24"/>
              </w:rPr>
            </w:pPr>
            <w:r>
              <w:br/>
            </w:r>
            <w:r w:rsidR="4EFC67B6"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732D590" w14:textId="19EF0E0E" w:rsidR="00025650" w:rsidRPr="00E24C3F" w:rsidRDefault="005C76DE" w:rsidP="0FF883D4">
      <w:pPr>
        <w:ind w:right="237"/>
        <w:jc w:val="both"/>
        <w:rPr>
          <w:b/>
          <w:bCs/>
          <w:sz w:val="24"/>
          <w:szCs w:val="24"/>
        </w:rPr>
      </w:pPr>
      <w:r w:rsidRPr="5CE196A1">
        <w:rPr>
          <w:b/>
          <w:bCs/>
          <w:sz w:val="24"/>
          <w:szCs w:val="24"/>
        </w:rPr>
        <w:t>ANSWER</w:t>
      </w:r>
      <w:r w:rsidR="00E24C3F">
        <w:rPr>
          <w:b/>
          <w:bCs/>
          <w:sz w:val="24"/>
          <w:szCs w:val="24"/>
        </w:rPr>
        <w:t>:</w:t>
      </w: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2:</w:t>
      </w:r>
      <w:r w:rsidRPr="5CE196A1">
        <w:rPr>
          <w:b/>
          <w:bCs/>
          <w:color w:val="000000" w:themeColor="text1"/>
          <w:sz w:val="28"/>
          <w:szCs w:val="28"/>
        </w:rPr>
        <w:t xml:space="preserve"> </w:t>
      </w: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1EE90A6" w14:textId="77777777" w:rsidR="00E24C3F" w:rsidRDefault="00E24C3F" w:rsidP="5CE196A1">
      <w:pPr>
        <w:ind w:right="237"/>
        <w:jc w:val="both"/>
        <w:rPr>
          <w:rFonts w:eastAsia="Arial"/>
          <w:b/>
          <w:bCs/>
          <w:color w:val="000000" w:themeColor="text1"/>
          <w:sz w:val="24"/>
          <w:szCs w:val="24"/>
          <w:u w:val="single"/>
        </w:rPr>
      </w:pPr>
    </w:p>
    <w:p w14:paraId="7ACE7957" w14:textId="02FAFDFD"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0" w:name="_Int_iqtpDieQ"/>
      <w:r w:rsidRPr="5CE196A1">
        <w:rPr>
          <w:rFonts w:eastAsia="Arial"/>
          <w:color w:val="000000" w:themeColor="text1"/>
          <w:sz w:val="24"/>
          <w:szCs w:val="24"/>
        </w:rPr>
        <w:t>In regard to</w:t>
      </w:r>
      <w:bookmarkEnd w:id="0"/>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83023EB" w:rsidR="00025650" w:rsidRDefault="00025650" w:rsidP="0FF883D4">
      <w:pPr>
        <w:ind w:right="237"/>
        <w:jc w:val="both"/>
        <w:rPr>
          <w:b/>
          <w:bCs/>
          <w:color w:val="000000" w:themeColor="text1"/>
          <w:sz w:val="24"/>
          <w:szCs w:val="24"/>
        </w:rPr>
      </w:pPr>
    </w:p>
    <w:p w14:paraId="2F670F17" w14:textId="2F753A68" w:rsidR="00E24C3F" w:rsidRDefault="00E24C3F" w:rsidP="0FF883D4">
      <w:pPr>
        <w:ind w:right="237"/>
        <w:jc w:val="both"/>
        <w:rPr>
          <w:b/>
          <w:bCs/>
          <w:color w:val="000000" w:themeColor="text1"/>
          <w:sz w:val="24"/>
          <w:szCs w:val="24"/>
        </w:rPr>
      </w:pPr>
    </w:p>
    <w:p w14:paraId="3F4E878A" w14:textId="77777777" w:rsidR="00E24C3F" w:rsidRPr="00E676F7" w:rsidRDefault="00E24C3F"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3F0D3450" w14:textId="38F1BDD3" w:rsidR="00E24C3F" w:rsidRPr="00524EEB" w:rsidRDefault="00E24C3F" w:rsidP="00E24C3F">
      <w:pPr>
        <w:spacing w:line="360" w:lineRule="auto"/>
        <w:jc w:val="both"/>
        <w:rPr>
          <w:rFonts w:ascii="Times New Roman" w:hAnsi="Times New Roman" w:cs="Times New Roman"/>
          <w:color w:val="auto"/>
          <w:sz w:val="24"/>
          <w:szCs w:val="24"/>
        </w:rPr>
      </w:pPr>
      <w:r w:rsidRPr="00524EEB">
        <w:rPr>
          <w:rFonts w:ascii="Times New Roman" w:hAnsi="Times New Roman" w:cs="Times New Roman"/>
          <w:color w:val="auto"/>
          <w:sz w:val="24"/>
          <w:szCs w:val="24"/>
        </w:rPr>
        <w:t>Conducting investigations is an integral function of police officers</w:t>
      </w:r>
      <w:r w:rsidRPr="00524EEB">
        <w:rPr>
          <w:rFonts w:ascii="Times New Roman" w:hAnsi="Times New Roman" w:cs="Times New Roman"/>
          <w:sz w:val="24"/>
          <w:szCs w:val="24"/>
        </w:rPr>
        <w:t>’</w:t>
      </w:r>
      <w:r w:rsidRPr="00524EEB">
        <w:rPr>
          <w:rFonts w:ascii="Times New Roman" w:hAnsi="Times New Roman" w:cs="Times New Roman"/>
          <w:color w:val="auto"/>
          <w:sz w:val="24"/>
          <w:szCs w:val="24"/>
        </w:rPr>
        <w:t xml:space="preserve"> daily duties, with researchers claiming that their quality is essential for the legitimacy of the police (Maguire, 2008). Investigations take place at every level of policing, and they vary in complexity (Stelfox, 2008). This depends on the information that is available to the investigating officers (Innes, 2003; Wilmer, 1970). </w:t>
      </w:r>
      <w:r w:rsidR="00EB2752">
        <w:rPr>
          <w:rFonts w:ascii="Times New Roman" w:hAnsi="Times New Roman" w:cs="Times New Roman"/>
          <w:color w:val="auto"/>
          <w:sz w:val="24"/>
          <w:szCs w:val="24"/>
        </w:rPr>
        <w:br/>
      </w:r>
      <w:r w:rsidR="00EB2752">
        <w:rPr>
          <w:rFonts w:ascii="Times New Roman" w:hAnsi="Times New Roman" w:cs="Times New Roman"/>
          <w:color w:val="auto"/>
          <w:sz w:val="24"/>
          <w:szCs w:val="24"/>
        </w:rPr>
        <w:br/>
      </w:r>
      <w:r w:rsidRPr="00524EEB">
        <w:rPr>
          <w:rFonts w:ascii="Times New Roman" w:hAnsi="Times New Roman" w:cs="Times New Roman"/>
          <w:color w:val="auto"/>
          <w:sz w:val="24"/>
          <w:szCs w:val="24"/>
        </w:rPr>
        <w:t xml:space="preserve">Officers are </w:t>
      </w:r>
      <w:r w:rsidRPr="00524EEB">
        <w:rPr>
          <w:rFonts w:ascii="Times New Roman" w:hAnsi="Times New Roman" w:cs="Times New Roman"/>
          <w:sz w:val="24"/>
          <w:szCs w:val="24"/>
        </w:rPr>
        <w:t>frequently</w:t>
      </w:r>
      <w:r w:rsidRPr="00524EEB">
        <w:rPr>
          <w:rFonts w:ascii="Times New Roman" w:hAnsi="Times New Roman" w:cs="Times New Roman"/>
          <w:color w:val="auto"/>
          <w:sz w:val="24"/>
          <w:szCs w:val="24"/>
        </w:rPr>
        <w:t xml:space="preserve"> expected to conduct complex, and time-consuming investigations alongside already demanding workloads</w:t>
      </w:r>
      <w:r w:rsidRPr="00524EEB">
        <w:rPr>
          <w:rFonts w:ascii="Times New Roman" w:hAnsi="Times New Roman" w:cs="Times New Roman"/>
          <w:sz w:val="24"/>
          <w:szCs w:val="24"/>
        </w:rPr>
        <w:t>,</w:t>
      </w:r>
      <w:r w:rsidRPr="00524EEB">
        <w:rPr>
          <w:rFonts w:ascii="Times New Roman" w:hAnsi="Times New Roman" w:cs="Times New Roman"/>
          <w:color w:val="auto"/>
          <w:sz w:val="24"/>
          <w:szCs w:val="24"/>
        </w:rPr>
        <w:t xml:space="preserve"> to the highest possible </w:t>
      </w:r>
      <w:r w:rsidRPr="00524EEB">
        <w:rPr>
          <w:rFonts w:ascii="Times New Roman" w:hAnsi="Times New Roman" w:cs="Times New Roman"/>
          <w:sz w:val="24"/>
          <w:szCs w:val="24"/>
        </w:rPr>
        <w:t>standard</w:t>
      </w:r>
      <w:r w:rsidRPr="00524EEB">
        <w:rPr>
          <w:rFonts w:ascii="Times New Roman" w:hAnsi="Times New Roman" w:cs="Times New Roman"/>
          <w:color w:val="auto"/>
          <w:sz w:val="24"/>
          <w:szCs w:val="24"/>
        </w:rPr>
        <w:t>. Unfortunately, the quality of these investigations is often impacted by the</w:t>
      </w:r>
      <w:r w:rsidRPr="00524EEB">
        <w:rPr>
          <w:rFonts w:ascii="Times New Roman" w:hAnsi="Times New Roman" w:cs="Times New Roman"/>
          <w:sz w:val="24"/>
          <w:szCs w:val="24"/>
        </w:rPr>
        <w:t xml:space="preserve"> extreme</w:t>
      </w:r>
      <w:r w:rsidRPr="00524EEB">
        <w:rPr>
          <w:rFonts w:ascii="Times New Roman" w:hAnsi="Times New Roman" w:cs="Times New Roman"/>
          <w:color w:val="auto"/>
          <w:sz w:val="24"/>
          <w:szCs w:val="24"/>
        </w:rPr>
        <w:t xml:space="preserve"> pressure on officers, which can have</w:t>
      </w:r>
      <w:r w:rsidRPr="00524EEB">
        <w:rPr>
          <w:rFonts w:ascii="Times New Roman" w:hAnsi="Times New Roman" w:cs="Times New Roman"/>
          <w:sz w:val="24"/>
          <w:szCs w:val="24"/>
        </w:rPr>
        <w:t xml:space="preserve"> a detrimental </w:t>
      </w:r>
      <w:r w:rsidRPr="00524EEB">
        <w:rPr>
          <w:rFonts w:ascii="Times New Roman" w:hAnsi="Times New Roman" w:cs="Times New Roman"/>
          <w:color w:val="auto"/>
          <w:sz w:val="24"/>
          <w:szCs w:val="24"/>
        </w:rPr>
        <w:t xml:space="preserve">impact on the outcome of the investigation (Griffiths, 2014). </w:t>
      </w:r>
    </w:p>
    <w:p w14:paraId="789CCA1C" w14:textId="2D0C253D" w:rsidR="00E24C3F" w:rsidRPr="00524EEB" w:rsidRDefault="00EB2752" w:rsidP="00E24C3F">
      <w:pPr>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br/>
      </w:r>
      <w:r w:rsidR="00E24C3F" w:rsidRPr="00524EEB">
        <w:rPr>
          <w:rFonts w:ascii="Times New Roman" w:hAnsi="Times New Roman" w:cs="Times New Roman"/>
          <w:color w:val="auto"/>
          <w:sz w:val="24"/>
          <w:szCs w:val="24"/>
        </w:rPr>
        <w:t xml:space="preserve">The fundamental aim of any criminal investigation is to detect and identify offenders (Morris, 2007). To achieve this, it is important to note that investigations are essentially information led. Therefore, officers must consider all possible sources of information </w:t>
      </w:r>
      <w:r w:rsidR="00E24C3F" w:rsidRPr="00524EEB">
        <w:rPr>
          <w:rFonts w:ascii="Times New Roman" w:hAnsi="Times New Roman" w:cs="Times New Roman"/>
          <w:sz w:val="24"/>
          <w:szCs w:val="24"/>
        </w:rPr>
        <w:t>to</w:t>
      </w:r>
      <w:r w:rsidR="00E24C3F" w:rsidRPr="00524EEB">
        <w:rPr>
          <w:rFonts w:ascii="Times New Roman" w:hAnsi="Times New Roman" w:cs="Times New Roman"/>
          <w:color w:val="auto"/>
          <w:sz w:val="24"/>
          <w:szCs w:val="24"/>
        </w:rPr>
        <w:t xml:space="preserve"> interpret the circumstances of the event (Dean, Fahsing, Glomseth, &amp; Gottschalk, 2008; Innes, 2003). This </w:t>
      </w:r>
      <w:r w:rsidR="00E24C3F" w:rsidRPr="00524EEB">
        <w:rPr>
          <w:rFonts w:ascii="Times New Roman" w:hAnsi="Times New Roman" w:cs="Times New Roman"/>
          <w:color w:val="auto"/>
          <w:sz w:val="24"/>
          <w:szCs w:val="24"/>
        </w:rPr>
        <w:lastRenderedPageBreak/>
        <w:t xml:space="preserve">may be relatively straightforward, or considerably challenging, and this is dependent on the circumstances of the incident itself (De Poot et al., 2004; Stelfox, 2009). </w:t>
      </w:r>
    </w:p>
    <w:p w14:paraId="32028756" w14:textId="45FD69FB" w:rsidR="00E24C3F" w:rsidRPr="00524EEB" w:rsidRDefault="00EB2752" w:rsidP="00E24C3F">
      <w:pPr>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br/>
      </w:r>
      <w:r w:rsidR="00E24C3F" w:rsidRPr="00524EEB">
        <w:rPr>
          <w:rFonts w:ascii="Times New Roman" w:hAnsi="Times New Roman" w:cs="Times New Roman"/>
          <w:color w:val="auto"/>
          <w:sz w:val="24"/>
          <w:szCs w:val="24"/>
        </w:rPr>
        <w:t xml:space="preserve">When conducting any investigation, it is essential that the circumstances of any incident are established so that the appropriate course of action to deal with it can be </w:t>
      </w:r>
      <w:r w:rsidR="00E24C3F" w:rsidRPr="00524EEB">
        <w:rPr>
          <w:rFonts w:ascii="Times New Roman" w:hAnsi="Times New Roman" w:cs="Times New Roman"/>
          <w:sz w:val="24"/>
          <w:szCs w:val="24"/>
        </w:rPr>
        <w:t>determined</w:t>
      </w:r>
      <w:r w:rsidR="00E24C3F" w:rsidRPr="00524EEB">
        <w:rPr>
          <w:rFonts w:ascii="Times New Roman" w:hAnsi="Times New Roman" w:cs="Times New Roman"/>
          <w:color w:val="auto"/>
          <w:sz w:val="24"/>
          <w:szCs w:val="24"/>
        </w:rPr>
        <w:t xml:space="preserve">. To do this, it is necessary to establish where, when, how, why and by whom a crime was, or will be committed (Cook &amp; Tattersall, 2014; Greenwood, Chaiken, &amp; Petersilia, 1977; Gross, 1893). </w:t>
      </w:r>
    </w:p>
    <w:p w14:paraId="260ECF20" w14:textId="25D78D57" w:rsidR="00E24C3F" w:rsidRPr="00524EEB" w:rsidRDefault="00EB2752" w:rsidP="00E24C3F">
      <w:pPr>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br/>
      </w:r>
      <w:r w:rsidR="00E24C3F" w:rsidRPr="00524EEB">
        <w:rPr>
          <w:rFonts w:ascii="Times New Roman" w:hAnsi="Times New Roman" w:cs="Times New Roman"/>
          <w:color w:val="auto"/>
          <w:sz w:val="24"/>
          <w:szCs w:val="24"/>
        </w:rPr>
        <w:t xml:space="preserve">Investigations can be conducted proactively and reactively, and the way in which they are conducted is dependent on various factors. For instance, whether the identity of the offender is known, whether it has been reported by the public following the commission of a crime, and how soon the investigating officers become aware of the incident after it occurred (Weisburd and Majmundar, 2018). </w:t>
      </w:r>
      <w:r w:rsidR="00E24C3F" w:rsidRPr="00524EEB">
        <w:rPr>
          <w:rFonts w:ascii="Times New Roman" w:hAnsi="Times New Roman" w:cs="Times New Roman"/>
          <w:color w:val="auto"/>
          <w:sz w:val="24"/>
          <w:szCs w:val="24"/>
        </w:rPr>
        <w:br/>
      </w:r>
      <w:r w:rsidR="00E24C3F" w:rsidRPr="00524EEB">
        <w:rPr>
          <w:rFonts w:ascii="Times New Roman" w:hAnsi="Times New Roman" w:cs="Times New Roman"/>
          <w:color w:val="auto"/>
          <w:sz w:val="24"/>
          <w:szCs w:val="24"/>
        </w:rPr>
        <w:br/>
        <w:t xml:space="preserve">This essay refers to a reactive investigation involving a distraction burglary, in which I played a significant role. This essay critically evaluates the support offered to victims, witnesses and to suspects throughout the investigation, and the management of my own personal values and attitudes in relation to this. </w:t>
      </w:r>
    </w:p>
    <w:p w14:paraId="212CD325" w14:textId="5955FD33" w:rsidR="00E24C3F" w:rsidRPr="00524EEB" w:rsidRDefault="00EB2752" w:rsidP="00E24C3F">
      <w:pPr>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br/>
      </w:r>
      <w:r w:rsidR="00E24C3F" w:rsidRPr="00524EEB">
        <w:rPr>
          <w:rFonts w:ascii="Times New Roman" w:hAnsi="Times New Roman" w:cs="Times New Roman"/>
          <w:color w:val="auto"/>
          <w:sz w:val="24"/>
          <w:szCs w:val="24"/>
        </w:rPr>
        <w:t xml:space="preserve">Importantly, the investigative process commences as soon as the initial phone call is made </w:t>
      </w:r>
      <w:r w:rsidR="00E24C3F" w:rsidRPr="00524EEB">
        <w:rPr>
          <w:rFonts w:ascii="Times New Roman" w:hAnsi="Times New Roman" w:cs="Times New Roman"/>
          <w:sz w:val="24"/>
          <w:szCs w:val="24"/>
        </w:rPr>
        <w:t xml:space="preserve">to the police </w:t>
      </w:r>
      <w:r w:rsidR="00E24C3F" w:rsidRPr="00524EEB">
        <w:rPr>
          <w:rFonts w:ascii="Times New Roman" w:hAnsi="Times New Roman" w:cs="Times New Roman"/>
          <w:color w:val="auto"/>
          <w:sz w:val="24"/>
          <w:szCs w:val="24"/>
        </w:rPr>
        <w:t>by the reporting person. In this instance, the victim herself</w:t>
      </w:r>
      <w:r w:rsidR="00E24C3F" w:rsidRPr="00524EEB">
        <w:rPr>
          <w:rFonts w:ascii="Times New Roman" w:hAnsi="Times New Roman" w:cs="Times New Roman"/>
          <w:sz w:val="24"/>
          <w:szCs w:val="24"/>
        </w:rPr>
        <w:t xml:space="preserve">. </w:t>
      </w:r>
      <w:r w:rsidR="00E24C3F" w:rsidRPr="00524EEB">
        <w:rPr>
          <w:rFonts w:ascii="Times New Roman" w:hAnsi="Times New Roman" w:cs="Times New Roman"/>
          <w:color w:val="auto"/>
          <w:sz w:val="24"/>
          <w:szCs w:val="24"/>
        </w:rPr>
        <w:t xml:space="preserve">As previously stated, investigations are information led (Innes, 2003), and so these phone calls are recorded so the maximum amount of information can be obtained to assist with the investigation from the first point of contact between the victim and the police. Call handlers provide immediate safety advice to the victim, ensuring they are aware of how they can keep themselves safe should they be threatened or at risk of harm (College of Policing, 2022). </w:t>
      </w:r>
    </w:p>
    <w:p w14:paraId="4FAD0815" w14:textId="5FCC8FF9" w:rsidR="00E24C3F" w:rsidRPr="00524EEB" w:rsidRDefault="00EB2752" w:rsidP="00E24C3F">
      <w:pPr>
        <w:spacing w:line="360" w:lineRule="auto"/>
        <w:jc w:val="both"/>
        <w:rPr>
          <w:rFonts w:ascii="Times New Roman" w:hAnsi="Times New Roman" w:cs="Times New Roman"/>
          <w:sz w:val="24"/>
          <w:szCs w:val="24"/>
        </w:rPr>
      </w:pPr>
      <w:r>
        <w:rPr>
          <w:rFonts w:ascii="Times New Roman" w:hAnsi="Times New Roman" w:cs="Times New Roman"/>
          <w:color w:val="auto"/>
          <w:sz w:val="24"/>
          <w:szCs w:val="24"/>
        </w:rPr>
        <w:br/>
      </w:r>
      <w:r w:rsidR="00E24C3F" w:rsidRPr="00524EEB">
        <w:rPr>
          <w:rFonts w:ascii="Times New Roman" w:hAnsi="Times New Roman" w:cs="Times New Roman"/>
          <w:color w:val="auto"/>
          <w:sz w:val="24"/>
          <w:szCs w:val="24"/>
        </w:rPr>
        <w:t xml:space="preserve">In addition to this, they utilise the policing national decision-making model (NDM) to obtain as much information as possible so they can inform officers of critical details regarding the circumstances of the incident, the individuals involved, their location, and whether there have been any offences committed. This allows officers to assess the threat, risk of harm through a dynamic risk assessment so they can establish possible and appropriate courses of action. Furthermore, they assist officers with </w:t>
      </w:r>
      <w:r w:rsidR="00E24C3F" w:rsidRPr="00524EEB">
        <w:rPr>
          <w:rFonts w:ascii="Times New Roman" w:hAnsi="Times New Roman" w:cs="Times New Roman"/>
          <w:sz w:val="24"/>
          <w:szCs w:val="24"/>
        </w:rPr>
        <w:t xml:space="preserve">identifying </w:t>
      </w:r>
      <w:r w:rsidR="00E24C3F" w:rsidRPr="00524EEB">
        <w:rPr>
          <w:rFonts w:ascii="Times New Roman" w:hAnsi="Times New Roman" w:cs="Times New Roman"/>
          <w:color w:val="auto"/>
          <w:sz w:val="24"/>
          <w:szCs w:val="24"/>
        </w:rPr>
        <w:t xml:space="preserve">potential evidential opportunities so that officers can pre-emptively plan to secure and preserve any evidence. They also advise the </w:t>
      </w:r>
      <w:r w:rsidR="00E24C3F" w:rsidRPr="00524EEB">
        <w:rPr>
          <w:rFonts w:ascii="Times New Roman" w:hAnsi="Times New Roman" w:cs="Times New Roman"/>
          <w:color w:val="auto"/>
          <w:sz w:val="24"/>
          <w:szCs w:val="24"/>
        </w:rPr>
        <w:lastRenderedPageBreak/>
        <w:t>victim how they can assist with the investigation by securing and preserving evidence whe</w:t>
      </w:r>
      <w:r w:rsidR="00E24C3F" w:rsidRPr="00524EEB">
        <w:rPr>
          <w:rFonts w:ascii="Times New Roman" w:hAnsi="Times New Roman" w:cs="Times New Roman"/>
          <w:sz w:val="24"/>
          <w:szCs w:val="24"/>
        </w:rPr>
        <w:t xml:space="preserve">re possible. </w:t>
      </w:r>
      <w:r w:rsidR="00E24C3F" w:rsidRPr="00524EEB">
        <w:rPr>
          <w:rFonts w:ascii="Times New Roman" w:hAnsi="Times New Roman" w:cs="Times New Roman"/>
          <w:color w:val="auto"/>
          <w:sz w:val="24"/>
          <w:szCs w:val="24"/>
        </w:rPr>
        <w:br/>
      </w:r>
      <w:r>
        <w:rPr>
          <w:rFonts w:ascii="Times New Roman" w:hAnsi="Times New Roman" w:cs="Times New Roman"/>
          <w:color w:val="auto"/>
          <w:sz w:val="24"/>
          <w:szCs w:val="24"/>
        </w:rPr>
        <w:br/>
      </w:r>
      <w:r w:rsidR="00E24C3F" w:rsidRPr="00524EEB">
        <w:rPr>
          <w:rFonts w:ascii="Times New Roman" w:hAnsi="Times New Roman" w:cs="Times New Roman"/>
          <w:color w:val="auto"/>
          <w:sz w:val="24"/>
          <w:szCs w:val="24"/>
        </w:rPr>
        <w:t>Due to information obtained by the call handlers, I was able to establish that the victim was at her home address with her granddaughter, and the offender had left the scene. I was able to identify the potential vulnerabilities of the victim, the location of the incident, the type of offence that took place, and potential evidential opportunities (Ask and Alison, 2010). Moreover, utilising this information, I conducted a</w:t>
      </w:r>
      <w:r w:rsidR="00E24C3F" w:rsidRPr="00524EEB">
        <w:rPr>
          <w:rFonts w:ascii="Times New Roman" w:hAnsi="Times New Roman" w:cs="Times New Roman"/>
          <w:sz w:val="24"/>
          <w:szCs w:val="24"/>
        </w:rPr>
        <w:t xml:space="preserve">n essential </w:t>
      </w:r>
      <w:r w:rsidR="00E24C3F" w:rsidRPr="00524EEB">
        <w:rPr>
          <w:rFonts w:ascii="Times New Roman" w:hAnsi="Times New Roman" w:cs="Times New Roman"/>
          <w:color w:val="auto"/>
          <w:sz w:val="24"/>
          <w:szCs w:val="24"/>
        </w:rPr>
        <w:t xml:space="preserve">dynamic risk assessment </w:t>
      </w:r>
      <w:r w:rsidR="00E24C3F" w:rsidRPr="00524EEB">
        <w:rPr>
          <w:rFonts w:ascii="Times New Roman" w:hAnsi="Times New Roman" w:cs="Times New Roman"/>
          <w:sz w:val="24"/>
          <w:szCs w:val="24"/>
        </w:rPr>
        <w:t>to consider p</w:t>
      </w:r>
      <w:r w:rsidR="00E24C3F" w:rsidRPr="00524EEB">
        <w:rPr>
          <w:rFonts w:ascii="Times New Roman" w:hAnsi="Times New Roman" w:cs="Times New Roman"/>
          <w:color w:val="auto"/>
          <w:sz w:val="24"/>
          <w:szCs w:val="24"/>
        </w:rPr>
        <w:t>otential vulnerabilities</w:t>
      </w:r>
      <w:r w:rsidR="00E24C3F" w:rsidRPr="00524EEB">
        <w:rPr>
          <w:rFonts w:ascii="Times New Roman" w:hAnsi="Times New Roman" w:cs="Times New Roman"/>
          <w:sz w:val="24"/>
          <w:szCs w:val="24"/>
        </w:rPr>
        <w:t xml:space="preserve">, possible options and legal powers I had so I could establish the appropriate courses of action to deal with the incident, and how to approach the investigation in the most effective manner. Continuous assessment </w:t>
      </w:r>
      <w:r w:rsidR="00E24C3F" w:rsidRPr="00524EEB">
        <w:rPr>
          <w:rFonts w:ascii="Times New Roman" w:hAnsi="Times New Roman" w:cs="Times New Roman"/>
          <w:color w:val="auto"/>
          <w:sz w:val="24"/>
          <w:szCs w:val="24"/>
        </w:rPr>
        <w:t xml:space="preserve">provides the investigation with clarity (College of Policing, 2013). </w:t>
      </w:r>
    </w:p>
    <w:p w14:paraId="3C1BFF12" w14:textId="45BC3546" w:rsidR="00E24C3F" w:rsidRPr="00524EEB" w:rsidRDefault="00EB2752" w:rsidP="00E24C3F">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r>
      <w:r w:rsidR="00E24C3F" w:rsidRPr="00524EEB">
        <w:rPr>
          <w:rFonts w:ascii="Times New Roman" w:hAnsi="Times New Roman" w:cs="Times New Roman"/>
          <w:color w:val="000000" w:themeColor="text1"/>
          <w:sz w:val="24"/>
          <w:szCs w:val="24"/>
        </w:rPr>
        <w:t xml:space="preserve">Upon attendance, both the victim and the witness were given safeguarding advice, and to ensure transparency, the investigative process was explained to her in a way that she could understand. This ensured that the victim maintained a sense of autonomy and engaged in the investigative process. This is essential because the main source of information throughout investigations is the perspectives of the individuals involved in the incident (Palmiotto, 2004). These accounts help identify specific patterns and themes regarding the offender’s behaviour and intentions. This further highlights the importance of the initial contact between police and the victim. </w:t>
      </w:r>
      <w:r w:rsidR="00E24C3F" w:rsidRPr="00524EEB">
        <w:rPr>
          <w:rFonts w:ascii="Times New Roman" w:hAnsi="Times New Roman" w:cs="Times New Roman"/>
          <w:color w:val="000000" w:themeColor="text1"/>
          <w:sz w:val="24"/>
          <w:szCs w:val="24"/>
        </w:rPr>
        <w:br/>
      </w:r>
    </w:p>
    <w:p w14:paraId="19152F88" w14:textId="77777777" w:rsidR="00E24C3F" w:rsidRPr="00524EEB" w:rsidRDefault="00E24C3F" w:rsidP="00E24C3F">
      <w:pPr>
        <w:spacing w:line="360" w:lineRule="auto"/>
        <w:jc w:val="both"/>
        <w:rPr>
          <w:rFonts w:ascii="Times New Roman" w:hAnsi="Times New Roman" w:cs="Times New Roman"/>
          <w:color w:val="000000" w:themeColor="text1"/>
          <w:sz w:val="24"/>
          <w:szCs w:val="24"/>
          <w:highlight w:val="lightGray"/>
        </w:rPr>
      </w:pPr>
      <w:r w:rsidRPr="00524EEB">
        <w:rPr>
          <w:rFonts w:ascii="Times New Roman" w:hAnsi="Times New Roman" w:cs="Times New Roman"/>
          <w:color w:val="000000" w:themeColor="text1"/>
          <w:sz w:val="24"/>
          <w:szCs w:val="24"/>
        </w:rPr>
        <w:t xml:space="preserve">It was essential that at the earliest opportunity, numerous fast track actions were completed so that the maximum amount of evidence was obtained for the progression of the investigation. These actions, also known as the ‘golden hour’ enquiries included communicating with the victim, considering any potential vulnerabilities, and if identified, taking necessary steps to accommodate these vulnerabilities, for instance, ensuring that an appropriate adult was present, and explaining the potential avenue of special measures should it be necessary for the individual to give their evidence in court. Further actions involved obtaining witness account, collecting, or preserving any potential evidence, identifying, and locating the suspect. </w:t>
      </w:r>
      <w:r w:rsidRPr="00524EEB">
        <w:rPr>
          <w:rFonts w:ascii="Times New Roman" w:hAnsi="Times New Roman" w:cs="Times New Roman"/>
          <w:color w:val="000000" w:themeColor="text1"/>
          <w:sz w:val="24"/>
          <w:szCs w:val="24"/>
          <w:highlight w:val="lightGray"/>
        </w:rPr>
        <w:br/>
      </w:r>
    </w:p>
    <w:p w14:paraId="5CCD2DA6" w14:textId="77777777" w:rsidR="00E24C3F" w:rsidRPr="00524EEB" w:rsidRDefault="00E24C3F" w:rsidP="00E24C3F">
      <w:pPr>
        <w:spacing w:line="360" w:lineRule="auto"/>
        <w:jc w:val="both"/>
        <w:rPr>
          <w:rFonts w:ascii="Times New Roman" w:hAnsi="Times New Roman" w:cs="Times New Roman"/>
          <w:color w:val="auto"/>
          <w:sz w:val="24"/>
          <w:szCs w:val="24"/>
        </w:rPr>
      </w:pPr>
      <w:r w:rsidRPr="00524EEB">
        <w:rPr>
          <w:rFonts w:ascii="Times New Roman" w:hAnsi="Times New Roman" w:cs="Times New Roman"/>
          <w:color w:val="000000" w:themeColor="text1"/>
          <w:sz w:val="24"/>
          <w:szCs w:val="24"/>
        </w:rPr>
        <w:t xml:space="preserve">While obtaining the victim’s account, it became clear that the offender was known to the victim, as he resided in the same street as her, and had been befriending her for the last several weeks prior to the incident because she felt sorry for him as he clearly struggled with substance </w:t>
      </w:r>
      <w:r w:rsidRPr="00524EEB">
        <w:rPr>
          <w:rFonts w:ascii="Times New Roman" w:hAnsi="Times New Roman" w:cs="Times New Roman"/>
          <w:color w:val="000000" w:themeColor="text1"/>
          <w:sz w:val="24"/>
          <w:szCs w:val="24"/>
        </w:rPr>
        <w:lastRenderedPageBreak/>
        <w:t xml:space="preserve">abuse. I identified themes and patterns of behaviour that was consistent with distraction burglary. </w:t>
      </w:r>
    </w:p>
    <w:p w14:paraId="465D30D1" w14:textId="605494E5" w:rsidR="00E24C3F" w:rsidRPr="00524EEB" w:rsidRDefault="00EB2752" w:rsidP="00E24C3F">
      <w:pPr>
        <w:spacing w:line="360" w:lineRule="auto"/>
        <w:jc w:val="both"/>
        <w:rPr>
          <w:rFonts w:ascii="Times New Roman" w:hAnsi="Times New Roman" w:cs="Times New Roman"/>
          <w:sz w:val="24"/>
          <w:szCs w:val="24"/>
        </w:rPr>
      </w:pPr>
      <w:r>
        <w:rPr>
          <w:rFonts w:ascii="Times New Roman" w:hAnsi="Times New Roman" w:cs="Times New Roman"/>
          <w:sz w:val="24"/>
          <w:szCs w:val="24"/>
        </w:rPr>
        <w:br/>
      </w:r>
      <w:r w:rsidR="00E24C3F" w:rsidRPr="00524EEB">
        <w:rPr>
          <w:rFonts w:ascii="Times New Roman" w:hAnsi="Times New Roman" w:cs="Times New Roman"/>
          <w:sz w:val="24"/>
          <w:szCs w:val="24"/>
        </w:rPr>
        <w:t>Distraction burglary is distinguishable from regular burglary (Lister and Wall 2006) and occurs when a trick, lie or distraction is used on a resident to gain, or attempt to gain, access to the premises to commit burglary. This includes instances where the offender first enters premises and subsequently uses distraction methods to remain on the premises and/or gain access to other parts of the premises to commit burglary (Home Office 2019). Significantly, this involves engagement with victims which is entirely different from the conventional burglary modus operandi (MO), where contact between offenders and victims is often avoided (Ruparel 2004).</w:t>
      </w:r>
      <w:r w:rsidR="00E24C3F" w:rsidRPr="00524EEB">
        <w:rPr>
          <w:rFonts w:ascii="Times New Roman" w:hAnsi="Times New Roman" w:cs="Times New Roman"/>
          <w:sz w:val="24"/>
          <w:szCs w:val="24"/>
        </w:rPr>
        <w:br/>
      </w:r>
      <w:r w:rsidR="00E24C3F" w:rsidRPr="00524EEB">
        <w:rPr>
          <w:rFonts w:ascii="Times New Roman" w:hAnsi="Times New Roman" w:cs="Times New Roman"/>
          <w:sz w:val="24"/>
          <w:szCs w:val="24"/>
        </w:rPr>
        <w:br/>
        <w:t xml:space="preserve">The offender may use various guises, whether this be asking for a drink or claiming to need the toilet (Thornton et al. 2003, Lister and Wall 2006). These incidents are more opportunistic in nature and offenders exploit their familiarity with a neighbourhood to select suitable targets to victimise (Lister and Wall 2006). </w:t>
      </w:r>
    </w:p>
    <w:p w14:paraId="002690E8" w14:textId="77777777" w:rsidR="00E24C3F" w:rsidRPr="00524EEB" w:rsidRDefault="00E24C3F" w:rsidP="00E24C3F">
      <w:pPr>
        <w:spacing w:line="360" w:lineRule="auto"/>
        <w:jc w:val="both"/>
        <w:rPr>
          <w:rFonts w:ascii="Times New Roman" w:hAnsi="Times New Roman" w:cs="Times New Roman"/>
          <w:sz w:val="24"/>
          <w:szCs w:val="24"/>
        </w:rPr>
      </w:pPr>
    </w:p>
    <w:p w14:paraId="6291B2A0" w14:textId="77777777" w:rsidR="00E24C3F" w:rsidRPr="00524EEB" w:rsidRDefault="00E24C3F" w:rsidP="00E24C3F">
      <w:pPr>
        <w:spacing w:line="360" w:lineRule="auto"/>
        <w:jc w:val="both"/>
        <w:rPr>
          <w:rFonts w:ascii="Times New Roman" w:hAnsi="Times New Roman" w:cs="Times New Roman"/>
          <w:color w:val="000000" w:themeColor="text1"/>
          <w:sz w:val="24"/>
          <w:szCs w:val="24"/>
        </w:rPr>
      </w:pPr>
      <w:r w:rsidRPr="00524EEB">
        <w:rPr>
          <w:rFonts w:ascii="Times New Roman" w:hAnsi="Times New Roman" w:cs="Times New Roman"/>
          <w:sz w:val="24"/>
          <w:szCs w:val="24"/>
        </w:rPr>
        <w:t xml:space="preserve">While completing the fast-track investigations, </w:t>
      </w:r>
      <w:r w:rsidRPr="00524EEB">
        <w:rPr>
          <w:rFonts w:ascii="Times New Roman" w:hAnsi="Times New Roman" w:cs="Times New Roman"/>
          <w:color w:val="000000" w:themeColor="text1"/>
          <w:sz w:val="24"/>
          <w:szCs w:val="24"/>
        </w:rPr>
        <w:t>I established significant evidential information, including various forensic opportunities. These included the point of entry and exit for the offender, and items that could be examined by Crime Scene Investigation (CSI). Subsequently, I recognised early that I would need to liaise with specialist internal policing departments to progress the investigation with guidance from specialist teams.</w:t>
      </w:r>
    </w:p>
    <w:p w14:paraId="34F2076A" w14:textId="32F1ACBD" w:rsidR="00E24C3F" w:rsidRPr="00524EEB" w:rsidRDefault="00E24C3F" w:rsidP="00E24C3F">
      <w:pPr>
        <w:spacing w:line="360" w:lineRule="auto"/>
        <w:jc w:val="both"/>
        <w:rPr>
          <w:rFonts w:ascii="Times New Roman" w:hAnsi="Times New Roman" w:cs="Times New Roman"/>
          <w:sz w:val="24"/>
          <w:szCs w:val="24"/>
        </w:rPr>
      </w:pPr>
      <w:r>
        <w:rPr>
          <w:rFonts w:ascii="Times New Roman" w:hAnsi="Times New Roman" w:cs="Times New Roman"/>
          <w:color w:val="000000" w:themeColor="text1"/>
          <w:sz w:val="24"/>
          <w:szCs w:val="24"/>
        </w:rPr>
        <w:br/>
      </w:r>
      <w:r w:rsidRPr="00524EEB">
        <w:rPr>
          <w:rFonts w:ascii="Times New Roman" w:hAnsi="Times New Roman" w:cs="Times New Roman"/>
          <w:color w:val="000000" w:themeColor="text1"/>
          <w:sz w:val="24"/>
          <w:szCs w:val="24"/>
        </w:rPr>
        <w:t xml:space="preserve">As with all dwelling burglaries, it is the responsibility of the investigating officer to consult with Criminal Investigation Department (CID) so they can assist with the investigative process and oversee the fast-track actions. It is crucial that these specialist officers guide investigating officers because they may solve problems in different ways, and may lend a different perspective </w:t>
      </w:r>
      <w:r w:rsidRPr="00524EEB">
        <w:rPr>
          <w:rFonts w:ascii="Times New Roman" w:hAnsi="Times New Roman" w:cs="Times New Roman"/>
          <w:sz w:val="24"/>
          <w:szCs w:val="24"/>
        </w:rPr>
        <w:t xml:space="preserve">(Ross, Shafer, &amp; Klein, 2006). </w:t>
      </w:r>
      <w:r>
        <w:rPr>
          <w:rFonts w:ascii="Times New Roman" w:hAnsi="Times New Roman" w:cs="Times New Roman"/>
          <w:sz w:val="24"/>
          <w:szCs w:val="24"/>
        </w:rPr>
        <w:t>Experts, in comparison with</w:t>
      </w:r>
      <w:r w:rsidRPr="00524EEB">
        <w:rPr>
          <w:rFonts w:ascii="Times New Roman" w:hAnsi="Times New Roman" w:cs="Times New Roman"/>
          <w:sz w:val="24"/>
          <w:szCs w:val="24"/>
        </w:rPr>
        <w:t xml:space="preserve"> novices, have greater knowledge in specific domains (Crandall, Kyne, Miltello, &amp; Klein, 1992), thus, they can assist with the investigation to ensure that every possible line of enquiry is investigated to obtain all of the evidence (Rossmo, 2009; Stelfox &amp; Pease, 2005; van Koppen, 2008)</w:t>
      </w:r>
      <w:r>
        <w:rPr>
          <w:rFonts w:ascii="Times New Roman" w:hAnsi="Times New Roman" w:cs="Times New Roman"/>
          <w:sz w:val="24"/>
          <w:szCs w:val="24"/>
        </w:rPr>
        <w:t>.</w:t>
      </w:r>
      <w:r>
        <w:rPr>
          <w:rFonts w:ascii="Times New Roman" w:hAnsi="Times New Roman" w:cs="Times New Roman"/>
          <w:sz w:val="24"/>
          <w:szCs w:val="24"/>
        </w:rPr>
        <w:br/>
      </w:r>
      <w:r>
        <w:rPr>
          <w:rFonts w:ascii="Times New Roman" w:hAnsi="Times New Roman" w:cs="Times New Roman"/>
          <w:sz w:val="24"/>
          <w:szCs w:val="24"/>
        </w:rPr>
        <w:br/>
        <w:t xml:space="preserve">They also </w:t>
      </w:r>
      <w:r w:rsidRPr="00524EEB">
        <w:rPr>
          <w:rFonts w:ascii="Times New Roman" w:hAnsi="Times New Roman" w:cs="Times New Roman"/>
          <w:sz w:val="24"/>
          <w:szCs w:val="24"/>
        </w:rPr>
        <w:t>ensure that the investigation is conducted in a systematic way (Ask &amp; Alison, 2010; Jones, Grieve, &amp; Milne, 2008; Riksadvokaten, 2015; Rossmo, 2014; Stelfox &amp; Pease, 2005; Westera, Kebbell, Milne, &amp; Green, 2014b).</w:t>
      </w:r>
      <w:r>
        <w:rPr>
          <w:rFonts w:ascii="Times New Roman" w:hAnsi="Times New Roman" w:cs="Times New Roman"/>
          <w:sz w:val="24"/>
          <w:szCs w:val="24"/>
        </w:rPr>
        <w:t xml:space="preserve"> </w:t>
      </w:r>
      <w:r w:rsidRPr="00524EEB">
        <w:rPr>
          <w:rFonts w:ascii="Times New Roman" w:hAnsi="Times New Roman" w:cs="Times New Roman"/>
          <w:sz w:val="24"/>
          <w:szCs w:val="24"/>
        </w:rPr>
        <w:t xml:space="preserve">Crucially, this can also prevent investigating </w:t>
      </w:r>
      <w:r w:rsidRPr="00524EEB">
        <w:rPr>
          <w:rFonts w:ascii="Times New Roman" w:hAnsi="Times New Roman" w:cs="Times New Roman"/>
          <w:sz w:val="24"/>
          <w:szCs w:val="24"/>
        </w:rPr>
        <w:lastRenderedPageBreak/>
        <w:t xml:space="preserve">officers from making mistakes, which has been documented as being the most common type of error throughout criminal investigations </w:t>
      </w:r>
      <w:r w:rsidRPr="00524EEB">
        <w:rPr>
          <w:rFonts w:ascii="Times New Roman" w:hAnsi="Times New Roman" w:cs="Times New Roman"/>
          <w:color w:val="000000" w:themeColor="text1"/>
          <w:sz w:val="24"/>
          <w:szCs w:val="24"/>
        </w:rPr>
        <w:t>(</w:t>
      </w:r>
      <w:r w:rsidRPr="00524EEB">
        <w:rPr>
          <w:rFonts w:ascii="Times New Roman" w:hAnsi="Times New Roman" w:cs="Times New Roman"/>
          <w:sz w:val="24"/>
          <w:szCs w:val="24"/>
        </w:rPr>
        <w:t>Carson, 2013; Irvine &amp; Dunningham, 1993; Kassin et al., 2013; Rachlew, 2009).</w:t>
      </w:r>
      <w:r w:rsidRPr="00524EEB">
        <w:rPr>
          <w:rFonts w:ascii="Times New Roman" w:hAnsi="Times New Roman" w:cs="Times New Roman"/>
          <w:sz w:val="24"/>
          <w:szCs w:val="24"/>
        </w:rPr>
        <w:br/>
      </w:r>
    </w:p>
    <w:p w14:paraId="44134061" w14:textId="77777777" w:rsidR="00E24C3F" w:rsidRPr="00524EEB" w:rsidRDefault="00E24C3F" w:rsidP="00E24C3F">
      <w:pPr>
        <w:spacing w:line="360" w:lineRule="auto"/>
        <w:jc w:val="both"/>
        <w:rPr>
          <w:rFonts w:ascii="Times New Roman" w:hAnsi="Times New Roman" w:cs="Times New Roman"/>
          <w:color w:val="auto"/>
          <w:sz w:val="24"/>
          <w:szCs w:val="24"/>
        </w:rPr>
      </w:pPr>
      <w:r w:rsidRPr="00524EEB">
        <w:rPr>
          <w:rFonts w:ascii="Times New Roman" w:hAnsi="Times New Roman" w:cs="Times New Roman"/>
          <w:sz w:val="24"/>
          <w:szCs w:val="24"/>
        </w:rPr>
        <w:t xml:space="preserve">Although crime decreases with age (HMICFRS, 2019), and older people are at least risk of become victims of burglary, this pattern is reversed with crimes such as distraction burglary (Lister and Wall, 2006). The average age of victims in these cases range from 77 years (Lister et al. 2004) to 81 years (Home Office 2002, Thornton et al. 2003), with people over 75 being more than five-and-a-half times more likely to suffer a distraction burglary (Lister et al. 2004, p. 56). Over three quarters of doorstep crime victims are white elderly females (Home Office 2001, also Steele et al. 2000). </w:t>
      </w:r>
    </w:p>
    <w:p w14:paraId="31999F08" w14:textId="39FB9265" w:rsidR="00E24C3F" w:rsidRPr="00524EEB" w:rsidRDefault="00E24C3F" w:rsidP="00E24C3F">
      <w:pPr>
        <w:spacing w:line="360" w:lineRule="auto"/>
        <w:jc w:val="both"/>
        <w:rPr>
          <w:rFonts w:ascii="Times New Roman" w:hAnsi="Times New Roman" w:cs="Times New Roman"/>
          <w:sz w:val="24"/>
          <w:szCs w:val="24"/>
        </w:rPr>
      </w:pPr>
      <w:r>
        <w:rPr>
          <w:rFonts w:ascii="Times New Roman" w:hAnsi="Times New Roman" w:cs="Times New Roman"/>
          <w:sz w:val="24"/>
          <w:szCs w:val="24"/>
        </w:rPr>
        <w:br/>
      </w:r>
      <w:r w:rsidRPr="00524EEB">
        <w:rPr>
          <w:rFonts w:ascii="Times New Roman" w:hAnsi="Times New Roman" w:cs="Times New Roman"/>
          <w:sz w:val="24"/>
          <w:szCs w:val="24"/>
        </w:rPr>
        <w:t xml:space="preserve">This placed the victim within this category, and it quickly became clear that the offender had intentionally targeted this victim due to her vulnerabilities due to her age and lack of mobility, which is a key theme of this type of crime. The way in which older people are targeted can have a devastating impact on them (Steele et al. 2000, Lister and Wall 2006) physically and psychologically. Therefore, it was essential that immediate, and appropriate safeguarding measures were put in place to support the victim, and so that the appropriate partner agencies were aware of the incident, so that they could further safeguard her. </w:t>
      </w:r>
    </w:p>
    <w:p w14:paraId="6D76CEEB" w14:textId="15CFC3F6" w:rsidR="00E24C3F" w:rsidRPr="00524EEB" w:rsidRDefault="00E24C3F" w:rsidP="00E24C3F">
      <w:pPr>
        <w:spacing w:line="360" w:lineRule="auto"/>
        <w:ind w:right="237"/>
        <w:jc w:val="both"/>
        <w:rPr>
          <w:rFonts w:ascii="Times New Roman" w:hAnsi="Times New Roman" w:cs="Times New Roman"/>
          <w:color w:val="000000" w:themeColor="text1"/>
          <w:sz w:val="24"/>
          <w:szCs w:val="24"/>
          <w:highlight w:val="lightGray"/>
        </w:rPr>
      </w:pPr>
      <w:r>
        <w:rPr>
          <w:rFonts w:ascii="Times New Roman" w:hAnsi="Times New Roman" w:cs="Times New Roman"/>
          <w:color w:val="000000" w:themeColor="text1"/>
          <w:sz w:val="24"/>
          <w:szCs w:val="24"/>
        </w:rPr>
        <w:br/>
      </w:r>
      <w:r w:rsidRPr="00524EEB">
        <w:rPr>
          <w:rFonts w:ascii="Times New Roman" w:hAnsi="Times New Roman" w:cs="Times New Roman"/>
          <w:color w:val="000000" w:themeColor="text1"/>
          <w:sz w:val="24"/>
          <w:szCs w:val="24"/>
        </w:rPr>
        <w:t xml:space="preserve">While conducting complex investigations, the THRIVE model offers a framework which enables officers to clearly understand how to approach incidents involving vulnerability. This approach consists of four fundamental stages: Identify any vulnerabilities; understand how these vulnerabilities may result in harm or pose a risk of harm; assess the level of harm; and take appropriate and proportionate action to reduce it where necessary (College of Policing, 2021). </w:t>
      </w:r>
      <w:r w:rsidRPr="00524EEB">
        <w:rPr>
          <w:rFonts w:ascii="Times New Roman" w:hAnsi="Times New Roman" w:cs="Times New Roman"/>
          <w:sz w:val="24"/>
          <w:szCs w:val="24"/>
        </w:rPr>
        <w:t xml:space="preserve">By utilising this model, I was able to identify the vulnerabilities of the victim, the potential risks to her, and all involved in the incident. Subsequently, I was </w:t>
      </w:r>
      <w:r w:rsidRPr="00524EEB">
        <w:rPr>
          <w:rFonts w:ascii="Times New Roman" w:hAnsi="Times New Roman" w:cs="Times New Roman"/>
          <w:color w:val="000000" w:themeColor="text1"/>
          <w:sz w:val="24"/>
          <w:szCs w:val="24"/>
        </w:rPr>
        <w:t xml:space="preserve">able to consider the appropriate referrals that were necessary based on the victim’s vulnerabilities, and their physical and mental needs. </w:t>
      </w:r>
      <w:r w:rsidRPr="00524EEB">
        <w:rPr>
          <w:rFonts w:ascii="Times New Roman" w:hAnsi="Times New Roman" w:cs="Times New Roman"/>
          <w:color w:val="000000" w:themeColor="text1"/>
          <w:sz w:val="24"/>
          <w:szCs w:val="24"/>
          <w:highlight w:val="lightGray"/>
        </w:rPr>
        <w:br/>
      </w:r>
      <w:r w:rsidRPr="00524EEB">
        <w:rPr>
          <w:rFonts w:ascii="Times New Roman" w:hAnsi="Times New Roman" w:cs="Times New Roman"/>
          <w:color w:val="000000" w:themeColor="text1"/>
          <w:sz w:val="24"/>
          <w:szCs w:val="24"/>
          <w:highlight w:val="lightGray"/>
        </w:rPr>
        <w:br/>
      </w:r>
      <w:r w:rsidRPr="00524EEB">
        <w:rPr>
          <w:rFonts w:ascii="Times New Roman" w:hAnsi="Times New Roman" w:cs="Times New Roman"/>
          <w:color w:val="000000" w:themeColor="text1"/>
          <w:sz w:val="24"/>
          <w:szCs w:val="24"/>
        </w:rPr>
        <w:t xml:space="preserve">It has been suggested that when different agencies are tasked by police to protect and support victims of crime, they may perceive risk differently, and the levels of their intervention may vary according to their differing priorities (Stanley and Humphreys, 2014). Therefore, it is vital that regular contact between partner agencies is maintained. This ensures that all parties </w:t>
      </w:r>
      <w:r w:rsidRPr="00524EEB">
        <w:rPr>
          <w:rFonts w:ascii="Times New Roman" w:hAnsi="Times New Roman" w:cs="Times New Roman"/>
          <w:color w:val="000000" w:themeColor="text1"/>
          <w:sz w:val="24"/>
          <w:szCs w:val="24"/>
        </w:rPr>
        <w:lastRenderedPageBreak/>
        <w:t xml:space="preserve">are informed of updated information regarding risks to the victim, and how they have been impacted by incidents such as this. This could be critical to ensuring the appropriate approach is taken to prevent escalation to provide necessary support to victims. </w:t>
      </w:r>
    </w:p>
    <w:p w14:paraId="01ED057C" w14:textId="77777777" w:rsidR="00E24C3F" w:rsidRPr="00524EEB" w:rsidRDefault="00E24C3F" w:rsidP="00E24C3F">
      <w:pPr>
        <w:spacing w:line="360" w:lineRule="auto"/>
        <w:ind w:right="237"/>
        <w:jc w:val="both"/>
        <w:rPr>
          <w:rFonts w:ascii="Times New Roman" w:hAnsi="Times New Roman" w:cs="Times New Roman"/>
          <w:color w:val="000000" w:themeColor="text1"/>
          <w:sz w:val="24"/>
          <w:szCs w:val="24"/>
          <w:highlight w:val="lightGray"/>
        </w:rPr>
      </w:pPr>
    </w:p>
    <w:p w14:paraId="7CF8201D" w14:textId="77777777" w:rsidR="00E24C3F" w:rsidRPr="00524EEB" w:rsidRDefault="00E24C3F" w:rsidP="00E24C3F">
      <w:pPr>
        <w:spacing w:line="360" w:lineRule="auto"/>
        <w:jc w:val="both"/>
        <w:rPr>
          <w:rFonts w:ascii="Times New Roman" w:hAnsi="Times New Roman" w:cs="Times New Roman"/>
          <w:color w:val="auto"/>
          <w:sz w:val="24"/>
          <w:szCs w:val="24"/>
        </w:rPr>
      </w:pPr>
      <w:r w:rsidRPr="00524EEB">
        <w:rPr>
          <w:rFonts w:ascii="Times New Roman" w:hAnsi="Times New Roman" w:cs="Times New Roman"/>
          <w:sz w:val="24"/>
          <w:szCs w:val="24"/>
        </w:rPr>
        <w:t xml:space="preserve">Research suggests that recontacting the victim results in higher satisfaction and a greater willingness to engage with police (D’Amore et al., 2011; Guss et al., 2013; Jones et al., 1988; Krishnan et al., 2015). This provides another opportunity to provide victims with ongoing support and obtain further information that can assist with the investigation. </w:t>
      </w:r>
    </w:p>
    <w:p w14:paraId="55F4EFF9" w14:textId="3C200275" w:rsidR="00E24C3F" w:rsidRPr="00524EEB" w:rsidRDefault="00B1174E" w:rsidP="00E24C3F">
      <w:pPr>
        <w:spacing w:line="360" w:lineRule="auto"/>
        <w:ind w:right="237"/>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r>
      <w:r w:rsidR="00E24C3F" w:rsidRPr="00524EEB">
        <w:rPr>
          <w:rFonts w:ascii="Times New Roman" w:hAnsi="Times New Roman" w:cs="Times New Roman"/>
          <w:color w:val="000000" w:themeColor="text1"/>
          <w:sz w:val="24"/>
          <w:szCs w:val="24"/>
        </w:rPr>
        <w:t xml:space="preserve">After the completion of the initial fast-track actions, I was able to identify and locate the offender with the assistance of CCTV footage. The offender was then arrested, and his account obtained through formal questioning. This highlights the importance of CCTV as a vital tool to criminal investigations </w:t>
      </w:r>
      <w:r w:rsidR="00E24C3F" w:rsidRPr="00524EEB">
        <w:rPr>
          <w:rFonts w:ascii="Times New Roman" w:hAnsi="Times New Roman" w:cs="Times New Roman"/>
          <w:color w:val="333333"/>
          <w:sz w:val="24"/>
          <w:szCs w:val="24"/>
          <w:shd w:val="clear" w:color="auto" w:fill="FCFCFC"/>
        </w:rPr>
        <w:t>(Porter, 2016)</w:t>
      </w:r>
      <w:r w:rsidR="00E24C3F" w:rsidRPr="00524EEB">
        <w:rPr>
          <w:rFonts w:ascii="Times New Roman" w:hAnsi="Times New Roman" w:cs="Times New Roman"/>
          <w:color w:val="000000" w:themeColor="text1"/>
          <w:sz w:val="24"/>
          <w:szCs w:val="24"/>
        </w:rPr>
        <w:t>.</w:t>
      </w:r>
    </w:p>
    <w:p w14:paraId="30A7028B" w14:textId="032BFFA4" w:rsidR="00E24C3F" w:rsidRPr="00524EEB" w:rsidRDefault="00E24C3F" w:rsidP="00E24C3F">
      <w:pPr>
        <w:spacing w:line="360" w:lineRule="auto"/>
        <w:ind w:right="237"/>
        <w:jc w:val="both"/>
        <w:rPr>
          <w:rFonts w:ascii="Times New Roman" w:hAnsi="Times New Roman" w:cs="Times New Roman"/>
          <w:color w:val="000000" w:themeColor="text1"/>
          <w:sz w:val="24"/>
          <w:szCs w:val="24"/>
          <w:highlight w:val="lightGray"/>
        </w:rPr>
      </w:pPr>
      <w:r>
        <w:rPr>
          <w:rFonts w:ascii="Times New Roman" w:hAnsi="Times New Roman" w:cs="Times New Roman"/>
          <w:color w:val="000000" w:themeColor="text1"/>
          <w:sz w:val="24"/>
          <w:szCs w:val="24"/>
        </w:rPr>
        <w:br/>
      </w:r>
      <w:r w:rsidRPr="00524EEB">
        <w:rPr>
          <w:rFonts w:ascii="Times New Roman" w:hAnsi="Times New Roman" w:cs="Times New Roman"/>
          <w:color w:val="000000" w:themeColor="text1"/>
          <w:sz w:val="24"/>
          <w:szCs w:val="24"/>
        </w:rPr>
        <w:t xml:space="preserve">I was mindful that safeguarding procedures needed to be implemented to protect the victim and prevent revictimization. Subsequently, a bail application was completed, which prohibited the offender from contacting or approaching the victim. These measures were limited, but offered some security for the victim, because the offender was liable to arrest if they breached these conditions. These conditions, along with special measures, are beneficial tools that police can implement in line with the victim’s code, and can give victims support, should they have to give evidence in court (NPCC, 2019). </w:t>
      </w:r>
    </w:p>
    <w:p w14:paraId="1219553B" w14:textId="77777777" w:rsidR="00E24C3F" w:rsidRPr="00524EEB" w:rsidRDefault="00E24C3F" w:rsidP="00E24C3F">
      <w:pPr>
        <w:spacing w:line="360" w:lineRule="auto"/>
        <w:ind w:right="237"/>
        <w:jc w:val="both"/>
        <w:rPr>
          <w:rFonts w:ascii="Times New Roman" w:hAnsi="Times New Roman" w:cs="Times New Roman"/>
          <w:color w:val="000000" w:themeColor="text1"/>
          <w:sz w:val="24"/>
          <w:szCs w:val="24"/>
          <w:highlight w:val="lightGray"/>
        </w:rPr>
      </w:pPr>
    </w:p>
    <w:p w14:paraId="70E77DE4" w14:textId="77777777" w:rsidR="00E24C3F" w:rsidRPr="00524EEB" w:rsidRDefault="00E24C3F" w:rsidP="00E24C3F">
      <w:pPr>
        <w:spacing w:line="360" w:lineRule="auto"/>
        <w:ind w:right="237"/>
        <w:jc w:val="both"/>
        <w:rPr>
          <w:rFonts w:ascii="Times New Roman" w:hAnsi="Times New Roman" w:cs="Times New Roman"/>
          <w:color w:val="000000" w:themeColor="text1"/>
          <w:sz w:val="24"/>
          <w:szCs w:val="24"/>
        </w:rPr>
      </w:pPr>
      <w:r w:rsidRPr="00524EEB">
        <w:rPr>
          <w:rFonts w:ascii="Times New Roman" w:hAnsi="Times New Roman" w:cs="Times New Roman"/>
          <w:color w:val="000000" w:themeColor="text1"/>
          <w:sz w:val="24"/>
          <w:szCs w:val="24"/>
        </w:rPr>
        <w:t xml:space="preserve">There have been cases previously where investigations have been unsuccessful and even dropped where officers have breached basic codes of practice, even when there was overwhelming evidence proving the suspect’s involvement in the offence (Home Office, 2020). This highlights the importance of remaining impartial during an investigation, and investigating all lines of enquiry, regardless of whether this uncovers evidence that disproves the suspect’s involvement in the offence (Home Office, 2022). </w:t>
      </w:r>
    </w:p>
    <w:p w14:paraId="7BD57C46" w14:textId="49FAECFA" w:rsidR="00E24C3F" w:rsidRPr="00524EEB" w:rsidRDefault="00E24C3F" w:rsidP="00E24C3F">
      <w:pPr>
        <w:spacing w:line="360" w:lineRule="auto"/>
        <w:ind w:right="237"/>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r>
      <w:r w:rsidRPr="00524EEB">
        <w:rPr>
          <w:rFonts w:ascii="Times New Roman" w:hAnsi="Times New Roman" w:cs="Times New Roman"/>
          <w:color w:val="000000" w:themeColor="text1"/>
          <w:sz w:val="24"/>
          <w:szCs w:val="24"/>
        </w:rPr>
        <w:t xml:space="preserve">Furthermore, it is equally important that the rights of the offender are upheld throughout the investigation. Throughout the investigation, it was clear that the offender experienced issues with substance abuse. This was identified as a vulnerability, and so, I had a responsibility to refer them to Gwent Drug, Alcohol Services (GDAS, 2020) so they could also receive the required support. Furthermore, the offender’s rights to legal representation and translation </w:t>
      </w:r>
      <w:r w:rsidRPr="00524EEB">
        <w:rPr>
          <w:rFonts w:ascii="Times New Roman" w:hAnsi="Times New Roman" w:cs="Times New Roman"/>
          <w:color w:val="000000" w:themeColor="text1"/>
          <w:sz w:val="24"/>
          <w:szCs w:val="24"/>
        </w:rPr>
        <w:lastRenderedPageBreak/>
        <w:t xml:space="preserve">support were upheld (Home Office, 2020). </w:t>
      </w:r>
      <w:r w:rsidRPr="00524EEB">
        <w:rPr>
          <w:rFonts w:ascii="Times New Roman" w:hAnsi="Times New Roman" w:cs="Times New Roman"/>
          <w:color w:val="000000" w:themeColor="text1"/>
          <w:sz w:val="24"/>
          <w:szCs w:val="24"/>
        </w:rPr>
        <w:br/>
      </w:r>
    </w:p>
    <w:p w14:paraId="60C546D5" w14:textId="77777777" w:rsidR="00E24C3F" w:rsidRDefault="00E24C3F" w:rsidP="00E24C3F">
      <w:pPr>
        <w:spacing w:line="360" w:lineRule="auto"/>
        <w:ind w:right="237"/>
        <w:jc w:val="both"/>
        <w:rPr>
          <w:rFonts w:ascii="Times New Roman" w:hAnsi="Times New Roman" w:cs="Times New Roman"/>
          <w:color w:val="000000" w:themeColor="text1"/>
          <w:sz w:val="24"/>
          <w:szCs w:val="24"/>
        </w:rPr>
      </w:pPr>
      <w:r w:rsidRPr="00524EEB">
        <w:rPr>
          <w:rFonts w:ascii="Times New Roman" w:hAnsi="Times New Roman" w:cs="Times New Roman"/>
          <w:color w:val="000000" w:themeColor="text1"/>
          <w:sz w:val="24"/>
          <w:szCs w:val="24"/>
        </w:rPr>
        <w:t>In conclusion, by conducting an effective risk assessment, and communicating with the victim, I was able to take appropriate fast track actions to secure and preserve evidence, which contributed towards conducting a successful and effective investigation. Furthermore, I was able to remain impartial, and ensure that I offered the relevant support to both the victim and the offender. I upheld my values as an individual, and as a police officer, to ensure that the investigation was fair and unbiased before it was submitted to the CPS.</w:t>
      </w:r>
    </w:p>
    <w:p w14:paraId="79FD7371" w14:textId="77777777" w:rsidR="00E24C3F" w:rsidRDefault="00E24C3F" w:rsidP="00E24C3F">
      <w:pPr>
        <w:spacing w:line="360" w:lineRule="auto"/>
        <w:ind w:right="237"/>
        <w:jc w:val="both"/>
        <w:rPr>
          <w:rFonts w:ascii="Times New Roman" w:hAnsi="Times New Roman" w:cs="Times New Roman"/>
          <w:color w:val="000000" w:themeColor="text1"/>
          <w:sz w:val="24"/>
          <w:szCs w:val="24"/>
        </w:rPr>
      </w:pPr>
    </w:p>
    <w:p w14:paraId="76B6FAAC" w14:textId="78791342" w:rsidR="0FF883D4" w:rsidRDefault="0FF883D4" w:rsidP="0FF883D4">
      <w:pPr>
        <w:ind w:left="2880" w:right="225" w:firstLine="720"/>
        <w:rPr>
          <w:b/>
          <w:bCs/>
          <w:sz w:val="24"/>
          <w:szCs w:val="24"/>
          <w:lang w:eastAsia="zh-TW"/>
        </w:rPr>
      </w:pPr>
    </w:p>
    <w:p w14:paraId="1ADEFAE5" w14:textId="7D875DE7" w:rsidR="0FF883D4" w:rsidRDefault="5CE196A1" w:rsidP="5CE196A1">
      <w:r w:rsidRPr="5CE196A1">
        <w:rPr>
          <w:rFonts w:eastAsia="Arial"/>
          <w:b/>
          <w:bCs/>
          <w:color w:val="000000" w:themeColor="text1"/>
          <w:sz w:val="24"/>
          <w:szCs w:val="24"/>
        </w:rPr>
        <w:t xml:space="preserve">Authentication signature: </w:t>
      </w:r>
      <w:r w:rsidR="00EF3ED1">
        <w:rPr>
          <w:rFonts w:eastAsia="Arial"/>
          <w:b/>
          <w:bCs/>
          <w:color w:val="000000" w:themeColor="text1"/>
          <w:sz w:val="24"/>
          <w:szCs w:val="24"/>
        </w:rPr>
        <w:t>T</w:t>
      </w:r>
      <w:r w:rsidR="00A16619">
        <w:rPr>
          <w:rFonts w:eastAsia="Arial"/>
          <w:b/>
          <w:bCs/>
          <w:color w:val="000000" w:themeColor="text1"/>
          <w:sz w:val="24"/>
          <w:szCs w:val="24"/>
        </w:rPr>
        <w:t>homas Barron</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C08F14B" w:rsidR="0FF883D4" w:rsidRDefault="5CE196A1" w:rsidP="5CE196A1">
      <w:r w:rsidRPr="5CE196A1">
        <w:rPr>
          <w:rFonts w:eastAsia="Arial"/>
          <w:b/>
          <w:bCs/>
          <w:color w:val="000000" w:themeColor="text1"/>
          <w:sz w:val="24"/>
          <w:szCs w:val="24"/>
        </w:rPr>
        <w:t xml:space="preserve">Signed: </w:t>
      </w:r>
      <w:r w:rsidR="00A16619">
        <w:rPr>
          <w:rFonts w:eastAsia="Arial"/>
          <w:b/>
          <w:bCs/>
          <w:color w:val="000000" w:themeColor="text1"/>
          <w:sz w:val="24"/>
          <w:szCs w:val="24"/>
        </w:rPr>
        <w:t>T. Barron</w:t>
      </w:r>
    </w:p>
    <w:p w14:paraId="563192E7" w14:textId="7A83C86F" w:rsidR="0FF883D4" w:rsidRDefault="5CE196A1" w:rsidP="5CE196A1">
      <w:r w:rsidRPr="5CE196A1">
        <w:rPr>
          <w:rFonts w:eastAsia="Arial"/>
          <w:b/>
          <w:bCs/>
          <w:color w:val="000000" w:themeColor="text1"/>
          <w:sz w:val="24"/>
          <w:szCs w:val="24"/>
        </w:rPr>
        <w:t xml:space="preserve"> </w:t>
      </w:r>
    </w:p>
    <w:p w14:paraId="482B2B3A" w14:textId="153AEE7A" w:rsidR="0FF883D4" w:rsidRPr="00A16619" w:rsidRDefault="5CE196A1" w:rsidP="00A16619">
      <w:pPr>
        <w:sectPr w:rsidR="0FF883D4" w:rsidRPr="00A16619" w:rsidSect="0022001B">
          <w:footerReference w:type="default" r:id="rId16"/>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A16619">
        <w:t xml:space="preserve"> 07/08/2023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2D9349CE"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61845DC3" w14:textId="0051F42C" w:rsidR="007D3569" w:rsidRPr="00875CBE" w:rsidRDefault="007D3569" w:rsidP="007D3569">
      <w:pPr>
        <w:spacing w:line="360" w:lineRule="auto"/>
        <w:jc w:val="both"/>
        <w:rPr>
          <w:rFonts w:ascii="Times New Roman" w:hAnsi="Times New Roman" w:cs="Times New Roman"/>
          <w:color w:val="auto"/>
          <w:sz w:val="24"/>
          <w:szCs w:val="24"/>
        </w:rPr>
      </w:pPr>
    </w:p>
    <w:p w14:paraId="2E0DF3F5"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shd w:val="clear" w:color="auto" w:fill="FFFFFF"/>
        </w:rPr>
        <w:t>Ashby, M.P., 2017. The value of CCTV surveillance cameras as an investigative tool: An empirical analysis. </w:t>
      </w:r>
      <w:r w:rsidRPr="00875CBE">
        <w:rPr>
          <w:rFonts w:ascii="Times New Roman" w:hAnsi="Times New Roman" w:cs="Times New Roman"/>
          <w:i/>
          <w:iCs/>
          <w:color w:val="auto"/>
          <w:sz w:val="24"/>
          <w:szCs w:val="24"/>
          <w:shd w:val="clear" w:color="auto" w:fill="FFFFFF"/>
        </w:rPr>
        <w:t>European Journal on Criminal Policy and Research</w:t>
      </w:r>
      <w:r w:rsidRPr="00875CBE">
        <w:rPr>
          <w:rFonts w:ascii="Times New Roman" w:hAnsi="Times New Roman" w:cs="Times New Roman"/>
          <w:color w:val="auto"/>
          <w:sz w:val="24"/>
          <w:szCs w:val="24"/>
          <w:shd w:val="clear" w:color="auto" w:fill="FFFFFF"/>
        </w:rPr>
        <w:t>, </w:t>
      </w:r>
      <w:r w:rsidRPr="00875CBE">
        <w:rPr>
          <w:rFonts w:ascii="Times New Roman" w:hAnsi="Times New Roman" w:cs="Times New Roman"/>
          <w:i/>
          <w:iCs/>
          <w:color w:val="auto"/>
          <w:sz w:val="24"/>
          <w:szCs w:val="24"/>
          <w:shd w:val="clear" w:color="auto" w:fill="FFFFFF"/>
        </w:rPr>
        <w:t>23</w:t>
      </w:r>
      <w:r w:rsidRPr="00875CBE">
        <w:rPr>
          <w:rFonts w:ascii="Times New Roman" w:hAnsi="Times New Roman" w:cs="Times New Roman"/>
          <w:color w:val="auto"/>
          <w:sz w:val="24"/>
          <w:szCs w:val="24"/>
          <w:shd w:val="clear" w:color="auto" w:fill="FFFFFF"/>
        </w:rPr>
        <w:t>(3), pp.441-459.</w:t>
      </w:r>
    </w:p>
    <w:p w14:paraId="6854C9FB"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Ask, K., &amp; Alison, L. (2010). Investigators' decision making. In P. A. Granhag (Ed.), Forensic psychology in context: Nordic and international perspectives (pp. 35-55). Cullompton, UK: Willan.</w:t>
      </w:r>
    </w:p>
    <w:p w14:paraId="17D58312"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shd w:val="clear" w:color="auto" w:fill="FFFFFF"/>
        </w:rPr>
        <w:t>Aplin, R., 2022. Police discretion, pragmatism and crime ‘deconstruction’: Police doorstep crime investigations in England and Wales. </w:t>
      </w:r>
      <w:r w:rsidRPr="00875CBE">
        <w:rPr>
          <w:rFonts w:ascii="Times New Roman" w:hAnsi="Times New Roman" w:cs="Times New Roman"/>
          <w:i/>
          <w:iCs/>
          <w:color w:val="auto"/>
          <w:sz w:val="24"/>
          <w:szCs w:val="24"/>
          <w:shd w:val="clear" w:color="auto" w:fill="FFFFFF"/>
        </w:rPr>
        <w:t>Policing and Society</w:t>
      </w:r>
      <w:r w:rsidRPr="00875CBE">
        <w:rPr>
          <w:rFonts w:ascii="Times New Roman" w:hAnsi="Times New Roman" w:cs="Times New Roman"/>
          <w:color w:val="auto"/>
          <w:sz w:val="24"/>
          <w:szCs w:val="24"/>
          <w:shd w:val="clear" w:color="auto" w:fill="FFFFFF"/>
        </w:rPr>
        <w:t>, </w:t>
      </w:r>
      <w:r w:rsidRPr="00875CBE">
        <w:rPr>
          <w:rFonts w:ascii="Times New Roman" w:hAnsi="Times New Roman" w:cs="Times New Roman"/>
          <w:i/>
          <w:iCs/>
          <w:color w:val="auto"/>
          <w:sz w:val="24"/>
          <w:szCs w:val="24"/>
          <w:shd w:val="clear" w:color="auto" w:fill="FFFFFF"/>
        </w:rPr>
        <w:t>32</w:t>
      </w:r>
      <w:r w:rsidRPr="00875CBE">
        <w:rPr>
          <w:rFonts w:ascii="Times New Roman" w:hAnsi="Times New Roman" w:cs="Times New Roman"/>
          <w:color w:val="auto"/>
          <w:sz w:val="24"/>
          <w:szCs w:val="24"/>
          <w:shd w:val="clear" w:color="auto" w:fill="FFFFFF"/>
        </w:rPr>
        <w:t>(4), pp.451-471.</w:t>
      </w:r>
    </w:p>
    <w:p w14:paraId="7511F7B1"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 xml:space="preserve">Association of Chief Police Officers (2012) Guidance on Safeguarding and Investigating the Abuse of Vulnerable Adults. London: NPIA. </w:t>
      </w:r>
    </w:p>
    <w:p w14:paraId="4D583D4E"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 xml:space="preserve">Asquith NL, Bartkowiak-The´ron I and Roberts K (2016) Vulnerability and the criminal justice system. Journal of Criminological Research, Policy and Practice 2(3): 161–163. </w:t>
      </w:r>
    </w:p>
    <w:p w14:paraId="4D34CADA" w14:textId="6310FA53"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 xml:space="preserve">Bartkowiak-The´ron I and Asquith NL (2012a) The extraordinary intricacies of policing vulnerability. Australasian Policing: A Journal of Professional Practice and Research 4(2): 43–49. </w:t>
      </w:r>
    </w:p>
    <w:p w14:paraId="7D56EE26"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 xml:space="preserve">Bartkowiak-The´ron I and Asquith NL (2012b) Vulnerability and diversity in policing. In: Bartkowiak-The´ron I and Asquith NL (eds) Policing Vulnerability. Annandale, VA: Federation Press, 278–293. </w:t>
      </w:r>
    </w:p>
    <w:p w14:paraId="0AFB29A9" w14:textId="0BD6B70F"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Bartkowiak-The´ron I and Asquith NL (2014) Policing diversity and vulnerability in the post</w:t>
      </w:r>
      <w:r>
        <w:rPr>
          <w:rFonts w:ascii="Times New Roman" w:hAnsi="Times New Roman" w:cs="Times New Roman"/>
          <w:color w:val="auto"/>
          <w:sz w:val="24"/>
          <w:szCs w:val="24"/>
        </w:rPr>
        <w:t xml:space="preserve"> </w:t>
      </w:r>
      <w:r w:rsidRPr="00875CBE">
        <w:rPr>
          <w:rFonts w:ascii="Times New Roman" w:hAnsi="Times New Roman" w:cs="Times New Roman"/>
          <w:color w:val="auto"/>
          <w:sz w:val="24"/>
          <w:szCs w:val="24"/>
        </w:rPr>
        <w:t xml:space="preserve">Macpherson era: unintended consequences and missed opportunities. Policing: A Journal of Policy and Practice 9(1): 89–100. </w:t>
      </w:r>
    </w:p>
    <w:p w14:paraId="6079E3A0"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 xml:space="preserve">Bartkowiak-The´ron I and Asquith NL (2017) Conceptual divides and practice synergies in law enforcement and public health: some lessons from policing vulnerability in Australia. Policing and Society 37(3): 276–288. </w:t>
      </w:r>
    </w:p>
    <w:p w14:paraId="3F1E69E9"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lastRenderedPageBreak/>
        <w:t>Benitez, C.T., McNiel, D.E. and Binder, R.L., (2010). Do protection orders protect? Journal of the American Academy of Psychiatry and the Law Online, 38(3), pp.376-385.</w:t>
      </w:r>
    </w:p>
    <w:p w14:paraId="0CD1E1FF"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Burton, M. (2015). Emergency barring orders in domestic violence cases: What can England and Wales learn from other European countries. Child &amp; Fam. LQ, 27, 25.</w:t>
      </w:r>
    </w:p>
    <w:p w14:paraId="6AD798A6"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Care Act (2014) c.23. Available at: https://www.legislation.gov.uk/ukpga/2014/23/section/23 (accessed 6 December 2017).</w:t>
      </w:r>
    </w:p>
    <w:p w14:paraId="6C080E2A"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Carson, D. (2013). Investigations: What could, and should, be taught? The Police Journal, 86, 249-275. doi: 10.1350/pojo.2013.86.3.628</w:t>
      </w:r>
    </w:p>
    <w:p w14:paraId="0C1456D3"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shd w:val="clear" w:color="auto" w:fill="FFFFFF"/>
        </w:rPr>
        <w:t>Clark, B., Ariel, B. and Harinam, V., 2022. “How Should the Police Let Victims Down?” The Impact of Reassurance Call-Backs by Local Police Officers to Victims of Vehicle and Cycle Crimes: A Block Randomized Controlled Trial. </w:t>
      </w:r>
      <w:r w:rsidRPr="00875CBE">
        <w:rPr>
          <w:rFonts w:ascii="Times New Roman" w:hAnsi="Times New Roman" w:cs="Times New Roman"/>
          <w:i/>
          <w:iCs/>
          <w:color w:val="auto"/>
          <w:sz w:val="24"/>
          <w:szCs w:val="24"/>
          <w:shd w:val="clear" w:color="auto" w:fill="FFFFFF"/>
        </w:rPr>
        <w:t>Police Quarterly</w:t>
      </w:r>
      <w:r w:rsidRPr="00875CBE">
        <w:rPr>
          <w:rFonts w:ascii="Times New Roman" w:hAnsi="Times New Roman" w:cs="Times New Roman"/>
          <w:color w:val="auto"/>
          <w:sz w:val="24"/>
          <w:szCs w:val="24"/>
          <w:shd w:val="clear" w:color="auto" w:fill="FFFFFF"/>
        </w:rPr>
        <w:t>, p.10986111221128751.</w:t>
      </w:r>
    </w:p>
    <w:p w14:paraId="03538FFB"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eastAsiaTheme="minorHAnsi" w:hAnsi="Times New Roman" w:cs="Times New Roman"/>
          <w:color w:val="auto"/>
          <w:sz w:val="24"/>
          <w:szCs w:val="24"/>
        </w:rPr>
      </w:pPr>
      <w:r w:rsidRPr="00875CBE">
        <w:rPr>
          <w:rFonts w:ascii="Times New Roman" w:eastAsiaTheme="minorHAnsi" w:hAnsi="Times New Roman" w:cs="Times New Roman"/>
          <w:color w:val="auto"/>
          <w:sz w:val="24"/>
          <w:szCs w:val="24"/>
        </w:rPr>
        <w:t xml:space="preserve">College of Policing (2013) </w:t>
      </w:r>
      <w:r w:rsidRPr="00875CBE">
        <w:rPr>
          <w:rFonts w:ascii="Times New Roman" w:eastAsiaTheme="minorHAnsi" w:hAnsi="Times New Roman" w:cs="Times New Roman"/>
          <w:i/>
          <w:iCs/>
          <w:color w:val="auto"/>
          <w:sz w:val="24"/>
          <w:szCs w:val="24"/>
        </w:rPr>
        <w:t>National Decision Model</w:t>
      </w:r>
      <w:r w:rsidRPr="00875CBE">
        <w:rPr>
          <w:rFonts w:ascii="Times New Roman" w:eastAsiaTheme="minorHAnsi" w:hAnsi="Times New Roman" w:cs="Times New Roman"/>
          <w:color w:val="auto"/>
          <w:sz w:val="24"/>
          <w:szCs w:val="24"/>
        </w:rPr>
        <w:t xml:space="preserve">. Available at: </w:t>
      </w:r>
      <w:hyperlink r:id="rId17" w:history="1">
        <w:r w:rsidRPr="00875CBE">
          <w:rPr>
            <w:rStyle w:val="Hyperlink"/>
            <w:rFonts w:ascii="Times New Roman" w:eastAsiaTheme="minorHAnsi" w:hAnsi="Times New Roman" w:cs="Times New Roman"/>
            <w:color w:val="auto"/>
            <w:sz w:val="24"/>
            <w:szCs w:val="24"/>
            <w:lang w:eastAsia="en-US"/>
          </w:rPr>
          <w:t>https://www.college.police.uk/app/national-decision-model/national-decision-model</w:t>
        </w:r>
      </w:hyperlink>
      <w:r w:rsidRPr="00875CBE">
        <w:rPr>
          <w:rFonts w:ascii="Times New Roman" w:eastAsiaTheme="minorHAnsi" w:hAnsi="Times New Roman" w:cs="Times New Roman"/>
          <w:color w:val="auto"/>
          <w:sz w:val="24"/>
          <w:szCs w:val="24"/>
        </w:rPr>
        <w:t xml:space="preserve"> (Accessed: 15 August 2022). </w:t>
      </w:r>
    </w:p>
    <w:p w14:paraId="37C753EB"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 xml:space="preserve">College of Policing (2021) </w:t>
      </w:r>
      <w:r w:rsidRPr="00875CBE">
        <w:rPr>
          <w:rFonts w:ascii="Times New Roman" w:hAnsi="Times New Roman" w:cs="Times New Roman"/>
          <w:i/>
          <w:iCs/>
          <w:color w:val="auto"/>
          <w:sz w:val="24"/>
          <w:szCs w:val="24"/>
        </w:rPr>
        <w:t>Introduction to vulnerability-related risk</w:t>
      </w:r>
      <w:r w:rsidRPr="00875CBE">
        <w:rPr>
          <w:rFonts w:ascii="Times New Roman" w:hAnsi="Times New Roman" w:cs="Times New Roman"/>
          <w:color w:val="auto"/>
          <w:sz w:val="24"/>
          <w:szCs w:val="24"/>
        </w:rPr>
        <w:t xml:space="preserve">. Available at: </w:t>
      </w:r>
      <w:hyperlink r:id="rId18" w:history="1">
        <w:r w:rsidRPr="00875CBE">
          <w:rPr>
            <w:rStyle w:val="Hyperlink"/>
            <w:rFonts w:ascii="Times New Roman" w:hAnsi="Times New Roman" w:cs="Times New Roman"/>
            <w:color w:val="auto"/>
            <w:sz w:val="24"/>
            <w:szCs w:val="24"/>
          </w:rPr>
          <w:t>https://www.college.police.uk/guidance/vulnerability-related-risks/introduction-vulnerability-related-risk</w:t>
        </w:r>
      </w:hyperlink>
      <w:r w:rsidRPr="00875CBE">
        <w:rPr>
          <w:rFonts w:ascii="Times New Roman" w:hAnsi="Times New Roman" w:cs="Times New Roman"/>
          <w:color w:val="auto"/>
          <w:sz w:val="24"/>
          <w:szCs w:val="24"/>
        </w:rPr>
        <w:t xml:space="preserve"> (Accessed: 30</w:t>
      </w:r>
      <w:r w:rsidRPr="00875CBE">
        <w:rPr>
          <w:rFonts w:ascii="Times New Roman" w:hAnsi="Times New Roman" w:cs="Times New Roman"/>
          <w:color w:val="auto"/>
          <w:sz w:val="24"/>
          <w:szCs w:val="24"/>
          <w:vertAlign w:val="superscript"/>
        </w:rPr>
        <w:t xml:space="preserve"> </w:t>
      </w:r>
      <w:r w:rsidRPr="00875CBE">
        <w:rPr>
          <w:rFonts w:ascii="Times New Roman" w:hAnsi="Times New Roman" w:cs="Times New Roman"/>
          <w:color w:val="auto"/>
          <w:sz w:val="24"/>
          <w:szCs w:val="24"/>
        </w:rPr>
        <w:t xml:space="preserve">July 2022). </w:t>
      </w:r>
    </w:p>
    <w:p w14:paraId="74EB4001"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 xml:space="preserve">College of Policing (2022) </w:t>
      </w:r>
      <w:r w:rsidRPr="00875CBE">
        <w:rPr>
          <w:rFonts w:ascii="Times New Roman" w:hAnsi="Times New Roman" w:cs="Times New Roman"/>
          <w:i/>
          <w:iCs/>
          <w:color w:val="auto"/>
          <w:sz w:val="24"/>
          <w:szCs w:val="24"/>
        </w:rPr>
        <w:t>Investigation</w:t>
      </w:r>
      <w:r w:rsidRPr="00875CBE">
        <w:rPr>
          <w:rFonts w:ascii="Times New Roman" w:hAnsi="Times New Roman" w:cs="Times New Roman"/>
          <w:color w:val="auto"/>
          <w:sz w:val="24"/>
          <w:szCs w:val="24"/>
        </w:rPr>
        <w:t xml:space="preserve">. Available at: </w:t>
      </w:r>
      <w:hyperlink r:id="rId19" w:history="1">
        <w:r w:rsidRPr="00875CBE">
          <w:rPr>
            <w:rStyle w:val="Hyperlink"/>
            <w:rFonts w:ascii="Times New Roman" w:hAnsi="Times New Roman" w:cs="Times New Roman"/>
            <w:color w:val="auto"/>
            <w:sz w:val="24"/>
            <w:szCs w:val="24"/>
          </w:rPr>
          <w:t>https://www.college.police.uk/app/investigation</w:t>
        </w:r>
      </w:hyperlink>
      <w:r w:rsidRPr="00875CBE">
        <w:rPr>
          <w:rFonts w:ascii="Times New Roman" w:hAnsi="Times New Roman" w:cs="Times New Roman"/>
          <w:color w:val="auto"/>
          <w:sz w:val="24"/>
          <w:szCs w:val="24"/>
        </w:rPr>
        <w:t xml:space="preserve"> (Accessed: 31 July 2022). </w:t>
      </w:r>
    </w:p>
    <w:p w14:paraId="00034AD9"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 xml:space="preserve">Compton MT, Bakeman R, Broussard B, et al. (2014) The police-based Crisis Intervention Team (CIT) model: II. Effects on level of force and resolution, referral and arrest. Psychiatric Services 65(4): 523–529. </w:t>
      </w:r>
    </w:p>
    <w:p w14:paraId="195B0A47"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Cook, T., &amp; Tattersall, A. (2014). Blackstone’s senior investigating officers’ handbook. Oxford, UK: Oxford University Press.</w:t>
      </w:r>
    </w:p>
    <w:p w14:paraId="54A5F60C"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Crandall, B. W., Kyne, M., Miltello, L., &amp; Klein, G. (1992). Describing expertise in one-on-one instruction. Fairborn, OH: K. A. Inc.</w:t>
      </w:r>
    </w:p>
    <w:p w14:paraId="7DDD111F"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D’Amore, J., Murray, J., Powers, H., &amp; Johnson, C. (2011). Does telephone follow-up predict patient satisfaction and readmission? Population Health Management, 14(5), 249–255. https://doi.org/10.1089/pop.2010.0045</w:t>
      </w:r>
    </w:p>
    <w:p w14:paraId="24E6C3DB"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shd w:val="clear" w:color="auto" w:fill="FFFFFF"/>
        </w:rPr>
        <w:t>Davis R. C., Smith B. (1994). Teaching victims crime prevention skills: Can individuals lower their risk of crime? </w:t>
      </w:r>
      <w:r w:rsidRPr="00875CBE">
        <w:rPr>
          <w:rStyle w:val="Emphasis"/>
          <w:rFonts w:ascii="Times New Roman" w:hAnsi="Times New Roman" w:cs="Times New Roman"/>
          <w:color w:val="auto"/>
          <w:sz w:val="24"/>
          <w:szCs w:val="24"/>
          <w:shd w:val="clear" w:color="auto" w:fill="FFFFFF"/>
        </w:rPr>
        <w:t>Criminal Justice Review</w:t>
      </w:r>
      <w:r w:rsidRPr="00875CBE">
        <w:rPr>
          <w:rFonts w:ascii="Times New Roman" w:hAnsi="Times New Roman" w:cs="Times New Roman"/>
          <w:color w:val="auto"/>
          <w:sz w:val="24"/>
          <w:szCs w:val="24"/>
          <w:shd w:val="clear" w:color="auto" w:fill="FFFFFF"/>
        </w:rPr>
        <w:t>, 19, 56-68.</w:t>
      </w:r>
    </w:p>
    <w:p w14:paraId="43F46A1F"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lastRenderedPageBreak/>
        <w:t>Dean, G., Fahsing, I. A., Glomseth, R., &amp; Gottschalk, P. (2008). Capturing knowledge of police investigations: Towards a research agenda. Police Practice and Research, 9(4), 341-355. doi: 10.1080/15614260802354650</w:t>
      </w:r>
    </w:p>
    <w:p w14:paraId="1297FEA2"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Dehaghani R (2017) Custody officers, code C and constructing vulnerability: Implications for policy and practice. Policing: A Journal of Policy and Practice 11(1): 74–86.</w:t>
      </w:r>
      <w:r w:rsidRPr="00875CBE">
        <w:rPr>
          <w:rFonts w:ascii="Times New Roman" w:hAnsi="Times New Roman" w:cs="Times New Roman"/>
          <w:color w:val="auto"/>
          <w:sz w:val="24"/>
          <w:szCs w:val="24"/>
          <w:shd w:val="clear" w:color="auto" w:fill="FFFFFF"/>
        </w:rPr>
        <w:t xml:space="preserve"> Ewin, R., Bates, E.A. and Taylor, J.C., 2020. Domestic abuse orders: risk, vulnerability and training. </w:t>
      </w:r>
      <w:r w:rsidRPr="00875CBE">
        <w:rPr>
          <w:rFonts w:ascii="Times New Roman" w:hAnsi="Times New Roman" w:cs="Times New Roman"/>
          <w:i/>
          <w:iCs/>
          <w:color w:val="auto"/>
          <w:sz w:val="24"/>
          <w:szCs w:val="24"/>
          <w:shd w:val="clear" w:color="auto" w:fill="FFFFFF"/>
        </w:rPr>
        <w:t>Journal of Criminological Research, Policy and Practice</w:t>
      </w:r>
      <w:r w:rsidRPr="00875CBE">
        <w:rPr>
          <w:rFonts w:ascii="Times New Roman" w:hAnsi="Times New Roman" w:cs="Times New Roman"/>
          <w:color w:val="auto"/>
          <w:sz w:val="24"/>
          <w:szCs w:val="24"/>
          <w:shd w:val="clear" w:color="auto" w:fill="FFFFFF"/>
        </w:rPr>
        <w:t>, </w:t>
      </w:r>
      <w:r w:rsidRPr="00875CBE">
        <w:rPr>
          <w:rFonts w:ascii="Times New Roman" w:hAnsi="Times New Roman" w:cs="Times New Roman"/>
          <w:i/>
          <w:iCs/>
          <w:color w:val="auto"/>
          <w:sz w:val="24"/>
          <w:szCs w:val="24"/>
          <w:shd w:val="clear" w:color="auto" w:fill="FFFFFF"/>
        </w:rPr>
        <w:t>6</w:t>
      </w:r>
      <w:r w:rsidRPr="00875CBE">
        <w:rPr>
          <w:rFonts w:ascii="Times New Roman" w:hAnsi="Times New Roman" w:cs="Times New Roman"/>
          <w:color w:val="auto"/>
          <w:sz w:val="24"/>
          <w:szCs w:val="24"/>
          <w:shd w:val="clear" w:color="auto" w:fill="FFFFFF"/>
        </w:rPr>
        <w:t>(2), pp.151-167.</w:t>
      </w:r>
    </w:p>
    <w:p w14:paraId="6C103862"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De Poot, C., Bokhorst, R., van Koppen, P. J., &amp; Muller, E. (2004). Recherche portret: Over dilemma's in de opsporing. Alphen aan den Rijn: Kluwer.</w:t>
      </w:r>
    </w:p>
    <w:p w14:paraId="454FF5E5"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shd w:val="clear" w:color="auto" w:fill="FFFFFF"/>
        </w:rPr>
      </w:pPr>
      <w:r w:rsidRPr="00875CBE">
        <w:rPr>
          <w:rFonts w:ascii="Times New Roman" w:hAnsi="Times New Roman" w:cs="Times New Roman"/>
          <w:color w:val="auto"/>
          <w:sz w:val="24"/>
          <w:szCs w:val="24"/>
          <w:shd w:val="clear" w:color="auto" w:fill="FFFFFF"/>
        </w:rPr>
        <w:t>Fahsing, I.A., 2016. The making of an expert detective: Thinking and deciding in criminal investigations.</w:t>
      </w:r>
    </w:p>
    <w:p w14:paraId="27993A6B"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shd w:val="clear" w:color="auto" w:fill="FFFFFF"/>
        </w:rPr>
        <w:t>Ford, K., Newbury, A., Meredith, Z., Evans, J., Hughes, K., Roderick, J., Davies, A.R. and Bellis, M.A., 2020. Understanding the outcome of police safeguarding notifications to social services in South Wales. </w:t>
      </w:r>
      <w:r w:rsidRPr="00875CBE">
        <w:rPr>
          <w:rFonts w:ascii="Times New Roman" w:hAnsi="Times New Roman" w:cs="Times New Roman"/>
          <w:i/>
          <w:iCs/>
          <w:color w:val="auto"/>
          <w:sz w:val="24"/>
          <w:szCs w:val="24"/>
          <w:shd w:val="clear" w:color="auto" w:fill="FFFFFF"/>
        </w:rPr>
        <w:t>The Police Journal</w:t>
      </w:r>
      <w:r w:rsidRPr="00875CBE">
        <w:rPr>
          <w:rFonts w:ascii="Times New Roman" w:hAnsi="Times New Roman" w:cs="Times New Roman"/>
          <w:color w:val="auto"/>
          <w:sz w:val="24"/>
          <w:szCs w:val="24"/>
          <w:shd w:val="clear" w:color="auto" w:fill="FFFFFF"/>
        </w:rPr>
        <w:t>, </w:t>
      </w:r>
      <w:r w:rsidRPr="00875CBE">
        <w:rPr>
          <w:rFonts w:ascii="Times New Roman" w:hAnsi="Times New Roman" w:cs="Times New Roman"/>
          <w:i/>
          <w:iCs/>
          <w:color w:val="auto"/>
          <w:sz w:val="24"/>
          <w:szCs w:val="24"/>
          <w:shd w:val="clear" w:color="auto" w:fill="FFFFFF"/>
        </w:rPr>
        <w:t>93</w:t>
      </w:r>
      <w:r w:rsidRPr="00875CBE">
        <w:rPr>
          <w:rFonts w:ascii="Times New Roman" w:hAnsi="Times New Roman" w:cs="Times New Roman"/>
          <w:color w:val="auto"/>
          <w:sz w:val="24"/>
          <w:szCs w:val="24"/>
          <w:shd w:val="clear" w:color="auto" w:fill="FFFFFF"/>
        </w:rPr>
        <w:t>(2), pp.87-108.</w:t>
      </w:r>
    </w:p>
    <w:p w14:paraId="3C62E7C0"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 xml:space="preserve">GDAS (2022) </w:t>
      </w:r>
      <w:r w:rsidRPr="00875CBE">
        <w:rPr>
          <w:rFonts w:ascii="Times New Roman" w:hAnsi="Times New Roman" w:cs="Times New Roman"/>
          <w:i/>
          <w:iCs/>
          <w:color w:val="auto"/>
          <w:sz w:val="24"/>
          <w:szCs w:val="24"/>
        </w:rPr>
        <w:t>Gwent Drug and Alcohol Service: About Us</w:t>
      </w:r>
      <w:r w:rsidRPr="00875CBE">
        <w:rPr>
          <w:rFonts w:ascii="Times New Roman" w:hAnsi="Times New Roman" w:cs="Times New Roman"/>
          <w:color w:val="auto"/>
          <w:sz w:val="24"/>
          <w:szCs w:val="24"/>
        </w:rPr>
        <w:t xml:space="preserve">. Available at: </w:t>
      </w:r>
      <w:hyperlink r:id="rId20" w:history="1">
        <w:r w:rsidRPr="00875CBE">
          <w:rPr>
            <w:rStyle w:val="Hyperlink"/>
            <w:rFonts w:ascii="Times New Roman" w:hAnsi="Times New Roman" w:cs="Times New Roman"/>
            <w:color w:val="auto"/>
            <w:sz w:val="24"/>
            <w:szCs w:val="24"/>
          </w:rPr>
          <w:t>https://www.gdas.wales/about-us</w:t>
        </w:r>
      </w:hyperlink>
      <w:r w:rsidRPr="00875CBE">
        <w:rPr>
          <w:rFonts w:ascii="Times New Roman" w:hAnsi="Times New Roman" w:cs="Times New Roman"/>
          <w:color w:val="auto"/>
          <w:sz w:val="24"/>
          <w:szCs w:val="24"/>
        </w:rPr>
        <w:t xml:space="preserve"> (Accessed 26 October 2022). </w:t>
      </w:r>
    </w:p>
    <w:p w14:paraId="3961722A"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 xml:space="preserve">Gibbs, G. (1988) </w:t>
      </w:r>
      <w:r w:rsidRPr="00875CBE">
        <w:rPr>
          <w:rFonts w:ascii="Times New Roman" w:hAnsi="Times New Roman" w:cs="Times New Roman"/>
          <w:i/>
          <w:iCs/>
          <w:color w:val="auto"/>
          <w:sz w:val="24"/>
          <w:szCs w:val="24"/>
        </w:rPr>
        <w:t>Learning by Doing: A guide to teaching and learning methods. Further Education Unit</w:t>
      </w:r>
      <w:r w:rsidRPr="00875CBE">
        <w:rPr>
          <w:rFonts w:ascii="Times New Roman" w:hAnsi="Times New Roman" w:cs="Times New Roman"/>
          <w:color w:val="auto"/>
          <w:sz w:val="24"/>
          <w:szCs w:val="24"/>
        </w:rPr>
        <w:t>. Oxford Polytechnic: Oxford.</w:t>
      </w:r>
    </w:p>
    <w:p w14:paraId="6A657EAF"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 xml:space="preserve">Greater Manchester Police and Crime Commissioner (2017) Mental Health. Available at: www. gmpcc.org.uk/tools-and-resources/mental-health/ (accessed 22 February 2017). </w:t>
      </w:r>
    </w:p>
    <w:p w14:paraId="52BA0013"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shd w:val="clear" w:color="auto" w:fill="FFFFFF"/>
        </w:rPr>
      </w:pPr>
      <w:r w:rsidRPr="00875CBE">
        <w:rPr>
          <w:rFonts w:ascii="Times New Roman" w:hAnsi="Times New Roman" w:cs="Times New Roman"/>
          <w:color w:val="auto"/>
          <w:sz w:val="24"/>
          <w:szCs w:val="24"/>
        </w:rPr>
        <w:t xml:space="preserve">Greenwood, P., Chaiken, J., &amp; Petersilia, J. (1977). The criminal investigation process. Lexington, Mass.: D.C. Heart. </w:t>
      </w:r>
    </w:p>
    <w:p w14:paraId="44A1C673"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 xml:space="preserve">Griffiths, A.G.F. (1902) </w:t>
      </w:r>
      <w:r w:rsidRPr="00875CBE">
        <w:rPr>
          <w:rFonts w:ascii="Times New Roman" w:hAnsi="Times New Roman" w:cs="Times New Roman"/>
          <w:i/>
          <w:iCs/>
          <w:color w:val="auto"/>
          <w:sz w:val="24"/>
          <w:szCs w:val="24"/>
        </w:rPr>
        <w:t>Mysteries of police and crime</w:t>
      </w:r>
      <w:r w:rsidRPr="00875CBE">
        <w:rPr>
          <w:rFonts w:ascii="Times New Roman" w:hAnsi="Times New Roman" w:cs="Times New Roman"/>
          <w:color w:val="auto"/>
          <w:sz w:val="24"/>
          <w:szCs w:val="24"/>
        </w:rPr>
        <w:t xml:space="preserve">. Reprint, London: Cassell &amp; Company, 2014. </w:t>
      </w:r>
    </w:p>
    <w:p w14:paraId="0D46F2B0"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shd w:val="clear" w:color="auto" w:fill="FFFFFF"/>
        </w:rPr>
      </w:pPr>
      <w:r w:rsidRPr="00875CBE">
        <w:rPr>
          <w:rFonts w:ascii="Times New Roman" w:hAnsi="Times New Roman" w:cs="Times New Roman"/>
          <w:color w:val="auto"/>
          <w:sz w:val="24"/>
          <w:szCs w:val="24"/>
        </w:rPr>
        <w:t>Gross, H. (1893). Handbuch für untersuchungsrichter als system der kriminalistik. Graz: Leuschner &amp; Lubensky.</w:t>
      </w:r>
    </w:p>
    <w:p w14:paraId="75D8F34C"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shd w:val="clear" w:color="auto" w:fill="FFFFFF"/>
        </w:rPr>
      </w:pPr>
      <w:r w:rsidRPr="00875CBE">
        <w:rPr>
          <w:rFonts w:ascii="Times New Roman" w:hAnsi="Times New Roman" w:cs="Times New Roman"/>
          <w:color w:val="auto"/>
          <w:sz w:val="24"/>
          <w:szCs w:val="24"/>
        </w:rPr>
        <w:t>Guss, D. A., Leland, H., &amp; Castillo, E. M. (2013). The impact of post-discharge patient call back on patient satisfaction in two academic emergency departments. The Journal of Emergency Medicine, 44(1), 236–241. https://doi.org/10.1016/j.jemermed.2012.07.074</w:t>
      </w:r>
    </w:p>
    <w:p w14:paraId="1EFA8EA4"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Hemphill, J. F., Hare, R. D., &amp; Wong, S. (1998). Psychopathy and recidivism: A review. Legal and Criminological Psychology, 3, 139-170.</w:t>
      </w:r>
    </w:p>
    <w:p w14:paraId="0D3EEFF0"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lastRenderedPageBreak/>
        <w:t>Herrington V and Clifford K (2012) Policing mental illness: examining the police role in addressing mental ill-health. In: Bartkowiak-The´ron I and Asquith NL (eds) Policing Vulnerability. Annandale, VA: Federation Press, 117–131.</w:t>
      </w:r>
    </w:p>
    <w:p w14:paraId="4287932B"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HMIC (2015a) PEEL: Police Effectiveness 2015 (Vulnerability). A National Overview. Available at: www.justiceinspectorates.gov.uk/hmicfrs/wp-content/uploads/police-effectiveness-vulner ability-2015.pdf (accessed 1 February 2017).</w:t>
      </w:r>
    </w:p>
    <w:p w14:paraId="6625AF50"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HMIC (2015b) In Harm’s Way: The Role of the Police in Keeping Children Safe. London: HMSO Kelly, L., Adler, J.R., Horvath, M.A., Lovett, J., Coulson, M., Kernohan, D. and Gray, M., (2013). Evaluation of the Pilot of Domestic Violence Protection Orders. Home Office Science: (</w:t>
      </w:r>
      <w:hyperlink r:id="rId21" w:history="1">
        <w:r w:rsidRPr="00875CBE">
          <w:rPr>
            <w:rStyle w:val="Hyperlink"/>
            <w:rFonts w:ascii="Times New Roman" w:hAnsi="Times New Roman" w:cs="Times New Roman"/>
            <w:color w:val="auto"/>
            <w:sz w:val="24"/>
            <w:szCs w:val="24"/>
          </w:rPr>
          <w:t>https://www.gov.uk/government/uploads/system/uploads/attachment_data/file/260897/h orr76.pdf</w:t>
        </w:r>
      </w:hyperlink>
      <w:r w:rsidRPr="00875CBE">
        <w:rPr>
          <w:rFonts w:ascii="Times New Roman" w:hAnsi="Times New Roman" w:cs="Times New Roman"/>
          <w:color w:val="auto"/>
          <w:sz w:val="24"/>
          <w:szCs w:val="24"/>
        </w:rPr>
        <w:t>)</w:t>
      </w:r>
    </w:p>
    <w:p w14:paraId="4EC36FF8"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shd w:val="clear" w:color="auto" w:fill="FFFFFF"/>
        </w:rPr>
      </w:pPr>
      <w:r w:rsidRPr="00875CBE">
        <w:rPr>
          <w:rFonts w:ascii="Times New Roman" w:hAnsi="Times New Roman" w:cs="Times New Roman"/>
          <w:color w:val="auto"/>
          <w:sz w:val="24"/>
          <w:szCs w:val="24"/>
        </w:rPr>
        <w:t xml:space="preserve">Home Office, 2001. They Didn’t Just Steal My Money: Tackling Distraction Burglary. A National Distraction Burglary Taskforce. Report. London: Home Office. Available from: https://webarchive.nationalarchives.gov.uk [ Accessed 7th March 2020]. </w:t>
      </w:r>
    </w:p>
    <w:p w14:paraId="3AAB6A1D"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shd w:val="clear" w:color="auto" w:fill="FFFFFF"/>
        </w:rPr>
      </w:pPr>
      <w:r w:rsidRPr="00875CBE">
        <w:rPr>
          <w:rFonts w:ascii="Times New Roman" w:hAnsi="Times New Roman" w:cs="Times New Roman"/>
          <w:color w:val="auto"/>
          <w:sz w:val="24"/>
          <w:szCs w:val="24"/>
        </w:rPr>
        <w:t>Home Office, 2002. Tackling Distraction Burglary: A National Distraction Burglary Taskforce Report, London: Home Office. Available from:http://webarchive.nationalarchives.gov.uk</w:t>
      </w:r>
    </w:p>
    <w:p w14:paraId="5D12BF63"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shd w:val="clear" w:color="auto" w:fill="FFFFFF"/>
        </w:rPr>
      </w:pPr>
      <w:r w:rsidRPr="00875CBE">
        <w:rPr>
          <w:rFonts w:ascii="Times New Roman" w:hAnsi="Times New Roman" w:cs="Times New Roman"/>
          <w:color w:val="auto"/>
          <w:sz w:val="24"/>
          <w:szCs w:val="24"/>
        </w:rPr>
        <w:t>Home Office, 2019. Home Office Counting Rules for Recorded Crime (HOCR). London, TSO.</w:t>
      </w:r>
    </w:p>
    <w:p w14:paraId="33452589"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 xml:space="preserve">Home Office (2020) </w:t>
      </w:r>
      <w:r w:rsidRPr="00875CBE">
        <w:rPr>
          <w:rFonts w:ascii="Times New Roman" w:hAnsi="Times New Roman" w:cs="Times New Roman"/>
          <w:i/>
          <w:iCs/>
          <w:color w:val="auto"/>
          <w:sz w:val="24"/>
          <w:szCs w:val="24"/>
        </w:rPr>
        <w:t>Interviewing Suspects</w:t>
      </w:r>
      <w:r w:rsidRPr="00875CBE">
        <w:rPr>
          <w:rFonts w:ascii="Times New Roman" w:hAnsi="Times New Roman" w:cs="Times New Roman"/>
          <w:color w:val="auto"/>
          <w:sz w:val="24"/>
          <w:szCs w:val="24"/>
        </w:rPr>
        <w:t xml:space="preserve">. Available at: </w:t>
      </w:r>
      <w:hyperlink r:id="rId22" w:history="1">
        <w:r w:rsidRPr="00875CBE">
          <w:rPr>
            <w:rStyle w:val="Hyperlink"/>
            <w:rFonts w:ascii="Times New Roman" w:hAnsi="Times New Roman" w:cs="Times New Roman"/>
            <w:color w:val="auto"/>
            <w:sz w:val="24"/>
            <w:szCs w:val="24"/>
          </w:rPr>
          <w:t>https://assets.publishing.service.gov.uk/government/uploads/system/uploads/attachment_data/file/864940/interviewing-suspects-v7.0.pdf</w:t>
        </w:r>
      </w:hyperlink>
      <w:r w:rsidRPr="00875CBE">
        <w:rPr>
          <w:rFonts w:ascii="Times New Roman" w:hAnsi="Times New Roman" w:cs="Times New Roman"/>
          <w:color w:val="auto"/>
          <w:sz w:val="24"/>
          <w:szCs w:val="24"/>
        </w:rPr>
        <w:t xml:space="preserve"> (Accessed 26 October 2022). </w:t>
      </w:r>
    </w:p>
    <w:p w14:paraId="7EBDDA2C"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 xml:space="preserve">Home Office (2022) </w:t>
      </w:r>
      <w:r w:rsidRPr="00875CBE">
        <w:rPr>
          <w:rFonts w:ascii="Times New Roman" w:hAnsi="Times New Roman" w:cs="Times New Roman"/>
          <w:i/>
          <w:iCs/>
          <w:color w:val="auto"/>
          <w:sz w:val="24"/>
          <w:szCs w:val="24"/>
        </w:rPr>
        <w:t xml:space="preserve">Home Office Counting Rules for Recorded Crime. </w:t>
      </w:r>
      <w:r w:rsidRPr="00875CBE">
        <w:rPr>
          <w:rFonts w:ascii="Times New Roman" w:hAnsi="Times New Roman" w:cs="Times New Roman"/>
          <w:color w:val="auto"/>
          <w:sz w:val="24"/>
          <w:szCs w:val="24"/>
        </w:rPr>
        <w:t xml:space="preserve">Available at: </w:t>
      </w:r>
      <w:hyperlink r:id="rId23" w:history="1">
        <w:r w:rsidRPr="00875CBE">
          <w:rPr>
            <w:rStyle w:val="Hyperlink"/>
            <w:rFonts w:ascii="Times New Roman" w:hAnsi="Times New Roman" w:cs="Times New Roman"/>
            <w:color w:val="auto"/>
            <w:sz w:val="24"/>
            <w:szCs w:val="24"/>
          </w:rPr>
          <w:t>https://assets.publishing.service.gov.uk/government/uploads/system/uploads/attachment_data/file/1099880/hocr-complete-july-22.pdf</w:t>
        </w:r>
      </w:hyperlink>
      <w:r w:rsidRPr="00875CBE">
        <w:rPr>
          <w:rFonts w:ascii="Times New Roman" w:hAnsi="Times New Roman" w:cs="Times New Roman"/>
          <w:color w:val="auto"/>
          <w:sz w:val="24"/>
          <w:szCs w:val="24"/>
        </w:rPr>
        <w:t xml:space="preserve"> (Accessed 21 September 2022). </w:t>
      </w:r>
    </w:p>
    <w:p w14:paraId="5467CF48"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shd w:val="clear" w:color="auto" w:fill="FFFFFF"/>
        </w:rPr>
      </w:pPr>
      <w:r w:rsidRPr="00875CBE">
        <w:rPr>
          <w:rFonts w:ascii="Times New Roman" w:hAnsi="Times New Roman" w:cs="Times New Roman"/>
          <w:color w:val="auto"/>
          <w:sz w:val="24"/>
          <w:szCs w:val="24"/>
        </w:rPr>
        <w:t>Innes, M. (2003). Investigating murder: Detective work and the police response to criminal homicide. Oxford, UK: Oxford University Press.</w:t>
      </w:r>
    </w:p>
    <w:p w14:paraId="2D87DC64"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shd w:val="clear" w:color="auto" w:fill="FFFFFF"/>
        </w:rPr>
      </w:pPr>
      <w:r w:rsidRPr="00875CBE">
        <w:rPr>
          <w:rFonts w:ascii="Times New Roman" w:hAnsi="Times New Roman" w:cs="Times New Roman"/>
          <w:color w:val="auto"/>
          <w:sz w:val="24"/>
          <w:szCs w:val="24"/>
        </w:rPr>
        <w:t>Irvine, B., &amp; Dunningham, C. (1993). Human factors in the quality control of cid investigations Royal Commission on Criminal Justice Research Study 21. London: HM Stationery Office.</w:t>
      </w:r>
    </w:p>
    <w:p w14:paraId="501EBCFF"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shd w:val="clear" w:color="auto" w:fill="FFFFFF"/>
        </w:rPr>
      </w:pPr>
      <w:r w:rsidRPr="00875CBE">
        <w:rPr>
          <w:rFonts w:ascii="Times New Roman" w:hAnsi="Times New Roman" w:cs="Times New Roman"/>
          <w:color w:val="auto"/>
          <w:sz w:val="24"/>
          <w:szCs w:val="24"/>
        </w:rPr>
        <w:t xml:space="preserve">Jones, J., Clark, W., Bradford, J., &amp; Dougherty, J. (1988). Efficacy of a telephone follow-up system in the emergency department. The Journal of Emergency Medicine, 6(3), 249–254. https://doi.org/10.1016/0736-4679(88)90336-8 </w:t>
      </w:r>
    </w:p>
    <w:p w14:paraId="46456637"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shd w:val="clear" w:color="auto" w:fill="FFFFFF"/>
        </w:rPr>
      </w:pPr>
      <w:r w:rsidRPr="00875CBE">
        <w:rPr>
          <w:rFonts w:ascii="Times New Roman" w:hAnsi="Times New Roman" w:cs="Times New Roman"/>
          <w:color w:val="auto"/>
          <w:sz w:val="24"/>
          <w:szCs w:val="24"/>
        </w:rPr>
        <w:lastRenderedPageBreak/>
        <w:t>Jones, D., Grieve, J., &amp; Milne, B. (2008). The case to review murder investigations. The Journal of Homicide and Major Incident Investigation, 2(4), 51-70. doi: 10.1093/police/pan053</w:t>
      </w:r>
    </w:p>
    <w:p w14:paraId="6F6F352D"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shd w:val="clear" w:color="auto" w:fill="FFFFFF"/>
        </w:rPr>
      </w:pPr>
      <w:r w:rsidRPr="00875CBE">
        <w:rPr>
          <w:rFonts w:ascii="Times New Roman" w:hAnsi="Times New Roman" w:cs="Times New Roman"/>
          <w:color w:val="auto"/>
          <w:sz w:val="24"/>
          <w:szCs w:val="24"/>
        </w:rPr>
        <w:t>Kassin, S. M., Dror, I. E., &amp; Kukucka, J. (2013). The forensic confirmation bias: Problems, perspectives, and proposed solutions. Journal of Applied Research in Memory and Cognition, 2(1), 42-52. doi: 10.1016/j.jarmac.2013.01.001</w:t>
      </w:r>
    </w:p>
    <w:p w14:paraId="18580074"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shd w:val="clear" w:color="auto" w:fill="FFFFFF"/>
        </w:rPr>
      </w:pPr>
      <w:r w:rsidRPr="00875CBE">
        <w:rPr>
          <w:rFonts w:ascii="Times New Roman" w:hAnsi="Times New Roman" w:cs="Times New Roman"/>
          <w:color w:val="auto"/>
          <w:sz w:val="24"/>
          <w:szCs w:val="24"/>
        </w:rPr>
        <w:t>Krishnan, V., Maki, K. M., Castillo, E. M., &amp; Guss, D. A. (2015). Service design for improved satisfaction: Decoding the mechanism for impact of patient callback in emergency healthcare. Service Science, 7(4), 315–330. https://doi.org/10.1287/serv.2015.0117</w:t>
      </w:r>
    </w:p>
    <w:p w14:paraId="0316146C"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 xml:space="preserve">Kumar, K.M. and Rajan, A. (2018) ‘A Critical Study on Stalking and its Impact on Vulnerable Group of Women and Minors’, </w:t>
      </w:r>
      <w:r w:rsidRPr="00875CBE">
        <w:rPr>
          <w:rFonts w:ascii="Times New Roman" w:hAnsi="Times New Roman" w:cs="Times New Roman"/>
          <w:i/>
          <w:iCs/>
          <w:color w:val="auto"/>
          <w:sz w:val="24"/>
          <w:szCs w:val="24"/>
        </w:rPr>
        <w:t>International Journal of Pure and Applied Mathematics</w:t>
      </w:r>
      <w:r w:rsidRPr="00875CBE">
        <w:rPr>
          <w:rFonts w:ascii="Times New Roman" w:hAnsi="Times New Roman" w:cs="Times New Roman"/>
          <w:color w:val="auto"/>
          <w:sz w:val="24"/>
          <w:szCs w:val="24"/>
        </w:rPr>
        <w:t xml:space="preserve">, 119(17), pp. 1705-1716. </w:t>
      </w:r>
    </w:p>
    <w:p w14:paraId="011A2225"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Lister, S., Wall, D., Bryan, J. 2004. Evaluation of the Leeds Distraction Burglary Initiative. Home Office Online Report 44/04. Available from: https://www.semanticscholar.org [Accessed 24 February 2020]. Lister, S., and Wall, D., 2006. Deconstructing distraction burglary: An ageist offence. In: A. Wahidin and M. Cain, eds. Ageing, Crime and Society. Cullompton: Willan Publishing, 107-123.</w:t>
      </w:r>
    </w:p>
    <w:p w14:paraId="629C8DAE"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Maguire, M. (2008). Criminal investigation and crime control. In T. Newburn (Ed.), Handbook of policing (pp. 363-393). London, UK: Routledge.</w:t>
      </w:r>
    </w:p>
    <w:p w14:paraId="2AF42B71"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Ministry of Justice (2015) Code of Practice for Victims of Crime. London: HMSO.</w:t>
      </w:r>
    </w:p>
    <w:p w14:paraId="74334F9C"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Morris, B. (2007). History of criminal investigation. In T. Newburn, T. Williamson, &amp; A. Wright (Eds.), Handbook of criminal investigation (pp. 15-40). Devon, UK: Willan Publishing.</w:t>
      </w:r>
    </w:p>
    <w:p w14:paraId="6F821166"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 xml:space="preserve">NPCC (2019) Police chiefs guide officers to impose bail conditions protecting victims and vulnerable people. Available at: </w:t>
      </w:r>
      <w:hyperlink r:id="rId24" w:history="1">
        <w:r w:rsidRPr="00875CBE">
          <w:rPr>
            <w:rStyle w:val="Hyperlink"/>
            <w:rFonts w:ascii="Times New Roman" w:hAnsi="Times New Roman" w:cs="Times New Roman"/>
            <w:color w:val="auto"/>
            <w:sz w:val="24"/>
            <w:szCs w:val="24"/>
          </w:rPr>
          <w:t>https://news.npcc.police.uk/releases/police-chiefs-guide-officers-to-impose-bail-conditions-protecting-victims-and-vulnerable-people</w:t>
        </w:r>
      </w:hyperlink>
      <w:r w:rsidRPr="00875CBE">
        <w:rPr>
          <w:rFonts w:ascii="Times New Roman" w:hAnsi="Times New Roman" w:cs="Times New Roman"/>
          <w:color w:val="auto"/>
          <w:sz w:val="24"/>
          <w:szCs w:val="24"/>
        </w:rPr>
        <w:t xml:space="preserve"> (Accessed 26 September 2022). </w:t>
      </w:r>
    </w:p>
    <w:p w14:paraId="6BE26E76"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 xml:space="preserve">Palmiotto, M. (2004) </w:t>
      </w:r>
      <w:r w:rsidRPr="00875CBE">
        <w:rPr>
          <w:rFonts w:ascii="Times New Roman" w:hAnsi="Times New Roman" w:cs="Times New Roman"/>
          <w:i/>
          <w:iCs/>
          <w:color w:val="auto"/>
          <w:sz w:val="24"/>
          <w:szCs w:val="24"/>
        </w:rPr>
        <w:t>Criminal Investigation</w:t>
      </w:r>
      <w:r w:rsidRPr="00875CBE">
        <w:rPr>
          <w:rFonts w:ascii="Times New Roman" w:hAnsi="Times New Roman" w:cs="Times New Roman"/>
          <w:color w:val="auto"/>
          <w:sz w:val="24"/>
          <w:szCs w:val="24"/>
        </w:rPr>
        <w:t xml:space="preserve">. Washington DC: University of America. </w:t>
      </w:r>
    </w:p>
    <w:p w14:paraId="68B4A12C"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Paterson C and Best D (2016) Policing vulnerability through building community connections. Policing: A Journal of Policy and Practice 10(2): 150–157.</w:t>
      </w:r>
    </w:p>
    <w:p w14:paraId="7497FC02"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shd w:val="clear" w:color="auto" w:fill="FCFCFC"/>
        </w:rPr>
        <w:t>Porter, T. (2016). Surveillance Camera Commissioner’s IFSEC speech. Retrieved from </w:t>
      </w:r>
      <w:hyperlink r:id="rId25" w:history="1">
        <w:r w:rsidRPr="00875CBE">
          <w:rPr>
            <w:rStyle w:val="Hyperlink"/>
            <w:rFonts w:ascii="Times New Roman" w:hAnsi="Times New Roman" w:cs="Times New Roman"/>
            <w:color w:val="auto"/>
            <w:sz w:val="24"/>
            <w:szCs w:val="24"/>
            <w:shd w:val="clear" w:color="auto" w:fill="FCFCFC"/>
          </w:rPr>
          <w:t>https://www.gov.uk/government/speeches/surveillance-camera-commissioners-ifsec-speech</w:t>
        </w:r>
      </w:hyperlink>
      <w:r w:rsidRPr="00875CBE">
        <w:rPr>
          <w:rFonts w:ascii="Times New Roman" w:hAnsi="Times New Roman" w:cs="Times New Roman"/>
          <w:color w:val="auto"/>
          <w:sz w:val="24"/>
          <w:szCs w:val="24"/>
          <w:shd w:val="clear" w:color="auto" w:fill="FCFCFC"/>
        </w:rPr>
        <w:t>.</w:t>
      </w:r>
    </w:p>
    <w:p w14:paraId="05ABCF91"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lastRenderedPageBreak/>
        <w:t>Rachlew, A. A. (2009). Justisfeil ved politiets etterforskning - noen eksempler og forskningsbaserte mottiltak. [Errors of Justice in Criminal Investigations - some case examples and research-based countermeassures].(Doctoral Dissertation), University of Oslo, Oslo.</w:t>
      </w:r>
    </w:p>
    <w:p w14:paraId="2B46A473"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Riksadvokaten. (2015). Norsk politi og påtalemyndighets behandling av straffesakene mot Sture Bergwall – hva kan vi lære? [The Norwegian police and prosecution service handling of the cases against Sture Bergwall - what can we learn?] (3/2015). Oslo, Norway: Retrieved from http://www.riksadvokaten.no/filestore/Dokumenter/2015/Riksadvo katenspublikasjoner3_2015.pdf.</w:t>
      </w:r>
    </w:p>
    <w:p w14:paraId="501FA126"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shd w:val="clear" w:color="auto" w:fill="FFFFFF"/>
        </w:rPr>
        <w:t>Robinson, A.L., 2006. Reducing repeat victimization among high-risk victims of domestic violence: The benefits of a coordinated community response in Cardiff, Wales. </w:t>
      </w:r>
      <w:r w:rsidRPr="00875CBE">
        <w:rPr>
          <w:rFonts w:ascii="Times New Roman" w:hAnsi="Times New Roman" w:cs="Times New Roman"/>
          <w:i/>
          <w:iCs/>
          <w:color w:val="auto"/>
          <w:sz w:val="24"/>
          <w:szCs w:val="24"/>
          <w:shd w:val="clear" w:color="auto" w:fill="FFFFFF"/>
        </w:rPr>
        <w:t>Violence against women</w:t>
      </w:r>
      <w:r w:rsidRPr="00875CBE">
        <w:rPr>
          <w:rFonts w:ascii="Times New Roman" w:hAnsi="Times New Roman" w:cs="Times New Roman"/>
          <w:color w:val="auto"/>
          <w:sz w:val="24"/>
          <w:szCs w:val="24"/>
          <w:shd w:val="clear" w:color="auto" w:fill="FFFFFF"/>
        </w:rPr>
        <w:t>, </w:t>
      </w:r>
      <w:r w:rsidRPr="00875CBE">
        <w:rPr>
          <w:rFonts w:ascii="Times New Roman" w:hAnsi="Times New Roman" w:cs="Times New Roman"/>
          <w:i/>
          <w:iCs/>
          <w:color w:val="auto"/>
          <w:sz w:val="24"/>
          <w:szCs w:val="24"/>
          <w:shd w:val="clear" w:color="auto" w:fill="FFFFFF"/>
        </w:rPr>
        <w:t>12</w:t>
      </w:r>
      <w:r w:rsidRPr="00875CBE">
        <w:rPr>
          <w:rFonts w:ascii="Times New Roman" w:hAnsi="Times New Roman" w:cs="Times New Roman"/>
          <w:color w:val="auto"/>
          <w:sz w:val="24"/>
          <w:szCs w:val="24"/>
          <w:shd w:val="clear" w:color="auto" w:fill="FFFFFF"/>
        </w:rPr>
        <w:t>(8), pp.761-788.</w:t>
      </w:r>
    </w:p>
    <w:p w14:paraId="687612AF"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Robinson, A. L., &amp; Pickles, J. (2003). Gweithio gyva ein gilydd: Y profiad cymreig [Working together: The Welsh experience]. Safe: The Domestic Abuse Quarterly, 7, 4-7.</w:t>
      </w:r>
    </w:p>
    <w:p w14:paraId="14B7A249"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Ross, K. G., Shafer, J. L., &amp; Klein, G. (2006). Professional judgments and "naturalistic decision making". In K. A. Ericsson, N. Charness, P. Feltovich, &amp; R. Hoffman (Eds.), The cambridge handbook of expertise and expert performance (pp. 402-419). New York, NY: Cambridge University Press.</w:t>
      </w:r>
    </w:p>
    <w:p w14:paraId="63D994C6"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Rossmo, D. K. (2014). Case rethinking: A protocol for reviewing criminal investigations. Police Practice and Research: An International Journal, 17(3). doi: 0.1080/15614263.2014.978320</w:t>
      </w:r>
    </w:p>
    <w:p w14:paraId="2D2D49FF"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Rossmo, D. K. (Ed.). (2009). Criminal investigative failures. Boca Raton, FL: CRC Press.</w:t>
      </w:r>
    </w:p>
    <w:p w14:paraId="3D7C7BDA"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Ruparel, C., 2004. Distraction burglary: Recorded crime data. Online supplement to Home Office Statistical Bulletin 14/04.</w:t>
      </w:r>
    </w:p>
    <w:p w14:paraId="6BA82738"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Stanford S (2012) Critically reflecting on being a ‘at risk’ and ‘a risk’ in vulnerable people policing. In: Bartkowiak-The´ron I and Asquith NL (eds) Policing Vulnerability. Annandale, VA: Federation Press, 20–32.</w:t>
      </w:r>
    </w:p>
    <w:p w14:paraId="2CF5850F"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 xml:space="preserve">Stanley, N. and Humphreys, C. (2014) ‘Multi-agency risk assessment and management for children and families experiencing domestic violence’, </w:t>
      </w:r>
      <w:r w:rsidRPr="00875CBE">
        <w:rPr>
          <w:rFonts w:ascii="Times New Roman" w:hAnsi="Times New Roman" w:cs="Times New Roman"/>
          <w:i/>
          <w:iCs/>
          <w:color w:val="auto"/>
          <w:sz w:val="24"/>
          <w:szCs w:val="24"/>
        </w:rPr>
        <w:t>Children and Youth Services Review</w:t>
      </w:r>
      <w:r w:rsidRPr="00875CBE">
        <w:rPr>
          <w:rFonts w:ascii="Times New Roman" w:hAnsi="Times New Roman" w:cs="Times New Roman"/>
          <w:color w:val="auto"/>
          <w:sz w:val="24"/>
          <w:szCs w:val="24"/>
        </w:rPr>
        <w:t xml:space="preserve">, 47(1), pp. 78-85. </w:t>
      </w:r>
    </w:p>
    <w:p w14:paraId="61FE51B6"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lastRenderedPageBreak/>
        <w:t>Steele, B., Thornton, A., McKillop, C. and Dover, H. 2000. The formulation of a strategy to prevent and detect distraction burglary offences against older people. London: Home Office, Available from: https://www.tradingstandards.uk/media/documents/news-- policy/research/strategy_burglary.pdf [Accessed 4th April 2020].</w:t>
      </w:r>
    </w:p>
    <w:p w14:paraId="749194F8"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Stelfox, P. (2009). Criminal investigation: An introduction to principles and practice. Cullumpton, UK: Willan.</w:t>
      </w:r>
    </w:p>
    <w:p w14:paraId="100CF6D7"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Stelfox, P., &amp; Pease, K. (2005). Cognition and detection: Reluctant bedfellows? In M. J. Smith &amp; N. Tilley (Eds.), Crime science: New approaches to preventing and detecting crime (pp. 194-210). Cullompton, UK: Willan.</w:t>
      </w:r>
    </w:p>
    <w:p w14:paraId="5C665C9D"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 xml:space="preserve">Strang, H., Neyroud, P., and Sherman, L. (2014) ‘Tracking the evidence for a ‘mythical number’: Do UK domestic abuse victims suffer an average of 35 assaults before someone calls the police?’, </w:t>
      </w:r>
      <w:r w:rsidRPr="00875CBE">
        <w:rPr>
          <w:rFonts w:ascii="Times New Roman" w:hAnsi="Times New Roman" w:cs="Times New Roman"/>
          <w:i/>
          <w:iCs/>
          <w:color w:val="auto"/>
          <w:sz w:val="24"/>
          <w:szCs w:val="24"/>
        </w:rPr>
        <w:t>Policing: A Journal of Policy and Practice</w:t>
      </w:r>
      <w:r w:rsidRPr="00875CBE">
        <w:rPr>
          <w:rFonts w:ascii="Times New Roman" w:hAnsi="Times New Roman" w:cs="Times New Roman"/>
          <w:color w:val="auto"/>
          <w:sz w:val="24"/>
          <w:szCs w:val="24"/>
        </w:rPr>
        <w:t>, 8(2), pp. 222–228.</w:t>
      </w:r>
    </w:p>
    <w:p w14:paraId="5DFBC9F3"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Straus, M. A. (1990). The national family violence surveys. In M. A. Straus &amp; R. J. Gelles (Eds.), Physical violence in American families: Risk factors and adaptation to violence in 8,145 Families (pp. 3-16). New Brunswick, NJ: Transaction Publishing.</w:t>
      </w:r>
    </w:p>
    <w:p w14:paraId="1F7F6418"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Thornton, A., Hatton, C., Malone, C., Fryer, T., Walker, D., Cunningham, J., and N. Durrani, 2003. Distraction Burglary amongst Older Adults and Ethnic Minority Communities. Home Office Research Study 269. London: Home Office Research, Development and Statistics Directorate.</w:t>
      </w:r>
    </w:p>
    <w:p w14:paraId="752FA703"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Turner, E., Medina, J. and Brown, G., (2019). Dashing hopes? The predictive accuracy of domestic abuse risk assessment by police. The British Journal of Criminology, 59(5), pp.1013-1034.</w:t>
      </w:r>
    </w:p>
    <w:p w14:paraId="40270411"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Unicef (2017) A Summary of the UN Convention on the Rights of the Child. Available at: https://down loads.unicef.org.uk/wp-content/uploads/2010/05/UNCRC_summary.pdf (accessed 24 July 2017).</w:t>
      </w:r>
    </w:p>
    <w:p w14:paraId="33D3E242"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Waddell S and Molloy D (2015) Early Intervention: A Guide for Frontline Police Officers and PCSOs. A Home Office Crime Prevention Panel project. London: Early Intervention Foundation.</w:t>
      </w:r>
    </w:p>
    <w:p w14:paraId="629BCEE6"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 xml:space="preserve">Weisburd, D. and Majmundar, M.K. (2018) </w:t>
      </w:r>
      <w:r w:rsidRPr="00875CBE">
        <w:rPr>
          <w:rFonts w:ascii="Times New Roman" w:hAnsi="Times New Roman" w:cs="Times New Roman"/>
          <w:i/>
          <w:iCs/>
          <w:color w:val="auto"/>
          <w:sz w:val="24"/>
          <w:szCs w:val="24"/>
        </w:rPr>
        <w:t>Proactive Policing: Effects on Crime and Communities</w:t>
      </w:r>
      <w:r w:rsidRPr="00875CBE">
        <w:rPr>
          <w:rFonts w:ascii="Times New Roman" w:hAnsi="Times New Roman" w:cs="Times New Roman"/>
          <w:color w:val="auto"/>
          <w:sz w:val="24"/>
          <w:szCs w:val="24"/>
        </w:rPr>
        <w:t xml:space="preserve">. Washington DC: National Academies Press.  </w:t>
      </w:r>
    </w:p>
    <w:p w14:paraId="0E5D2DFE"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Westera, N. J., Kebbell, M. R., Milne, B., &amp; Green, T. (2014b). Towards a more effective detective. Policing and Society. doi: 10.1080/10439463.2014.912647</w:t>
      </w:r>
    </w:p>
    <w:p w14:paraId="27BA13FC"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lastRenderedPageBreak/>
        <w:t>Wilmer, M. A. P. (1970). Crime and information theory. Edinburgh, UK: Edinburgh University Press.</w:t>
      </w:r>
    </w:p>
    <w:p w14:paraId="289D728E" w14:textId="77777777" w:rsidR="007D3569" w:rsidRPr="00875CBE" w:rsidRDefault="007D3569" w:rsidP="007D3569">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color w:val="auto"/>
          <w:sz w:val="24"/>
          <w:szCs w:val="24"/>
        </w:rPr>
      </w:pPr>
      <w:r w:rsidRPr="00875CBE">
        <w:rPr>
          <w:rFonts w:ascii="Times New Roman" w:hAnsi="Times New Roman" w:cs="Times New Roman"/>
          <w:color w:val="auto"/>
          <w:sz w:val="24"/>
          <w:szCs w:val="24"/>
        </w:rPr>
        <w:t>Woodhouse, J., &amp; Dempsey, W. (2016) Domestic Violence in England and Wales. Briefing Paper. House of Commons Library. Number 6337. 6th May 2016</w:t>
      </w:r>
    </w:p>
    <w:p w14:paraId="406897F1" w14:textId="77777777" w:rsidR="007D3569" w:rsidRDefault="007D3569" w:rsidP="00EA28F1">
      <w:pPr>
        <w:keepNext/>
        <w:spacing w:before="240" w:after="60"/>
        <w:ind w:right="237"/>
        <w:jc w:val="both"/>
      </w:pPr>
    </w:p>
    <w:sectPr w:rsidR="007D3569"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A2CB3B" w14:textId="77777777" w:rsidR="00611880" w:rsidRDefault="00611880">
      <w:r>
        <w:separator/>
      </w:r>
    </w:p>
  </w:endnote>
  <w:endnote w:type="continuationSeparator" w:id="0">
    <w:p w14:paraId="3410CF83" w14:textId="77777777" w:rsidR="00611880" w:rsidRDefault="006118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9CF33A" w14:textId="77777777" w:rsidR="00611880" w:rsidRDefault="00611880">
      <w:r>
        <w:separator/>
      </w:r>
    </w:p>
  </w:footnote>
  <w:footnote w:type="continuationSeparator" w:id="0">
    <w:p w14:paraId="53975D90" w14:textId="77777777" w:rsidR="00611880" w:rsidRDefault="0061188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bookmark int2:bookmarkName="_Int_iqtpDieQ" int2:invalidationBookmarkName="" int2:hashCode="D4JDEQ/HN5+s4C" int2:id="cnnUzY7w">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40BE0EB6"/>
    <w:lvl w:ilvl="0" w:tplc="9A204D08">
      <w:start w:val="1"/>
      <w:numFmt w:val="decimal"/>
      <w:lvlText w:val="%1."/>
      <w:lvlJc w:val="left"/>
      <w:pPr>
        <w:ind w:left="720" w:hanging="360"/>
      </w:pPr>
    </w:lvl>
    <w:lvl w:ilvl="1" w:tplc="B9F6C790">
      <w:start w:val="1"/>
      <w:numFmt w:val="lowerLetter"/>
      <w:lvlText w:val="%2."/>
      <w:lvlJc w:val="left"/>
      <w:pPr>
        <w:ind w:left="1440" w:hanging="360"/>
      </w:pPr>
    </w:lvl>
    <w:lvl w:ilvl="2" w:tplc="885E0D40">
      <w:start w:val="1"/>
      <w:numFmt w:val="lowerRoman"/>
      <w:lvlText w:val="%3."/>
      <w:lvlJc w:val="right"/>
      <w:pPr>
        <w:ind w:left="2160" w:hanging="180"/>
      </w:pPr>
    </w:lvl>
    <w:lvl w:ilvl="3" w:tplc="8B62CB30">
      <w:start w:val="1"/>
      <w:numFmt w:val="decimal"/>
      <w:lvlText w:val="%4."/>
      <w:lvlJc w:val="left"/>
      <w:pPr>
        <w:ind w:left="2880" w:hanging="360"/>
      </w:pPr>
    </w:lvl>
    <w:lvl w:ilvl="4" w:tplc="87B0E998">
      <w:start w:val="1"/>
      <w:numFmt w:val="lowerLetter"/>
      <w:lvlText w:val="%5."/>
      <w:lvlJc w:val="left"/>
      <w:pPr>
        <w:ind w:left="3600" w:hanging="360"/>
      </w:pPr>
    </w:lvl>
    <w:lvl w:ilvl="5" w:tplc="13C6F85E">
      <w:start w:val="1"/>
      <w:numFmt w:val="lowerRoman"/>
      <w:lvlText w:val="%6."/>
      <w:lvlJc w:val="right"/>
      <w:pPr>
        <w:ind w:left="4320" w:hanging="180"/>
      </w:pPr>
    </w:lvl>
    <w:lvl w:ilvl="6" w:tplc="E2627074">
      <w:start w:val="1"/>
      <w:numFmt w:val="decimal"/>
      <w:lvlText w:val="%7."/>
      <w:lvlJc w:val="left"/>
      <w:pPr>
        <w:ind w:left="5040" w:hanging="360"/>
      </w:pPr>
    </w:lvl>
    <w:lvl w:ilvl="7" w:tplc="958A69B8">
      <w:start w:val="1"/>
      <w:numFmt w:val="lowerLetter"/>
      <w:lvlText w:val="%8."/>
      <w:lvlJc w:val="left"/>
      <w:pPr>
        <w:ind w:left="5760" w:hanging="360"/>
      </w:pPr>
    </w:lvl>
    <w:lvl w:ilvl="8" w:tplc="2F843842">
      <w:start w:val="1"/>
      <w:numFmt w:val="lowerRoman"/>
      <w:lvlText w:val="%9."/>
      <w:lvlJc w:val="right"/>
      <w:pPr>
        <w:ind w:left="6480" w:hanging="180"/>
      </w:pPr>
    </w:lvl>
  </w:abstractNum>
  <w:abstractNum w:abstractNumId="11" w15:restartNumberingAfterBreak="0">
    <w:nsid w:val="1B985821"/>
    <w:multiLevelType w:val="hybridMultilevel"/>
    <w:tmpl w:val="FB4A0EF2"/>
    <w:lvl w:ilvl="0" w:tplc="83086584">
      <w:start w:val="213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65B08CEC"/>
    <w:lvl w:ilvl="0" w:tplc="DD34B36E">
      <w:start w:val="1"/>
      <w:numFmt w:val="decimal"/>
      <w:lvlText w:val="%1."/>
      <w:lvlJc w:val="left"/>
      <w:pPr>
        <w:ind w:left="720" w:hanging="360"/>
      </w:pPr>
    </w:lvl>
    <w:lvl w:ilvl="1" w:tplc="FEAEDD1E">
      <w:start w:val="1"/>
      <w:numFmt w:val="decimal"/>
      <w:lvlText w:val="%2."/>
      <w:lvlJc w:val="left"/>
      <w:pPr>
        <w:ind w:left="1440" w:hanging="360"/>
      </w:pPr>
    </w:lvl>
    <w:lvl w:ilvl="2" w:tplc="4C1E8DE4">
      <w:start w:val="1"/>
      <w:numFmt w:val="lowerRoman"/>
      <w:lvlText w:val="%3."/>
      <w:lvlJc w:val="right"/>
      <w:pPr>
        <w:ind w:left="2160" w:hanging="180"/>
      </w:pPr>
    </w:lvl>
    <w:lvl w:ilvl="3" w:tplc="E7E24836">
      <w:start w:val="1"/>
      <w:numFmt w:val="decimal"/>
      <w:lvlText w:val="%4."/>
      <w:lvlJc w:val="left"/>
      <w:pPr>
        <w:ind w:left="2880" w:hanging="360"/>
      </w:pPr>
    </w:lvl>
    <w:lvl w:ilvl="4" w:tplc="CB309AB2">
      <w:start w:val="1"/>
      <w:numFmt w:val="lowerLetter"/>
      <w:lvlText w:val="%5."/>
      <w:lvlJc w:val="left"/>
      <w:pPr>
        <w:ind w:left="3600" w:hanging="360"/>
      </w:pPr>
    </w:lvl>
    <w:lvl w:ilvl="5" w:tplc="3D2E6D48">
      <w:start w:val="1"/>
      <w:numFmt w:val="lowerRoman"/>
      <w:lvlText w:val="%6."/>
      <w:lvlJc w:val="right"/>
      <w:pPr>
        <w:ind w:left="4320" w:hanging="180"/>
      </w:pPr>
    </w:lvl>
    <w:lvl w:ilvl="6" w:tplc="F9582742">
      <w:start w:val="1"/>
      <w:numFmt w:val="decimal"/>
      <w:lvlText w:val="%7."/>
      <w:lvlJc w:val="left"/>
      <w:pPr>
        <w:ind w:left="5040" w:hanging="360"/>
      </w:pPr>
    </w:lvl>
    <w:lvl w:ilvl="7" w:tplc="9BF69292">
      <w:start w:val="1"/>
      <w:numFmt w:val="lowerLetter"/>
      <w:lvlText w:val="%8."/>
      <w:lvlJc w:val="left"/>
      <w:pPr>
        <w:ind w:left="5760" w:hanging="360"/>
      </w:pPr>
    </w:lvl>
    <w:lvl w:ilvl="8" w:tplc="59AA5294">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40355018">
    <w:abstractNumId w:val="48"/>
  </w:num>
  <w:num w:numId="2" w16cid:durableId="1318340593">
    <w:abstractNumId w:val="10"/>
  </w:num>
  <w:num w:numId="3" w16cid:durableId="1688291313">
    <w:abstractNumId w:val="1"/>
    <w:lvlOverride w:ilvl="0">
      <w:lvl w:ilvl="0">
        <w:start w:val="1"/>
        <w:numFmt w:val="bullet"/>
        <w:lvlText w:val=""/>
        <w:lvlJc w:val="left"/>
        <w:pPr>
          <w:ind w:left="720" w:hanging="360"/>
        </w:pPr>
        <w:rPr>
          <w:rFonts w:ascii="Symbol" w:hAnsi="Symbol" w:hint="default"/>
        </w:rPr>
      </w:lvl>
    </w:lvlOverride>
  </w:num>
  <w:num w:numId="4" w16cid:durableId="831872094">
    <w:abstractNumId w:val="23"/>
  </w:num>
  <w:num w:numId="5" w16cid:durableId="618538104">
    <w:abstractNumId w:val="45"/>
  </w:num>
  <w:num w:numId="6" w16cid:durableId="1584221466">
    <w:abstractNumId w:val="47"/>
  </w:num>
  <w:num w:numId="7" w16cid:durableId="558521914">
    <w:abstractNumId w:val="35"/>
  </w:num>
  <w:num w:numId="8" w16cid:durableId="1794664967">
    <w:abstractNumId w:val="33"/>
  </w:num>
  <w:num w:numId="9" w16cid:durableId="1081609101">
    <w:abstractNumId w:val="30"/>
  </w:num>
  <w:num w:numId="10" w16cid:durableId="748383114">
    <w:abstractNumId w:val="31"/>
  </w:num>
  <w:num w:numId="11" w16cid:durableId="748814413">
    <w:abstractNumId w:val="9"/>
  </w:num>
  <w:num w:numId="12" w16cid:durableId="1054356365">
    <w:abstractNumId w:val="34"/>
  </w:num>
  <w:num w:numId="13" w16cid:durableId="1235237812">
    <w:abstractNumId w:val="18"/>
  </w:num>
  <w:num w:numId="14" w16cid:durableId="1209561817">
    <w:abstractNumId w:val="17"/>
  </w:num>
  <w:num w:numId="15" w16cid:durableId="1822691666">
    <w:abstractNumId w:val="27"/>
  </w:num>
  <w:num w:numId="16" w16cid:durableId="1746226233">
    <w:abstractNumId w:val="7"/>
  </w:num>
  <w:num w:numId="17" w16cid:durableId="794562957">
    <w:abstractNumId w:val="26"/>
  </w:num>
  <w:num w:numId="18" w16cid:durableId="1173033604">
    <w:abstractNumId w:val="16"/>
  </w:num>
  <w:num w:numId="19" w16cid:durableId="1783450934">
    <w:abstractNumId w:val="14"/>
  </w:num>
  <w:num w:numId="20" w16cid:durableId="88062770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931963627">
    <w:abstractNumId w:val="24"/>
  </w:num>
  <w:num w:numId="22" w16cid:durableId="777679512">
    <w:abstractNumId w:val="19"/>
  </w:num>
  <w:num w:numId="23" w16cid:durableId="1276524783">
    <w:abstractNumId w:val="15"/>
  </w:num>
  <w:num w:numId="24" w16cid:durableId="252202124">
    <w:abstractNumId w:val="12"/>
  </w:num>
  <w:num w:numId="25" w16cid:durableId="1421024081">
    <w:abstractNumId w:val="28"/>
  </w:num>
  <w:num w:numId="26" w16cid:durableId="726416865">
    <w:abstractNumId w:val="20"/>
  </w:num>
  <w:num w:numId="27" w16cid:durableId="1017343359">
    <w:abstractNumId w:val="41"/>
  </w:num>
  <w:num w:numId="28" w16cid:durableId="965281578">
    <w:abstractNumId w:val="36"/>
  </w:num>
  <w:num w:numId="29" w16cid:durableId="1580402160">
    <w:abstractNumId w:val="40"/>
  </w:num>
  <w:num w:numId="30" w16cid:durableId="1958246475">
    <w:abstractNumId w:val="21"/>
  </w:num>
  <w:num w:numId="31" w16cid:durableId="502470585">
    <w:abstractNumId w:val="43"/>
  </w:num>
  <w:num w:numId="32" w16cid:durableId="1114981117">
    <w:abstractNumId w:val="32"/>
  </w:num>
  <w:num w:numId="33" w16cid:durableId="755981256">
    <w:abstractNumId w:val="13"/>
  </w:num>
  <w:num w:numId="34" w16cid:durableId="1715883026">
    <w:abstractNumId w:val="44"/>
  </w:num>
  <w:num w:numId="35" w16cid:durableId="905184860">
    <w:abstractNumId w:val="39"/>
  </w:num>
  <w:num w:numId="36" w16cid:durableId="1408308156">
    <w:abstractNumId w:val="4"/>
  </w:num>
  <w:num w:numId="37" w16cid:durableId="162819462">
    <w:abstractNumId w:val="46"/>
  </w:num>
  <w:num w:numId="38" w16cid:durableId="963117137">
    <w:abstractNumId w:val="42"/>
  </w:num>
  <w:num w:numId="39" w16cid:durableId="1825269480">
    <w:abstractNumId w:val="37"/>
  </w:num>
  <w:num w:numId="40" w16cid:durableId="1627546576">
    <w:abstractNumId w:val="38"/>
  </w:num>
  <w:num w:numId="41" w16cid:durableId="736366367">
    <w:abstractNumId w:val="3"/>
  </w:num>
  <w:num w:numId="42" w16cid:durableId="354498404">
    <w:abstractNumId w:val="5"/>
  </w:num>
  <w:num w:numId="43" w16cid:durableId="752970376">
    <w:abstractNumId w:val="25"/>
  </w:num>
  <w:num w:numId="44" w16cid:durableId="697242300">
    <w:abstractNumId w:val="6"/>
  </w:num>
  <w:num w:numId="45" w16cid:durableId="931939581">
    <w:abstractNumId w:val="2"/>
  </w:num>
  <w:num w:numId="46" w16cid:durableId="1899776994">
    <w:abstractNumId w:val="0"/>
  </w:num>
  <w:num w:numId="47" w16cid:durableId="1168666497">
    <w:abstractNumId w:val="22"/>
  </w:num>
  <w:num w:numId="48" w16cid:durableId="1271354040">
    <w:abstractNumId w:val="29"/>
  </w:num>
  <w:num w:numId="49" w16cid:durableId="1099328761">
    <w:abstractNumId w:val="49"/>
  </w:num>
  <w:num w:numId="50" w16cid:durableId="1318731633">
    <w:abstractNumId w:val="1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724E3"/>
    <w:rsid w:val="00080E58"/>
    <w:rsid w:val="0008130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F31B9"/>
    <w:rsid w:val="004046F0"/>
    <w:rsid w:val="0040668F"/>
    <w:rsid w:val="00412677"/>
    <w:rsid w:val="00417925"/>
    <w:rsid w:val="00426EB2"/>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1880"/>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569"/>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619"/>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0526C"/>
    <w:rsid w:val="00B1174E"/>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D70C6"/>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D72DE"/>
    <w:rsid w:val="00DE556F"/>
    <w:rsid w:val="00E03B6D"/>
    <w:rsid w:val="00E0649E"/>
    <w:rsid w:val="00E17160"/>
    <w:rsid w:val="00E24C3F"/>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2752"/>
    <w:rsid w:val="00EB62E6"/>
    <w:rsid w:val="00ED1B30"/>
    <w:rsid w:val="00ED250E"/>
    <w:rsid w:val="00ED6535"/>
    <w:rsid w:val="00EE1AC1"/>
    <w:rsid w:val="00EE39D6"/>
    <w:rsid w:val="00EE413C"/>
    <w:rsid w:val="00EE52AD"/>
    <w:rsid w:val="00EF3ED1"/>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2914"/>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Emphasis">
    <w:name w:val="Emphasis"/>
    <w:basedOn w:val="DefaultParagraphFont"/>
    <w:uiPriority w:val="20"/>
    <w:qFormat/>
    <w:rsid w:val="007D356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guidance/vulnerability-related-risks/introduction-vulnerability-related-risk"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gov.uk/government/uploads/system/uploads/attachment_data/file/260897/h%20orr76.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national-decision-model/national-decision-model" TargetMode="External"/><Relationship Id="rId25" Type="http://schemas.openxmlformats.org/officeDocument/2006/relationships/hyperlink" Target="https://www.gov.uk/government/speeches/surveillance-camera-commissioners-ifsec-speech"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gdas.wales/about-u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news.npcc.police.uk/releases/police-chiefs-guide-officers-to-impose-bail-conditions-protecting-victims-and-vulnerable-people" TargetMode="Externa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yperlink" Target="https://assets.publishing.service.gov.uk/government/uploads/system/uploads/attachment_data/file/1099880/hocr-complete-july-22.pdf" TargetMode="External"/><Relationship Id="rId28"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yperlink" Target="https://www.college.police.uk/app/investigat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assets.publishing.service.gov.uk/government/uploads/system/uploads/attachment_data/file/864940/interviewing-suspects-v7.0.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399</TotalTime>
  <Pages>32</Pages>
  <Words>8085</Words>
  <Characters>49038</Characters>
  <Application>Microsoft Office Word</Application>
  <DocSecurity>0</DocSecurity>
  <Lines>408</Lines>
  <Paragraphs>114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Barron, Thomas</cp:lastModifiedBy>
  <cp:revision>10</cp:revision>
  <cp:lastPrinted>2014-08-26T08:55:00Z</cp:lastPrinted>
  <dcterms:created xsi:type="dcterms:W3CDTF">2023-08-07T15:20:00Z</dcterms:created>
  <dcterms:modified xsi:type="dcterms:W3CDTF">2023-08-07T21:30:00Z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2023-08-07T14:31:00Z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5aa5c8da-e6d0-40a8-864a-c543f5f65ae3</vt:lpwstr>
  </property>
  <property fmtid="{D5CDD505-2E9C-101B-9397-08002B2CF9AE}" pid="9" name="MSIP_Label_f2acd28b-79a3-4a0f-b0ff-4b75658b1549_ContentBits">
    <vt:lpwstr>0</vt:lpwstr>
  </property>
</Properties>
</file>