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3A966" w14:textId="42493885" w:rsidR="001F28F0" w:rsidRDefault="00A170E2">
      <w:r>
        <w:t>Haena Begum</w:t>
      </w:r>
    </w:p>
    <w:p w14:paraId="47FC19A4" w14:textId="6A2B3ED1" w:rsidR="00A170E2" w:rsidRDefault="00A170E2">
      <w:r>
        <w:t>Student Number 2</w:t>
      </w:r>
      <w:r w:rsidR="00744848">
        <w:t>02508171</w:t>
      </w:r>
    </w:p>
    <w:p w14:paraId="59243895" w14:textId="25F1CAC1" w:rsidR="00A170E2" w:rsidRDefault="00A170E2">
      <w:r>
        <w:t>Module code LCHS4001</w:t>
      </w:r>
    </w:p>
    <w:p w14:paraId="3FABF4D5" w14:textId="3774BBA8" w:rsidR="00A170E2" w:rsidRDefault="00A170E2">
      <w:r>
        <w:t>Lecture Markus</w:t>
      </w:r>
    </w:p>
    <w:p w14:paraId="4D7807E2" w14:textId="4ED05657" w:rsidR="00A170E2" w:rsidRDefault="00A170E2">
      <w:r>
        <w:t xml:space="preserve">Academical And Employment Skills </w:t>
      </w:r>
    </w:p>
    <w:p w14:paraId="27BBB368" w14:textId="05B68DDA" w:rsidR="00A170E2" w:rsidRDefault="00A170E2">
      <w:r>
        <w:t xml:space="preserve">Task 3 Report </w:t>
      </w:r>
    </w:p>
    <w:p w14:paraId="2CBB6AE2" w14:textId="46C51CD4" w:rsidR="00A170E2" w:rsidRDefault="00A170E2">
      <w:r>
        <w:t>The role I have chosen is Docto</w:t>
      </w:r>
      <w:r w:rsidR="00E41A3B">
        <w:t xml:space="preserve">r </w:t>
      </w:r>
      <w:r w:rsidR="00E41A3B" w:rsidRPr="00E41A3B">
        <w:t>A doctor is a medically trained and professionally regulated practitioner whose primary responsibility is to protect, restore, and promote health through safe, evidence</w:t>
      </w:r>
      <w:r w:rsidR="00E41A3B" w:rsidRPr="00E41A3B">
        <w:rPr>
          <w:rFonts w:ascii="Cambria Math" w:hAnsi="Cambria Math" w:cs="Cambria Math"/>
        </w:rPr>
        <w:t>‑</w:t>
      </w:r>
      <w:r w:rsidR="00E41A3B" w:rsidRPr="00E41A3B">
        <w:t>based clinical practice. They assess patients by taking detailed histories, performing examinations, and interpreting diagnostic tests to reach accurate diagnoses. Based on these findings, doctors develop and implement treatment plans, prescribe medications, and monitor progress to ensure effective and safe care. Their role also involves clear communication, supporting patient autonomy, and working collaboratively within multidisciplinary teams to deliver coordinated healthcare. In addition to direct patient care, doctors contribute to public health, research, clinical governance, and continuous professional development, ensuring that healthcare services remain ethical, effective, and responsive to the needs of diverse populations.</w:t>
      </w:r>
      <w:r w:rsidR="00E41A3B">
        <w:t xml:space="preserve">   </w:t>
      </w:r>
    </w:p>
    <w:p w14:paraId="27619FF9" w14:textId="01F0C113" w:rsidR="00E41A3B" w:rsidRDefault="00E41A3B">
      <w:r>
        <w:t xml:space="preserve">Communication skills </w:t>
      </w:r>
      <w:r w:rsidRPr="00E41A3B">
        <w:t>Effective communication is fundamental to building trust, gathering accurate information, and ensuring patients understand their diagnosis and treatment options. Doctors must communicate clearly with patients, families, and multidisciplinary colleagues. For instance, when explaining a new diabetes diagnosis, a doctor must describe the condition, outline lifestyle changes, and discuss medication in a way the patient can understand and act upon. Good communication also supports shared decision</w:t>
      </w:r>
      <w:r w:rsidRPr="00E41A3B">
        <w:rPr>
          <w:rFonts w:ascii="Cambria Math" w:hAnsi="Cambria Math" w:cs="Cambria Math"/>
        </w:rPr>
        <w:t>‑</w:t>
      </w:r>
      <w:r w:rsidRPr="00E41A3B">
        <w:t>making, reduces anxiety, and improves adherence to treatment. In contrast, poor communication can lead to misunderstandings, reduced patient satisfaction, and avoidable harm.</w:t>
      </w:r>
    </w:p>
    <w:p w14:paraId="02445D76" w14:textId="735B2C34" w:rsidR="00E41A3B" w:rsidRDefault="00E41A3B">
      <w:r w:rsidRPr="00E41A3B">
        <w:t>Empathy enables doctors to understand a patient’s emotional, psychological, and social needs, which is essential for holistic care. This skill helps doctors respond sensitively to distressing situations and provide support that respects the patient’s dignity. For example, when delivering a terminal cancer diagnosis, a doctor must show compassion, acknowledge the patient’s fears, and offer clear information about treatment options and support services. Empathy strengthens the therapeutic relationship, encourages honest communication, and improves patient engagement. It also helps doctors recognise when a patient may need additional mental health or social support.</w:t>
      </w:r>
    </w:p>
    <w:p w14:paraId="3D6FF9DD" w14:textId="61080A93" w:rsidR="00E41A3B" w:rsidRDefault="00E41A3B">
      <w:r w:rsidRPr="00E41A3B">
        <w:lastRenderedPageBreak/>
        <w:t>Clinical decision</w:t>
      </w:r>
      <w:r w:rsidRPr="00E41A3B">
        <w:rPr>
          <w:rFonts w:ascii="Cambria Math" w:hAnsi="Cambria Math" w:cs="Cambria Math"/>
        </w:rPr>
        <w:t>‑</w:t>
      </w:r>
      <w:r w:rsidRPr="00E41A3B">
        <w:t>making is the ability to interpret symptoms, analyse diagnostic information, and select the most appropriate course of action. This skill is essential because doctors frequently encounter complex or ambiguous presentations that require rapid, evidence</w:t>
      </w:r>
      <w:r w:rsidRPr="00E41A3B">
        <w:rPr>
          <w:rFonts w:ascii="Cambria Math" w:hAnsi="Cambria Math" w:cs="Cambria Math"/>
        </w:rPr>
        <w:t>‑</w:t>
      </w:r>
      <w:r w:rsidRPr="00E41A3B">
        <w:t>based judgement. For example, in an emergency department, a doctor must quickly distinguish between chest pain caused by indigestion and chest pain signalling a myocardial infarction. Accurate decision</w:t>
      </w:r>
      <w:r w:rsidRPr="00E41A3B">
        <w:rPr>
          <w:rFonts w:ascii="Cambria Math" w:hAnsi="Cambria Math" w:cs="Cambria Math"/>
        </w:rPr>
        <w:t>‑</w:t>
      </w:r>
      <w:r w:rsidRPr="00E41A3B">
        <w:t>making ensures timely treatment, reduces risk, and directly impacts patient outcomes. Without strong clinical reasoning, the likelihood of misdiagnosis, delayed treatment, or unsafe care increases significantly</w:t>
      </w:r>
      <w:r w:rsidR="00C718B7">
        <w:t>.</w:t>
      </w:r>
    </w:p>
    <w:p w14:paraId="21E1F619" w14:textId="0DAC78E6" w:rsidR="00404156" w:rsidRDefault="00404156" w:rsidP="00404156">
      <w:r>
        <w:t xml:space="preserve">Strategy </w:t>
      </w:r>
      <w:r>
        <w:t xml:space="preserve">1 </w:t>
      </w:r>
      <w:r>
        <w:t>Engage in Regular Case</w:t>
      </w:r>
      <w:r>
        <w:rPr>
          <w:rFonts w:ascii="Cambria Math" w:hAnsi="Cambria Math" w:cs="Cambria Math"/>
        </w:rPr>
        <w:t>‑</w:t>
      </w:r>
      <w:r>
        <w:t>Based Learning</w:t>
      </w:r>
    </w:p>
    <w:p w14:paraId="3C098B72" w14:textId="74AAF233" w:rsidR="00404156" w:rsidRDefault="00404156" w:rsidP="00404156">
      <w:r>
        <w:t>Case</w:t>
      </w:r>
      <w:r>
        <w:rPr>
          <w:rFonts w:ascii="Cambria Math" w:hAnsi="Cambria Math" w:cs="Cambria Math"/>
        </w:rPr>
        <w:t>‑</w:t>
      </w:r>
      <w:r>
        <w:t>based learning allows doctors to practise analysing real or simulated patient scenarios, encouraging them to interpret symptoms, consider differential diagnoses, and justify their clinical decisions. This strategy enhances pattern recognition and strengthens diagnostic reasoning. For example, repeatedly reviewing cases of abdominal pain helps a doctor differentiate between conditions such as appendicitis, gallstones, or gastroenteritis, improving accuracy and confidence in real clinical settings.</w:t>
      </w:r>
    </w:p>
    <w:p w14:paraId="2976C5AA" w14:textId="08A374B2" w:rsidR="00404156" w:rsidRDefault="00404156" w:rsidP="00404156">
      <w:r>
        <w:t>Strategy 2</w:t>
      </w:r>
      <w:r>
        <w:t xml:space="preserve"> </w:t>
      </w:r>
      <w:r>
        <w:t>Use Evidence</w:t>
      </w:r>
      <w:r>
        <w:rPr>
          <w:rFonts w:ascii="Cambria Math" w:hAnsi="Cambria Math" w:cs="Cambria Math"/>
        </w:rPr>
        <w:t>‑</w:t>
      </w:r>
      <w:r>
        <w:t>Based Guidelines Consistently</w:t>
      </w:r>
    </w:p>
    <w:p w14:paraId="5B1C9922" w14:textId="4C89C0C8" w:rsidR="00404156" w:rsidRDefault="00404156" w:rsidP="00404156">
      <w:r>
        <w:t>Referring to national and international clinical guidelines, such as NICE pathways, ensures that decisions are grounded in the best available evidence. This strategy reduces variation in care and supports safe, standardised practice. For instance, following the NICE guideline for managing asthma helps a doctor choose the correct stepwise treatment and recognise when escalation is required, ultimately improving patient outcomes.</w:t>
      </w:r>
    </w:p>
    <w:p w14:paraId="438E67BA" w14:textId="5CC17FF6" w:rsidR="00404156" w:rsidRDefault="00404156" w:rsidP="00404156">
      <w:r>
        <w:t>Strategy 3</w:t>
      </w:r>
      <w:r>
        <w:t xml:space="preserve"> par</w:t>
      </w:r>
      <w:r>
        <w:t>ticipate in Clinical Reflection and Audit</w:t>
      </w:r>
    </w:p>
    <w:p w14:paraId="5F8B4644" w14:textId="492E3305" w:rsidR="00404156" w:rsidRDefault="00404156" w:rsidP="00404156">
      <w:r>
        <w:t>Reflective practice and clinical audit enable doctors to evaluate their past decisions, identify areas for improvement, and adjust their approach accordingly. This strategy promotes continuous learning and prevents repeated errors. For example, if an audit reveals delays in recognising sepsis, a doctor can refine their assessment process by prioritising early warning scores and vital</w:t>
      </w:r>
      <w:r>
        <w:rPr>
          <w:rFonts w:ascii="Cambria Math" w:hAnsi="Cambria Math" w:cs="Cambria Math"/>
        </w:rPr>
        <w:t>‑</w:t>
      </w:r>
      <w:r>
        <w:t>sign monitoring, leading to faster intervention in future cases.</w:t>
      </w:r>
    </w:p>
    <w:p w14:paraId="3FCF1F9B" w14:textId="77777777" w:rsidR="00404156" w:rsidRDefault="00404156" w:rsidP="00404156">
      <w:r>
        <w:t>Strategies to Improve Communication Skills</w:t>
      </w:r>
    </w:p>
    <w:p w14:paraId="07FC5B92" w14:textId="04935840" w:rsidR="00404156" w:rsidRDefault="00404156" w:rsidP="00404156">
      <w:r>
        <w:t>Strategy 1</w:t>
      </w:r>
      <w:r>
        <w:t xml:space="preserve"> </w:t>
      </w:r>
      <w:r>
        <w:t>Practise Active Listening Techniques</w:t>
      </w:r>
    </w:p>
    <w:p w14:paraId="7751B6D8" w14:textId="77777777" w:rsidR="00404156" w:rsidRDefault="00404156" w:rsidP="00404156">
      <w:r>
        <w:t xml:space="preserve">Active listening involves maintaining eye contact, using open body language, and summarising the patient’s concerns to confirm understanding. This strategy ensures that doctors gather accurate information and build rapport. For example, when a patient </w:t>
      </w:r>
      <w:r>
        <w:lastRenderedPageBreak/>
        <w:t>describes fluctuating blood</w:t>
      </w:r>
      <w:r>
        <w:rPr>
          <w:rFonts w:ascii="Cambria Math" w:hAnsi="Cambria Math" w:cs="Cambria Math"/>
        </w:rPr>
        <w:t>‑</w:t>
      </w:r>
      <w:r>
        <w:t>sugar levels, the doctor</w:t>
      </w:r>
      <w:r>
        <w:rPr>
          <w:rFonts w:ascii="Aptos" w:hAnsi="Aptos" w:cs="Aptos"/>
        </w:rPr>
        <w:t>’</w:t>
      </w:r>
      <w:r>
        <w:t>s active listening helps uncover lifestyle factors or medication issues that may not have been initially disclosed.</w:t>
      </w:r>
    </w:p>
    <w:p w14:paraId="14E06F43" w14:textId="48F9E2AA" w:rsidR="00404156" w:rsidRDefault="00404156" w:rsidP="00404156">
      <w:r>
        <w:t>Strategy 2</w:t>
      </w:r>
      <w:r>
        <w:t xml:space="preserve"> </w:t>
      </w:r>
      <w:r>
        <w:t>Use Plain Language and Teach</w:t>
      </w:r>
      <w:r>
        <w:rPr>
          <w:rFonts w:ascii="Cambria Math" w:hAnsi="Cambria Math" w:cs="Cambria Math"/>
        </w:rPr>
        <w:t>‑</w:t>
      </w:r>
      <w:r>
        <w:t>Back Methods</w:t>
      </w:r>
    </w:p>
    <w:p w14:paraId="12EA50FF" w14:textId="01191B4F" w:rsidR="00404156" w:rsidRDefault="00404156" w:rsidP="00404156">
      <w:r>
        <w:t>The teach</w:t>
      </w:r>
      <w:r>
        <w:rPr>
          <w:rFonts w:ascii="Cambria Math" w:hAnsi="Cambria Math" w:cs="Cambria Math"/>
        </w:rPr>
        <w:t>‑</w:t>
      </w:r>
      <w:r>
        <w:t>back method requires patients to repeat information in their own words, allowing the doctor to check understanding and correct misconceptions. This strategy reduces the risk of treatment errors and improves adherence. For instance, after explaining how to take antibiotics, the doctor asks the patient to describe the dosing schedule, ensuring they understand how to complete the course safely.</w:t>
      </w:r>
    </w:p>
    <w:p w14:paraId="7F149B77" w14:textId="18A6580F" w:rsidR="00404156" w:rsidRDefault="00404156" w:rsidP="00404156">
      <w:r>
        <w:t xml:space="preserve">Strategy </w:t>
      </w:r>
      <w:r>
        <w:t>3</w:t>
      </w:r>
      <w:r>
        <w:t xml:space="preserve"> Engage in Simulation and Communication Workshops</w:t>
      </w:r>
    </w:p>
    <w:p w14:paraId="235DF6AB" w14:textId="549D1E10" w:rsidR="00404156" w:rsidRDefault="00404156" w:rsidP="00404156">
      <w:r>
        <w:t>Simulation</w:t>
      </w:r>
      <w:r>
        <w:rPr>
          <w:rFonts w:ascii="Cambria Math" w:hAnsi="Cambria Math" w:cs="Cambria Math"/>
        </w:rPr>
        <w:t>‑</w:t>
      </w:r>
      <w:r>
        <w:t>based training allows doctors to practise delivering difficult news, managing conflict, and communicating under pressure in a safe environment. This strategy builds confidence and improves clarity during real clinical encounters. For example, practising a scenario involving the disclosure of a cancer diagnosis helps a doctor learn how to balance honesty with sensitivity, ensuring the patient feels supported.</w:t>
      </w:r>
    </w:p>
    <w:p w14:paraId="00AE240A" w14:textId="7D80D0C0" w:rsidR="00404156" w:rsidRDefault="00404156" w:rsidP="00404156">
      <w:r>
        <w:t>Strategies to Improve Empathy and Professional Compassion</w:t>
      </w:r>
    </w:p>
    <w:p w14:paraId="0591B211" w14:textId="33A93307" w:rsidR="00404156" w:rsidRDefault="00404156" w:rsidP="00404156">
      <w:r>
        <w:t>Reflective writing encourages doctors to consider the emotional, psychological, and social aspects of a patient’s experience. This strategy deepens self</w:t>
      </w:r>
      <w:r>
        <w:rPr>
          <w:rFonts w:ascii="Cambria Math" w:hAnsi="Cambria Math" w:cs="Cambria Math"/>
        </w:rPr>
        <w:t>‑</w:t>
      </w:r>
      <w:r>
        <w:t>awareness and enhances the ability to respond compassionately. For example, reflecting on a consultation with a patient experiencing chronic pain may help the doctor recognise the frustration and isolation the patient feels, leading to more empathetic communication in future interactions.</w:t>
      </w:r>
    </w:p>
    <w:p w14:paraId="66911399" w14:textId="0DEF046A" w:rsidR="00404156" w:rsidRDefault="00404156" w:rsidP="00404156">
      <w:r>
        <w:t>Strategy 2</w:t>
      </w:r>
      <w:r>
        <w:t xml:space="preserve"> </w:t>
      </w:r>
      <w:r>
        <w:t>Engage in Patient</w:t>
      </w:r>
      <w:r>
        <w:rPr>
          <w:rFonts w:ascii="Cambria Math" w:hAnsi="Cambria Math" w:cs="Cambria Math"/>
        </w:rPr>
        <w:t>‑</w:t>
      </w:r>
      <w:r>
        <w:t>Centred Care Training</w:t>
      </w:r>
    </w:p>
    <w:p w14:paraId="297EF7B1" w14:textId="66A9CE57" w:rsidR="00404156" w:rsidRDefault="00404156" w:rsidP="00404156">
      <w:r>
        <w:t>Patient</w:t>
      </w:r>
      <w:r>
        <w:rPr>
          <w:rFonts w:ascii="Cambria Math" w:hAnsi="Cambria Math" w:cs="Cambria Math"/>
        </w:rPr>
        <w:t>‑</w:t>
      </w:r>
      <w:r>
        <w:t>centred care training teaches doctors to explore patient values, preferences, and lived experiences. This strategy helps doctors view patients holistically rather than focusing solely on the medical condition. For instance, when discussing treatment options for arthritis, a doctor trained in patient</w:t>
      </w:r>
      <w:r>
        <w:rPr>
          <w:rFonts w:ascii="Cambria Math" w:hAnsi="Cambria Math" w:cs="Cambria Math"/>
        </w:rPr>
        <w:t>‑</w:t>
      </w:r>
      <w:r>
        <w:t>centred care will consider the patient</w:t>
      </w:r>
      <w:r>
        <w:rPr>
          <w:rFonts w:ascii="Aptos" w:hAnsi="Aptos" w:cs="Aptos"/>
        </w:rPr>
        <w:t>’</w:t>
      </w:r>
      <w:r>
        <w:t>s mobility needs, cultural beliefs, and daily responsibilities, resulting in a more personalised and acceptable care plan.</w:t>
      </w:r>
    </w:p>
    <w:p w14:paraId="28D44B91" w14:textId="54EBC8CA" w:rsidR="00404156" w:rsidRDefault="00404156" w:rsidP="00404156">
      <w:r>
        <w:t>Strategy 3</w:t>
      </w:r>
      <w:r>
        <w:t xml:space="preserve"> </w:t>
      </w:r>
      <w:r>
        <w:t>Shadow Professionals in Holistic Care Settings</w:t>
      </w:r>
    </w:p>
    <w:p w14:paraId="76947117" w14:textId="7363D1F0" w:rsidR="00404156" w:rsidRDefault="00404156" w:rsidP="00404156">
      <w:r>
        <w:t>Observing palliative care teams, mental health practitioners, or community nurses exposes doctors to the emotional and social dimensions of illness. This strategy builds empathy by helping doctors understand how health conditions affect patients’ lives beyond the clinical environment. For example, shadowing a palliative care nurse can teach a doctor how to communicate gently with patients facing end</w:t>
      </w:r>
      <w:r>
        <w:rPr>
          <w:rFonts w:ascii="Cambria Math" w:hAnsi="Cambria Math" w:cs="Cambria Math"/>
        </w:rPr>
        <w:t>‑</w:t>
      </w:r>
      <w:r>
        <w:t>of</w:t>
      </w:r>
      <w:r>
        <w:rPr>
          <w:rFonts w:ascii="Cambria Math" w:hAnsi="Cambria Math" w:cs="Cambria Math"/>
        </w:rPr>
        <w:t>‑</w:t>
      </w:r>
      <w:r>
        <w:t>life decisions, strengthening their ability to provide compassionate support.</w:t>
      </w:r>
    </w:p>
    <w:p w14:paraId="34AE6C2A" w14:textId="44F7E4DD" w:rsidR="00744848" w:rsidRDefault="00744848" w:rsidP="00404156">
      <w:r w:rsidRPr="00744848">
        <w:lastRenderedPageBreak/>
        <w:t>Doctors play a central role within modern healthcare systems, acting as highly trained professionals responsible for assessing, diagnosing, and managing a wide range of health conditions. Their work is grounded in scientific knowledge, clinical expertise, and adherence to ethical and professional standards, enabling them to make informed decisions that prioritise patient safety and wellbeing. Beyond direct patient care, doctors contribute to multidisciplinary teamwork, public health initiatives, research, and the continuous improvement of healthcare services. Through this combination of clinical responsibility, critical judgement, and social accountability, doctors hold a vital position in promoting individual health outcomes and supporting the wider functioning of society.</w:t>
      </w:r>
    </w:p>
    <w:p w14:paraId="160BBC76" w14:textId="03BD0843" w:rsidR="00744848" w:rsidRDefault="00744848" w:rsidP="00404156">
      <w:r w:rsidRPr="00744848">
        <w:t>Three essential skills underpin the doctor’s ability to perform this role effectively: clinical decision</w:t>
      </w:r>
      <w:r w:rsidRPr="00744848">
        <w:rPr>
          <w:rFonts w:ascii="Cambria Math" w:hAnsi="Cambria Math" w:cs="Cambria Math"/>
        </w:rPr>
        <w:t>‑</w:t>
      </w:r>
      <w:r w:rsidRPr="00744848">
        <w:t>making, communication, and empathy. Clinical decision</w:t>
      </w:r>
      <w:r w:rsidRPr="00744848">
        <w:rPr>
          <w:rFonts w:ascii="Cambria Math" w:hAnsi="Cambria Math" w:cs="Cambria Math"/>
        </w:rPr>
        <w:t>‑</w:t>
      </w:r>
      <w:r w:rsidRPr="00744848">
        <w:t>making enables doctors to interpret symptoms, analyse diagnostic information, and select appropriate treatment options. For example, when a patient presents with chest pain, the doctor must rapidly determine whether the cause is benign or life</w:t>
      </w:r>
      <w:r w:rsidRPr="00744848">
        <w:rPr>
          <w:rFonts w:ascii="Cambria Math" w:hAnsi="Cambria Math" w:cs="Cambria Math"/>
        </w:rPr>
        <w:t>‑</w:t>
      </w:r>
      <w:r w:rsidRPr="00744848">
        <w:t>threatening, such as a myocardial infarction. Communication skills are equally important, as doctors must explain diagnoses, treatment plans, and risks clearly while ensuring patients feel heard and understood. For instance, when discussing a new diabetes diagnosis, the doctor must communicate complex information in a way that supports patient understanding and self</w:t>
      </w:r>
      <w:r w:rsidRPr="00744848">
        <w:rPr>
          <w:rFonts w:ascii="Cambria Math" w:hAnsi="Cambria Math" w:cs="Cambria Math"/>
        </w:rPr>
        <w:t>‑</w:t>
      </w:r>
      <w:r w:rsidRPr="00744848">
        <w:t>management. Empathy and professional compassion allow doctors to recognise the emotional and social dimensions of illness, enabling them to provide holistic care. This is particularly important when delivering difficult news, such as a terminal diagnosis, where sensitivity and emotional support are essential.</w:t>
      </w:r>
    </w:p>
    <w:p w14:paraId="46A26DB0" w14:textId="01396C83" w:rsidR="00744848" w:rsidRDefault="00744848" w:rsidP="00404156">
      <w:r>
        <w:t>t</w:t>
      </w:r>
      <w:r w:rsidRPr="00744848">
        <w:t>o strengthen clinical decision</w:t>
      </w:r>
      <w:r>
        <w:rPr>
          <w:rFonts w:ascii="Cambria Math" w:hAnsi="Cambria Math" w:cs="Cambria Math"/>
        </w:rPr>
        <w:t xml:space="preserve"> </w:t>
      </w:r>
      <w:r w:rsidRPr="00744848">
        <w:t>making, doctors can engage in regular case</w:t>
      </w:r>
      <w:r w:rsidRPr="00744848">
        <w:rPr>
          <w:rFonts w:ascii="Cambria Math" w:hAnsi="Cambria Math" w:cs="Cambria Math"/>
        </w:rPr>
        <w:t>‑</w:t>
      </w:r>
      <w:r w:rsidRPr="00744848">
        <w:t xml:space="preserve">based learning, which exposes them to a variety of clinical scenarios and enhances diagnostic reasoning. Consistent use of </w:t>
      </w:r>
      <w:r w:rsidRPr="00744848">
        <w:t>evidence</w:t>
      </w:r>
      <w:r>
        <w:rPr>
          <w:rFonts w:ascii="Cambria Math" w:hAnsi="Cambria Math" w:cs="Cambria Math"/>
        </w:rPr>
        <w:t>-based</w:t>
      </w:r>
      <w:r w:rsidRPr="00744848">
        <w:t xml:space="preserve"> guidelines, such as NICE pathways, ensures decisions are grounded in current best practice and reduces variation in care. Participation in clinical reflection and audit further supports improvement by enabling doctors to evaluate past decisions and identify areas for development. Communication skills can be improved through active listening techniques, which help doctors gather accurate information and build rapport. Using plain language and the teach</w:t>
      </w:r>
      <w:r w:rsidRPr="00744848">
        <w:rPr>
          <w:rFonts w:ascii="Cambria Math" w:hAnsi="Cambria Math" w:cs="Cambria Math"/>
        </w:rPr>
        <w:t>‑</w:t>
      </w:r>
      <w:r w:rsidRPr="00744848">
        <w:t xml:space="preserve">back method ensures patients understand their treatment, reducing the risk of errors. </w:t>
      </w:r>
      <w:r w:rsidRPr="00744848">
        <w:t>Simulation based</w:t>
      </w:r>
      <w:r w:rsidRPr="00744848">
        <w:t xml:space="preserve"> training also provides opportunities to practise delivering difficult news and communicating under pressure in a safe environment. Empathy can be developed through reflective writing, which encourages doctors to consider the emotional and social context of patient experiences. Training in patient</w:t>
      </w:r>
      <w:r w:rsidRPr="00744848">
        <w:rPr>
          <w:rFonts w:ascii="Cambria Math" w:hAnsi="Cambria Math" w:cs="Cambria Math"/>
        </w:rPr>
        <w:t>‑</w:t>
      </w:r>
      <w:r w:rsidRPr="00744848">
        <w:t>centred care helps doctors understand patient values and preferences, while shadowing professionals in holistic care settings, such as palliative care, deepens understanding of the lived experience of illness.</w:t>
      </w:r>
    </w:p>
    <w:p w14:paraId="30A7431D" w14:textId="7098303B" w:rsidR="00744848" w:rsidRDefault="00744848" w:rsidP="00404156">
      <w:r w:rsidRPr="00744848">
        <w:lastRenderedPageBreak/>
        <w:t>In conclusion, the role of a doctor requires a combination of advanced clinical expertise, effective communication, and genuine empathy to ensure safe, ethical, and person</w:t>
      </w:r>
      <w:r w:rsidRPr="00744848">
        <w:rPr>
          <w:rFonts w:ascii="Cambria Math" w:hAnsi="Cambria Math" w:cs="Cambria Math"/>
        </w:rPr>
        <w:t>‑</w:t>
      </w:r>
      <w:r w:rsidRPr="00744848">
        <w:t>centred healthcare. The strategies outlined</w:t>
      </w:r>
      <w:r>
        <w:rPr>
          <w:rFonts w:ascii="Aptos" w:hAnsi="Aptos" w:cs="Aptos"/>
        </w:rPr>
        <w:t xml:space="preserve"> </w:t>
      </w:r>
      <w:r w:rsidRPr="00744848">
        <w:t>case</w:t>
      </w:r>
      <w:r w:rsidRPr="00744848">
        <w:rPr>
          <w:rFonts w:ascii="Cambria Math" w:hAnsi="Cambria Math" w:cs="Cambria Math"/>
        </w:rPr>
        <w:t>‑</w:t>
      </w:r>
      <w:r w:rsidRPr="00744848">
        <w:t>based learning, evidence</w:t>
      </w:r>
      <w:r w:rsidRPr="00744848">
        <w:rPr>
          <w:rFonts w:ascii="Cambria Math" w:hAnsi="Cambria Math" w:cs="Cambria Math"/>
        </w:rPr>
        <w:t>‑</w:t>
      </w:r>
      <w:r w:rsidRPr="00744848">
        <w:t>based practice, reflective writing, simulation training, and patient</w:t>
      </w:r>
      <w:r w:rsidRPr="00744848">
        <w:rPr>
          <w:rFonts w:ascii="Cambria Math" w:hAnsi="Cambria Math" w:cs="Cambria Math"/>
        </w:rPr>
        <w:t>‑</w:t>
      </w:r>
      <w:r w:rsidRPr="00744848">
        <w:t>centred approaches</w:t>
      </w:r>
      <w:r>
        <w:rPr>
          <w:rFonts w:ascii="Aptos" w:hAnsi="Aptos" w:cs="Aptos"/>
        </w:rPr>
        <w:t xml:space="preserve"> </w:t>
      </w:r>
      <w:r w:rsidRPr="00744848">
        <w:t>provide structured and practical methods for strengthening these essential skills. By actively engaging in these developmental strategies, doctors can enhance their ability to make accurate clinical judgements, communicate clearly with diverse patient groups, and respond compassionately to the emotional and social dimensions of illness. Ultimately, continuous improvement in these areas not only supports individual professional growth but also contributes to safer, more effective, and more humane healthcare systems.</w:t>
      </w:r>
    </w:p>
    <w:p w14:paraId="2F906913" w14:textId="77777777" w:rsidR="00744848" w:rsidRDefault="00744848" w:rsidP="00744848">
      <w:r>
        <w:t xml:space="preserve">References </w:t>
      </w:r>
      <w:r>
        <w:t>General Medical Council (GMC) (2013) Good Medical Practice. London: GMC.</w:t>
      </w:r>
    </w:p>
    <w:p w14:paraId="521BC1C9" w14:textId="77777777" w:rsidR="00744848" w:rsidRDefault="00744848" w:rsidP="00744848">
      <w:r>
        <w:t>General Medical Council (GMC) (2019) Outcomes for Graduates. London: GMC.</w:t>
      </w:r>
    </w:p>
    <w:p w14:paraId="0DE62B97" w14:textId="77777777" w:rsidR="00744848" w:rsidRDefault="00744848" w:rsidP="00744848">
      <w:r>
        <w:t>National Institute for Health and Care Excellence (NICE) (2022) Clinical Guidelines. Available at: https://www.nice.org.uk/ (Accessed: [add date]).</w:t>
      </w:r>
    </w:p>
    <w:p w14:paraId="52230517" w14:textId="77777777" w:rsidR="00744848" w:rsidRDefault="00744848" w:rsidP="00744848">
      <w:r>
        <w:t>NHS England (2023) The NHS Long Term Plan. London: NHS England.</w:t>
      </w:r>
    </w:p>
    <w:p w14:paraId="248716E7" w14:textId="77777777" w:rsidR="00744848" w:rsidRDefault="00744848" w:rsidP="00744848">
      <w:r>
        <w:t xml:space="preserve">Silverman, J., Kurtz, S. and Draper, J. (2013) Skills for Communicating with Patients. 3rd </w:t>
      </w:r>
      <w:proofErr w:type="spellStart"/>
      <w:r>
        <w:t>edn</w:t>
      </w:r>
      <w:proofErr w:type="spellEnd"/>
      <w:r>
        <w:t>. London: CRC Press.</w:t>
      </w:r>
    </w:p>
    <w:p w14:paraId="41C3F735" w14:textId="6D8663B2" w:rsidR="00744848" w:rsidRDefault="00744848" w:rsidP="00744848">
      <w:r>
        <w:t>Thistlethwaite, J. and Spencer, J. (2008) Professionalism in Medicine. Oxford: Radcliffe Publishing.</w:t>
      </w:r>
    </w:p>
    <w:sectPr w:rsidR="007448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0E2"/>
    <w:rsid w:val="001A4A92"/>
    <w:rsid w:val="001F28F0"/>
    <w:rsid w:val="0020450F"/>
    <w:rsid w:val="00404156"/>
    <w:rsid w:val="00744848"/>
    <w:rsid w:val="00A170E2"/>
    <w:rsid w:val="00C718B7"/>
    <w:rsid w:val="00E41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C314E"/>
  <w15:chartTrackingRefBased/>
  <w15:docId w15:val="{23C827AD-41E1-46BC-AEF5-743F881D8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0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70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0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0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0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0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0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0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0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0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70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0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0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0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0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0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0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0E2"/>
    <w:rPr>
      <w:rFonts w:eastAsiaTheme="majorEastAsia" w:cstheme="majorBidi"/>
      <w:color w:val="272727" w:themeColor="text1" w:themeTint="D8"/>
    </w:rPr>
  </w:style>
  <w:style w:type="paragraph" w:styleId="Title">
    <w:name w:val="Title"/>
    <w:basedOn w:val="Normal"/>
    <w:next w:val="Normal"/>
    <w:link w:val="TitleChar"/>
    <w:uiPriority w:val="10"/>
    <w:qFormat/>
    <w:rsid w:val="00A170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0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0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0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0E2"/>
    <w:pPr>
      <w:spacing w:before="160"/>
      <w:jc w:val="center"/>
    </w:pPr>
    <w:rPr>
      <w:i/>
      <w:iCs/>
      <w:color w:val="404040" w:themeColor="text1" w:themeTint="BF"/>
    </w:rPr>
  </w:style>
  <w:style w:type="character" w:customStyle="1" w:styleId="QuoteChar">
    <w:name w:val="Quote Char"/>
    <w:basedOn w:val="DefaultParagraphFont"/>
    <w:link w:val="Quote"/>
    <w:uiPriority w:val="29"/>
    <w:rsid w:val="00A170E2"/>
    <w:rPr>
      <w:i/>
      <w:iCs/>
      <w:color w:val="404040" w:themeColor="text1" w:themeTint="BF"/>
    </w:rPr>
  </w:style>
  <w:style w:type="paragraph" w:styleId="ListParagraph">
    <w:name w:val="List Paragraph"/>
    <w:basedOn w:val="Normal"/>
    <w:uiPriority w:val="34"/>
    <w:qFormat/>
    <w:rsid w:val="00A170E2"/>
    <w:pPr>
      <w:ind w:left="720"/>
      <w:contextualSpacing/>
    </w:pPr>
  </w:style>
  <w:style w:type="character" w:styleId="IntenseEmphasis">
    <w:name w:val="Intense Emphasis"/>
    <w:basedOn w:val="DefaultParagraphFont"/>
    <w:uiPriority w:val="21"/>
    <w:qFormat/>
    <w:rsid w:val="00A170E2"/>
    <w:rPr>
      <w:i/>
      <w:iCs/>
      <w:color w:val="0F4761" w:themeColor="accent1" w:themeShade="BF"/>
    </w:rPr>
  </w:style>
  <w:style w:type="paragraph" w:styleId="IntenseQuote">
    <w:name w:val="Intense Quote"/>
    <w:basedOn w:val="Normal"/>
    <w:next w:val="Normal"/>
    <w:link w:val="IntenseQuoteChar"/>
    <w:uiPriority w:val="30"/>
    <w:qFormat/>
    <w:rsid w:val="00A170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0E2"/>
    <w:rPr>
      <w:i/>
      <w:iCs/>
      <w:color w:val="0F4761" w:themeColor="accent1" w:themeShade="BF"/>
    </w:rPr>
  </w:style>
  <w:style w:type="character" w:styleId="IntenseReference">
    <w:name w:val="Intense Reference"/>
    <w:basedOn w:val="DefaultParagraphFont"/>
    <w:uiPriority w:val="32"/>
    <w:qFormat/>
    <w:rsid w:val="00A170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1832</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Haena Begum (2508171)</dc:creator>
  <cp:keywords/>
  <dc:description/>
  <cp:lastModifiedBy>Haena Begum (2508171)</cp:lastModifiedBy>
  <cp:revision>2</cp:revision>
  <dcterms:created xsi:type="dcterms:W3CDTF">2026-04-01T22:07:00Z</dcterms:created>
  <dcterms:modified xsi:type="dcterms:W3CDTF">2026-04-01T22:07:00Z</dcterms:modified>
</cp:coreProperties>
</file>