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val="single" w:color="000000"/>
          <w:bdr w:val="nil"/>
          <w:lang w:val="en-US" w:eastAsia="en-GB"/>
        </w:rPr>
      </w:pPr>
      <w:r w:rsidRPr="004D05DC">
        <w:rPr>
          <w:rFonts w:ascii="Helvetica" w:eastAsia="Arial Unicode MS" w:hAnsi="Helvetica" w:cs="Arial Unicode MS"/>
          <w:color w:val="000000"/>
          <w:sz w:val="24"/>
          <w:szCs w:val="24"/>
          <w:u w:val="single" w:color="000000"/>
          <w:bdr w:val="nil"/>
          <w:lang w:val="en-US" w:eastAsia="en-GB"/>
        </w:rPr>
        <w:t>SECTION 1</w:t>
      </w: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b/>
          <w:bCs/>
          <w:color w:val="000000"/>
          <w:sz w:val="24"/>
          <w:szCs w:val="24"/>
          <w:u w:color="000000"/>
          <w:bdr w:val="nil"/>
          <w:lang w:val="en-US" w:eastAsia="en-GB"/>
        </w:rPr>
      </w:pPr>
      <w:r w:rsidRPr="004D05DC">
        <w:rPr>
          <w:rFonts w:ascii="Helvetica" w:eastAsia="Arial Unicode MS" w:hAnsi="Helvetica" w:cs="Arial Unicode MS"/>
          <w:b/>
          <w:bCs/>
          <w:color w:val="000000"/>
          <w:sz w:val="24"/>
          <w:szCs w:val="24"/>
          <w:u w:color="000000"/>
          <w:bdr w:val="nil"/>
          <w:lang w:val="en-US" w:eastAsia="en-GB"/>
        </w:rPr>
        <w:t>Contents:</w:t>
      </w: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tbl>
      <w:tblPr>
        <w:tblW w:w="95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240"/>
        <w:gridCol w:w="7177"/>
        <w:gridCol w:w="1134"/>
      </w:tblGrid>
      <w:tr w:rsidR="004D05DC" w:rsidRPr="004D05DC" w:rsidTr="004D05DC">
        <w:trPr>
          <w:trHeight w:val="56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b/>
                <w:bCs/>
                <w:color w:val="000000"/>
                <w:sz w:val="24"/>
                <w:szCs w:val="24"/>
                <w:u w:color="000000"/>
                <w:bdr w:val="nil"/>
                <w:lang w:val="en-US" w:eastAsia="en-GB"/>
              </w:rPr>
              <w:t>Portfolio Section</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b/>
                <w:bCs/>
                <w:color w:val="000000"/>
                <w:sz w:val="24"/>
                <w:szCs w:val="24"/>
                <w:u w:color="000000"/>
                <w:bdr w:val="nil"/>
                <w:lang w:val="en-US" w:eastAsia="en-GB"/>
              </w:rPr>
              <w:t>Topic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b/>
                <w:bCs/>
                <w:color w:val="000000"/>
                <w:sz w:val="24"/>
                <w:szCs w:val="24"/>
                <w:u w:color="000000"/>
                <w:bdr w:val="nil"/>
                <w:lang w:val="en-US" w:eastAsia="en-GB"/>
              </w:rPr>
              <w:t>Task no.</w:t>
            </w:r>
          </w:p>
        </w:tc>
      </w:tr>
      <w:tr w:rsidR="004D05DC" w:rsidRPr="004D05DC" w:rsidTr="004D05DC">
        <w:trPr>
          <w:trHeight w:val="28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1</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76" w:lineRule="auto"/>
              <w:jc w:val="center"/>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Contents page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tc>
      </w:tr>
      <w:tr w:rsidR="004D05DC" w:rsidRPr="004D05DC" w:rsidTr="004D05DC">
        <w:trPr>
          <w:trHeight w:val="28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2</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76" w:lineRule="auto"/>
              <w:jc w:val="center"/>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Developmental Review</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36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1</w:t>
            </w:r>
          </w:p>
        </w:tc>
      </w:tr>
      <w:tr w:rsidR="004D05DC" w:rsidRPr="004D05DC" w:rsidTr="004D05DC">
        <w:trPr>
          <w:trHeight w:val="28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3</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76" w:lineRule="auto"/>
              <w:jc w:val="center"/>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Observation and feedback</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36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2</w:t>
            </w:r>
          </w:p>
        </w:tc>
      </w:tr>
      <w:tr w:rsidR="004D05DC" w:rsidRPr="004D05DC" w:rsidTr="004D05DC">
        <w:trPr>
          <w:trHeight w:val="28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4</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76" w:lineRule="auto"/>
              <w:jc w:val="center"/>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Safeguarding and working in complex situations – Case Study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36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3</w:t>
            </w:r>
          </w:p>
        </w:tc>
      </w:tr>
      <w:tr w:rsidR="004D05DC" w:rsidRPr="004D05DC" w:rsidTr="004D05DC">
        <w:trPr>
          <w:trHeight w:val="28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5</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76" w:lineRule="auto"/>
              <w:jc w:val="center"/>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Safeguarding</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36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4</w:t>
            </w:r>
          </w:p>
        </w:tc>
      </w:tr>
      <w:tr w:rsidR="004D05DC" w:rsidRPr="004D05DC" w:rsidTr="004D05DC">
        <w:trPr>
          <w:trHeight w:val="28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6</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76" w:lineRule="auto"/>
              <w:jc w:val="center"/>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Developmental Review</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36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1</w:t>
            </w:r>
          </w:p>
        </w:tc>
      </w:tr>
      <w:tr w:rsidR="004D05DC" w:rsidRPr="004D05DC" w:rsidTr="004D05DC">
        <w:trPr>
          <w:trHeight w:val="28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7</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76" w:lineRule="auto"/>
              <w:jc w:val="center"/>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Bibliography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tc>
      </w:tr>
      <w:tr w:rsidR="004D05DC" w:rsidRPr="004D05DC" w:rsidTr="004D05DC">
        <w:trPr>
          <w:trHeight w:val="28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8</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76" w:lineRule="auto"/>
              <w:jc w:val="center"/>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Learner details, Signatures and Line manager verification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tc>
      </w:tr>
      <w:tr w:rsidR="004D05DC" w:rsidRPr="004D05DC" w:rsidTr="004D05DC">
        <w:trPr>
          <w:trHeight w:val="282"/>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9</w:t>
            </w:r>
          </w:p>
        </w:tc>
        <w:tc>
          <w:tcPr>
            <w:tcW w:w="7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76" w:lineRule="auto"/>
              <w:jc w:val="center"/>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Learner and Employer Learning Agreement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tc>
      </w:tr>
    </w:tbl>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val="single" w:color="000000"/>
          <w:bdr w:val="nil"/>
          <w:lang w:val="en-US" w:eastAsia="en-GB"/>
        </w:rPr>
      </w:pPr>
      <w:r w:rsidRPr="004D05DC">
        <w:rPr>
          <w:rFonts w:ascii="Helvetica" w:eastAsia="Arial Unicode MS" w:hAnsi="Helvetica" w:cs="Arial Unicode MS"/>
          <w:color w:val="000000"/>
          <w:sz w:val="24"/>
          <w:szCs w:val="24"/>
          <w:u w:val="single" w:color="000000"/>
          <w:bdr w:val="nil"/>
          <w:lang w:val="en-US" w:eastAsia="en-GB"/>
        </w:rPr>
        <w:t>SECTION 2</w:t>
      </w: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Arial Unicode MS" w:hAnsi="Helvetica" w:cs="Arial Unicode MS"/>
          <w:color w:val="000000"/>
          <w:sz w:val="24"/>
          <w:szCs w:val="24"/>
          <w:u w:color="000000"/>
          <w:bdr w:val="nil"/>
          <w:lang w:val="en-US" w:eastAsia="en-GB"/>
        </w:rPr>
      </w:pPr>
      <w:r w:rsidRPr="004D05DC">
        <w:rPr>
          <w:rFonts w:ascii="Helvetica" w:eastAsia="Arial Unicode MS" w:hAnsi="Helvetica" w:cs="Arial Unicode MS"/>
          <w:color w:val="000000"/>
          <w:sz w:val="24"/>
          <w:szCs w:val="24"/>
          <w:u w:color="000000"/>
          <w:bdr w:val="nil"/>
          <w:lang w:val="en-US" w:eastAsia="en-GB"/>
        </w:rPr>
        <w:t xml:space="preserve">Within this section I will outline the learning needs I wish to develop further throughout the module. Firstly, the focus will be on working in collaboration with individuals and their </w:t>
      </w:r>
      <w:proofErr w:type="spellStart"/>
      <w:r w:rsidRPr="004D05DC">
        <w:rPr>
          <w:rFonts w:ascii="Helvetica" w:eastAsia="Arial Unicode MS" w:hAnsi="Helvetica" w:cs="Arial Unicode MS"/>
          <w:color w:val="000000"/>
          <w:sz w:val="24"/>
          <w:szCs w:val="24"/>
          <w:u w:color="000000"/>
          <w:bdr w:val="nil"/>
          <w:lang w:val="en-US" w:eastAsia="en-GB"/>
        </w:rPr>
        <w:t>carers</w:t>
      </w:r>
      <w:proofErr w:type="spellEnd"/>
      <w:r w:rsidRPr="004D05DC">
        <w:rPr>
          <w:rFonts w:ascii="Helvetica" w:eastAsia="Arial Unicode MS" w:hAnsi="Helvetica" w:cs="Arial Unicode MS"/>
          <w:color w:val="000000"/>
          <w:sz w:val="24"/>
          <w:szCs w:val="24"/>
          <w:u w:color="000000"/>
          <w:bdr w:val="nil"/>
          <w:lang w:val="en-US" w:eastAsia="en-GB"/>
        </w:rPr>
        <w:t xml:space="preserve">. Within adult services, we work with service users and their </w:t>
      </w:r>
      <w:proofErr w:type="spellStart"/>
      <w:r w:rsidRPr="004D05DC">
        <w:rPr>
          <w:rFonts w:ascii="Helvetica" w:eastAsia="Arial Unicode MS" w:hAnsi="Helvetica" w:cs="Arial Unicode MS"/>
          <w:color w:val="000000"/>
          <w:sz w:val="24"/>
          <w:szCs w:val="24"/>
          <w:u w:color="000000"/>
          <w:bdr w:val="nil"/>
          <w:lang w:val="en-US" w:eastAsia="en-GB"/>
        </w:rPr>
        <w:t>carers</w:t>
      </w:r>
      <w:proofErr w:type="spellEnd"/>
      <w:r w:rsidRPr="004D05DC">
        <w:rPr>
          <w:rFonts w:ascii="Helvetica" w:eastAsia="Arial Unicode MS" w:hAnsi="Helvetica" w:cs="Arial Unicode MS"/>
          <w:color w:val="000000"/>
          <w:sz w:val="24"/>
          <w:szCs w:val="24"/>
          <w:u w:color="000000"/>
          <w:bdr w:val="nil"/>
          <w:lang w:val="en-US" w:eastAsia="en-GB"/>
        </w:rPr>
        <w:t xml:space="preserve"> on a day-to-day basis, often families will have their own wishes and feelings, which can often differ from the wishes of the individual. To develop my skills further I would like to gain confidence in managing conflicting opinions in order to achieve positive outcomes for individuals and their families and, more specifically, to ensure I am adopting a person-centred approach, as it is often difficult to keep focus on the individual’s wishes when their families advocate on their behalf.</w:t>
      </w:r>
    </w:p>
    <w:p w:rsidR="004D05DC" w:rsidRPr="004D05DC" w:rsidRDefault="004D05DC" w:rsidP="004D05DC">
      <w:pPr>
        <w:pBdr>
          <w:top w:val="nil"/>
          <w:left w:val="nil"/>
          <w:bottom w:val="nil"/>
          <w:right w:val="nil"/>
          <w:between w:val="nil"/>
          <w:bar w:val="nil"/>
        </w:pBdr>
        <w:spacing w:after="0" w:line="36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Arial Unicode MS" w:hAnsi="Helvetica" w:cs="Arial Unicode MS"/>
          <w:color w:val="000000"/>
          <w:sz w:val="24"/>
          <w:szCs w:val="24"/>
          <w:u w:color="000000"/>
          <w:bdr w:val="nil"/>
          <w:lang w:val="en-US" w:eastAsia="en-GB"/>
        </w:rPr>
      </w:pPr>
      <w:r w:rsidRPr="004D05DC">
        <w:rPr>
          <w:rFonts w:ascii="Helvetica" w:eastAsia="Arial Unicode MS" w:hAnsi="Helvetica" w:cs="Arial Unicode MS"/>
          <w:color w:val="000000"/>
          <w:sz w:val="24"/>
          <w:szCs w:val="24"/>
          <w:u w:color="000000"/>
          <w:bdr w:val="nil"/>
          <w:lang w:val="en-US" w:eastAsia="en-GB"/>
        </w:rPr>
        <w:t>However, if an individual lacked the mental capacity to make relevant decisions, a different approach would be adopted. This leads me to the second topic: applying analysis in assessment to inform intervention. When a person lacks capacity, there are several aspects to the assessment that would need to be considered, the most important aspect of the process is the mental capacity assessment to initially identify the reasons why you believe the individual might lack capacity. Personally, this is an aspect of work that progresses with practice and experience, which I wish to develop by having the opportunity to complete assessments of different situations and complexities. Therefore, it would be beneficial for me to widen by knowledge base and experience with cases similar to this and, more specifically, the process of a best interest discussion and the ‘best interest checklist’, which would involve integrating and working collaboratively with individuals and their families as well as applying assessment to inform intervention (Laird, 2014: 318)</w:t>
      </w:r>
    </w:p>
    <w:p w:rsidR="004D05DC" w:rsidRPr="004D05DC" w:rsidRDefault="004D05DC" w:rsidP="004D05DC">
      <w:pPr>
        <w:pBdr>
          <w:top w:val="nil"/>
          <w:left w:val="nil"/>
          <w:bottom w:val="nil"/>
          <w:right w:val="nil"/>
          <w:between w:val="nil"/>
          <w:bar w:val="nil"/>
        </w:pBdr>
        <w:spacing w:after="0" w:line="36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Arial Unicode MS" w:hAnsi="Helvetica" w:cs="Arial Unicode MS"/>
          <w:color w:val="000000"/>
          <w:sz w:val="24"/>
          <w:szCs w:val="24"/>
          <w:u w:color="000000"/>
          <w:bdr w:val="nil"/>
          <w:lang w:val="en-US" w:eastAsia="en-GB"/>
        </w:rPr>
      </w:pPr>
      <w:r w:rsidRPr="004D05DC">
        <w:rPr>
          <w:rFonts w:ascii="Helvetica" w:eastAsia="Arial Unicode MS" w:hAnsi="Helvetica" w:cs="Arial Unicode MS"/>
          <w:color w:val="000000"/>
          <w:sz w:val="24"/>
          <w:szCs w:val="24"/>
          <w:u w:color="000000"/>
          <w:bdr w:val="nil"/>
          <w:lang w:val="en-US" w:eastAsia="en-GB"/>
        </w:rPr>
        <w:t xml:space="preserve">Lynch (2011) states that the best interest checklist considers the views and wishes of the individual, family and professionals. Even though the individual might lack capacity to make a certain decision, it does not mean their wishes and feelings should be ignored and it should be identified whether the individual had made any advanced decisions. Any advanced decisions should also be taken into consideration during the best interest meeting. </w:t>
      </w:r>
    </w:p>
    <w:p w:rsidR="004D05DC" w:rsidRPr="004D05DC" w:rsidRDefault="004D05DC" w:rsidP="004D05DC">
      <w:pPr>
        <w:pBdr>
          <w:top w:val="nil"/>
          <w:left w:val="nil"/>
          <w:bottom w:val="nil"/>
          <w:right w:val="nil"/>
          <w:between w:val="nil"/>
          <w:bar w:val="nil"/>
        </w:pBdr>
        <w:spacing w:after="0" w:line="36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Arial Unicode MS" w:hAnsi="Helvetica" w:cs="Arial Unicode MS"/>
          <w:color w:val="000000"/>
          <w:sz w:val="24"/>
          <w:szCs w:val="24"/>
          <w:u w:color="000000"/>
          <w:bdr w:val="nil"/>
          <w:lang w:val="en-US" w:eastAsia="en-GB"/>
        </w:rPr>
      </w:pPr>
      <w:r w:rsidRPr="004D05DC">
        <w:rPr>
          <w:rFonts w:ascii="Helvetica" w:eastAsia="Arial Unicode MS" w:hAnsi="Helvetica" w:cs="Arial Unicode MS"/>
          <w:color w:val="000000"/>
          <w:sz w:val="24"/>
          <w:szCs w:val="24"/>
          <w:u w:color="000000"/>
          <w:bdr w:val="nil"/>
          <w:lang w:val="en-US" w:eastAsia="en-GB"/>
        </w:rPr>
        <w:t xml:space="preserve">Another aspect to consider is working collaboratively with other professionals, such as health colleagues. For example, if there is an individual with complex needs who has dementia, working collaboratively is vital to ensure all aspects in terms of social care and medical needs are covered. This might include exploring a ‘Decision Support Tool’ (DST), which would discuss the needs of the individual in detail if their needs might be appearing as complex, which requires a social worker and health professional to be involved in the meeting (Welsh Government, 2014). Therefore, I feel that I need to develop my skills in terms of working with health professionals and to follow the legal guidelines such as the Mental Capacity Act 2005, the best interest checklist and the DST process. It is often a challenge to ensure these processes are followed correctly because of the strain on the hospitals, when a person is deemed medically fit. I believe it is important to develop a professional working relationship and to ensure that I am confident in terms of knowing the law and legislation concerning a safe discharge and ensuring the individual’s needs are being met appropriately (Social Care Wales, 2017). </w:t>
      </w: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r w:rsidRPr="004D05DC">
        <w:rPr>
          <w:rFonts w:ascii="Helvetica" w:eastAsia="Arial Unicode MS" w:hAnsi="Helvetica" w:cs="Arial Unicode MS"/>
          <w:color w:val="000000"/>
          <w:sz w:val="24"/>
          <w:szCs w:val="24"/>
          <w:u w:color="000000"/>
          <w:bdr w:val="nil"/>
          <w:lang w:val="en-US" w:eastAsia="en-GB"/>
        </w:rPr>
        <w:t>Word Count: 548</w:t>
      </w: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 xml:space="preserve">SECTION 3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DATE OF OBSERVATION: 27th September 2018.</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This observation is based on an initial visit to a family. Person 1 is currently receiving support from a care agency twice a day, the family wish to increase his package of care to help the wife with</w:t>
      </w:r>
      <w:r w:rsidR="00261A8D">
        <w:rPr>
          <w:rFonts w:ascii="Helvetica" w:eastAsia="Times New Roman" w:hAnsi="Helvetica" w:cs="Times New Roman"/>
          <w:color w:val="000000"/>
          <w:sz w:val="24"/>
          <w:szCs w:val="24"/>
          <w:u w:color="000000"/>
          <w:bdr w:val="nil"/>
          <w:lang w:val="en-US" w:eastAsia="en-GB"/>
        </w:rPr>
        <w:t xml:space="preserve"> toileting</w:t>
      </w:r>
      <w:r w:rsidRPr="004D05DC">
        <w:rPr>
          <w:rFonts w:ascii="Helvetica" w:eastAsia="Times New Roman" w:hAnsi="Helvetica" w:cs="Times New Roman"/>
          <w:color w:val="000000"/>
          <w:sz w:val="24"/>
          <w:szCs w:val="24"/>
          <w:u w:color="000000"/>
          <w:bdr w:val="nil"/>
          <w:lang w:val="en-US" w:eastAsia="en-GB"/>
        </w:rPr>
        <w:t xml:space="preserve"> throughout the day. The palliative care team are currently involved and the occupational therapist has provided Person 1 with additional equipment in the home following a re-assessment. The aim of my visit is to review the current care plan and implement support for Person 1 and to ensure the family feels supported within their caring role. I will also consider how the Code of Practice for Social Care Workers and the Code of Ethics underpinned my practice. In terms of communication, the individual’s first language is English and he was born in England; even though this is the case, I will ensure the ‘active offer’ is provided.</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As Person 1 has experienced a stroke, I would need to ensure that the individual is engaged within the conversation as much as possible. I will consider the use of closed questions and </w:t>
      </w:r>
      <w:proofErr w:type="spellStart"/>
      <w:r w:rsidRPr="004D05DC">
        <w:rPr>
          <w:rFonts w:ascii="Helvetica" w:eastAsia="Times New Roman" w:hAnsi="Helvetica" w:cs="Times New Roman"/>
          <w:color w:val="000000"/>
          <w:sz w:val="24"/>
          <w:szCs w:val="24"/>
          <w:u w:color="000000"/>
          <w:bdr w:val="nil"/>
          <w:lang w:val="en-US" w:eastAsia="en-GB"/>
        </w:rPr>
        <w:t>non-verbal</w:t>
      </w:r>
      <w:proofErr w:type="spellEnd"/>
      <w:r w:rsidRPr="004D05DC">
        <w:rPr>
          <w:rFonts w:ascii="Helvetica" w:eastAsia="Times New Roman" w:hAnsi="Helvetica" w:cs="Times New Roman"/>
          <w:color w:val="000000"/>
          <w:sz w:val="24"/>
          <w:szCs w:val="24"/>
          <w:u w:color="000000"/>
          <w:bdr w:val="nil"/>
          <w:lang w:val="en-US" w:eastAsia="en-GB"/>
        </w:rPr>
        <w:t xml:space="preserve"> communication to gain an understanding of the wishes and feelings of the individual (</w:t>
      </w:r>
      <w:proofErr w:type="spellStart"/>
      <w:r w:rsidRPr="004D05DC">
        <w:rPr>
          <w:rFonts w:ascii="Helvetica" w:eastAsia="Times New Roman" w:hAnsi="Helvetica" w:cs="Times New Roman"/>
          <w:color w:val="000000"/>
          <w:sz w:val="24"/>
          <w:szCs w:val="24"/>
          <w:u w:color="000000"/>
          <w:bdr w:val="nil"/>
          <w:lang w:val="en-US" w:eastAsia="en-GB"/>
        </w:rPr>
        <w:t>Ramlaul</w:t>
      </w:r>
      <w:proofErr w:type="spellEnd"/>
      <w:r w:rsidRPr="004D05DC">
        <w:rPr>
          <w:rFonts w:ascii="Helvetica" w:eastAsia="Times New Roman" w:hAnsi="Helvetica" w:cs="Times New Roman"/>
          <w:color w:val="000000"/>
          <w:sz w:val="24"/>
          <w:szCs w:val="24"/>
          <w:u w:color="000000"/>
          <w:bdr w:val="nil"/>
          <w:lang w:val="en-US" w:eastAsia="en-GB"/>
        </w:rPr>
        <w:t xml:space="preserve"> and Vesper, 2013). I will also explore the communication methods between the </w:t>
      </w:r>
      <w:proofErr w:type="gramStart"/>
      <w:r w:rsidRPr="004D05DC">
        <w:rPr>
          <w:rFonts w:ascii="Helvetica" w:eastAsia="Times New Roman" w:hAnsi="Helvetica" w:cs="Times New Roman"/>
          <w:color w:val="000000"/>
          <w:sz w:val="24"/>
          <w:szCs w:val="24"/>
          <w:u w:color="000000"/>
          <w:bdr w:val="nil"/>
          <w:lang w:val="en-US" w:eastAsia="en-GB"/>
        </w:rPr>
        <w:t>family</w:t>
      </w:r>
      <w:proofErr w:type="gramEnd"/>
      <w:r w:rsidRPr="004D05DC">
        <w:rPr>
          <w:rFonts w:ascii="Helvetica" w:eastAsia="Times New Roman" w:hAnsi="Helvetica" w:cs="Times New Roman"/>
          <w:color w:val="000000"/>
          <w:sz w:val="24"/>
          <w:szCs w:val="24"/>
          <w:u w:color="000000"/>
          <w:bdr w:val="nil"/>
          <w:lang w:val="en-US" w:eastAsia="en-GB"/>
        </w:rPr>
        <w:t xml:space="preserve"> as they will be advocating on the person’s behalf. I will also take into consideration the geographical and legislative context, for example exploring possible constraints that might occur living in a rural area and how this might impact my practice. To </w:t>
      </w:r>
      <w:proofErr w:type="spellStart"/>
      <w:r w:rsidRPr="004D05DC">
        <w:rPr>
          <w:rFonts w:ascii="Helvetica" w:eastAsia="Times New Roman" w:hAnsi="Helvetica" w:cs="Times New Roman"/>
          <w:color w:val="000000"/>
          <w:sz w:val="24"/>
          <w:szCs w:val="24"/>
          <w:u w:color="000000"/>
          <w:bdr w:val="nil"/>
          <w:lang w:val="en-US" w:eastAsia="en-GB"/>
        </w:rPr>
        <w:t>summarise</w:t>
      </w:r>
      <w:proofErr w:type="spellEnd"/>
      <w:r w:rsidRPr="004D05DC">
        <w:rPr>
          <w:rFonts w:ascii="Helvetica" w:eastAsia="Times New Roman" w:hAnsi="Helvetica" w:cs="Times New Roman"/>
          <w:color w:val="000000"/>
          <w:sz w:val="24"/>
          <w:szCs w:val="24"/>
          <w:u w:color="000000"/>
          <w:bdr w:val="nil"/>
          <w:lang w:val="en-US" w:eastAsia="en-GB"/>
        </w:rPr>
        <w:t>, I will explore the aspects that went well and what did not go as well. I will also discuss how I would do things differently in the future to improve my learning and development.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From the outset, there was a clear objective that I wanted to achieve during this assessment.  The aim was to focus on ‘promoting the well-being, voice and control of both individuals and their </w:t>
      </w:r>
      <w:proofErr w:type="spellStart"/>
      <w:r w:rsidRPr="004D05DC">
        <w:rPr>
          <w:rFonts w:ascii="Helvetica" w:eastAsia="Times New Roman" w:hAnsi="Helvetica" w:cs="Times New Roman"/>
          <w:color w:val="000000"/>
          <w:sz w:val="24"/>
          <w:szCs w:val="24"/>
          <w:u w:color="000000"/>
          <w:bdr w:val="nil"/>
          <w:lang w:val="en-US" w:eastAsia="en-GB"/>
        </w:rPr>
        <w:t>carers’</w:t>
      </w:r>
      <w:proofErr w:type="spellEnd"/>
      <w:r w:rsidRPr="004D05DC">
        <w:rPr>
          <w:rFonts w:ascii="Helvetica" w:eastAsia="Times New Roman" w:hAnsi="Helvetica" w:cs="Times New Roman"/>
          <w:color w:val="000000"/>
          <w:sz w:val="24"/>
          <w:szCs w:val="24"/>
          <w:u w:color="000000"/>
          <w:bdr w:val="nil"/>
          <w:lang w:val="en-US" w:eastAsia="en-GB"/>
        </w:rPr>
        <w:t xml:space="preserve"> (Social Care Wales, 2017). The wife of Person 1 informed me that he was unable to verbally communicate as a result of his condition and the impact of the stroke. The main conversation was initially between the </w:t>
      </w:r>
      <w:proofErr w:type="gramStart"/>
      <w:r w:rsidRPr="004D05DC">
        <w:rPr>
          <w:rFonts w:ascii="Helvetica" w:eastAsia="Times New Roman" w:hAnsi="Helvetica" w:cs="Times New Roman"/>
          <w:color w:val="000000"/>
          <w:sz w:val="24"/>
          <w:szCs w:val="24"/>
          <w:u w:color="000000"/>
          <w:bdr w:val="nil"/>
          <w:lang w:val="en-US" w:eastAsia="en-GB"/>
        </w:rPr>
        <w:t>wife</w:t>
      </w:r>
      <w:proofErr w:type="gramEnd"/>
      <w:r w:rsidRPr="004D05DC">
        <w:rPr>
          <w:rFonts w:ascii="Helvetica" w:eastAsia="Times New Roman" w:hAnsi="Helvetica" w:cs="Times New Roman"/>
          <w:color w:val="000000"/>
          <w:sz w:val="24"/>
          <w:szCs w:val="24"/>
          <w:u w:color="000000"/>
          <w:bdr w:val="nil"/>
          <w:lang w:val="en-US" w:eastAsia="en-GB"/>
        </w:rPr>
        <w:t xml:space="preserve"> before the daughter arrived. Although I needed to ensure that Person 1 understood what was being said in simpler </w:t>
      </w:r>
      <w:proofErr w:type="gramStart"/>
      <w:r w:rsidRPr="004D05DC">
        <w:rPr>
          <w:rFonts w:ascii="Helvetica" w:eastAsia="Times New Roman" w:hAnsi="Helvetica" w:cs="Times New Roman"/>
          <w:color w:val="000000"/>
          <w:sz w:val="24"/>
          <w:szCs w:val="24"/>
          <w:u w:color="000000"/>
          <w:bdr w:val="nil"/>
          <w:lang w:val="en-US" w:eastAsia="en-GB"/>
        </w:rPr>
        <w:t>terms</w:t>
      </w:r>
      <w:proofErr w:type="gramEnd"/>
      <w:r w:rsidRPr="004D05DC">
        <w:rPr>
          <w:rFonts w:ascii="Helvetica" w:eastAsia="Times New Roman" w:hAnsi="Helvetica" w:cs="Times New Roman"/>
          <w:color w:val="000000"/>
          <w:sz w:val="24"/>
          <w:szCs w:val="24"/>
          <w:u w:color="000000"/>
          <w:bdr w:val="nil"/>
          <w:lang w:val="en-US" w:eastAsia="en-GB"/>
        </w:rPr>
        <w:t xml:space="preserve"> and to ensure their rights were upheld under the Equality Act 2010 (Equality and Human Rights Commission, 2018). The conversation that I had with the wife was different to the conversation that I had with the daughter, as the daughter was knowledgeable in terms of the process of health and social care services. I ensured I communicated in a way that the wife was able to understand and not using abbreviations or terminology that is used by health or social care professionals (Pagano, 2014). Moreover, it has to be </w:t>
      </w:r>
      <w:proofErr w:type="spellStart"/>
      <w:r w:rsidRPr="004D05DC">
        <w:rPr>
          <w:rFonts w:ascii="Helvetica" w:eastAsia="Times New Roman" w:hAnsi="Helvetica" w:cs="Times New Roman"/>
          <w:color w:val="000000"/>
          <w:sz w:val="24"/>
          <w:szCs w:val="24"/>
          <w:u w:color="000000"/>
          <w:bdr w:val="nil"/>
          <w:lang w:val="en-US" w:eastAsia="en-GB"/>
        </w:rPr>
        <w:t>recognised</w:t>
      </w:r>
      <w:proofErr w:type="spellEnd"/>
      <w:r w:rsidRPr="004D05DC">
        <w:rPr>
          <w:rFonts w:ascii="Helvetica" w:eastAsia="Times New Roman" w:hAnsi="Helvetica" w:cs="Times New Roman"/>
          <w:color w:val="000000"/>
          <w:sz w:val="24"/>
          <w:szCs w:val="24"/>
          <w:u w:color="000000"/>
          <w:bdr w:val="nil"/>
          <w:lang w:val="en-US" w:eastAsia="en-GB"/>
        </w:rPr>
        <w:t xml:space="preserve"> that the families are often ‘experts by experience’ (Care Quality Commission, 2017) and listening and showing empathy for the situation underpins the values of social work practice (Social Care Wales, 2017).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Person 1 had very limited communication; therefore, I did have to rely on many of his </w:t>
      </w:r>
      <w:proofErr w:type="spellStart"/>
      <w:r w:rsidRPr="004D05DC">
        <w:rPr>
          <w:rFonts w:ascii="Helvetica" w:eastAsia="Times New Roman" w:hAnsi="Helvetica" w:cs="Times New Roman"/>
          <w:color w:val="000000"/>
          <w:sz w:val="24"/>
          <w:szCs w:val="24"/>
          <w:u w:color="000000"/>
          <w:bdr w:val="nil"/>
          <w:lang w:val="en-US" w:eastAsia="en-GB"/>
        </w:rPr>
        <w:t>non-verbal</w:t>
      </w:r>
      <w:proofErr w:type="spellEnd"/>
      <w:r w:rsidRPr="004D05DC">
        <w:rPr>
          <w:rFonts w:ascii="Helvetica" w:eastAsia="Times New Roman" w:hAnsi="Helvetica" w:cs="Times New Roman"/>
          <w:color w:val="000000"/>
          <w:sz w:val="24"/>
          <w:szCs w:val="24"/>
          <w:u w:color="000000"/>
          <w:bdr w:val="nil"/>
          <w:lang w:val="en-US" w:eastAsia="en-GB"/>
        </w:rPr>
        <w:t xml:space="preserve"> expressions to identify how he was feeling and to assess how he responded to what was being discussed. Leathers and Eaves (2015) discuss the importance of </w:t>
      </w:r>
      <w:proofErr w:type="spellStart"/>
      <w:r w:rsidRPr="004D05DC">
        <w:rPr>
          <w:rFonts w:ascii="Helvetica" w:eastAsia="Times New Roman" w:hAnsi="Helvetica" w:cs="Times New Roman"/>
          <w:color w:val="000000"/>
          <w:sz w:val="24"/>
          <w:szCs w:val="24"/>
          <w:u w:color="000000"/>
          <w:bdr w:val="nil"/>
          <w:lang w:val="en-US" w:eastAsia="en-GB"/>
        </w:rPr>
        <w:t>non-verbal</w:t>
      </w:r>
      <w:proofErr w:type="spellEnd"/>
      <w:r w:rsidRPr="004D05DC">
        <w:rPr>
          <w:rFonts w:ascii="Helvetica" w:eastAsia="Times New Roman" w:hAnsi="Helvetica" w:cs="Times New Roman"/>
          <w:color w:val="000000"/>
          <w:sz w:val="24"/>
          <w:szCs w:val="24"/>
          <w:u w:color="000000"/>
          <w:bdr w:val="nil"/>
          <w:lang w:val="en-US" w:eastAsia="en-GB"/>
        </w:rPr>
        <w:t xml:space="preserve"> communication, as it provides a source of ‘meaning’. They also identify that </w:t>
      </w:r>
      <w:proofErr w:type="spellStart"/>
      <w:r w:rsidRPr="004D05DC">
        <w:rPr>
          <w:rFonts w:ascii="Helvetica" w:eastAsia="Times New Roman" w:hAnsi="Helvetica" w:cs="Times New Roman"/>
          <w:color w:val="000000"/>
          <w:sz w:val="24"/>
          <w:szCs w:val="24"/>
          <w:u w:color="000000"/>
          <w:bdr w:val="nil"/>
          <w:lang w:val="en-US" w:eastAsia="en-GB"/>
        </w:rPr>
        <w:t>non-verbal</w:t>
      </w:r>
      <w:proofErr w:type="spellEnd"/>
      <w:r w:rsidRPr="004D05DC">
        <w:rPr>
          <w:rFonts w:ascii="Helvetica" w:eastAsia="Times New Roman" w:hAnsi="Helvetica" w:cs="Times New Roman"/>
          <w:color w:val="000000"/>
          <w:sz w:val="24"/>
          <w:szCs w:val="24"/>
          <w:u w:color="000000"/>
          <w:bdr w:val="nil"/>
          <w:lang w:val="en-US" w:eastAsia="en-GB"/>
        </w:rPr>
        <w:t xml:space="preserve"> communication cannot always be reliable, and this can often be influenced by personal, situational and cultural norms. For example, during the visit, Person 1’s granddaughter was present. It was apparent from his smile that he was happy to see her; however, while we were discussing the amendments to the care package, it was difficult to identify whether he was in agreement with what was being discussed or whether he was happy to see his granddaughter. This could be linked to personal or situational circumstances. Therefore, I felt I was able to demonstrate both </w:t>
      </w:r>
      <w:proofErr w:type="spellStart"/>
      <w:r w:rsidRPr="004D05DC">
        <w:rPr>
          <w:rFonts w:ascii="Helvetica" w:eastAsia="Times New Roman" w:hAnsi="Helvetica" w:cs="Times New Roman"/>
          <w:color w:val="000000"/>
          <w:sz w:val="24"/>
          <w:szCs w:val="24"/>
          <w:u w:color="000000"/>
          <w:bdr w:val="nil"/>
          <w:lang w:val="en-US" w:eastAsia="en-GB"/>
        </w:rPr>
        <w:t>non-verbal</w:t>
      </w:r>
      <w:proofErr w:type="spellEnd"/>
      <w:r w:rsidRPr="004D05DC">
        <w:rPr>
          <w:rFonts w:ascii="Helvetica" w:eastAsia="Times New Roman" w:hAnsi="Helvetica" w:cs="Times New Roman"/>
          <w:color w:val="000000"/>
          <w:sz w:val="24"/>
          <w:szCs w:val="24"/>
          <w:u w:color="000000"/>
          <w:bdr w:val="nil"/>
          <w:lang w:val="en-US" w:eastAsia="en-GB"/>
        </w:rPr>
        <w:t xml:space="preserve"> and verbal communication of different complexities when communicating with Person 1 and the family.</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It is important for individuals and their families to know that I have understood what they have raised. Lishman (2009) identifies the need for </w:t>
      </w:r>
      <w:proofErr w:type="spellStart"/>
      <w:r w:rsidRPr="004D05DC">
        <w:rPr>
          <w:rFonts w:ascii="Helvetica" w:eastAsia="Times New Roman" w:hAnsi="Helvetica" w:cs="Times New Roman"/>
          <w:color w:val="000000"/>
          <w:sz w:val="24"/>
          <w:szCs w:val="24"/>
          <w:u w:color="000000"/>
          <w:bdr w:val="nil"/>
          <w:lang w:val="en-US" w:eastAsia="en-GB"/>
        </w:rPr>
        <w:t>summarising</w:t>
      </w:r>
      <w:proofErr w:type="spellEnd"/>
      <w:r w:rsidRPr="004D05DC">
        <w:rPr>
          <w:rFonts w:ascii="Helvetica" w:eastAsia="Times New Roman" w:hAnsi="Helvetica" w:cs="Times New Roman"/>
          <w:color w:val="000000"/>
          <w:sz w:val="24"/>
          <w:szCs w:val="24"/>
          <w:u w:color="000000"/>
          <w:bdr w:val="nil"/>
          <w:lang w:val="en-US" w:eastAsia="en-GB"/>
        </w:rPr>
        <w:t xml:space="preserve"> at the end of the conversation, as it is a way of paraphrasing what the service users and </w:t>
      </w:r>
      <w:proofErr w:type="spellStart"/>
      <w:r w:rsidRPr="004D05DC">
        <w:rPr>
          <w:rFonts w:ascii="Helvetica" w:eastAsia="Times New Roman" w:hAnsi="Helvetica" w:cs="Times New Roman"/>
          <w:color w:val="000000"/>
          <w:sz w:val="24"/>
          <w:szCs w:val="24"/>
          <w:u w:color="000000"/>
          <w:bdr w:val="nil"/>
          <w:lang w:val="en-US" w:eastAsia="en-GB"/>
        </w:rPr>
        <w:t>carers</w:t>
      </w:r>
      <w:proofErr w:type="spellEnd"/>
      <w:r w:rsidRPr="004D05DC">
        <w:rPr>
          <w:rFonts w:ascii="Helvetica" w:eastAsia="Times New Roman" w:hAnsi="Helvetica" w:cs="Times New Roman"/>
          <w:color w:val="000000"/>
          <w:sz w:val="24"/>
          <w:szCs w:val="24"/>
          <w:u w:color="000000"/>
          <w:bdr w:val="nil"/>
          <w:lang w:val="en-US" w:eastAsia="en-GB"/>
        </w:rPr>
        <w:t xml:space="preserve"> have said. By </w:t>
      </w:r>
      <w:proofErr w:type="spellStart"/>
      <w:r w:rsidRPr="004D05DC">
        <w:rPr>
          <w:rFonts w:ascii="Helvetica" w:eastAsia="Times New Roman" w:hAnsi="Helvetica" w:cs="Times New Roman"/>
          <w:color w:val="000000"/>
          <w:sz w:val="24"/>
          <w:szCs w:val="24"/>
          <w:u w:color="000000"/>
          <w:bdr w:val="nil"/>
          <w:lang w:val="en-US" w:eastAsia="en-GB"/>
        </w:rPr>
        <w:t>summarising</w:t>
      </w:r>
      <w:proofErr w:type="spellEnd"/>
      <w:r w:rsidRPr="004D05DC">
        <w:rPr>
          <w:rFonts w:ascii="Helvetica" w:eastAsia="Times New Roman" w:hAnsi="Helvetica" w:cs="Times New Roman"/>
          <w:color w:val="000000"/>
          <w:sz w:val="24"/>
          <w:szCs w:val="24"/>
          <w:u w:color="000000"/>
          <w:bdr w:val="nil"/>
          <w:lang w:val="en-US" w:eastAsia="en-GB"/>
        </w:rPr>
        <w:t xml:space="preserve">, I was able to clarify the key topics of discussion and the action plan moving forward. Gaining clarification ensured that both I and the family were aware of the focus of the session and reinforced that I understood their perspective of the situation (Dorr, 2014). I felt that the end summary went well; however, if I were to do things differently in the future I would reflect more when </w:t>
      </w:r>
      <w:proofErr w:type="spellStart"/>
      <w:r w:rsidRPr="004D05DC">
        <w:rPr>
          <w:rFonts w:ascii="Helvetica" w:eastAsia="Times New Roman" w:hAnsi="Helvetica" w:cs="Times New Roman"/>
          <w:color w:val="000000"/>
          <w:sz w:val="24"/>
          <w:szCs w:val="24"/>
          <w:u w:color="000000"/>
          <w:bdr w:val="nil"/>
          <w:lang w:val="en-US" w:eastAsia="en-GB"/>
        </w:rPr>
        <w:t>summarising</w:t>
      </w:r>
      <w:proofErr w:type="spellEnd"/>
      <w:r w:rsidRPr="004D05DC">
        <w:rPr>
          <w:rFonts w:ascii="Helvetica" w:eastAsia="Times New Roman" w:hAnsi="Helvetica" w:cs="Times New Roman"/>
          <w:color w:val="000000"/>
          <w:sz w:val="24"/>
          <w:szCs w:val="24"/>
          <w:u w:color="000000"/>
          <w:bdr w:val="nil"/>
          <w:lang w:val="en-US" w:eastAsia="en-GB"/>
        </w:rPr>
        <w:t xml:space="preserve">. Lishman (2009) suggests exploring feelings and being attentive to the individual’s situation. For example, I could have asked the family how they felt following the meeting to gain further clarification of their feelings regarding the situation and the outcome of the visit.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In this instance the family advocated on the individual’s behalf; therefore, no barriers in terms of effective communication existed. However if there were an instance where I was not able to communicate, for example if the individual lacked mental capacity, an ‘Independent Mental Capacity Advocate’ (IMCA) would be required (Flynn, 2015), or an interpreter would be required if there were any language barriers (Moonie, 2005).</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Even though in this instance the Welsh language was not relevant, as Person 1’s first language was English and he was born in England, it is a statutory requirement to promote the ‘active offer’ (Welsh Government, 2016). The ‘active offer’ is an initiative that the Welsh Government (2016) adopted to improve the quality of care and to maintain professional standards within social work. The family were asked in what language they wanted the assessment to be undertaken. However, if Person 1 had been a Welsh speaker I would have ensured that the individual’s preference was taken into consideration and I would have requested a Welsh-speaking observer to ensure the language needs of the individual were fulfilled. The aim of the active offer underpins the values and the code of practice we comply with as social workers, such as providing a person-centred approach, quality of care and respect and dignity (Welsh Government, 2012).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The Wales NHS Confederation (2018) released a document exploring the challenges of delivering health and social care in Wales. The document suggests that the challenges that are faced in rural areas include travel and access to services, and cost due to the increase in number of bases required to cover a larger area, compared to a single point of call in a more populated area. The report also suggested that there is an increase in Welsh speakers in rural areas (Wales NHS Confederation, 2018), which would link to providing person-centred care in the individuals own language (Welsh Government, 2012). However, in this instance, the issues were resolved as the family were able to assist with transport and the care agency could facilitate the increase to the package of care; therefore, these challenges were eliminated in this instance.</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On reflection, I felt the visit was positive in terms of the outcomes that were achieved for the individual. However, during my visit, I was unprepared for a member of the care agency or the daughter to be present in the meeting. Initially I thought ‘Am I going to be prepared?’ and wondered whether there was any other reason for their attendance. Not having met the family before, it was daunting, as there were many different perspectives that I needed to consider. However, after hearing each individual’s role and perspective, I felt at ease and knew that I was able to give a prompt and accurate response to what they were asking from me. Moreover, when looking at family systems theory, </w:t>
      </w:r>
      <w:proofErr w:type="spellStart"/>
      <w:r w:rsidRPr="004D05DC">
        <w:rPr>
          <w:rFonts w:ascii="Helvetica" w:eastAsia="Times New Roman" w:hAnsi="Helvetica" w:cs="Times New Roman"/>
          <w:color w:val="000000"/>
          <w:sz w:val="24"/>
          <w:szCs w:val="24"/>
          <w:u w:color="000000"/>
          <w:bdr w:val="nil"/>
          <w:lang w:val="en-US" w:eastAsia="en-GB"/>
        </w:rPr>
        <w:t>Effgen</w:t>
      </w:r>
      <w:proofErr w:type="spellEnd"/>
      <w:r w:rsidRPr="004D05DC">
        <w:rPr>
          <w:rFonts w:ascii="Helvetica" w:eastAsia="Times New Roman" w:hAnsi="Helvetica" w:cs="Times New Roman"/>
          <w:color w:val="000000"/>
          <w:sz w:val="24"/>
          <w:szCs w:val="24"/>
          <w:u w:color="000000"/>
          <w:bdr w:val="nil"/>
          <w:lang w:val="en-US" w:eastAsia="en-GB"/>
        </w:rPr>
        <w:t xml:space="preserve"> (2012: 154) focuses on the influence the family have on that person within their social system and also sees the ‘family functioning as a dynamic process.’  In this instance the knowledge of each individual ‘within their social support network’ was able to relay their own perspective from a different stance to another member. For example, I felt that having the care agency present was positive, as they were able to express what was going well and what areas they were finding difficult in terms of Person 1’s care. The daughter also went into more depth about a contingency plan for the end-of-line pathway, which I would not have been made aware of if it had only been the wife present in the meeting; therefore, I found this to be positive and gained an understanding of the individual’s support system.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 felt each individual had different knowledge of Person 1 and all of their contributions were beneficial in different ways, for example for current care needs and future planning. The discussions throughout followed a person-centred approach, as he was at the </w:t>
      </w:r>
      <w:proofErr w:type="spellStart"/>
      <w:r w:rsidRPr="004D05DC">
        <w:rPr>
          <w:rFonts w:ascii="Helvetica" w:eastAsia="Times New Roman" w:hAnsi="Helvetica" w:cs="Times New Roman"/>
          <w:color w:val="000000"/>
          <w:sz w:val="24"/>
          <w:szCs w:val="24"/>
          <w:u w:color="000000"/>
          <w:bdr w:val="nil"/>
          <w:lang w:val="en-US" w:eastAsia="en-GB"/>
        </w:rPr>
        <w:t>centre</w:t>
      </w:r>
      <w:proofErr w:type="spellEnd"/>
      <w:r w:rsidRPr="004D05DC">
        <w:rPr>
          <w:rFonts w:ascii="Helvetica" w:eastAsia="Times New Roman" w:hAnsi="Helvetica" w:cs="Times New Roman"/>
          <w:color w:val="000000"/>
          <w:sz w:val="24"/>
          <w:szCs w:val="24"/>
          <w:u w:color="000000"/>
          <w:bdr w:val="nil"/>
          <w:lang w:val="en-US" w:eastAsia="en-GB"/>
        </w:rPr>
        <w:t xml:space="preserve"> of all discussions. The person-centred approach derives from the white paper </w:t>
      </w:r>
      <w:r w:rsidRPr="004D05DC">
        <w:rPr>
          <w:rFonts w:ascii="Helvetica" w:eastAsia="Times New Roman" w:hAnsi="Helvetica" w:cs="Times New Roman"/>
          <w:i/>
          <w:iCs/>
          <w:color w:val="000000"/>
          <w:sz w:val="24"/>
          <w:szCs w:val="24"/>
          <w:u w:color="000000"/>
          <w:bdr w:val="nil"/>
          <w:lang w:val="en-US" w:eastAsia="en-GB"/>
        </w:rPr>
        <w:t xml:space="preserve">Our Health, Our Care, Our Say </w:t>
      </w:r>
      <w:r w:rsidRPr="004D05DC">
        <w:rPr>
          <w:rFonts w:ascii="Helvetica" w:eastAsia="Times New Roman" w:hAnsi="Helvetica" w:cs="Times New Roman"/>
          <w:color w:val="000000"/>
          <w:sz w:val="24"/>
          <w:szCs w:val="24"/>
          <w:u w:color="000000"/>
          <w:bdr w:val="nil"/>
          <w:lang w:val="en-US" w:eastAsia="en-GB"/>
        </w:rPr>
        <w:t xml:space="preserve">in England and </w:t>
      </w:r>
      <w:r w:rsidRPr="004D05DC">
        <w:rPr>
          <w:rFonts w:ascii="Helvetica" w:eastAsia="Times New Roman" w:hAnsi="Helvetica" w:cs="Times New Roman"/>
          <w:i/>
          <w:iCs/>
          <w:color w:val="000000"/>
          <w:sz w:val="24"/>
          <w:szCs w:val="24"/>
          <w:u w:color="000000"/>
          <w:bdr w:val="nil"/>
          <w:lang w:val="en-US" w:eastAsia="en-GB"/>
        </w:rPr>
        <w:t xml:space="preserve">A Vision for Adult Social Care </w:t>
      </w:r>
      <w:r w:rsidRPr="004D05DC">
        <w:rPr>
          <w:rFonts w:ascii="Helvetica" w:eastAsia="Times New Roman" w:hAnsi="Helvetica" w:cs="Times New Roman"/>
          <w:color w:val="000000"/>
          <w:sz w:val="24"/>
          <w:szCs w:val="24"/>
          <w:u w:color="000000"/>
          <w:bdr w:val="nil"/>
          <w:lang w:val="en-US" w:eastAsia="en-GB"/>
        </w:rPr>
        <w:t xml:space="preserve">in Wales, which </w:t>
      </w:r>
      <w:proofErr w:type="spellStart"/>
      <w:r w:rsidRPr="004D05DC">
        <w:rPr>
          <w:rFonts w:ascii="Helvetica" w:eastAsia="Times New Roman" w:hAnsi="Helvetica" w:cs="Times New Roman"/>
          <w:color w:val="000000"/>
          <w:sz w:val="24"/>
          <w:szCs w:val="24"/>
          <w:u w:color="000000"/>
          <w:bdr w:val="nil"/>
          <w:lang w:val="en-US" w:eastAsia="en-GB"/>
        </w:rPr>
        <w:t>emphasised</w:t>
      </w:r>
      <w:proofErr w:type="spellEnd"/>
      <w:r w:rsidRPr="004D05DC">
        <w:rPr>
          <w:rFonts w:ascii="Helvetica" w:eastAsia="Times New Roman" w:hAnsi="Helvetica" w:cs="Times New Roman"/>
          <w:color w:val="000000"/>
          <w:sz w:val="24"/>
          <w:szCs w:val="24"/>
          <w:u w:color="000000"/>
          <w:bdr w:val="nil"/>
          <w:lang w:val="en-US" w:eastAsia="en-GB"/>
        </w:rPr>
        <w:t xml:space="preserve"> the need for service user choice and direct payments for individuals and their </w:t>
      </w:r>
      <w:proofErr w:type="spellStart"/>
      <w:r w:rsidRPr="004D05DC">
        <w:rPr>
          <w:rFonts w:ascii="Helvetica" w:eastAsia="Times New Roman" w:hAnsi="Helvetica" w:cs="Times New Roman"/>
          <w:color w:val="000000"/>
          <w:sz w:val="24"/>
          <w:szCs w:val="24"/>
          <w:u w:color="000000"/>
          <w:bdr w:val="nil"/>
          <w:lang w:val="en-US" w:eastAsia="en-GB"/>
        </w:rPr>
        <w:t>carers</w:t>
      </w:r>
      <w:proofErr w:type="spellEnd"/>
      <w:r w:rsidRPr="004D05DC">
        <w:rPr>
          <w:rFonts w:ascii="Helvetica" w:eastAsia="Times New Roman" w:hAnsi="Helvetica" w:cs="Times New Roman"/>
          <w:color w:val="000000"/>
          <w:sz w:val="24"/>
          <w:szCs w:val="24"/>
          <w:u w:color="000000"/>
          <w:bdr w:val="nil"/>
          <w:lang w:val="en-US" w:eastAsia="en-GB"/>
        </w:rPr>
        <w:t xml:space="preserve"> to arrange their own care and support.  The need for person-centred care was </w:t>
      </w:r>
      <w:proofErr w:type="spellStart"/>
      <w:r w:rsidRPr="004D05DC">
        <w:rPr>
          <w:rFonts w:ascii="Helvetica" w:eastAsia="Times New Roman" w:hAnsi="Helvetica" w:cs="Times New Roman"/>
          <w:color w:val="000000"/>
          <w:sz w:val="24"/>
          <w:szCs w:val="24"/>
          <w:u w:color="000000"/>
          <w:bdr w:val="nil"/>
          <w:lang w:val="en-US" w:eastAsia="en-GB"/>
        </w:rPr>
        <w:t>emphasised</w:t>
      </w:r>
      <w:proofErr w:type="spellEnd"/>
      <w:r w:rsidRPr="004D05DC">
        <w:rPr>
          <w:rFonts w:ascii="Helvetica" w:eastAsia="Times New Roman" w:hAnsi="Helvetica" w:cs="Times New Roman"/>
          <w:color w:val="000000"/>
          <w:sz w:val="24"/>
          <w:szCs w:val="24"/>
          <w:u w:color="000000"/>
          <w:bdr w:val="nil"/>
          <w:lang w:val="en-US" w:eastAsia="en-GB"/>
        </w:rPr>
        <w:t xml:space="preserve"> in both the Social Services and Well Being (Wales) Act 2014 and the Care Act 2014 for individuals to have more control over their own care arrangements (Johns, 2014). One of the principles under the Code of Ethics (2014) </w:t>
      </w:r>
      <w:proofErr w:type="spellStart"/>
      <w:r w:rsidRPr="004D05DC">
        <w:rPr>
          <w:rFonts w:ascii="Helvetica" w:eastAsia="Times New Roman" w:hAnsi="Helvetica" w:cs="Times New Roman"/>
          <w:color w:val="000000"/>
          <w:sz w:val="24"/>
          <w:szCs w:val="24"/>
          <w:u w:color="000000"/>
          <w:bdr w:val="nil"/>
          <w:lang w:val="en-US" w:eastAsia="en-GB"/>
        </w:rPr>
        <w:t>emphasises</w:t>
      </w:r>
      <w:proofErr w:type="spellEnd"/>
      <w:r w:rsidRPr="004D05DC">
        <w:rPr>
          <w:rFonts w:ascii="Helvetica" w:eastAsia="Times New Roman" w:hAnsi="Helvetica" w:cs="Times New Roman"/>
          <w:color w:val="000000"/>
          <w:sz w:val="24"/>
          <w:szCs w:val="24"/>
          <w:u w:color="000000"/>
          <w:bdr w:val="nil"/>
          <w:lang w:val="en-US" w:eastAsia="en-GB"/>
        </w:rPr>
        <w:t xml:space="preserve"> that individuals should be fully involved in their care and actions affecting them.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 felt that there could have been better communication from the care agency’s point of view, as they could have informed me that they were due to attend the meeting. In future, I would ask the family if they were planning on having anyone else attend the meeting to ensure I am kept informed and prepared for the visit, as I am also accountable for my own quality of work (Social Care Wales, 2017). I will also use the Gibbs (2008) model of reflection to discuss how it helped me reflect on my experience during this reflection and how I might change things in the future.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Summary - 283 words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Main body – 1412 words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Default="004D05DC" w:rsidP="004D05DC">
      <w:pPr>
        <w:pBdr>
          <w:top w:val="nil"/>
          <w:left w:val="nil"/>
          <w:bottom w:val="nil"/>
          <w:right w:val="nil"/>
          <w:between w:val="nil"/>
          <w:bar w:val="nil"/>
        </w:pBdr>
        <w:spacing w:after="0" w:line="240" w:lineRule="auto"/>
        <w:jc w:val="both"/>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b/>
          <w:bCs/>
          <w:color w:val="000000"/>
          <w:sz w:val="24"/>
          <w:szCs w:val="24"/>
          <w:u w:color="000000"/>
          <w:bdr w:val="nil"/>
          <w:lang w:val="en-US" w:eastAsia="en-GB"/>
        </w:rPr>
      </w:pPr>
      <w:r w:rsidRPr="004D05DC">
        <w:rPr>
          <w:rFonts w:ascii="Arial" w:eastAsia="Arial Unicode MS" w:hAnsi="Arial" w:cs="Arial Unicode MS"/>
          <w:b/>
          <w:bCs/>
          <w:color w:val="000000"/>
          <w:sz w:val="24"/>
          <w:szCs w:val="24"/>
          <w:u w:color="000000"/>
          <w:bdr w:val="nil"/>
          <w:lang w:val="en-US" w:eastAsia="en-GB"/>
        </w:rPr>
        <w:t xml:space="preserve">Feedback and comments from an individual using services, their family or </w:t>
      </w:r>
      <w:proofErr w:type="spellStart"/>
      <w:r w:rsidRPr="004D05DC">
        <w:rPr>
          <w:rFonts w:ascii="Arial" w:eastAsia="Arial Unicode MS" w:hAnsi="Arial" w:cs="Arial Unicode MS"/>
          <w:b/>
          <w:bCs/>
          <w:color w:val="000000"/>
          <w:sz w:val="24"/>
          <w:szCs w:val="24"/>
          <w:u w:color="000000"/>
          <w:bdr w:val="nil"/>
          <w:lang w:val="en-US" w:eastAsia="en-GB"/>
        </w:rPr>
        <w:t>carers</w:t>
      </w:r>
      <w:proofErr w:type="spellEnd"/>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This section of the Observation should not be done in the presence of the learner.</w:t>
      </w:r>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 xml:space="preserve">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w:t>
      </w:r>
      <w:proofErr w:type="spellStart"/>
      <w:r w:rsidRPr="004D05DC">
        <w:rPr>
          <w:rFonts w:ascii="Arial" w:eastAsia="Arial Unicode MS" w:hAnsi="Arial" w:cs="Arial Unicode MS"/>
          <w:color w:val="000000"/>
          <w:sz w:val="24"/>
          <w:szCs w:val="24"/>
          <w:u w:color="000000"/>
          <w:bdr w:val="nil"/>
          <w:lang w:val="en-US" w:eastAsia="en-GB"/>
        </w:rPr>
        <w:t>carers</w:t>
      </w:r>
      <w:proofErr w:type="spellEnd"/>
      <w:r w:rsidRPr="004D05DC">
        <w:rPr>
          <w:rFonts w:ascii="Arial" w:eastAsia="Arial Unicode MS" w:hAnsi="Arial" w:cs="Arial Unicode MS"/>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Before asking the questions, the observer must explain to the individual using services</w:t>
      </w:r>
      <w:r w:rsidRPr="004D05DC">
        <w:rPr>
          <w:rFonts w:ascii="Arial" w:eastAsia="Arial Unicode MS" w:hAnsi="Arial" w:cs="Arial Unicode MS"/>
          <w:i/>
          <w:iCs/>
          <w:color w:val="000000"/>
          <w:sz w:val="24"/>
          <w:szCs w:val="24"/>
          <w:u w:color="000000"/>
          <w:bdr w:val="nil"/>
          <w:lang w:val="en-US" w:eastAsia="en-GB"/>
        </w:rPr>
        <w:t xml:space="preserve"> </w:t>
      </w:r>
      <w:r w:rsidRPr="004D05DC">
        <w:rPr>
          <w:rFonts w:ascii="Arial" w:eastAsia="Arial Unicode MS" w:hAnsi="Arial" w:cs="Arial Unicode MS"/>
          <w:color w:val="000000"/>
          <w:sz w:val="24"/>
          <w:szCs w:val="24"/>
          <w:u w:color="000000"/>
          <w:bdr w:val="nil"/>
          <w:lang w:val="en-US" w:eastAsia="en-GB"/>
        </w:rPr>
        <w:t xml:space="preserve">that their comments will be shared with the learner. It may be useful to explain that it is used as a learning tool for the learner to develop their own practice. </w:t>
      </w:r>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color w:val="000000"/>
          <w:sz w:val="24"/>
          <w:szCs w:val="24"/>
          <w:u w:color="000000"/>
          <w:bdr w:val="nil"/>
          <w:lang w:val="en-US" w:eastAsia="en-GB"/>
        </w:rPr>
      </w:pPr>
      <w:r w:rsidRPr="004D05DC">
        <w:rPr>
          <w:rFonts w:ascii="Arial" w:eastAsia="Arial Unicode MS" w:hAnsi="Arial" w:cs="Arial Unicode MS"/>
          <w:color w:val="000000"/>
          <w:sz w:val="24"/>
          <w:szCs w:val="24"/>
          <w:u w:color="000000"/>
          <w:bdr w:val="nil"/>
          <w:lang w:val="en-US" w:eastAsia="en-GB"/>
        </w:rPr>
        <w:t>If the observer is unable to gain feedback,</w:t>
      </w:r>
      <w:r w:rsidRPr="004D05DC">
        <w:rPr>
          <w:rFonts w:ascii="Arial" w:eastAsia="Arial Unicode MS" w:hAnsi="Arial" w:cs="Arial Unicode MS"/>
          <w:i/>
          <w:iCs/>
          <w:color w:val="000000"/>
          <w:sz w:val="24"/>
          <w:szCs w:val="24"/>
          <w:u w:color="000000"/>
          <w:bdr w:val="nil"/>
          <w:lang w:val="en-US" w:eastAsia="en-GB"/>
        </w:rPr>
        <w:t xml:space="preserve"> </w:t>
      </w:r>
      <w:r w:rsidRPr="004D05DC">
        <w:rPr>
          <w:rFonts w:ascii="Arial" w:eastAsia="Arial Unicode MS" w:hAnsi="Arial" w:cs="Arial Unicode MS"/>
          <w:color w:val="000000"/>
          <w:sz w:val="24"/>
          <w:szCs w:val="24"/>
          <w:u w:color="000000"/>
          <w:bdr w:val="nil"/>
          <w:lang w:val="en-US" w:eastAsia="en-GB"/>
        </w:rPr>
        <w:t>they should briefly say why.</w:t>
      </w:r>
    </w:p>
    <w:p w:rsidR="004D05DC" w:rsidRPr="004D05DC" w:rsidRDefault="004D05DC" w:rsidP="004D05DC">
      <w:pPr>
        <w:pBdr>
          <w:top w:val="nil"/>
          <w:left w:val="nil"/>
          <w:bottom w:val="nil"/>
          <w:right w:val="nil"/>
          <w:between w:val="nil"/>
          <w:bar w:val="nil"/>
        </w:pBdr>
        <w:spacing w:after="0" w:line="240" w:lineRule="auto"/>
        <w:jc w:val="both"/>
        <w:rPr>
          <w:rFonts w:ascii="Arial" w:eastAsia="Arial" w:hAnsi="Arial" w:cs="Arial"/>
          <w:color w:val="000000"/>
          <w:sz w:val="24"/>
          <w:szCs w:val="24"/>
          <w:u w:color="000000"/>
          <w:bdr w:val="nil"/>
          <w:lang w:val="en-US" w:eastAsia="en-GB"/>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18"/>
        <w:gridCol w:w="7470"/>
      </w:tblGrid>
      <w:tr w:rsidR="004D05DC" w:rsidRPr="004D05DC" w:rsidTr="004D05DC">
        <w:trPr>
          <w:trHeight w:val="120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u w:color="000000"/>
                <w:bdr w:val="nil"/>
                <w:lang w:val="en-US" w:eastAsia="en-GB"/>
              </w:rPr>
              <w:t>Was the social worker on time?  Or if delayed did he or she contact you?</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r w:rsidRPr="004D05DC">
              <w:rPr>
                <w:rFonts w:ascii="Arial" w:eastAsia="Arial Unicode MS" w:hAnsi="Arial" w:cs="Arial Unicode MS"/>
                <w:color w:val="000000"/>
                <w:sz w:val="24"/>
                <w:szCs w:val="24"/>
                <w:u w:color="000000"/>
                <w:bdr w:val="nil"/>
                <w:lang w:val="en-US"/>
              </w:rPr>
              <w:t xml:space="preserve">Yes she was on time and she phoned immediately before she came. </w:t>
            </w:r>
          </w:p>
        </w:tc>
      </w:tr>
      <w:tr w:rsidR="004D05DC" w:rsidRPr="004D05DC" w:rsidTr="004D05DC">
        <w:trPr>
          <w:trHeight w:val="192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rPr>
                <w:rFonts w:ascii="Arial" w:eastAsia="Arial" w:hAnsi="Arial" w:cs="Arial"/>
                <w:color w:val="000000"/>
                <w:u w:color="000000"/>
                <w:bdr w:val="nil"/>
                <w:lang w:val="en-US" w:eastAsia="en-GB"/>
              </w:rPr>
            </w:pPr>
            <w:r w:rsidRPr="004D05DC">
              <w:rPr>
                <w:rFonts w:ascii="Arial" w:eastAsia="Arial Unicode MS" w:hAnsi="Arial" w:cs="Arial Unicode MS"/>
                <w:color w:val="000000"/>
                <w:u w:color="000000"/>
                <w:bdr w:val="nil"/>
                <w:lang w:val="en-US" w:eastAsia="en-GB"/>
              </w:rPr>
              <w:t xml:space="preserve">Did the social worker get your permission in advance for the observer to be present? </w:t>
            </w:r>
          </w:p>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u w:color="000000"/>
                <w:bdr w:val="nil"/>
                <w:lang w:val="en-US" w:eastAsia="en-GB"/>
              </w:rPr>
              <w:t>Did they explain why they were being observed?</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r w:rsidRPr="004D05DC">
              <w:rPr>
                <w:rFonts w:ascii="Arial" w:eastAsia="Arial Unicode MS" w:hAnsi="Arial" w:cs="Arial Unicode MS"/>
                <w:color w:val="000000"/>
                <w:sz w:val="24"/>
                <w:szCs w:val="24"/>
                <w:u w:color="000000"/>
                <w:bdr w:val="nil"/>
                <w:lang w:val="en-US"/>
              </w:rPr>
              <w:t>Yes she did get permission and yes she did explain the purpose of the observation.</w:t>
            </w:r>
          </w:p>
        </w:tc>
      </w:tr>
      <w:tr w:rsidR="004D05DC" w:rsidRPr="004D05DC" w:rsidTr="004D05DC">
        <w:trPr>
          <w:trHeight w:val="96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u w:color="000000"/>
                <w:bdr w:val="nil"/>
                <w:lang w:val="en-US" w:eastAsia="en-GB"/>
              </w:rPr>
              <w:t>Were you clear why the social worker met with you today?</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r w:rsidRPr="004D05DC">
              <w:rPr>
                <w:rFonts w:ascii="Arial" w:eastAsia="Arial Unicode MS" w:hAnsi="Arial" w:cs="Arial Unicode MS"/>
                <w:color w:val="000000"/>
                <w:sz w:val="24"/>
                <w:szCs w:val="24"/>
                <w:u w:color="000000"/>
                <w:bdr w:val="nil"/>
                <w:lang w:val="en-US"/>
              </w:rPr>
              <w:t xml:space="preserve">Yes, XXX was following up the referral that we made to her team. </w:t>
            </w:r>
          </w:p>
        </w:tc>
      </w:tr>
      <w:tr w:rsidR="004D05DC" w:rsidRPr="004D05DC" w:rsidTr="004D05DC">
        <w:trPr>
          <w:trHeight w:val="120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u w:color="000000"/>
                <w:bdr w:val="nil"/>
                <w:lang w:val="en-US" w:eastAsia="en-GB"/>
              </w:rPr>
              <w:t>How well prepared do you think, the social worker was for his or her meeting with you?</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r w:rsidRPr="004D05DC">
              <w:rPr>
                <w:rFonts w:ascii="Arial" w:eastAsia="Arial Unicode MS" w:hAnsi="Arial" w:cs="Arial Unicode MS"/>
                <w:color w:val="000000"/>
                <w:sz w:val="24"/>
                <w:szCs w:val="24"/>
                <w:u w:color="000000"/>
                <w:bdr w:val="nil"/>
                <w:lang w:val="en-US"/>
              </w:rPr>
              <w:t xml:space="preserve">I felt she was very prepared. She had good knowledge and </w:t>
            </w:r>
          </w:p>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proofErr w:type="gramStart"/>
            <w:r w:rsidRPr="004D05DC">
              <w:rPr>
                <w:rFonts w:ascii="Arial" w:eastAsia="Arial Unicode MS" w:hAnsi="Arial" w:cs="Arial Unicode MS"/>
                <w:color w:val="000000"/>
                <w:sz w:val="24"/>
                <w:szCs w:val="24"/>
                <w:u w:color="000000"/>
                <w:bdr w:val="nil"/>
                <w:lang w:val="en-US"/>
              </w:rPr>
              <w:t>provided</w:t>
            </w:r>
            <w:proofErr w:type="gramEnd"/>
            <w:r w:rsidRPr="004D05DC">
              <w:rPr>
                <w:rFonts w:ascii="Arial" w:eastAsia="Arial Unicode MS" w:hAnsi="Arial" w:cs="Arial Unicode MS"/>
                <w:color w:val="000000"/>
                <w:sz w:val="24"/>
                <w:szCs w:val="24"/>
                <w:u w:color="000000"/>
                <w:bdr w:val="nil"/>
                <w:lang w:val="en-US"/>
              </w:rPr>
              <w:t xml:space="preserve"> appropriate information to us. </w:t>
            </w:r>
          </w:p>
        </w:tc>
      </w:tr>
      <w:tr w:rsidR="004D05DC" w:rsidRPr="004D05DC" w:rsidTr="004D05DC">
        <w:trPr>
          <w:trHeight w:val="120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tabs>
                <w:tab w:val="left" w:pos="851"/>
              </w:tabs>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u w:color="000000"/>
                <w:bdr w:val="nil"/>
                <w:lang w:val="en-US" w:eastAsia="en-GB"/>
              </w:rPr>
              <w:t xml:space="preserve"> How has the social worker listened to you and respected your views and wishes?</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r w:rsidRPr="004D05DC">
              <w:rPr>
                <w:rFonts w:ascii="Arial" w:eastAsia="Arial Unicode MS" w:hAnsi="Arial" w:cs="Arial Unicode MS"/>
                <w:color w:val="000000"/>
                <w:sz w:val="24"/>
                <w:szCs w:val="24"/>
                <w:u w:color="000000"/>
                <w:bdr w:val="nil"/>
                <w:lang w:val="en-US"/>
              </w:rPr>
              <w:t xml:space="preserve">She definitely took on board what we were struggling with and she was able to help. </w:t>
            </w:r>
          </w:p>
        </w:tc>
      </w:tr>
      <w:tr w:rsidR="004D05DC" w:rsidRPr="004D05DC" w:rsidTr="004D05DC">
        <w:trPr>
          <w:trHeight w:val="144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tabs>
                <w:tab w:val="left" w:pos="851"/>
              </w:tabs>
              <w:spacing w:after="0" w:line="240" w:lineRule="auto"/>
              <w:rPr>
                <w:rFonts w:ascii="Arial" w:eastAsia="Arial" w:hAnsi="Arial" w:cs="Arial"/>
                <w:color w:val="000000"/>
                <w:u w:color="000000"/>
                <w:bdr w:val="nil"/>
                <w:lang w:val="en-US" w:eastAsia="en-GB"/>
              </w:rPr>
            </w:pPr>
            <w:r w:rsidRPr="004D05DC">
              <w:rPr>
                <w:rFonts w:ascii="Arial" w:eastAsia="Arial Unicode MS" w:hAnsi="Arial" w:cs="Arial Unicode MS"/>
                <w:color w:val="000000"/>
                <w:u w:color="000000"/>
                <w:bdr w:val="nil"/>
                <w:lang w:val="en-US" w:eastAsia="en-GB"/>
              </w:rPr>
              <w:t>Did the social worker talk to you in a way that you understood?</w:t>
            </w:r>
          </w:p>
          <w:p w:rsidR="004D05DC" w:rsidRPr="004D05DC" w:rsidRDefault="004D05DC" w:rsidP="004D05DC">
            <w:pPr>
              <w:pBdr>
                <w:top w:val="nil"/>
                <w:left w:val="nil"/>
                <w:bottom w:val="nil"/>
                <w:right w:val="nil"/>
                <w:between w:val="nil"/>
                <w:bar w:val="nil"/>
              </w:pBdr>
              <w:tabs>
                <w:tab w:val="left" w:pos="851"/>
              </w:tabs>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u w:color="000000"/>
                <w:bdr w:val="nil"/>
                <w:lang w:val="en-US" w:eastAsia="en-GB"/>
              </w:rPr>
              <w:t>Did you understand the language they used?</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r w:rsidRPr="004D05DC">
              <w:rPr>
                <w:rFonts w:ascii="Arial" w:eastAsia="Arial Unicode MS" w:hAnsi="Arial" w:cs="Arial Unicode MS"/>
                <w:color w:val="000000"/>
                <w:sz w:val="24"/>
                <w:szCs w:val="24"/>
                <w:u w:color="000000"/>
                <w:bdr w:val="nil"/>
                <w:lang w:val="en-US"/>
              </w:rPr>
              <w:t xml:space="preserve">Yes she was very good. </w:t>
            </w:r>
          </w:p>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r w:rsidRPr="004D05DC">
              <w:rPr>
                <w:rFonts w:ascii="Arial" w:eastAsia="Arial Unicode MS" w:hAnsi="Arial" w:cs="Arial Unicode MS"/>
                <w:color w:val="000000"/>
                <w:sz w:val="24"/>
                <w:szCs w:val="24"/>
                <w:u w:color="000000"/>
                <w:bdr w:val="nil"/>
                <w:lang w:val="en-US"/>
              </w:rPr>
              <w:t xml:space="preserve">Yes she was very good, there is no point in talking to me in terms that I do not understand. </w:t>
            </w:r>
          </w:p>
        </w:tc>
      </w:tr>
    </w:tbl>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18"/>
        <w:gridCol w:w="7470"/>
      </w:tblGrid>
      <w:tr w:rsidR="004D05DC" w:rsidRPr="004D05DC" w:rsidTr="004D05DC">
        <w:trPr>
          <w:trHeight w:val="1203"/>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tabs>
                <w:tab w:val="left" w:pos="851"/>
              </w:tabs>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u w:color="000000"/>
                <w:bdr w:val="nil"/>
                <w:lang w:val="en-US" w:eastAsia="en-GB"/>
              </w:rPr>
              <w:t>How has the social worker’s involvement met your expectations for this visit?</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r w:rsidRPr="004D05DC">
              <w:rPr>
                <w:rFonts w:ascii="Arial" w:eastAsia="Arial Unicode MS" w:hAnsi="Arial" w:cs="Arial Unicode MS"/>
                <w:color w:val="000000"/>
                <w:sz w:val="24"/>
                <w:szCs w:val="24"/>
                <w:u w:color="000000"/>
                <w:bdr w:val="nil"/>
                <w:lang w:val="en-US"/>
              </w:rPr>
              <w:t xml:space="preserve">I knew she was coming and was very impressed. She got me what I need. </w:t>
            </w:r>
          </w:p>
        </w:tc>
      </w:tr>
      <w:tr w:rsidR="004D05DC" w:rsidRPr="004D05DC" w:rsidTr="004D05DC">
        <w:trPr>
          <w:trHeight w:val="1122"/>
        </w:trPr>
        <w:tc>
          <w:tcPr>
            <w:tcW w:w="27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tabs>
                <w:tab w:val="left" w:pos="851"/>
              </w:tabs>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Arial" w:eastAsia="Arial Unicode MS" w:hAnsi="Arial" w:cs="Arial Unicode MS"/>
                <w:color w:val="000000"/>
                <w:u w:color="000000"/>
                <w:bdr w:val="nil"/>
                <w:lang w:val="en-US" w:eastAsia="en-GB"/>
              </w:rPr>
              <w:t>Are there any other comments or suggestions that you would like to make?</w:t>
            </w:r>
          </w:p>
        </w:tc>
        <w:tc>
          <w:tcPr>
            <w:tcW w:w="74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r w:rsidRPr="004D05DC">
              <w:rPr>
                <w:rFonts w:ascii="Arial" w:eastAsia="Arial Unicode MS" w:hAnsi="Arial" w:cs="Arial Unicode MS"/>
                <w:color w:val="000000"/>
                <w:sz w:val="24"/>
                <w:szCs w:val="24"/>
                <w:u w:color="000000"/>
                <w:bdr w:val="nil"/>
                <w:lang w:val="en-US"/>
              </w:rPr>
              <w:t xml:space="preserve">I thought she was good. She spoke to my husband and </w:t>
            </w:r>
          </w:p>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proofErr w:type="gramStart"/>
            <w:r w:rsidRPr="004D05DC">
              <w:rPr>
                <w:rFonts w:ascii="Arial" w:eastAsia="Arial Unicode MS" w:hAnsi="Arial" w:cs="Arial Unicode MS"/>
                <w:color w:val="000000"/>
                <w:sz w:val="24"/>
                <w:szCs w:val="24"/>
                <w:u w:color="000000"/>
                <w:bdr w:val="nil"/>
                <w:lang w:val="en-US"/>
              </w:rPr>
              <w:t>acknowledged</w:t>
            </w:r>
            <w:proofErr w:type="gramEnd"/>
            <w:r w:rsidRPr="004D05DC">
              <w:rPr>
                <w:rFonts w:ascii="Arial" w:eastAsia="Arial Unicode MS" w:hAnsi="Arial" w:cs="Arial Unicode MS"/>
                <w:color w:val="000000"/>
                <w:sz w:val="24"/>
                <w:szCs w:val="24"/>
                <w:u w:color="000000"/>
                <w:bdr w:val="nil"/>
                <w:lang w:val="en-US"/>
              </w:rPr>
              <w:t xml:space="preserve"> him when she was leaving. This is good because a lot of people don’t acknowledge him because of his </w:t>
            </w:r>
          </w:p>
          <w:p w:rsidR="004D05DC" w:rsidRPr="004D05DC" w:rsidRDefault="004D05DC" w:rsidP="004D05DC">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bdr w:val="nil"/>
                <w:lang w:val="en-US"/>
              </w:rPr>
            </w:pPr>
            <w:proofErr w:type="gramStart"/>
            <w:r w:rsidRPr="004D05DC">
              <w:rPr>
                <w:rFonts w:ascii="Arial" w:eastAsia="Arial Unicode MS" w:hAnsi="Arial" w:cs="Arial Unicode MS"/>
                <w:color w:val="000000"/>
                <w:sz w:val="24"/>
                <w:szCs w:val="24"/>
                <w:u w:color="000000"/>
                <w:bdr w:val="nil"/>
                <w:lang w:val="en-US"/>
              </w:rPr>
              <w:t>communication</w:t>
            </w:r>
            <w:proofErr w:type="gramEnd"/>
            <w:r w:rsidRPr="004D05DC">
              <w:rPr>
                <w:rFonts w:ascii="Arial" w:eastAsia="Arial Unicode MS" w:hAnsi="Arial" w:cs="Arial Unicode MS"/>
                <w:color w:val="000000"/>
                <w:sz w:val="24"/>
                <w:szCs w:val="24"/>
                <w:u w:color="000000"/>
                <w:bdr w:val="nil"/>
                <w:lang w:val="en-US"/>
              </w:rPr>
              <w:t xml:space="preserve"> difficulties. </w:t>
            </w:r>
          </w:p>
        </w:tc>
      </w:tr>
    </w:tbl>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Helvetica" w:eastAsia="Times New Roman" w:hAnsi="Helvetica" w:cs="Times New Roman"/>
          <w:color w:val="000000"/>
          <w:sz w:val="24"/>
          <w:szCs w:val="24"/>
          <w:u w:val="single"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Helvetica" w:eastAsia="Times New Roman" w:hAnsi="Helvetica" w:cs="Times New Roman"/>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 xml:space="preserve">SECTION 4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b/>
          <w:bCs/>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b/>
          <w:bCs/>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Safeguarding underpins our daily social work practice. Within this section, I will reflect on a recent case study I have worked on that was later referred to the safeguarding team following concerns from a family member that Person 2 had experienced neglect in terms of his care needs and was subject to financial abuse. I will explore the legislative framework and policies </w:t>
      </w:r>
      <w:r w:rsidR="00261A8D">
        <w:rPr>
          <w:rFonts w:ascii="Helvetica" w:eastAsia="Times New Roman" w:hAnsi="Helvetica" w:cs="Times New Roman"/>
          <w:color w:val="000000"/>
          <w:sz w:val="24"/>
          <w:szCs w:val="24"/>
          <w:u w:color="000000"/>
          <w:bdr w:val="nil"/>
          <w:lang w:val="en-US" w:eastAsia="en-GB"/>
        </w:rPr>
        <w:t>that</w:t>
      </w:r>
      <w:r w:rsidRPr="004D05DC">
        <w:rPr>
          <w:rFonts w:ascii="Helvetica" w:eastAsia="Times New Roman" w:hAnsi="Helvetica" w:cs="Times New Roman"/>
          <w:color w:val="000000"/>
          <w:sz w:val="24"/>
          <w:szCs w:val="24"/>
          <w:u w:color="000000"/>
          <w:bdr w:val="nil"/>
          <w:lang w:val="en-US" w:eastAsia="en-GB"/>
        </w:rPr>
        <w:t xml:space="preserve"> underpin this practice and the joint working within a multi-disciplinary setting and reflect on my own personal judgement and experience throughout.</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Applying analysis to assessment to inform intervention</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Within this first section I will outline the legislative frameworks, theoretical perspectives and guidance that underpin social work practice, while exploring how they impact our practice daily. The overarching legislation for adult social care is the Social Services and Well Being (Wales) Act 2014, </w:t>
      </w:r>
      <w:proofErr w:type="spellStart"/>
      <w:r w:rsidRPr="004D05DC">
        <w:rPr>
          <w:rFonts w:ascii="Helvetica" w:eastAsia="Times New Roman" w:hAnsi="Helvetica" w:cs="Times New Roman"/>
          <w:color w:val="000000"/>
          <w:sz w:val="24"/>
          <w:szCs w:val="24"/>
          <w:u w:color="000000"/>
          <w:bdr w:val="nil"/>
          <w:lang w:val="en-US" w:eastAsia="en-GB"/>
        </w:rPr>
        <w:t>emphasising</w:t>
      </w:r>
      <w:proofErr w:type="spellEnd"/>
      <w:r w:rsidRPr="004D05DC">
        <w:rPr>
          <w:rFonts w:ascii="Helvetica" w:eastAsia="Times New Roman" w:hAnsi="Helvetica" w:cs="Times New Roman"/>
          <w:color w:val="000000"/>
          <w:sz w:val="24"/>
          <w:szCs w:val="24"/>
          <w:u w:color="000000"/>
          <w:bdr w:val="nil"/>
          <w:lang w:val="en-US" w:eastAsia="en-GB"/>
        </w:rPr>
        <w:t xml:space="preserve"> the importance of an individual’s overall well-being. There is an emphasis on </w:t>
      </w:r>
      <w:proofErr w:type="spellStart"/>
      <w:r w:rsidRPr="004D05DC">
        <w:rPr>
          <w:rFonts w:ascii="Helvetica" w:eastAsia="Times New Roman" w:hAnsi="Helvetica" w:cs="Times New Roman"/>
          <w:color w:val="000000"/>
          <w:sz w:val="24"/>
          <w:szCs w:val="24"/>
          <w:u w:color="000000"/>
          <w:bdr w:val="nil"/>
          <w:lang w:val="en-US" w:eastAsia="en-GB"/>
        </w:rPr>
        <w:t>co-production</w:t>
      </w:r>
      <w:proofErr w:type="spellEnd"/>
      <w:r w:rsidRPr="004D05DC">
        <w:rPr>
          <w:rFonts w:ascii="Helvetica" w:eastAsia="Times New Roman" w:hAnsi="Helvetica" w:cs="Times New Roman"/>
          <w:color w:val="000000"/>
          <w:sz w:val="24"/>
          <w:szCs w:val="24"/>
          <w:u w:color="000000"/>
          <w:bdr w:val="nil"/>
          <w:lang w:val="en-US" w:eastAsia="en-GB"/>
        </w:rPr>
        <w:t>, voice and control, early intervention and collaboration (</w:t>
      </w:r>
      <w:hyperlink r:id="rId6" w:history="1">
        <w:r w:rsidRPr="004D05DC">
          <w:rPr>
            <w:rFonts w:ascii="Times New Roman" w:eastAsia="Times New Roman" w:hAnsi="Times New Roman" w:cs="Times New Roman"/>
            <w:color w:val="000000"/>
            <w:sz w:val="24"/>
            <w:szCs w:val="24"/>
            <w:u w:color="000000"/>
            <w:bdr w:val="nil"/>
            <w:lang w:val="en-US" w:eastAsia="en-GB"/>
          </w:rPr>
          <w:t>gov.uk</w:t>
        </w:r>
      </w:hyperlink>
      <w:r w:rsidRPr="004D05DC">
        <w:rPr>
          <w:rFonts w:ascii="Helvetica" w:eastAsia="Times New Roman" w:hAnsi="Helvetica" w:cs="Times New Roman"/>
          <w:color w:val="000000"/>
          <w:sz w:val="24"/>
          <w:szCs w:val="24"/>
          <w:u w:color="000000"/>
          <w:bdr w:val="nil"/>
          <w:lang w:val="en-US" w:eastAsia="en-GB"/>
        </w:rPr>
        <w:t>). When undertaking an assessment, the process is guided by these principles. For example, what is important for the individual and how would they want to benefit from the assessment. Each of the sections under the Social Services and Well Being (Wales) Act 2014, has its own code of practice which informs social care workers about what their statutory duty is under the act and how they would integrate the legislation into everyday practice (Welsh Government, 2018).</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Greene (2011: 113) suggests that Carl Rogers was the founder of the person-centred approach and he relates it to a ‘therapeutic relationship’. If the worker has a positive regard for the individual and shows respect (Social Care Wales, 2017), it is likely that a positive change will occur. Completing an assessment that is outcome-focused challenges perceptions of social care services, in terms of what can be offered. However, the outcome-focused approach also focuses on early intervention and identifies what the individuals can do for themselves, even though during the assessment an individual might want to go to the day </w:t>
      </w:r>
      <w:proofErr w:type="spellStart"/>
      <w:r w:rsidRPr="004D05DC">
        <w:rPr>
          <w:rFonts w:ascii="Helvetica" w:eastAsia="Times New Roman" w:hAnsi="Helvetica" w:cs="Times New Roman"/>
          <w:color w:val="000000"/>
          <w:sz w:val="24"/>
          <w:szCs w:val="24"/>
          <w:u w:color="000000"/>
          <w:bdr w:val="nil"/>
          <w:lang w:val="en-US" w:eastAsia="en-GB"/>
        </w:rPr>
        <w:t>centre</w:t>
      </w:r>
      <w:proofErr w:type="spellEnd"/>
      <w:r w:rsidRPr="004D05DC">
        <w:rPr>
          <w:rFonts w:ascii="Helvetica" w:eastAsia="Times New Roman" w:hAnsi="Helvetica" w:cs="Times New Roman"/>
          <w:color w:val="000000"/>
          <w:sz w:val="24"/>
          <w:szCs w:val="24"/>
          <w:u w:color="000000"/>
          <w:bdr w:val="nil"/>
          <w:lang w:val="en-US" w:eastAsia="en-GB"/>
        </w:rPr>
        <w:t xml:space="preserve"> or move into a residential home, as their outcome. If they did not meet the eligibility criteria, the local authority would not meet this need.  Therefore, the focus for professionals is to manage expectations as well as promote an individual’s independence as much as possible.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In this case, a review of the original care and support plan was required due to a deterioration in his overall health and well-being. The outcome for Person 2 was to remain living in his own home safely and to continue receiving support from the </w:t>
      </w:r>
      <w:proofErr w:type="spellStart"/>
      <w:r w:rsidRPr="004D05DC">
        <w:rPr>
          <w:rFonts w:ascii="Helvetica" w:eastAsia="Times New Roman" w:hAnsi="Helvetica" w:cs="Times New Roman"/>
          <w:color w:val="000000"/>
          <w:sz w:val="24"/>
          <w:szCs w:val="24"/>
          <w:u w:color="000000"/>
          <w:bdr w:val="nil"/>
          <w:lang w:val="en-US" w:eastAsia="en-GB"/>
        </w:rPr>
        <w:t>carers</w:t>
      </w:r>
      <w:proofErr w:type="spellEnd"/>
      <w:r w:rsidRPr="004D05DC">
        <w:rPr>
          <w:rFonts w:ascii="Helvetica" w:eastAsia="Times New Roman" w:hAnsi="Helvetica" w:cs="Times New Roman"/>
          <w:color w:val="000000"/>
          <w:sz w:val="24"/>
          <w:szCs w:val="24"/>
          <w:u w:color="000000"/>
          <w:bdr w:val="nil"/>
          <w:lang w:val="en-US" w:eastAsia="en-GB"/>
        </w:rPr>
        <w:t>. This review was in line with the local authority’s statutory guidance in terms of reviews, as the change in need would have been identified following a risk assessment that would have been completed by the care agency. Following this assessment it would have been identified if a review of the care and support plan that was in place was required. The risk assessment that was completed by the care agency would also have identified further action was required by social services to ensure Person 2’s safety was maintained (Code of Professional Practice, 2017).</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Completing these assessments was working in a person-centred manner, as it was Person 2’s wish to remain living in his home environment for as long as possible. It was agreed that the care agency would monitor the situation following the increase to two </w:t>
      </w:r>
      <w:proofErr w:type="spellStart"/>
      <w:r w:rsidRPr="004D05DC">
        <w:rPr>
          <w:rFonts w:ascii="Helvetica" w:eastAsia="Times New Roman" w:hAnsi="Helvetica" w:cs="Times New Roman"/>
          <w:color w:val="000000"/>
          <w:sz w:val="24"/>
          <w:szCs w:val="24"/>
          <w:u w:color="000000"/>
          <w:bdr w:val="nil"/>
          <w:lang w:val="en-US" w:eastAsia="en-GB"/>
        </w:rPr>
        <w:t>carers</w:t>
      </w:r>
      <w:proofErr w:type="spellEnd"/>
      <w:r w:rsidRPr="004D05DC">
        <w:rPr>
          <w:rFonts w:ascii="Helvetica" w:eastAsia="Times New Roman" w:hAnsi="Helvetica" w:cs="Times New Roman"/>
          <w:color w:val="000000"/>
          <w:sz w:val="24"/>
          <w:szCs w:val="24"/>
          <w:u w:color="000000"/>
          <w:bdr w:val="nil"/>
          <w:lang w:val="en-US" w:eastAsia="en-GB"/>
        </w:rPr>
        <w:t xml:space="preserve"> to ensure his needs were still being met at home. I felt that this support was the solution to the problem that the </w:t>
      </w:r>
      <w:proofErr w:type="spellStart"/>
      <w:r w:rsidRPr="004D05DC">
        <w:rPr>
          <w:rFonts w:ascii="Helvetica" w:eastAsia="Times New Roman" w:hAnsi="Helvetica" w:cs="Times New Roman"/>
          <w:color w:val="000000"/>
          <w:sz w:val="24"/>
          <w:szCs w:val="24"/>
          <w:u w:color="000000"/>
          <w:bdr w:val="nil"/>
          <w:lang w:val="en-US" w:eastAsia="en-GB"/>
        </w:rPr>
        <w:t>carers</w:t>
      </w:r>
      <w:proofErr w:type="spellEnd"/>
      <w:r w:rsidRPr="004D05DC">
        <w:rPr>
          <w:rFonts w:ascii="Helvetica" w:eastAsia="Times New Roman" w:hAnsi="Helvetica" w:cs="Times New Roman"/>
          <w:color w:val="000000"/>
          <w:sz w:val="24"/>
          <w:szCs w:val="24"/>
          <w:u w:color="000000"/>
          <w:bdr w:val="nil"/>
          <w:lang w:val="en-US" w:eastAsia="en-GB"/>
        </w:rPr>
        <w:t xml:space="preserve"> were facing. This also prevented an admission to a residential care home. Newman and Jennings (2012: 12) discuss the importance of empowerment and participation, where people are given ‘the tools’ to participate in their own decision making and care planning, but also developing people’s confidence in decision making. This is a particularly important aspect to consider, as the health professionals involved were advocating for a placement for Person 2; however, this was not his wish; therefore, it was important to put the focus on what was important to him and what choices he wanted to make with regard to his care and accommodation needs. There was no reason to doubt his mental capacity during this assessment (Office of the Public Guardian, 2014).</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Recorded information to inform practice</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Recorded information is vital: it provides depth and analysis to each particular case and it records the current situation and the progression of the case. Taylor (2017) argues that assessment within social work forms our main judgement in decision making, as we consider the needs, strength and risks of that individual. Another important aspect of recorded information is having the essential information available to access and to know who the key workers are. In this case, the leading safeguarding officer was able to access case recordings and access details of the key workers involved. We were all invited to strategy meeting, to share and discuss the information to address the concerns that were raised by the family (Social Care Wales, 2017).</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XXX local authority also identifies the needs to manage records from an </w:t>
      </w:r>
      <w:proofErr w:type="spellStart"/>
      <w:r w:rsidRPr="004D05DC">
        <w:rPr>
          <w:rFonts w:ascii="Helvetica" w:eastAsia="Times New Roman" w:hAnsi="Helvetica" w:cs="Times New Roman"/>
          <w:color w:val="000000"/>
          <w:sz w:val="24"/>
          <w:szCs w:val="24"/>
          <w:u w:color="000000"/>
          <w:bdr w:val="nil"/>
          <w:lang w:val="en-US" w:eastAsia="en-GB"/>
        </w:rPr>
        <w:t>organisational</w:t>
      </w:r>
      <w:proofErr w:type="spellEnd"/>
      <w:r w:rsidRPr="004D05DC">
        <w:rPr>
          <w:rFonts w:ascii="Helvetica" w:eastAsia="Times New Roman" w:hAnsi="Helvetica" w:cs="Times New Roman"/>
          <w:color w:val="000000"/>
          <w:sz w:val="24"/>
          <w:szCs w:val="24"/>
          <w:u w:color="000000"/>
          <w:bdr w:val="nil"/>
          <w:lang w:val="en-US" w:eastAsia="en-GB"/>
        </w:rPr>
        <w:t xml:space="preserve"> point of view under their records management policy. The requirements are included in the managing records section, expressing that this also helps the local authority meet their statutory duty in terms of keeping up-to-date information, to make informed decisions and to comply with legislation, and a way of ‘meeting lawful obligations’ to disclose evidence (XXX Council, 2015).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By having accurate and coherent assessments, information was collated and was able to provide an accurate timeline in terms of support and the intervention of social services and others involved in Person 2’s care. These case recordings and reports were used in the strategy meeting for person A, when concerns were raised by a family member about ‘the lack of care provided by social care services’. O’Connor (2006: 239) explains that records provide an overall picture of an individual and also integrates with the duty of the care manager, who is responsible for keeping information up to date and to provide ‘evidence for decision making’. The records were vital evidence that was presented in the strategy meeting to confirm what interventions were completed and when.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Evidence was also provided by three difference social workers that they felt that there were no concerns regarding Person 2’s mental capacity and it was recorded that Person 2 did not want their family intervening in their personal life (Department of Constitutional Affairs, 2017: 162).</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Not having up-to-date clear records could go against your expectations in terms of the standards and ethical practices in social work. Although, in this instance three social workers were able to provide evidence from case recordings that over a period of six months there were no concerns regarding Person 2’s capacity. The case recordings provided clear justification that the choices were based upon the individual’s wishes (Code of Professional Practice, 2017).</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 xml:space="preserve">Be able to communicate effectively with service users and </w:t>
      </w:r>
      <w:proofErr w:type="spellStart"/>
      <w:r w:rsidRPr="004D05DC">
        <w:rPr>
          <w:rFonts w:ascii="Helvetica" w:eastAsia="Times New Roman" w:hAnsi="Helvetica" w:cs="Times New Roman"/>
          <w:color w:val="000000"/>
          <w:sz w:val="24"/>
          <w:szCs w:val="24"/>
          <w:u w:val="single" w:color="000000"/>
          <w:bdr w:val="nil"/>
          <w:lang w:val="en-US" w:eastAsia="en-GB"/>
        </w:rPr>
        <w:t>carers</w:t>
      </w:r>
      <w:proofErr w:type="spellEnd"/>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During my time working with Person 2, I had to gain an understanding of their wishes regarding end of live care.  During my visit, the district nurse was present, who expressed from her past experiences that she felt Person 2 only had less than a week to live. My role was to identify his wishes and feelings and have a discussion with him with regard to end of life (Social Care Wales, 2017). I informed Person 2 that he had to consider that he might not return home if he were to go into a </w:t>
      </w:r>
      <w:r w:rsidR="00261A8D">
        <w:rPr>
          <w:rFonts w:ascii="Helvetica" w:eastAsia="Times New Roman" w:hAnsi="Helvetica" w:cs="Times New Roman"/>
          <w:color w:val="000000"/>
          <w:sz w:val="24"/>
          <w:szCs w:val="24"/>
          <w:u w:color="000000"/>
          <w:bdr w:val="nil"/>
          <w:lang w:val="en-US" w:eastAsia="en-GB"/>
        </w:rPr>
        <w:t>residential placement</w:t>
      </w:r>
      <w:r w:rsidRPr="004D05DC">
        <w:rPr>
          <w:rFonts w:ascii="Helvetica" w:eastAsia="Times New Roman" w:hAnsi="Helvetica" w:cs="Times New Roman"/>
          <w:color w:val="000000"/>
          <w:sz w:val="24"/>
          <w:szCs w:val="24"/>
          <w:u w:color="000000"/>
          <w:bdr w:val="nil"/>
          <w:lang w:val="en-US" w:eastAsia="en-GB"/>
        </w:rPr>
        <w:t xml:space="preserve"> for a short while. This information was recorded as Person 2’s decision and plans were made over that weekend for the </w:t>
      </w:r>
      <w:proofErr w:type="spellStart"/>
      <w:r w:rsidRPr="004D05DC">
        <w:rPr>
          <w:rFonts w:ascii="Helvetica" w:eastAsia="Times New Roman" w:hAnsi="Helvetica" w:cs="Times New Roman"/>
          <w:color w:val="000000"/>
          <w:sz w:val="24"/>
          <w:szCs w:val="24"/>
          <w:u w:color="000000"/>
          <w:bdr w:val="nil"/>
          <w:lang w:val="en-US" w:eastAsia="en-GB"/>
        </w:rPr>
        <w:t>carers</w:t>
      </w:r>
      <w:proofErr w:type="spellEnd"/>
      <w:r w:rsidRPr="004D05DC">
        <w:rPr>
          <w:rFonts w:ascii="Helvetica" w:eastAsia="Times New Roman" w:hAnsi="Helvetica" w:cs="Times New Roman"/>
          <w:color w:val="000000"/>
          <w:sz w:val="24"/>
          <w:szCs w:val="24"/>
          <w:u w:color="000000"/>
          <w:bdr w:val="nil"/>
          <w:lang w:val="en-US" w:eastAsia="en-GB"/>
        </w:rPr>
        <w:t xml:space="preserve"> to continue and a request for Marie Curie care was made for the night time when required. This information was feedback when the case went to the strategy meeting and everyone was in agreement that it was the best thing for the individual and they were able to stay within their own home for as long as practicably possible (XXX Council, 2015).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It was my role during this period to express the individual’s wishes to service users involved.  There was some resistance, as the professionals were looking at the case from a medical perspective rather than from the individual’s perspective. During this period, one of the most important skills was listening to what the other professionals had to say. Davies (2015: 185) expresses that listening to other professionals is just as important as listening to service users. One of the reasons being that health professionals might have a different perspective in terms of risk. However in this instance Person 2 was aware of the risks and had the right to choose to remain at home (Social Care Wales, 2017). There can be resistance between different professionals when there are conflicting views.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Be able to work in partnership with other professionals</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When working with Person 2, it was my responsibility to ensure their care needs were being met within their home, to complete risk assessments and to ensure the individual’s rights were being upheld. It was the care agency’s responsibility to carry out the tasks stated in the care plan that I devised and to ensure any changes to the individual’s health and well-being were recorded and reported accordingly. It would be the role of all professionals involved to record and report any changes to Person 2’s overall health and well-being and inform the relevant professionals involved in the person’s care (Code of Professional Practice, 2017).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When working in a disciplinary context, communication between health and social care services is vital and the relationship between services is required to provide positive outcomes for service users and their families. However, this can often be limited due to technical and cultural barriers (Glasby and Dickinson, 2009: 12). For example, there are times emails cannot be received by health colleagues, as the local authority have adopted a protocol to use a secure sending/receiving system, in line with the updated regulations under the Data Protection Act (2018) (XXX Council, 2015).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In terms of confidentiality, when undertaking an assessment, it is required that we gain an individual’s consent to share information with other professionals and agencies involved in their care and support (Social Care Wales, 2017). The local health board released guidance on how to manage and improve a confidential service. Some of the aspects that were raised were to protect the individual’s personal information, to inform the individual how the information is going to be used, to gain clarification on how their information can be used and to find ways to improve, protect and provide choices for the individual (Welsh Government, 2005).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When sharing information due to safeguarding concerns or protection, this is when it is vital to break down the barriers. When an individual makes a safeguarding referral locally, one of guidance is to ensure they sign up to the terms and conditions, one of those being that information is shared in line with the Wales Accord on the Sharing of Personal Information (WASPI). This framework is aimed to illuminate any barriers faced when information is required between multi-agencies, both voluntary and statutory services. This process allows people to share information safely and legally in order to assist a safeguarding inquiry (Welsh Government, 2016).</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Critically reflect on own collaborative working</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In this section, I will discuss in more depth the home visit involving the conversation regarding choice of accommodation and future care needs. Person 2 made it clear that their wishes and feelings were to remain within their own home, despite health professionals advocating for a period within a residential care home. As I had only met Person 2 once previously, I was unsure what had been discussed concerning his future care planning. The district nurse informed me ‘that she did not think he had a lot of time left.’ I initially thought, ‘I need to have the conversation with him regarding end of life.’ I found this daunting as I was unsure how Person 2 would react, and neither did I want to upset the individual. However, I knew that it was my role professionally to ask what their wishes and feelings were and if anyone had a conversation with them about where they would like to be during the end stages of their life (Social Care Wales, 2017). If Person 2 was moved from their home against their will, there would be been consequences during the safeguarding investigation, as the individual’s rights would not have been upheld.  However, this was not the case and the individual was involved in their own care planning and a person-centred approach was </w:t>
      </w:r>
      <w:proofErr w:type="spellStart"/>
      <w:r w:rsidRPr="004D05DC">
        <w:rPr>
          <w:rFonts w:ascii="Helvetica" w:eastAsia="Times New Roman" w:hAnsi="Helvetica" w:cs="Times New Roman"/>
          <w:color w:val="000000"/>
          <w:sz w:val="24"/>
          <w:szCs w:val="24"/>
          <w:u w:color="000000"/>
          <w:bdr w:val="nil"/>
          <w:lang w:val="en-US" w:eastAsia="en-GB"/>
        </w:rPr>
        <w:t>utilised</w:t>
      </w:r>
      <w:proofErr w:type="spellEnd"/>
      <w:r w:rsidRPr="004D05DC">
        <w:rPr>
          <w:rFonts w:ascii="Helvetica" w:eastAsia="Times New Roman" w:hAnsi="Helvetica" w:cs="Times New Roman"/>
          <w:color w:val="000000"/>
          <w:sz w:val="24"/>
          <w:szCs w:val="24"/>
          <w:u w:color="000000"/>
          <w:bdr w:val="nil"/>
          <w:lang w:val="en-US" w:eastAsia="en-GB"/>
        </w:rPr>
        <w:t xml:space="preserve"> (Lynch, 2013: 112).</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 can understand why the health professionals involved suggested a residential home, because of the level of care required; however, this was able to be provided with a package of care within Person 2’s own home. I also </w:t>
      </w:r>
      <w:r w:rsidR="00261A8D">
        <w:rPr>
          <w:rFonts w:ascii="Helvetica" w:eastAsia="Times New Roman" w:hAnsi="Helvetica" w:cs="Times New Roman"/>
          <w:color w:val="000000"/>
          <w:sz w:val="24"/>
          <w:szCs w:val="24"/>
          <w:u w:color="000000"/>
          <w:bdr w:val="nil"/>
          <w:lang w:val="en-US" w:eastAsia="en-GB"/>
        </w:rPr>
        <w:t>queried</w:t>
      </w:r>
      <w:r w:rsidRPr="004D05DC">
        <w:rPr>
          <w:rFonts w:ascii="Helvetica" w:eastAsia="Times New Roman" w:hAnsi="Helvetica" w:cs="Times New Roman"/>
          <w:color w:val="000000"/>
          <w:sz w:val="24"/>
          <w:szCs w:val="24"/>
          <w:u w:color="000000"/>
          <w:bdr w:val="nil"/>
          <w:lang w:val="en-US" w:eastAsia="en-GB"/>
        </w:rPr>
        <w:t xml:space="preserve"> about ‘Marie Curie’ supporting throughout the night, as this is not a service the local authority provide. In this instance, I did not feel that anything further could have been done different from my point of view. However, if we had access to additional resources, this would have been able to meet Person 2’s needs more appropriately in the community, by having the support through the night, as the ‘Marie Curie’ service is only available at specific periods. If I were to deal with a similar situation again, I would liaise more closely with the health services and gain as much information prior to the meeting. As the meeting took place on a Friday afternoon, it was difficult to ensure a plan of action was in place for the weekend due to a shortage of staff and resources over the weekend. If I was able to gain the information prior to the meeting, a contingency plan could have been implemented (Gibbs, 1988).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Be able to manage your role as a social worker in increasingly complex situations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The field of social work practice can often be complex, especially when working with adults at risk, as the majority of the individuals we work with will have the mental capacity to make their own decisions and choices and should be deemed as having capacity unless proven otherwise (Mental Capacity Act, 2005). However, as social workers, we would complete our own risk assessment, we would discuss the risk with individuals and advise how to </w:t>
      </w:r>
      <w:proofErr w:type="spellStart"/>
      <w:r w:rsidRPr="004D05DC">
        <w:rPr>
          <w:rFonts w:ascii="Helvetica" w:eastAsia="Times New Roman" w:hAnsi="Helvetica" w:cs="Times New Roman"/>
          <w:color w:val="000000"/>
          <w:sz w:val="24"/>
          <w:szCs w:val="24"/>
          <w:u w:color="000000"/>
          <w:bdr w:val="nil"/>
          <w:lang w:val="en-US" w:eastAsia="en-GB"/>
        </w:rPr>
        <w:t>minimise</w:t>
      </w:r>
      <w:proofErr w:type="spellEnd"/>
      <w:r w:rsidRPr="004D05DC">
        <w:rPr>
          <w:rFonts w:ascii="Helvetica" w:eastAsia="Times New Roman" w:hAnsi="Helvetica" w:cs="Times New Roman"/>
          <w:color w:val="000000"/>
          <w:sz w:val="24"/>
          <w:szCs w:val="24"/>
          <w:u w:color="000000"/>
          <w:bdr w:val="nil"/>
          <w:lang w:val="en-US" w:eastAsia="en-GB"/>
        </w:rPr>
        <w:t xml:space="preserve"> the risks posed. This can often be challenging, as individuals might not want social workers to intervene. Individuals have the right to maintain a right to a private life under the Human Rights Act (1988). It would be the social worker’s role to assess and weigh up the risk posed versus the right to a private life (Equality and Human Rights Commission, 2018).</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 local authority can often intervene in an individual’s rights under Article 8 of the Human Rights Act 1988 (Equality and Human Rights Act, 2018), when there is cause to protect the wider community or other people’s rights (Citizens Advice, 2018). In terms of safeguarding, the local authority had a duty to protect adults at risk. This is covered under Article 2 of the Human Rights Act 1988.  Under Article 2, it is explained that individuals have the right to be protected by the law and state.  It is the local authority’s duty to ensure their role under Article 2 is fulfilled (Equality and Human Rights Act 2018).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Both the Mental Capacity Act 2005 and the Human Rights Act 1988 inform my practice when working with complex cases. If for example, an individual lacked capacity with regard to their care and future accommodation needs, a best interest meeting would need to take place. The Mental Capacity Act (2005) provides a legal framework for assessing an individual’s capacity and later going through the best interest process (Department of Constitutional Affairs, 2007: 162).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Clear guidance is given to social workers in terms of their role and how these decisions are made when an individual is deemed to lack mental capacity. The Mental Capacity Act (2005) is supported by the Code of Practice. The aim is to uphold public trust in terms of one’s up-to-date knowledge, being open and honest throughout the process and to respecting the rights of individuals to ensure they do not harm themselves or others (Department of Constitutional Affairs, 2007: 163).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It is primarily the role of the social workers to arrange the best interest meeting. If for example family and professionals involved, do not come to an agreement, a formal best interest meeting is required on a legal basis.  It would be the role of the social worker or senior practitioner to invite all professionals formally by letter to a formal best interest meeting. The meeting would also need to be recorded </w:t>
      </w:r>
      <w:r w:rsidR="00261A8D">
        <w:rPr>
          <w:rFonts w:ascii="Helvetica" w:eastAsia="Times New Roman" w:hAnsi="Helvetica" w:cs="Times New Roman"/>
          <w:color w:val="000000"/>
          <w:sz w:val="24"/>
          <w:szCs w:val="24"/>
          <w:u w:color="000000"/>
          <w:bdr w:val="nil"/>
          <w:lang w:val="en-US" w:eastAsia="en-GB"/>
        </w:rPr>
        <w:t>and</w:t>
      </w:r>
      <w:r w:rsidRPr="004D05DC">
        <w:rPr>
          <w:rFonts w:ascii="Helvetica" w:eastAsia="Times New Roman" w:hAnsi="Helvetica" w:cs="Times New Roman"/>
          <w:color w:val="000000"/>
          <w:sz w:val="24"/>
          <w:szCs w:val="24"/>
          <w:u w:color="000000"/>
          <w:bdr w:val="nil"/>
          <w:lang w:val="en-US" w:eastAsia="en-GB"/>
        </w:rPr>
        <w:t xml:space="preserve"> minuted. There can often be occasions where a social worker would need to be assertive and persistent in their role, for example: if a family member has not had any support from statutory services prior to the best interest meeting, they might discuss their own needs and support they require, rather than focusing on the individual’s needs. Therefore it is the social workers role to be assertive and to ensure the focus remains person </w:t>
      </w:r>
      <w:proofErr w:type="spellStart"/>
      <w:r w:rsidRPr="004D05DC">
        <w:rPr>
          <w:rFonts w:ascii="Helvetica" w:eastAsia="Times New Roman" w:hAnsi="Helvetica" w:cs="Times New Roman"/>
          <w:color w:val="000000"/>
          <w:sz w:val="24"/>
          <w:szCs w:val="24"/>
          <w:u w:color="000000"/>
          <w:bdr w:val="nil"/>
          <w:lang w:val="en-US" w:eastAsia="en-GB"/>
        </w:rPr>
        <w:t>centred</w:t>
      </w:r>
      <w:proofErr w:type="spellEnd"/>
      <w:r w:rsidRPr="004D05DC">
        <w:rPr>
          <w:rFonts w:ascii="Helvetica" w:eastAsia="Times New Roman" w:hAnsi="Helvetica" w:cs="Times New Roman"/>
          <w:color w:val="000000"/>
          <w:sz w:val="24"/>
          <w:szCs w:val="24"/>
          <w:u w:color="000000"/>
          <w:bdr w:val="nil"/>
          <w:lang w:val="en-US" w:eastAsia="en-GB"/>
        </w:rPr>
        <w:t xml:space="preserve">, while also ensuring the </w:t>
      </w:r>
      <w:proofErr w:type="spellStart"/>
      <w:r w:rsidRPr="004D05DC">
        <w:rPr>
          <w:rFonts w:ascii="Helvetica" w:eastAsia="Times New Roman" w:hAnsi="Helvetica" w:cs="Times New Roman"/>
          <w:color w:val="000000"/>
          <w:sz w:val="24"/>
          <w:szCs w:val="24"/>
          <w:u w:color="000000"/>
          <w:bdr w:val="nil"/>
          <w:lang w:val="en-US" w:eastAsia="en-GB"/>
        </w:rPr>
        <w:t>carer</w:t>
      </w:r>
      <w:proofErr w:type="spellEnd"/>
      <w:r w:rsidRPr="004D05DC">
        <w:rPr>
          <w:rFonts w:ascii="Helvetica" w:eastAsia="Times New Roman" w:hAnsi="Helvetica" w:cs="Times New Roman"/>
          <w:color w:val="000000"/>
          <w:sz w:val="24"/>
          <w:szCs w:val="24"/>
          <w:u w:color="000000"/>
          <w:bdr w:val="nil"/>
          <w:lang w:val="en-US" w:eastAsia="en-GB"/>
        </w:rPr>
        <w:t xml:space="preserve"> is aware they are entitled to a </w:t>
      </w:r>
      <w:proofErr w:type="spellStart"/>
      <w:r w:rsidRPr="004D05DC">
        <w:rPr>
          <w:rFonts w:ascii="Helvetica" w:eastAsia="Times New Roman" w:hAnsi="Helvetica" w:cs="Times New Roman"/>
          <w:color w:val="000000"/>
          <w:sz w:val="24"/>
          <w:szCs w:val="24"/>
          <w:u w:color="000000"/>
          <w:bdr w:val="nil"/>
          <w:lang w:val="en-US" w:eastAsia="en-GB"/>
        </w:rPr>
        <w:t>carers</w:t>
      </w:r>
      <w:proofErr w:type="spellEnd"/>
      <w:r w:rsidRPr="004D05DC">
        <w:rPr>
          <w:rFonts w:ascii="Helvetica" w:eastAsia="Times New Roman" w:hAnsi="Helvetica" w:cs="Times New Roman"/>
          <w:color w:val="000000"/>
          <w:sz w:val="24"/>
          <w:szCs w:val="24"/>
          <w:u w:color="000000"/>
          <w:bdr w:val="nil"/>
          <w:lang w:val="en-US" w:eastAsia="en-GB"/>
        </w:rPr>
        <w:t xml:space="preserve"> assessment to ensure the family relationships and safety are maintained (Rogers et al., 2015).</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It is important that every person’s view is taken into consideration, and collectively they would need to come to a mutual agreement or negotiation to reach the final outcome. The social worker would then provide the plan of action moving forward and what their roles and responsibilities are in terms of future planning and to ensure the least restrictive option has been considered (Teater, 2014), for example finding an appropriate care home for the individual to maintain contact with the family (Code of Practice, 2017) and completing a review in six weeks in accordance with statutory guidelines.</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I use supervision to raise any concerns I have with complex cases. I also make use of supervision to ensure I am on the right track and to gain reassurance from a senior practitioner (Social Care Wales, 2017). By discussing a case in supervision, this can also give me a plan of action on how to move forward with the case and to receive guidance on how things could be done differently.  I feel this is important feedback to consider, as it is my responsibility to ensure I am accountable for my own learning and development (Social Care Wales, 2017).</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Understand the professional social work role in relation to safeguarding adults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When identifying factors of harm or abuse, there are five categories to consider, neglect, physical harm, emotional, financial and sexual abuse (Miller, 2009: 164).  Neglect can be intentional as well an unintentional, for example ‘if an individual had failed to provide goods or services to avoid physical harm and mental illness’</w:t>
      </w:r>
      <w:r w:rsidRPr="004D05DC">
        <w:rPr>
          <w:rFonts w:ascii="Helvetica" w:eastAsia="Times New Roman" w:hAnsi="Helvetica" w:cs="Times New Roman"/>
          <w:i/>
          <w:iCs/>
          <w:color w:val="000000"/>
          <w:sz w:val="24"/>
          <w:szCs w:val="24"/>
          <w:u w:color="000000"/>
          <w:bdr w:val="nil"/>
          <w:lang w:val="en-US" w:eastAsia="en-GB"/>
        </w:rPr>
        <w:t xml:space="preserve"> </w:t>
      </w:r>
      <w:r w:rsidRPr="004D05DC">
        <w:rPr>
          <w:rFonts w:ascii="Helvetica" w:eastAsia="Times New Roman" w:hAnsi="Helvetica" w:cs="Times New Roman"/>
          <w:color w:val="000000"/>
          <w:sz w:val="24"/>
          <w:szCs w:val="24"/>
          <w:u w:color="000000"/>
          <w:bdr w:val="nil"/>
          <w:lang w:val="en-US" w:eastAsia="en-GB"/>
        </w:rPr>
        <w:t xml:space="preserve">(Miller, 2009:164).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Pritchard (2001: 97) discussed the factors that medical professionals should consider, which I also felt related to all professionals. When an older person has an increased dependency due to either physical or cognitive impairment, they become more vulnerable to abuse or neglect, as they become dependent on others to assist them to ensure their needs are met, if they cannot do things themselves. It is also important to consider carer’s stress and the family dynamics (Pritchard, 2001:97). This could relate to an individual being a victim of any of the five factors mentioned above.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Woolf 1998 (cited in Bridgeman et al, 2016, p.126) expresses that the caring role can become increasingly stressful and can cause frustration towards the individual they are caring for. It </w:t>
      </w:r>
      <w:proofErr w:type="spellStart"/>
      <w:r w:rsidRPr="004D05DC">
        <w:rPr>
          <w:rFonts w:ascii="Helvetica" w:eastAsia="Times New Roman" w:hAnsi="Helvetica" w:cs="Times New Roman"/>
          <w:color w:val="000000"/>
          <w:sz w:val="24"/>
          <w:szCs w:val="24"/>
          <w:u w:color="000000"/>
          <w:bdr w:val="nil"/>
          <w:lang w:val="en-US" w:eastAsia="en-GB"/>
        </w:rPr>
        <w:t>emphasises</w:t>
      </w:r>
      <w:proofErr w:type="spellEnd"/>
      <w:r w:rsidRPr="004D05DC">
        <w:rPr>
          <w:rFonts w:ascii="Helvetica" w:eastAsia="Times New Roman" w:hAnsi="Helvetica" w:cs="Times New Roman"/>
          <w:color w:val="000000"/>
          <w:sz w:val="24"/>
          <w:szCs w:val="24"/>
          <w:u w:color="000000"/>
          <w:bdr w:val="nil"/>
          <w:lang w:val="en-US" w:eastAsia="en-GB"/>
        </w:rPr>
        <w:t xml:space="preserve"> that the social worker offers the </w:t>
      </w:r>
      <w:proofErr w:type="spellStart"/>
      <w:r w:rsidRPr="004D05DC">
        <w:rPr>
          <w:rFonts w:ascii="Helvetica" w:eastAsia="Times New Roman" w:hAnsi="Helvetica" w:cs="Times New Roman"/>
          <w:color w:val="000000"/>
          <w:sz w:val="24"/>
          <w:szCs w:val="24"/>
          <w:u w:color="000000"/>
          <w:bdr w:val="nil"/>
          <w:lang w:val="en-US" w:eastAsia="en-GB"/>
        </w:rPr>
        <w:t>carers</w:t>
      </w:r>
      <w:proofErr w:type="spellEnd"/>
      <w:r w:rsidRPr="004D05DC">
        <w:rPr>
          <w:rFonts w:ascii="Helvetica" w:eastAsia="Times New Roman" w:hAnsi="Helvetica" w:cs="Times New Roman"/>
          <w:color w:val="000000"/>
          <w:sz w:val="24"/>
          <w:szCs w:val="24"/>
          <w:u w:color="000000"/>
          <w:bdr w:val="nil"/>
          <w:lang w:val="en-US" w:eastAsia="en-GB"/>
        </w:rPr>
        <w:t xml:space="preserve"> an assessment in their own right to ensure they feel supported within the caring role (Social Care Wales, 2017). On the other hand, McTavish (1971) and Viano (1983, cited in Hendricks, 2014: 216) focus on the fact that older people can often be negatively stereotyped and can be viewed as ‘helpless, childlike or irritable’. This attitude can cause the individual to become more isolated and vulnerable to abuse or neglect.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Section 2 of the Social Services and Well-Being (Wales) Act (2014) focuses on promoting the well-being of individuals.  This would include ensuring they are protected from harm or abuse. If there is cause to believe that an adult or child is at risk of harm or neglect it is the local authority’s duty to assess, even if the individual does not consent. Section 4 of the Social Services and Well-Being (Wales) Act (2014) </w:t>
      </w:r>
      <w:proofErr w:type="spellStart"/>
      <w:r w:rsidRPr="004D05DC">
        <w:rPr>
          <w:rFonts w:ascii="Helvetica" w:eastAsia="Times New Roman" w:hAnsi="Helvetica" w:cs="Times New Roman"/>
          <w:color w:val="000000"/>
          <w:sz w:val="24"/>
          <w:szCs w:val="24"/>
          <w:u w:color="000000"/>
          <w:bdr w:val="nil"/>
          <w:lang w:val="en-US" w:eastAsia="en-GB"/>
        </w:rPr>
        <w:t>emphasises</w:t>
      </w:r>
      <w:proofErr w:type="spellEnd"/>
      <w:r w:rsidRPr="004D05DC">
        <w:rPr>
          <w:rFonts w:ascii="Helvetica" w:eastAsia="Times New Roman" w:hAnsi="Helvetica" w:cs="Times New Roman"/>
          <w:color w:val="000000"/>
          <w:sz w:val="24"/>
          <w:szCs w:val="24"/>
          <w:u w:color="000000"/>
          <w:bdr w:val="nil"/>
          <w:lang w:val="en-US" w:eastAsia="en-GB"/>
        </w:rPr>
        <w:t xml:space="preserve"> the need for the local authority to meet the person’s needs even if they do not meet the current eligibility criteria. It would be the duty of the local authority to ensure support is provided if they are at risk and require safeguarding intervention. However, before this act was implemented, for an adult to be at risk, they needed to meet three elements of the criteria: that they were defined as ‘a vulnerable adult’, there were concerns or they were at risk or harm and there had been a failure with regard to the duty of care. Therefore, since the implementation of the Social Services and Well-being Wales Act 2014, the services have been improved by offering an assessment for any adult that might be at risk of abuse or harm. This legislation is also underpinned by section 2 of the Human Rights Act 1988 and has a right to be protected by law (Equality and Human Rights Commission, 2018).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Therefore, it is important that the individuals are given the correct information and to inform them of their right to assessment and to come to an agreement in terms of a plan of action and the outcomes of the safeguarding intervention. The Quality Care Commission (2014) advocated that it is important to focus on the outcomes rather than just the safeguarding process. The actions identified in the report relate to the principles of the Social Services and Well-Being (Wales) Act (2014) Quality Care Commission (2014). Therefore, the importance goes back to the person-centred approach and the focus on their overall health and well-being.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Be able to exercise the professional role in safeguarding interventions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When undertaking a safeguarding investigation, it is vital that all that was discussed above is taken into consideration. The difference between a normal assessment and an assessment of ‘an adult at risk’ within care management would be to specifically address the concerns that are raised, while also focusing on their overall health and well-being and identifying if the family require support to manage their caring role or to protect an individual from harm or abuse. It is also a statutory requirement that the reports are fed back to the safeguarding team to identify if further action or a full investigation into the alleged abuse is required. If there are any support needs, I would ensure that </w:t>
      </w:r>
      <w:proofErr w:type="gramStart"/>
      <w:r w:rsidRPr="004D05DC">
        <w:rPr>
          <w:rFonts w:ascii="Helvetica" w:eastAsia="Times New Roman" w:hAnsi="Helvetica" w:cs="Times New Roman"/>
          <w:color w:val="000000"/>
          <w:sz w:val="24"/>
          <w:szCs w:val="24"/>
          <w:u w:color="000000"/>
          <w:bdr w:val="nil"/>
          <w:lang w:val="en-US" w:eastAsia="en-GB"/>
        </w:rPr>
        <w:t>individuals</w:t>
      </w:r>
      <w:proofErr w:type="gramEnd"/>
      <w:r w:rsidRPr="004D05DC">
        <w:rPr>
          <w:rFonts w:ascii="Helvetica" w:eastAsia="Times New Roman" w:hAnsi="Helvetica" w:cs="Times New Roman"/>
          <w:color w:val="000000"/>
          <w:sz w:val="24"/>
          <w:szCs w:val="24"/>
          <w:u w:color="000000"/>
          <w:bdr w:val="nil"/>
          <w:lang w:val="en-US" w:eastAsia="en-GB"/>
        </w:rPr>
        <w:t xml:space="preserve"> needs are identified in the care plan, followed by a six-week and annual review, in line with statutory guidelines.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If the case went to a statutory meeting, it would be my duty to provide detailed case recordings and accurate accounts and provide assessment and care plans as evidence of my intervention. During the most recent strategy meeting, it was my role to discuss my intervention with Person 2 alongside the other social workers who had worked with Person 2 prior to my involvement. However, from the information provided it was determined that there was no evidence of neglect from a care point of view. The documents from all agencies were provided as evidence in terms of social services intervention. This allowed the safeguarding officer to provide detailed feedback and accounts to the family, and the case was later closed as there was no further evidence of neglect or financial abuse in this instance.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 xml:space="preserve">Be able to contribute to legal processes within the remit of social work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An example where the courts would become involved in terms of adult protection, is when an individual lacks capacity to make decisions for themselves and the courts would make decisions on their behalf in terms of finance, health or welfare (Leigh Day, 2018). The court would also resolve any dispute in relation to healthcare or treatment in relation to an individual who lacks capacity. This relates to anyone who is over the age of 18 (Medical Protection, 2015). Families can make applications to gain Lasting Power of Attorney with regard to health and/or welfare. If the individual does not have anyone who is able to act on their behalf, the local authority can apply to the court to become a deputy (Citizens Advice, 2018).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For example, If I were working with an adult who was lacking capacity, and there were concerns regarding financial abuse for an elderly person who lacked capacity and who had a family member with lasting power of attorney, it would be the duty of the social worker to raise this concern with the safeguarding team if they are aware of the situation. The concerns will then be discussed within a multi-disciplinary strategy meeting, which would highlight the concerns. If there are any concerns for criminal investigation, this would be dealt with by a police investigation (Brammer, 2014: 63). Alternatively, if an individual has been found not to be acting in the person’s best interests, the courts can revoke the lasting power of attorney (Drury, 2012: 213). I would then have to present as evidence all of my case recordings and assessments throughout that might be beneficial to the case to maintain my professional accountability as a social worker (Social Care Wales, 2017). These records could be used for legal proceedings if there was evidence of a criminal offence.</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To </w:t>
      </w:r>
      <w:proofErr w:type="spellStart"/>
      <w:r w:rsidRPr="004D05DC">
        <w:rPr>
          <w:rFonts w:ascii="Helvetica" w:eastAsia="Times New Roman" w:hAnsi="Helvetica" w:cs="Times New Roman"/>
          <w:color w:val="000000"/>
          <w:sz w:val="24"/>
          <w:szCs w:val="24"/>
          <w:u w:color="000000"/>
          <w:bdr w:val="nil"/>
          <w:lang w:val="en-US" w:eastAsia="en-GB"/>
        </w:rPr>
        <w:t>summarise</w:t>
      </w:r>
      <w:proofErr w:type="spellEnd"/>
      <w:r w:rsidRPr="004D05DC">
        <w:rPr>
          <w:rFonts w:ascii="Helvetica" w:eastAsia="Times New Roman" w:hAnsi="Helvetica" w:cs="Times New Roman"/>
          <w:color w:val="000000"/>
          <w:sz w:val="24"/>
          <w:szCs w:val="24"/>
          <w:u w:color="000000"/>
          <w:bdr w:val="nil"/>
          <w:lang w:val="en-US" w:eastAsia="en-GB"/>
        </w:rPr>
        <w:t>, it is the role of social worker to maintain accurate records and case recordings on a daily basis, for professional accountability, and they might also need to be used as evidence if a court case was to arise. As mentioned before, it is also a statutory requirement that records are kept up to date. It is vital that any concerns raised are reported to the safeguarding team for relevant action to be undertaken and that staff are kept up to date with the relevant processes of the local authority, either in terms of own research or through training. Safeguarding is everyone’s business; however, as a social worker it is our duty of care to ensure the well-being of each individual and that they are free from harm and abuse (Social Care Wales, 2017).</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Word Count: 4416</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tabs>
          <w:tab w:val="left" w:pos="220"/>
          <w:tab w:val="left" w:pos="720"/>
        </w:tabs>
        <w:spacing w:after="0" w:line="360" w:lineRule="auto"/>
        <w:ind w:left="720" w:hanging="720"/>
        <w:rPr>
          <w:rFonts w:ascii="Arial" w:eastAsia="Arial" w:hAnsi="Arial" w:cs="Arial"/>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323232"/>
          <w:sz w:val="24"/>
          <w:szCs w:val="24"/>
          <w:u w:val="single" w:color="323232"/>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Arial" w:eastAsia="Helvetica" w:hAnsi="Arial" w:cs="Helvetica"/>
          <w:color w:val="323232"/>
          <w:sz w:val="24"/>
          <w:szCs w:val="24"/>
          <w:u w:val="single" w:color="323232"/>
          <w:bdr w:val="nil"/>
          <w:lang w:val="en-US" w:eastAsia="en-GB"/>
        </w:rPr>
        <w:t>SECTION 5</w:t>
      </w:r>
    </w:p>
    <w:p w:rsidR="004D05DC" w:rsidRPr="004D05DC" w:rsidRDefault="004D05DC" w:rsidP="004D05DC">
      <w:pPr>
        <w:pBdr>
          <w:top w:val="nil"/>
          <w:left w:val="nil"/>
          <w:bottom w:val="nil"/>
          <w:right w:val="nil"/>
          <w:between w:val="nil"/>
          <w:bar w:val="nil"/>
        </w:pBdr>
        <w:spacing w:after="0" w:line="360" w:lineRule="auto"/>
        <w:rPr>
          <w:rFonts w:ascii="Arial" w:eastAsia="Arial" w:hAnsi="Arial" w:cs="Arial"/>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The key principle when working within children’s services is to ensure the ‘child’s welfare is paramount, as stated in the Children’s Act 1989 (Davis, 2014: 30). XXX local authority’s key aim it to ensure that there are ‘robust policies and procedures’ in place to safeguard children. It </w:t>
      </w:r>
      <w:proofErr w:type="spellStart"/>
      <w:r w:rsidRPr="004D05DC">
        <w:rPr>
          <w:rFonts w:ascii="Helvetica" w:eastAsia="Times New Roman" w:hAnsi="Helvetica" w:cs="Times New Roman"/>
          <w:color w:val="000000"/>
          <w:sz w:val="24"/>
          <w:szCs w:val="24"/>
          <w:u w:color="000000"/>
          <w:bdr w:val="nil"/>
          <w:lang w:val="en-US" w:eastAsia="en-GB"/>
        </w:rPr>
        <w:t>emphasises</w:t>
      </w:r>
      <w:proofErr w:type="spellEnd"/>
      <w:r w:rsidRPr="004D05DC">
        <w:rPr>
          <w:rFonts w:ascii="Helvetica" w:eastAsia="Times New Roman" w:hAnsi="Helvetica" w:cs="Times New Roman"/>
          <w:color w:val="000000"/>
          <w:sz w:val="24"/>
          <w:szCs w:val="24"/>
          <w:u w:color="000000"/>
          <w:bdr w:val="nil"/>
          <w:lang w:val="en-US" w:eastAsia="en-GB"/>
        </w:rPr>
        <w:t xml:space="preserve"> that safeguarding is not just about protection of a child but also ensuring they are protected from harm and abuse, there is a focus on their mental and physical health, they have access to education and leisure, concern for their social and economic well-being, and a focus on their contribution towards society (XXX Council, 2015: 3).</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If the public have any concerns, they have a duty to contact their local children’s services department to discuss or report any of their concerns by telephone (House of Bishops, 2006). These concerns should be sent to the duty and assessment team on the same working day. This is a procedure that is linked to the ‘All Wales Child Protection Procedures’.  It is also a requirement under Part 3 of the Social Services and Well Being Act (2014) that the local authority have a duty to assess if a child has care and support needs or if they require preventative services or information and advice (Welsh Government, 2016).</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Following a referral and information gathering, it is a duty under section 47 of the Children’s Act (1989) to undertake an enquiry if there are concerns that a child might be at risk of abuse or harm. A decision to undertake an enquiry under section 47 of the Children’s Act 1989 must be decided following a strategy meeting/discussion (NSPCC, 2018).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There can be no further action from statutory services if there were not any causes for concern; however, families could be referred to voluntary agencies if they require additional support (Department for Education and Skills, 2006: 121). If there were concerns raised during a section 47 investigation, an initial child protection conference would be held with the parents and all the professionals involved with the child. Information would be shared amongst professionals and they would determine if the concerns were significant enough to be placed on the child protection register. A comprehensive assessment and guidance would need to be completed within 35 days. The agencies involved would attend the core group on a regular basis, to monitor the identified actions and outcomes (Wilson and James, 2007: 285).</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The XXX safeguarding board ensures that </w:t>
      </w:r>
      <w:proofErr w:type="spellStart"/>
      <w:r w:rsidRPr="004D05DC">
        <w:rPr>
          <w:rFonts w:ascii="Helvetica" w:eastAsia="Times New Roman" w:hAnsi="Helvetica" w:cs="Times New Roman"/>
          <w:color w:val="000000"/>
          <w:sz w:val="24"/>
          <w:szCs w:val="24"/>
          <w:u w:color="000000"/>
          <w:bdr w:val="nil"/>
          <w:lang w:val="en-US" w:eastAsia="en-GB"/>
        </w:rPr>
        <w:t>organisations</w:t>
      </w:r>
      <w:proofErr w:type="spellEnd"/>
      <w:r w:rsidRPr="004D05DC">
        <w:rPr>
          <w:rFonts w:ascii="Helvetica" w:eastAsia="Times New Roman" w:hAnsi="Helvetica" w:cs="Times New Roman"/>
          <w:color w:val="000000"/>
          <w:sz w:val="24"/>
          <w:szCs w:val="24"/>
          <w:u w:color="000000"/>
          <w:bdr w:val="nil"/>
          <w:lang w:val="en-US" w:eastAsia="en-GB"/>
        </w:rPr>
        <w:t xml:space="preserve"> in each locality co-operate to safeguard children (NSPCC, 2018). The XXX safeguarding children’s board have adopted the ‘Multi-agency Protocol for Thresholds for Joint Social Services/Police and Single Agency Child Protection Section 47 Enquiries’. The regional safeguarding board has adopted this protocol for individuals and a multi-agency response (</w:t>
      </w:r>
      <w:proofErr w:type="spellStart"/>
      <w:r w:rsidRPr="004D05DC">
        <w:rPr>
          <w:rFonts w:ascii="Helvetica" w:eastAsia="Times New Roman" w:hAnsi="Helvetica" w:cs="Times New Roman"/>
          <w:color w:val="000000"/>
          <w:sz w:val="24"/>
          <w:szCs w:val="24"/>
          <w:u w:color="000000"/>
          <w:bdr w:val="nil"/>
          <w:lang w:val="en-US" w:eastAsia="en-GB"/>
        </w:rPr>
        <w:t>Cysur</w:t>
      </w:r>
      <w:proofErr w:type="spellEnd"/>
      <w:r w:rsidRPr="004D05DC">
        <w:rPr>
          <w:rFonts w:ascii="Helvetica" w:eastAsia="Times New Roman" w:hAnsi="Helvetica" w:cs="Times New Roman"/>
          <w:color w:val="000000"/>
          <w:sz w:val="24"/>
          <w:szCs w:val="24"/>
          <w:u w:color="000000"/>
          <w:bdr w:val="nil"/>
          <w:lang w:val="en-US" w:eastAsia="en-GB"/>
        </w:rPr>
        <w:t>, 2018).</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To conclude, there is clear structure and guidance for social workers in children’s services to adhere to, and this will underpin their practice in terms of how they respond to each individual case.  Even though it is the duty of the local authority to ensure ‘the child’s welfare is paramount, it is everyone’s responsibility to assist the local authority in identifying and reporting any cause of concern, to ensure children are safeguarded from abuse and neglect.</w:t>
      </w:r>
    </w:p>
    <w:p w:rsidR="004D05DC" w:rsidRPr="004D05DC" w:rsidRDefault="004D05DC" w:rsidP="004D05DC">
      <w:pPr>
        <w:pBdr>
          <w:top w:val="nil"/>
          <w:left w:val="nil"/>
          <w:bottom w:val="nil"/>
          <w:right w:val="nil"/>
          <w:between w:val="nil"/>
          <w:bar w:val="nil"/>
        </w:pBdr>
        <w:spacing w:after="0" w:line="360" w:lineRule="auto"/>
        <w:rPr>
          <w:rFonts w:ascii="Arial" w:eastAsia="Arial" w:hAnsi="Arial" w:cs="Arial"/>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Word Count: 531</w:t>
      </w:r>
    </w:p>
    <w:p w:rsidR="004D05DC" w:rsidRPr="004D05DC" w:rsidRDefault="004D05DC" w:rsidP="004D05DC">
      <w:pPr>
        <w:pBdr>
          <w:top w:val="nil"/>
          <w:left w:val="nil"/>
          <w:bottom w:val="nil"/>
          <w:right w:val="nil"/>
          <w:between w:val="nil"/>
          <w:bar w:val="nil"/>
        </w:pBdr>
        <w:tabs>
          <w:tab w:val="left" w:pos="220"/>
          <w:tab w:val="left" w:pos="720"/>
        </w:tabs>
        <w:spacing w:after="0" w:line="360" w:lineRule="auto"/>
        <w:ind w:left="720" w:hanging="720"/>
        <w:rPr>
          <w:rFonts w:ascii="Arial" w:eastAsia="Arial" w:hAnsi="Arial" w:cs="Arial"/>
          <w:color w:val="323232"/>
          <w:sz w:val="24"/>
          <w:szCs w:val="24"/>
          <w:u w:color="323232"/>
          <w:bdr w:val="nil"/>
          <w:lang w:val="en-US" w:eastAsia="en-GB"/>
        </w:rPr>
      </w:pPr>
    </w:p>
    <w:p w:rsidR="004D05DC" w:rsidRPr="004D05DC" w:rsidRDefault="004D05DC" w:rsidP="004D05DC">
      <w:pPr>
        <w:pBdr>
          <w:top w:val="nil"/>
          <w:left w:val="nil"/>
          <w:bottom w:val="nil"/>
          <w:right w:val="nil"/>
          <w:between w:val="nil"/>
          <w:bar w:val="nil"/>
        </w:pBdr>
        <w:tabs>
          <w:tab w:val="left" w:pos="220"/>
          <w:tab w:val="left" w:pos="720"/>
        </w:tabs>
        <w:spacing w:after="0" w:line="360" w:lineRule="auto"/>
        <w:ind w:left="720" w:hanging="720"/>
        <w:rPr>
          <w:rFonts w:ascii="Arial" w:eastAsia="Arial" w:hAnsi="Arial" w:cs="Arial"/>
          <w:color w:val="323232"/>
          <w:sz w:val="24"/>
          <w:szCs w:val="24"/>
          <w:u w:val="single" w:color="323232"/>
          <w:bdr w:val="nil"/>
          <w:lang w:val="en-US" w:eastAsia="en-GB"/>
        </w:rPr>
      </w:pPr>
      <w:r w:rsidRPr="004D05DC">
        <w:rPr>
          <w:rFonts w:ascii="Arial" w:eastAsia="Helvetica" w:hAnsi="Arial" w:cs="Helvetica"/>
          <w:color w:val="323232"/>
          <w:sz w:val="24"/>
          <w:szCs w:val="24"/>
          <w:u w:val="single" w:color="323232"/>
          <w:bdr w:val="nil"/>
          <w:lang w:val="en-US" w:eastAsia="en-GB"/>
        </w:rPr>
        <w:t>Reflect on the difference between safeguarding adults and children</w:t>
      </w:r>
    </w:p>
    <w:p w:rsidR="004D05DC" w:rsidRPr="004D05DC" w:rsidRDefault="004D05DC" w:rsidP="004D05DC">
      <w:pPr>
        <w:pBdr>
          <w:top w:val="nil"/>
          <w:left w:val="nil"/>
          <w:bottom w:val="nil"/>
          <w:right w:val="nil"/>
          <w:between w:val="nil"/>
          <w:bar w:val="nil"/>
        </w:pBdr>
        <w:tabs>
          <w:tab w:val="left" w:pos="220"/>
          <w:tab w:val="left" w:pos="720"/>
        </w:tabs>
        <w:spacing w:after="0" w:line="360" w:lineRule="auto"/>
        <w:ind w:left="720" w:hanging="720"/>
        <w:rPr>
          <w:rFonts w:ascii="Arial" w:eastAsia="Arial" w:hAnsi="Arial" w:cs="Arial"/>
          <w:color w:val="323232"/>
          <w:sz w:val="24"/>
          <w:szCs w:val="24"/>
          <w:u w:val="single" w:color="323232"/>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This section will reflect on the difference between safeguarding adults and children, more specifically focusing on the areas of mental capacity and consent.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The first aspect we should consider when safeguarding adults is if that individual has the mental capacity to understand the nature of the safeguarding concerns and they can make a rational decision as to why they might not want to proceed with a safeguarding procedure.  If it is proved that an individual has the mental capacity to make their own decisions, and does not consent to sharing information regarding a safeguarding referral, their wishes should be respected (SCIE, 2015).  However, there are instances when this can be overridden; for example, if others are at risk, a serious crime has been committed or if the individual does have the mental capacity to make a decision but is being coerced (SCIE, 2015).</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However not all decisions are due to the reasons above. Pritchard (2008: 12) </w:t>
      </w:r>
      <w:proofErr w:type="spellStart"/>
      <w:r w:rsidRPr="004D05DC">
        <w:rPr>
          <w:rFonts w:ascii="Helvetica" w:eastAsia="Times New Roman" w:hAnsi="Helvetica" w:cs="Times New Roman"/>
          <w:color w:val="000000"/>
          <w:sz w:val="24"/>
          <w:szCs w:val="24"/>
          <w:u w:color="000000"/>
          <w:bdr w:val="nil"/>
          <w:lang w:val="en-US" w:eastAsia="en-GB"/>
        </w:rPr>
        <w:t>emphasises</w:t>
      </w:r>
      <w:proofErr w:type="spellEnd"/>
      <w:r w:rsidRPr="004D05DC">
        <w:rPr>
          <w:rFonts w:ascii="Helvetica" w:eastAsia="Times New Roman" w:hAnsi="Helvetica" w:cs="Times New Roman"/>
          <w:color w:val="000000"/>
          <w:sz w:val="24"/>
          <w:szCs w:val="24"/>
          <w:u w:color="000000"/>
          <w:bdr w:val="nil"/>
          <w:lang w:val="en-US" w:eastAsia="en-GB"/>
        </w:rPr>
        <w:t xml:space="preserve"> that adults are able to make their own choices freely, even it is an unwise decision. This is also mentioned under the Mental Capacity Act 2005, as </w:t>
      </w:r>
      <w:proofErr w:type="spellStart"/>
      <w:r w:rsidRPr="004D05DC">
        <w:rPr>
          <w:rFonts w:ascii="Helvetica" w:eastAsia="Times New Roman" w:hAnsi="Helvetica" w:cs="Times New Roman"/>
          <w:color w:val="000000"/>
          <w:sz w:val="24"/>
          <w:szCs w:val="24"/>
          <w:u w:color="000000"/>
          <w:bdr w:val="nil"/>
          <w:lang w:val="en-US" w:eastAsia="en-GB"/>
        </w:rPr>
        <w:t>Gaplin</w:t>
      </w:r>
      <w:proofErr w:type="spellEnd"/>
      <w:r w:rsidRPr="004D05DC">
        <w:rPr>
          <w:rFonts w:ascii="Helvetica" w:eastAsia="Times New Roman" w:hAnsi="Helvetica" w:cs="Times New Roman"/>
          <w:color w:val="000000"/>
          <w:sz w:val="24"/>
          <w:szCs w:val="24"/>
          <w:u w:color="000000"/>
          <w:bdr w:val="nil"/>
          <w:lang w:val="en-US" w:eastAsia="en-GB"/>
        </w:rPr>
        <w:t xml:space="preserve"> and Bates (2009: 29) express that the MCA 2005 takes a less ‘oppressive approach because capacity is decision specific and individuals have the right to make these decisions even if they are deemed unwise by others.’</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However, if an individual is deemed to lack capacity, a best interest discussion should take place, involving the individual as much as possible. If there is any complexity in the matter, a best interest meeting should be held to determine a mutual agreement in moving forward (</w:t>
      </w:r>
      <w:proofErr w:type="spellStart"/>
      <w:r w:rsidRPr="004D05DC">
        <w:rPr>
          <w:rFonts w:ascii="Helvetica" w:eastAsia="Times New Roman" w:hAnsi="Helvetica" w:cs="Times New Roman"/>
          <w:color w:val="000000"/>
          <w:sz w:val="24"/>
          <w:szCs w:val="24"/>
          <w:u w:color="000000"/>
          <w:bdr w:val="nil"/>
          <w:lang w:val="en-US" w:eastAsia="en-GB"/>
        </w:rPr>
        <w:t>Koubel</w:t>
      </w:r>
      <w:proofErr w:type="spellEnd"/>
      <w:r w:rsidRPr="004D05DC">
        <w:rPr>
          <w:rFonts w:ascii="Helvetica" w:eastAsia="Times New Roman" w:hAnsi="Helvetica" w:cs="Times New Roman"/>
          <w:color w:val="000000"/>
          <w:sz w:val="24"/>
          <w:szCs w:val="24"/>
          <w:u w:color="000000"/>
          <w:bdr w:val="nil"/>
          <w:lang w:val="en-US" w:eastAsia="en-GB"/>
        </w:rPr>
        <w:t>, 2016: 97).</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On the other hand, the duty with regard to children’s safeguarding differs from the procedure in terms of adult safeguarding. When a referral is received in children services, it is not always necessary to have a parent’s consent if there is a risk of significant harm. It is at this point the social worker has a duty under section 47 of the Children’s Act (1989) to gather information on the child (Dare and O’Donovan, 2000: 184).</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However, if there is a possibility that the case might not reach the threshold for a section 47 investigation, a social worker might be reluctant to accept a referral without the consent and knowledge of the parent (Whitney, 2004). Therefore, it would depend on the nature of the concerns and who poses the risks.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The main similarities between safeguarding adults and children is the mutual aim to protect an individual from abuse and neglect. As mentioned, the main difference between the two is the age of consent and whether the individual has the capacity to make their own choices. Moreover, children's safeguarding procedures are more structured and robust and are not as complex as adult safeguarding, as there are policies and legislation to inform social workers on what intervention to take and when. However, adult safeguarding is not as clear cut, as it would be determined on a case-by-case basis by the response to the safeguarding concerns.</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Words: 503</w:t>
      </w:r>
    </w:p>
    <w:p w:rsidR="004D05DC" w:rsidRPr="004D05DC" w:rsidRDefault="004D05DC" w:rsidP="004D05DC">
      <w:pPr>
        <w:pBdr>
          <w:top w:val="nil"/>
          <w:left w:val="nil"/>
          <w:bottom w:val="nil"/>
          <w:right w:val="nil"/>
          <w:between w:val="nil"/>
          <w:bar w:val="nil"/>
        </w:pBdr>
        <w:spacing w:after="0" w:line="288" w:lineRule="auto"/>
        <w:rPr>
          <w:rFonts w:ascii="Helvetica" w:eastAsia="Arial Unicode MS" w:hAnsi="Helvetica" w:cs="Arial Unicode MS"/>
          <w:color w:val="000000"/>
          <w:sz w:val="24"/>
          <w:szCs w:val="24"/>
          <w:u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000000"/>
          <w:sz w:val="24"/>
          <w:szCs w:val="24"/>
          <w:u w:val="single"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000000"/>
          <w:sz w:val="24"/>
          <w:szCs w:val="24"/>
          <w:u w:val="single"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Arial Unicode MS" w:eastAsia="Arial Unicode MS" w:hAnsi="Arial Unicode MS" w:cs="Arial Unicode MS"/>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Times New Roman" w:eastAsia="Arial Unicode MS" w:hAnsi="Times New Roman" w:cs="Arial Unicode MS"/>
          <w:color w:val="000000"/>
          <w:sz w:val="24"/>
          <w:szCs w:val="24"/>
          <w:u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 xml:space="preserve">SECTION 6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Within this section, I will reflect on my practice since the start of the </w:t>
      </w:r>
      <w:proofErr w:type="spellStart"/>
      <w:r w:rsidRPr="004D05DC">
        <w:rPr>
          <w:rFonts w:ascii="Helvetica" w:eastAsia="Times New Roman" w:hAnsi="Helvetica" w:cs="Times New Roman"/>
          <w:color w:val="000000"/>
          <w:sz w:val="24"/>
          <w:szCs w:val="24"/>
          <w:u w:color="000000"/>
          <w:bdr w:val="nil"/>
          <w:lang w:val="en-US" w:eastAsia="en-GB"/>
        </w:rPr>
        <w:t>programme</w:t>
      </w:r>
      <w:proofErr w:type="spellEnd"/>
      <w:r w:rsidRPr="004D05DC">
        <w:rPr>
          <w:rFonts w:ascii="Helvetica" w:eastAsia="Times New Roman" w:hAnsi="Helvetica" w:cs="Times New Roman"/>
          <w:color w:val="000000"/>
          <w:sz w:val="24"/>
          <w:szCs w:val="24"/>
          <w:u w:color="000000"/>
          <w:bdr w:val="nil"/>
          <w:lang w:val="en-US" w:eastAsia="en-GB"/>
        </w:rPr>
        <w:t xml:space="preserve">. I will explore the learning outcomes that I wanted to achieve in section 2, as well as identify other aspects that I have learnt while completing the module. Secondly, I will consider learning needs for becoming an experienced practitioner and what I wish to achieve from future learning. I will also consider the feedback from supervision and service users and how I will </w:t>
      </w:r>
      <w:proofErr w:type="spellStart"/>
      <w:r w:rsidRPr="004D05DC">
        <w:rPr>
          <w:rFonts w:ascii="Helvetica" w:eastAsia="Times New Roman" w:hAnsi="Helvetica" w:cs="Times New Roman"/>
          <w:color w:val="000000"/>
          <w:sz w:val="24"/>
          <w:szCs w:val="24"/>
          <w:u w:color="000000"/>
          <w:bdr w:val="nil"/>
          <w:lang w:val="en-US" w:eastAsia="en-GB"/>
        </w:rPr>
        <w:t>utilise</w:t>
      </w:r>
      <w:proofErr w:type="spellEnd"/>
      <w:r w:rsidRPr="004D05DC">
        <w:rPr>
          <w:rFonts w:ascii="Helvetica" w:eastAsia="Times New Roman" w:hAnsi="Helvetica" w:cs="Times New Roman"/>
          <w:color w:val="000000"/>
          <w:sz w:val="24"/>
          <w:szCs w:val="24"/>
          <w:u w:color="000000"/>
          <w:bdr w:val="nil"/>
          <w:lang w:val="en-US" w:eastAsia="en-GB"/>
        </w:rPr>
        <w:t xml:space="preserve"> this to improve my future practice.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One of the learning outcomes I wanted to achieve in section 2 was to improve my knowledge in terms of mental capacity and the process of best interest decisions and, more so, to gain confidence when working with health professionals and families during times of distress. Since then, I feel I have gained more confidence in terms of the process, which is the result of practice and familiarity with the process and well as building positive relationships with health colleagues, and more so because I have had a few complex cases which has enabled me to gain broader experience than I hoped for.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At the process of the ‘Decision Support Tool’ is a health document and any decisions made in terms of funding are health related. I have found it challenging when families wish to appeal the decision; however, in the meantime, the funding would need to be implemented as part health and part social care funding. This can often cause tensions and families often find this difficult to digest when they have to disclose their financial means and assists to pay towards their care costs. However, I feel I have overcome a barrier, in terms of my progression, and now feel comfortable to say ‘I am only doing my job’ and provide them with the relevant contact details if they are unhappy with the process. I found that being open and honest has enabled me to maintain a positive relationship with family when dealing with complex situations (Social Care Wales, 2017).</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If I was to do things differently in the future, I would go with my gut feeling, I initially through that the individual would be eligible for ‘Funded Nursing Care’; however, after discussions within the multi-disciplinary team, continuing healthcare was raised, which I had questioned. However to improve my practice in the future, I would explore both options within the meeting and have a more in-depth discussion on why the particular decision has been made (Gibbs, 1988).</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In terms of the feedback received from supervision, it has been positive in the sense that information and advice has been provided to me, in terms of research and further areas of development. Lamely (2009: 2) explains that having a mentor is a useful way of developing my skills, as my current practice can always be improved on. I found that this was the case, as I found that I worked different, and was open in terms of knowing what worked well for others and </w:t>
      </w:r>
      <w:proofErr w:type="spellStart"/>
      <w:r w:rsidRPr="004D05DC">
        <w:rPr>
          <w:rFonts w:ascii="Helvetica" w:eastAsia="Times New Roman" w:hAnsi="Helvetica" w:cs="Times New Roman"/>
          <w:color w:val="000000"/>
          <w:sz w:val="24"/>
          <w:szCs w:val="24"/>
          <w:u w:color="000000"/>
          <w:bdr w:val="nil"/>
          <w:lang w:val="en-US" w:eastAsia="en-GB"/>
        </w:rPr>
        <w:t>utilising</w:t>
      </w:r>
      <w:proofErr w:type="spellEnd"/>
      <w:r w:rsidRPr="004D05DC">
        <w:rPr>
          <w:rFonts w:ascii="Helvetica" w:eastAsia="Times New Roman" w:hAnsi="Helvetica" w:cs="Times New Roman"/>
          <w:color w:val="000000"/>
          <w:sz w:val="24"/>
          <w:szCs w:val="24"/>
          <w:u w:color="000000"/>
          <w:bdr w:val="nil"/>
          <w:lang w:val="en-US" w:eastAsia="en-GB"/>
        </w:rPr>
        <w:t xml:space="preserve"> elements to improve my own practice and future development (Social Care Wales, 2017).</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It was also discussed that even though I was unable to complete the safeguarding children training while completing the module, it is a warning need that I have identified and I will complete the training session at a later date, to keep up to date with different areas of social work practice (Social Care Wales, 2017). The feedback from the observation reflected that the family were happy with my practice, which I felt pleased about, as I was unsure how the feedback was going to turn out as I was unprepared because I was unaware that the daughter and service user were going to be present. However, I answered their questions to the best of my ability and will use this experience to change how I approach things in the future. </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Taking into consideration what I have learnt to date, I also need to consider my learning needs for future development in the transition to becoming an experienced practitioner. As my learning needs up until now have been around gaining experience around mental capacity assessments and best interest decisions, I would like to further my practice in this area and complete training and experience with regard to being a best interest assessor, which requires further advanced training. This training would build on my existing experience within this role, including the use of the Social Services and Well-Being (Wales) Act (2014) and understanding of knowledge of the Mental Capacity Act (2005) and its code of practice, as well as record keeping and report writing (Community Care, 2013).</w:t>
      </w: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36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Word Count: 769</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Helvetica" w:hAnsi="Helvetica" w:cs="Helvetica"/>
          <w:color w:val="000000"/>
          <w:sz w:val="24"/>
          <w:szCs w:val="24"/>
          <w:u w:val="single" w:color="000000"/>
          <w:bdr w:val="nil"/>
          <w:lang w:val="en-US" w:eastAsia="en-GB"/>
        </w:rPr>
        <w:t xml:space="preserve">Please record in the table below the dates of each consolidation </w:t>
      </w:r>
      <w:proofErr w:type="spellStart"/>
      <w:r w:rsidRPr="004D05DC">
        <w:rPr>
          <w:rFonts w:ascii="Helvetica" w:eastAsia="Helvetica" w:hAnsi="Helvetica" w:cs="Helvetica"/>
          <w:color w:val="000000"/>
          <w:sz w:val="24"/>
          <w:szCs w:val="24"/>
          <w:u w:val="single" w:color="000000"/>
          <w:bdr w:val="nil"/>
          <w:lang w:val="en-US" w:eastAsia="en-GB"/>
        </w:rPr>
        <w:t>programme</w:t>
      </w:r>
      <w:proofErr w:type="spellEnd"/>
      <w:r w:rsidRPr="004D05DC">
        <w:rPr>
          <w:rFonts w:ascii="Helvetica" w:eastAsia="Helvetica" w:hAnsi="Helvetica" w:cs="Helvetica"/>
          <w:color w:val="000000"/>
          <w:sz w:val="24"/>
          <w:szCs w:val="24"/>
          <w:u w:val="single" w:color="000000"/>
          <w:bdr w:val="nil"/>
          <w:lang w:val="en-US" w:eastAsia="en-GB"/>
        </w:rPr>
        <w:t xml:space="preserve"> workshop you attended.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94"/>
        <w:gridCol w:w="5094"/>
      </w:tblGrid>
      <w:tr w:rsidR="004D05DC" w:rsidRPr="004D05DC" w:rsidTr="004D05DC">
        <w:trPr>
          <w:trHeight w:val="28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Arial Unicode MS" w:hAnsi="Helvetica" w:cs="Arial Unicode MS"/>
                <w:color w:val="000000"/>
                <w:bdr w:val="nil"/>
                <w:lang w:val="en-US" w:eastAsia="en-GB"/>
              </w:rPr>
            </w:pPr>
            <w:r w:rsidRPr="004D05DC">
              <w:rPr>
                <w:rFonts w:ascii="Arial" w:eastAsia="Arial Unicode MS" w:hAnsi="Arial" w:cs="Arial Unicode MS"/>
                <w:color w:val="000000"/>
                <w:sz w:val="24"/>
                <w:szCs w:val="24"/>
                <w:u w:color="000000"/>
                <w:bdr w:val="nil"/>
                <w:lang w:val="en-US" w:eastAsia="en-GB"/>
              </w:rPr>
              <w:t xml:space="preserve">Consolidation workshop </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Arial Unicode MS" w:hAnsi="Helvetica" w:cs="Arial Unicode MS"/>
                <w:color w:val="000000"/>
                <w:bdr w:val="nil"/>
                <w:lang w:val="en-US" w:eastAsia="en-GB"/>
              </w:rPr>
            </w:pPr>
            <w:r w:rsidRPr="004D05DC">
              <w:rPr>
                <w:rFonts w:ascii="Arial" w:eastAsia="Arial Unicode MS" w:hAnsi="Arial" w:cs="Arial Unicode MS"/>
                <w:color w:val="000000"/>
                <w:sz w:val="24"/>
                <w:szCs w:val="24"/>
                <w:u w:color="000000"/>
                <w:bdr w:val="nil"/>
                <w:lang w:val="en-US" w:eastAsia="en-GB"/>
              </w:rPr>
              <w:t xml:space="preserve">Date Attended  </w:t>
            </w:r>
          </w:p>
        </w:tc>
      </w:tr>
      <w:tr w:rsidR="004D05DC" w:rsidRPr="004D05DC" w:rsidTr="004D05DC">
        <w:trPr>
          <w:trHeight w:val="28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Arial Unicode MS" w:hAnsi="Helvetica" w:cs="Arial Unicode MS"/>
                <w:color w:val="000000"/>
                <w:bdr w:val="nil"/>
                <w:lang w:val="en-US" w:eastAsia="en-GB"/>
              </w:rPr>
            </w:pPr>
            <w:r w:rsidRPr="004D05DC">
              <w:rPr>
                <w:rFonts w:ascii="Arial" w:eastAsia="Arial Unicode MS" w:hAnsi="Arial" w:cs="Arial Unicode MS"/>
                <w:color w:val="000000"/>
                <w:sz w:val="24"/>
                <w:szCs w:val="24"/>
                <w:u w:color="000000"/>
                <w:bdr w:val="nil"/>
                <w:lang w:val="en-US" w:eastAsia="en-GB"/>
              </w:rPr>
              <w:t>1  Reflection/ Developmental review</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Helvetica" w:hAnsi="Helvetica" w:cs="Helvetica"/>
                <w:color w:val="000000"/>
                <w:bdr w:val="nil"/>
                <w:lang w:eastAsia="en-GB"/>
              </w:rPr>
            </w:pPr>
            <w:r w:rsidRPr="004D05DC">
              <w:rPr>
                <w:rFonts w:ascii="Arial" w:eastAsia="Helvetica" w:hAnsi="Arial" w:cs="Helvetica"/>
                <w:color w:val="000000"/>
                <w:sz w:val="24"/>
                <w:szCs w:val="24"/>
                <w:u w:color="000000"/>
                <w:bdr w:val="nil"/>
                <w:lang w:eastAsia="en-GB"/>
              </w:rPr>
              <w:t>7th November 2017</w:t>
            </w:r>
          </w:p>
        </w:tc>
      </w:tr>
      <w:tr w:rsidR="004D05DC" w:rsidRPr="004D05DC" w:rsidTr="004D05DC">
        <w:trPr>
          <w:trHeight w:val="28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Arial Unicode MS" w:hAnsi="Helvetica" w:cs="Arial Unicode MS"/>
                <w:color w:val="000000"/>
                <w:bdr w:val="nil"/>
                <w:lang w:val="en-US" w:eastAsia="en-GB"/>
              </w:rPr>
            </w:pPr>
            <w:r w:rsidRPr="004D05DC">
              <w:rPr>
                <w:rFonts w:ascii="Arial" w:eastAsia="Arial Unicode MS" w:hAnsi="Arial" w:cs="Arial Unicode MS"/>
                <w:color w:val="000000"/>
                <w:sz w:val="24"/>
                <w:szCs w:val="24"/>
                <w:u w:color="000000"/>
                <w:bdr w:val="nil"/>
                <w:lang w:val="en-US" w:eastAsia="en-GB"/>
              </w:rPr>
              <w:t>2 Safeguarding</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Helvetica" w:hAnsi="Helvetica" w:cs="Helvetica"/>
                <w:color w:val="000000"/>
                <w:bdr w:val="nil"/>
                <w:lang w:eastAsia="en-GB"/>
              </w:rPr>
            </w:pPr>
            <w:r w:rsidRPr="004D05DC">
              <w:rPr>
                <w:rFonts w:ascii="Arial" w:eastAsia="Helvetica" w:hAnsi="Arial" w:cs="Helvetica"/>
                <w:color w:val="000000"/>
                <w:sz w:val="24"/>
                <w:szCs w:val="24"/>
                <w:u w:color="000000"/>
                <w:bdr w:val="nil"/>
                <w:lang w:eastAsia="en-GB"/>
              </w:rPr>
              <w:t>13th February 2018</w:t>
            </w:r>
          </w:p>
        </w:tc>
      </w:tr>
      <w:tr w:rsidR="004D05DC" w:rsidRPr="004D05DC" w:rsidTr="004D05DC">
        <w:trPr>
          <w:trHeight w:val="56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Arial Unicode MS" w:hAnsi="Helvetica" w:cs="Arial Unicode MS"/>
                <w:color w:val="000000"/>
                <w:bdr w:val="nil"/>
                <w:lang w:val="en-US" w:eastAsia="en-GB"/>
              </w:rPr>
            </w:pPr>
            <w:r w:rsidRPr="004D05DC">
              <w:rPr>
                <w:rFonts w:ascii="Arial" w:eastAsia="Arial Unicode MS" w:hAnsi="Arial" w:cs="Arial Unicode MS"/>
                <w:color w:val="000000"/>
                <w:sz w:val="24"/>
                <w:szCs w:val="24"/>
                <w:u w:color="000000"/>
                <w:bdr w:val="nil"/>
                <w:lang w:val="en-US" w:eastAsia="en-GB"/>
              </w:rPr>
              <w:t>3 Working in collaboration with service users and their families.</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Helvetica" w:hAnsi="Helvetica" w:cs="Helvetica"/>
                <w:color w:val="000000"/>
                <w:bdr w:val="nil"/>
                <w:lang w:eastAsia="en-GB"/>
              </w:rPr>
            </w:pPr>
            <w:r w:rsidRPr="004D05DC">
              <w:rPr>
                <w:rFonts w:ascii="Arial" w:eastAsia="Helvetica" w:hAnsi="Arial" w:cs="Helvetica"/>
                <w:color w:val="000000"/>
                <w:sz w:val="24"/>
                <w:szCs w:val="24"/>
                <w:u w:color="000000"/>
                <w:bdr w:val="nil"/>
                <w:lang w:eastAsia="en-GB"/>
              </w:rPr>
              <w:t>25th April 2018</w:t>
            </w:r>
          </w:p>
        </w:tc>
      </w:tr>
      <w:tr w:rsidR="004D05DC" w:rsidRPr="004D05DC" w:rsidTr="004D05DC">
        <w:trPr>
          <w:trHeight w:val="28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Arial Unicode MS" w:hAnsi="Helvetica" w:cs="Arial Unicode MS"/>
                <w:color w:val="000000"/>
                <w:bdr w:val="nil"/>
                <w:lang w:val="en-US" w:eastAsia="en-GB"/>
              </w:rPr>
            </w:pPr>
            <w:r w:rsidRPr="004D05DC">
              <w:rPr>
                <w:rFonts w:ascii="Arial" w:eastAsia="Arial Unicode MS" w:hAnsi="Arial" w:cs="Arial Unicode MS"/>
                <w:color w:val="000000"/>
                <w:sz w:val="24"/>
                <w:szCs w:val="24"/>
                <w:u w:color="000000"/>
                <w:bdr w:val="nil"/>
                <w:lang w:val="en-US" w:eastAsia="en-GB"/>
              </w:rPr>
              <w:t>4 Developmental Review</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Helvetica" w:hAnsi="Helvetica" w:cs="Helvetica"/>
                <w:color w:val="000000"/>
                <w:bdr w:val="nil"/>
                <w:lang w:eastAsia="en-GB"/>
              </w:rPr>
            </w:pPr>
            <w:r w:rsidRPr="004D05DC">
              <w:rPr>
                <w:rFonts w:ascii="Arial" w:eastAsia="Helvetica" w:hAnsi="Arial" w:cs="Helvetica"/>
                <w:color w:val="000000"/>
                <w:sz w:val="24"/>
                <w:szCs w:val="24"/>
                <w:u w:color="000000"/>
                <w:bdr w:val="nil"/>
                <w:lang w:eastAsia="en-GB"/>
              </w:rPr>
              <w:t>3rd July 2018</w:t>
            </w:r>
          </w:p>
        </w:tc>
      </w:tr>
    </w:tbl>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tbl>
      <w:tblPr>
        <w:tblW w:w="101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4D05DC" w:rsidRPr="004D05DC" w:rsidTr="004D05DC">
        <w:trPr>
          <w:trHeight w:val="56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Arial Unicode MS" w:hAnsi="Helvetica" w:cs="Arial Unicode MS"/>
                <w:color w:val="000000"/>
                <w:bdr w:val="nil"/>
                <w:lang w:val="en-US" w:eastAsia="en-GB"/>
              </w:rPr>
            </w:pPr>
            <w:r w:rsidRPr="004D05DC">
              <w:rPr>
                <w:rFonts w:ascii="Arial" w:eastAsia="Arial Unicode MS" w:hAnsi="Arial" w:cs="Arial Unicode MS"/>
                <w:b/>
                <w:bCs/>
                <w:color w:val="000000"/>
                <w:sz w:val="24"/>
                <w:szCs w:val="24"/>
                <w:u w:color="000000"/>
                <w:bdr w:val="nil"/>
                <w:lang w:val="en-US" w:eastAsia="en-GB"/>
              </w:rPr>
              <w:t xml:space="preserve">Mentor’s comments </w:t>
            </w:r>
          </w:p>
        </w:tc>
      </w:tr>
      <w:tr w:rsidR="004D05DC" w:rsidRPr="004D05DC" w:rsidTr="004D05DC">
        <w:trPr>
          <w:trHeight w:val="140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D05DC" w:rsidRPr="004D05DC" w:rsidRDefault="004D05DC" w:rsidP="004D05DC">
            <w:pPr>
              <w:pBdr>
                <w:top w:val="nil"/>
                <w:left w:val="nil"/>
                <w:bottom w:val="nil"/>
                <w:right w:val="nil"/>
                <w:between w:val="nil"/>
                <w:bar w:val="nil"/>
              </w:pBdr>
              <w:spacing w:after="0" w:line="240" w:lineRule="auto"/>
              <w:jc w:val="both"/>
              <w:rPr>
                <w:rFonts w:ascii="Helvetica" w:eastAsia="Arial Unicode MS" w:hAnsi="Helvetica" w:cs="Arial Unicode MS"/>
                <w:color w:val="000000"/>
                <w:bdr w:val="nil"/>
                <w:lang w:val="en-US" w:eastAsia="en-GB"/>
              </w:rPr>
            </w:pPr>
            <w:r w:rsidRPr="004D05DC">
              <w:rPr>
                <w:rFonts w:ascii="Arial" w:eastAsia="Arial Unicode MS" w:hAnsi="Arial" w:cs="Arial Unicode MS"/>
                <w:color w:val="000000"/>
                <w:sz w:val="24"/>
                <w:szCs w:val="24"/>
                <w:u w:color="000000"/>
                <w:bdr w:val="nil"/>
                <w:lang w:val="en-US" w:eastAsia="en-GB"/>
              </w:rPr>
              <w:t xml:space="preserve">Please comment fully on the learner’s development over the duration of the whole </w:t>
            </w:r>
            <w:proofErr w:type="spellStart"/>
            <w:r w:rsidRPr="004D05DC">
              <w:rPr>
                <w:rFonts w:ascii="Arial" w:eastAsia="Arial Unicode MS" w:hAnsi="Arial" w:cs="Arial Unicode MS"/>
                <w:color w:val="000000"/>
                <w:sz w:val="24"/>
                <w:szCs w:val="24"/>
                <w:u w:color="000000"/>
                <w:bdr w:val="nil"/>
                <w:lang w:val="en-US" w:eastAsia="en-GB"/>
              </w:rPr>
              <w:t>programme</w:t>
            </w:r>
            <w:proofErr w:type="spellEnd"/>
            <w:r w:rsidRPr="004D05DC">
              <w:rPr>
                <w:rFonts w:ascii="Arial" w:eastAsia="Arial Unicode MS" w:hAnsi="Arial" w:cs="Arial Unicode MS"/>
                <w:color w:val="000000"/>
                <w:sz w:val="24"/>
                <w:szCs w:val="24"/>
                <w:u w:color="000000"/>
                <w:bdr w:val="nil"/>
                <w:lang w:val="en-US" w:eastAsia="en-GB"/>
              </w:rPr>
              <w:t xml:space="preserve">. Reflect on information provided by the learner in section 2 at the outset of the </w:t>
            </w:r>
            <w:proofErr w:type="spellStart"/>
            <w:r w:rsidRPr="004D05DC">
              <w:rPr>
                <w:rFonts w:ascii="Arial" w:eastAsia="Arial Unicode MS" w:hAnsi="Arial" w:cs="Arial Unicode MS"/>
                <w:color w:val="000000"/>
                <w:sz w:val="24"/>
                <w:szCs w:val="24"/>
                <w:u w:color="000000"/>
                <w:bdr w:val="nil"/>
                <w:lang w:val="en-US" w:eastAsia="en-GB"/>
              </w:rPr>
              <w:t>programme</w:t>
            </w:r>
            <w:proofErr w:type="spellEnd"/>
            <w:r w:rsidRPr="004D05DC">
              <w:rPr>
                <w:rFonts w:ascii="Arial" w:eastAsia="Arial Unicode MS" w:hAnsi="Arial" w:cs="Arial Unicode MS"/>
                <w:color w:val="000000"/>
                <w:sz w:val="24"/>
                <w:szCs w:val="24"/>
                <w:u w:color="000000"/>
                <w:bdr w:val="nil"/>
                <w:lang w:val="en-US" w:eastAsia="en-GB"/>
              </w:rPr>
              <w:t xml:space="preserve"> and the later perspective given at section 6. Where you have seen or discussed feedback from individuals using services, families or </w:t>
            </w:r>
            <w:proofErr w:type="spellStart"/>
            <w:r w:rsidRPr="004D05DC">
              <w:rPr>
                <w:rFonts w:ascii="Arial" w:eastAsia="Arial Unicode MS" w:hAnsi="Arial" w:cs="Arial Unicode MS"/>
                <w:color w:val="000000"/>
                <w:sz w:val="24"/>
                <w:szCs w:val="24"/>
                <w:u w:color="000000"/>
                <w:bdr w:val="nil"/>
                <w:lang w:val="en-US" w:eastAsia="en-GB"/>
              </w:rPr>
              <w:t>carers</w:t>
            </w:r>
            <w:proofErr w:type="spellEnd"/>
            <w:r w:rsidRPr="004D05DC">
              <w:rPr>
                <w:rFonts w:ascii="Arial" w:eastAsia="Arial Unicode MS" w:hAnsi="Arial" w:cs="Arial Unicode MS"/>
                <w:color w:val="000000"/>
                <w:sz w:val="24"/>
                <w:szCs w:val="24"/>
                <w:u w:color="000000"/>
                <w:bdr w:val="nil"/>
                <w:lang w:val="en-US" w:eastAsia="en-GB"/>
              </w:rPr>
              <w:t>, you are encouraged to comment on this with regard to the learner’s development.</w:t>
            </w:r>
          </w:p>
        </w:tc>
      </w:tr>
    </w:tbl>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bdr w:val="nil"/>
          <w:lang w:val="en-US" w:eastAsia="en-GB"/>
        </w:rPr>
      </w:pPr>
    </w:p>
    <w:p w:rsidR="004D05DC" w:rsidRPr="004D05DC" w:rsidRDefault="004D05DC" w:rsidP="009B5378">
      <w:pPr>
        <w:pBdr>
          <w:top w:val="nil"/>
          <w:left w:val="nil"/>
          <w:bottom w:val="nil"/>
          <w:right w:val="nil"/>
          <w:between w:val="nil"/>
          <w:bar w:val="nil"/>
        </w:pBdr>
        <w:spacing w:after="0" w:line="360" w:lineRule="auto"/>
        <w:rPr>
          <w:rFonts w:ascii="Helvetica" w:eastAsia="Helvetica" w:hAnsi="Helvetica" w:cs="Helvetica"/>
          <w:color w:val="000000"/>
          <w:sz w:val="24"/>
          <w:szCs w:val="24"/>
          <w:bdr w:val="nil"/>
          <w:lang w:val="en-US" w:eastAsia="en-GB"/>
        </w:rPr>
      </w:pPr>
      <w:r w:rsidRPr="004D05DC">
        <w:rPr>
          <w:rFonts w:ascii="Helvetica" w:eastAsia="Helvetica" w:hAnsi="Helvetica" w:cs="Helvetica"/>
          <w:color w:val="000000"/>
          <w:sz w:val="24"/>
          <w:szCs w:val="24"/>
          <w:bdr w:val="nil"/>
          <w:lang w:val="en-US" w:eastAsia="en-GB"/>
        </w:rPr>
        <w:t xml:space="preserve">In Section 2 of the portfolio the learner was able to identify areas within her practice that she wished to develop over the course of the </w:t>
      </w:r>
      <w:proofErr w:type="spellStart"/>
      <w:r w:rsidRPr="004D05DC">
        <w:rPr>
          <w:rFonts w:ascii="Helvetica" w:eastAsia="Helvetica" w:hAnsi="Helvetica" w:cs="Helvetica"/>
          <w:color w:val="000000"/>
          <w:sz w:val="24"/>
          <w:szCs w:val="24"/>
          <w:bdr w:val="nil"/>
          <w:lang w:val="en-US" w:eastAsia="en-GB"/>
        </w:rPr>
        <w:t>programme</w:t>
      </w:r>
      <w:proofErr w:type="spellEnd"/>
      <w:r w:rsidRPr="004D05DC">
        <w:rPr>
          <w:rFonts w:ascii="Helvetica" w:eastAsia="Helvetica" w:hAnsi="Helvetica" w:cs="Helvetica"/>
          <w:color w:val="000000"/>
          <w:sz w:val="24"/>
          <w:szCs w:val="24"/>
          <w:bdr w:val="nil"/>
          <w:lang w:val="en-US" w:eastAsia="en-GB"/>
        </w:rPr>
        <w:t>. One area of development was in terms of collaborative working with other professionals including managing conflicting opinions appropriately. Since commencing in the team as a newly qualified social worker the Learner has managed cases of varying complexity. These have included cases where there may be differing opinions expressed amongst families and professionals. In Section 6 the Learner has reflected on how she has developed her skills in this area and how her confidence has improved in managing such situations.</w:t>
      </w:r>
    </w:p>
    <w:p w:rsidR="004D05DC" w:rsidRPr="004D05DC" w:rsidRDefault="004D05DC" w:rsidP="009B5378">
      <w:pPr>
        <w:pBdr>
          <w:top w:val="nil"/>
          <w:left w:val="nil"/>
          <w:bottom w:val="nil"/>
          <w:right w:val="nil"/>
          <w:between w:val="nil"/>
          <w:bar w:val="nil"/>
        </w:pBdr>
        <w:spacing w:after="0" w:line="360" w:lineRule="auto"/>
        <w:rPr>
          <w:rFonts w:ascii="Helvetica" w:eastAsia="Helvetica" w:hAnsi="Helvetica" w:cs="Helvetica"/>
          <w:color w:val="000000"/>
          <w:sz w:val="24"/>
          <w:szCs w:val="24"/>
          <w:bdr w:val="nil"/>
          <w:lang w:val="en-US" w:eastAsia="en-GB"/>
        </w:rPr>
      </w:pPr>
    </w:p>
    <w:p w:rsidR="004D05DC" w:rsidRPr="004D05DC" w:rsidRDefault="004D05DC" w:rsidP="009B5378">
      <w:pPr>
        <w:pBdr>
          <w:top w:val="nil"/>
          <w:left w:val="nil"/>
          <w:bottom w:val="nil"/>
          <w:right w:val="nil"/>
          <w:between w:val="nil"/>
          <w:bar w:val="nil"/>
        </w:pBdr>
        <w:spacing w:after="0" w:line="360" w:lineRule="auto"/>
        <w:rPr>
          <w:rFonts w:ascii="Helvetica" w:eastAsia="Helvetica" w:hAnsi="Helvetica" w:cs="Helvetica"/>
          <w:color w:val="000000"/>
          <w:sz w:val="24"/>
          <w:szCs w:val="24"/>
          <w:bdr w:val="nil"/>
          <w:lang w:val="en-US" w:eastAsia="en-GB"/>
        </w:rPr>
      </w:pPr>
      <w:r w:rsidRPr="004D05DC">
        <w:rPr>
          <w:rFonts w:ascii="Helvetica" w:eastAsia="Helvetica" w:hAnsi="Helvetica" w:cs="Helvetica"/>
          <w:color w:val="000000"/>
          <w:sz w:val="24"/>
          <w:szCs w:val="24"/>
          <w:bdr w:val="nil"/>
          <w:lang w:val="en-US" w:eastAsia="en-GB"/>
        </w:rPr>
        <w:t xml:space="preserve">The Mental Capacity Act (2005) is integral legislation to the adult social care setting in which we work. At the commencement of the </w:t>
      </w:r>
      <w:proofErr w:type="spellStart"/>
      <w:r w:rsidRPr="004D05DC">
        <w:rPr>
          <w:rFonts w:ascii="Helvetica" w:eastAsia="Helvetica" w:hAnsi="Helvetica" w:cs="Helvetica"/>
          <w:color w:val="000000"/>
          <w:sz w:val="24"/>
          <w:szCs w:val="24"/>
          <w:bdr w:val="nil"/>
          <w:lang w:val="en-US" w:eastAsia="en-GB"/>
        </w:rPr>
        <w:t>programme</w:t>
      </w:r>
      <w:proofErr w:type="spellEnd"/>
      <w:r w:rsidRPr="004D05DC">
        <w:rPr>
          <w:rFonts w:ascii="Helvetica" w:eastAsia="Helvetica" w:hAnsi="Helvetica" w:cs="Helvetica"/>
          <w:color w:val="000000"/>
          <w:sz w:val="24"/>
          <w:szCs w:val="24"/>
          <w:bdr w:val="nil"/>
          <w:lang w:val="en-US" w:eastAsia="en-GB"/>
        </w:rPr>
        <w:t xml:space="preserve"> the Learner identified that she would like to develop her knowledge of the Act and the best </w:t>
      </w:r>
      <w:proofErr w:type="gramStart"/>
      <w:r w:rsidRPr="004D05DC">
        <w:rPr>
          <w:rFonts w:ascii="Helvetica" w:eastAsia="Helvetica" w:hAnsi="Helvetica" w:cs="Helvetica"/>
          <w:color w:val="000000"/>
          <w:sz w:val="24"/>
          <w:szCs w:val="24"/>
          <w:bdr w:val="nil"/>
          <w:lang w:val="en-US" w:eastAsia="en-GB"/>
        </w:rPr>
        <w:t>interests</w:t>
      </w:r>
      <w:proofErr w:type="gramEnd"/>
      <w:r w:rsidRPr="004D05DC">
        <w:rPr>
          <w:rFonts w:ascii="Helvetica" w:eastAsia="Helvetica" w:hAnsi="Helvetica" w:cs="Helvetica"/>
          <w:color w:val="000000"/>
          <w:sz w:val="24"/>
          <w:szCs w:val="24"/>
          <w:bdr w:val="nil"/>
          <w:lang w:val="en-US" w:eastAsia="en-GB"/>
        </w:rPr>
        <w:t xml:space="preserve"> process. Since this time she has had the opportunity to shadow mental capacity assessments and grow in confidence in completing them herself. Following this she has been able to participate in best interest discussions and she is aware of how to proceed if any conflicting opinions are encountered during this process. It is really encouraging to read that the Learner would like to continue her learning in this area by undertaking Deprivation of Liberty Safeguard Best Interest Assessor training in the future. This will help her to hone her skills and understanding of the Mental Capacity Act further and will expand on her knowledge enabling her to become a more experienced practitioner within the team. </w:t>
      </w:r>
    </w:p>
    <w:p w:rsidR="004D05DC" w:rsidRPr="004D05DC" w:rsidRDefault="004D05DC" w:rsidP="009B5378">
      <w:pPr>
        <w:pBdr>
          <w:top w:val="nil"/>
          <w:left w:val="nil"/>
          <w:bottom w:val="nil"/>
          <w:right w:val="nil"/>
          <w:between w:val="nil"/>
          <w:bar w:val="nil"/>
        </w:pBdr>
        <w:spacing w:after="0" w:line="360" w:lineRule="auto"/>
        <w:rPr>
          <w:rFonts w:ascii="Helvetica" w:eastAsia="Helvetica" w:hAnsi="Helvetica" w:cs="Helvetica"/>
          <w:color w:val="000000"/>
          <w:sz w:val="24"/>
          <w:szCs w:val="24"/>
          <w:bdr w:val="nil"/>
          <w:lang w:val="en-US" w:eastAsia="en-GB"/>
        </w:rPr>
      </w:pPr>
    </w:p>
    <w:p w:rsidR="004D05DC" w:rsidRPr="004D05DC" w:rsidRDefault="004D05DC" w:rsidP="009B5378">
      <w:pPr>
        <w:pBdr>
          <w:top w:val="nil"/>
          <w:left w:val="nil"/>
          <w:bottom w:val="nil"/>
          <w:right w:val="nil"/>
          <w:between w:val="nil"/>
          <w:bar w:val="nil"/>
        </w:pBdr>
        <w:spacing w:after="0" w:line="360" w:lineRule="auto"/>
        <w:rPr>
          <w:rFonts w:ascii="Helvetica" w:eastAsia="Helvetica" w:hAnsi="Helvetica" w:cs="Helvetica"/>
          <w:color w:val="000000"/>
          <w:sz w:val="24"/>
          <w:szCs w:val="24"/>
          <w:bdr w:val="nil"/>
          <w:lang w:val="en-US" w:eastAsia="en-GB"/>
        </w:rPr>
      </w:pPr>
      <w:r w:rsidRPr="004D05DC">
        <w:rPr>
          <w:rFonts w:ascii="Helvetica" w:eastAsia="Helvetica" w:hAnsi="Helvetica" w:cs="Helvetica"/>
          <w:color w:val="000000"/>
          <w:sz w:val="24"/>
          <w:szCs w:val="24"/>
          <w:bdr w:val="nil"/>
          <w:lang w:val="en-US" w:eastAsia="en-GB"/>
        </w:rPr>
        <w:t xml:space="preserve">With regards to the observation the Learner quickly developed a good rapport with the individual and his family, taking into account concerns raised by the family during the review. She adopted a person-centered approach and made sure to keep the individual’s needs central to the assessment process. The individual was unable to communicate verbally and, therefore, it was difficult to ascertain his wishes and feelings during the observation. However the Learner was careful to include the individual in the assessment process as much as possible and his family commented on this in their feedback. His wife explained that a lot of people do not acknowledge her husband anymore because of his communication difficulties but she was impressed with the Learner for having included him in the assessment process. </w:t>
      </w:r>
    </w:p>
    <w:p w:rsidR="004D05DC" w:rsidRPr="004D05DC" w:rsidRDefault="004D05DC" w:rsidP="009B5378">
      <w:pPr>
        <w:pBdr>
          <w:top w:val="nil"/>
          <w:left w:val="nil"/>
          <w:bottom w:val="nil"/>
          <w:right w:val="nil"/>
          <w:between w:val="nil"/>
          <w:bar w:val="nil"/>
        </w:pBdr>
        <w:spacing w:after="0" w:line="360" w:lineRule="auto"/>
        <w:rPr>
          <w:rFonts w:ascii="Helvetica" w:eastAsia="Helvetica" w:hAnsi="Helvetica" w:cs="Helvetica"/>
          <w:color w:val="000000"/>
          <w:sz w:val="24"/>
          <w:szCs w:val="24"/>
          <w:bdr w:val="nil"/>
          <w:lang w:val="en-US" w:eastAsia="en-GB"/>
        </w:rPr>
      </w:pPr>
    </w:p>
    <w:p w:rsidR="004D05DC" w:rsidRPr="004D05DC" w:rsidRDefault="004D05DC" w:rsidP="009B5378">
      <w:pPr>
        <w:pBdr>
          <w:top w:val="nil"/>
          <w:left w:val="nil"/>
          <w:bottom w:val="nil"/>
          <w:right w:val="nil"/>
          <w:between w:val="nil"/>
          <w:bar w:val="nil"/>
        </w:pBdr>
        <w:spacing w:after="0" w:line="360" w:lineRule="auto"/>
        <w:rPr>
          <w:rFonts w:ascii="Helvetica" w:eastAsia="Helvetica" w:hAnsi="Helvetica" w:cs="Helvetica"/>
          <w:color w:val="000000"/>
          <w:sz w:val="24"/>
          <w:szCs w:val="24"/>
          <w:bdr w:val="nil"/>
          <w:lang w:val="en-US" w:eastAsia="en-GB"/>
        </w:rPr>
      </w:pPr>
      <w:r w:rsidRPr="004D05DC">
        <w:rPr>
          <w:rFonts w:ascii="Helvetica" w:eastAsia="Helvetica" w:hAnsi="Helvetica" w:cs="Helvetica"/>
          <w:color w:val="000000"/>
          <w:sz w:val="24"/>
          <w:szCs w:val="24"/>
          <w:bdr w:val="nil"/>
          <w:lang w:val="en-US" w:eastAsia="en-GB"/>
        </w:rPr>
        <w:t xml:space="preserve">Over the last two years since qualification the Learner has established herself as well-valued member of the team. She has honed her knowledge and skills and is always willing to support other less experienced members of the team. Hopefully she will continue in her development by undertaking further training and academic courses in the future to further establish herself as an experienced practitioner within the team.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9B5378" w:rsidRDefault="004D05DC" w:rsidP="004D05DC">
      <w:pPr>
        <w:pBdr>
          <w:top w:val="nil"/>
          <w:left w:val="nil"/>
          <w:bottom w:val="nil"/>
          <w:right w:val="nil"/>
          <w:between w:val="nil"/>
          <w:bar w:val="nil"/>
        </w:pBdr>
        <w:spacing w:after="0" w:line="240" w:lineRule="auto"/>
        <w:rPr>
          <w:rFonts w:ascii="Times New Roman" w:eastAsia="Arial Unicode MS" w:hAnsi="Times New Roman" w:cs="Arial Unicode MS"/>
          <w:color w:val="000000"/>
          <w:sz w:val="24"/>
          <w:szCs w:val="24"/>
          <w:u w:color="000000"/>
          <w:bdr w:val="nil"/>
          <w:lang w:val="en-US" w:eastAsia="en-GB"/>
        </w:rPr>
      </w:pPr>
      <w:bookmarkStart w:id="0" w:name="_GoBack"/>
      <w:bookmarkEnd w:id="0"/>
      <w:r w:rsidRPr="004D05DC">
        <w:rPr>
          <w:rFonts w:ascii="Helvetica" w:eastAsia="Times New Roman" w:hAnsi="Helvetica" w:cs="Times New Roman"/>
          <w:color w:val="000000"/>
          <w:sz w:val="24"/>
          <w:szCs w:val="24"/>
          <w:u w:val="single" w:color="000000"/>
          <w:bdr w:val="nil"/>
          <w:lang w:val="en-US" w:eastAsia="en-GB"/>
        </w:rPr>
        <w:t>SECTION 7</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BIBLIOGRAPHY</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Barsky, A. (2009) </w:t>
      </w:r>
      <w:r w:rsidRPr="004D05DC">
        <w:rPr>
          <w:rFonts w:ascii="Helvetica" w:eastAsia="Times New Roman" w:hAnsi="Helvetica" w:cs="Times New Roman"/>
          <w:i/>
          <w:iCs/>
          <w:color w:val="000000"/>
          <w:sz w:val="24"/>
          <w:szCs w:val="24"/>
          <w:u w:color="000000"/>
          <w:bdr w:val="nil"/>
          <w:lang w:val="en-US" w:eastAsia="en-GB"/>
        </w:rPr>
        <w:t>Ethics and Values in Social Work: An Integrated Approach for a Comprehensive Curriculum.</w:t>
      </w:r>
      <w:r w:rsidRPr="004D05DC">
        <w:rPr>
          <w:rFonts w:ascii="Helvetica" w:eastAsia="Times New Roman" w:hAnsi="Helvetica" w:cs="Times New Roman"/>
          <w:color w:val="000000"/>
          <w:sz w:val="24"/>
          <w:szCs w:val="24"/>
          <w:u w:color="000000"/>
          <w:bdr w:val="nil"/>
          <w:lang w:val="en-US" w:eastAsia="en-GB"/>
        </w:rPr>
        <w:t xml:space="preserve"> Oxford: Oxford University Press.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BASW (2014) </w:t>
      </w:r>
      <w:r w:rsidRPr="004D05DC">
        <w:rPr>
          <w:rFonts w:ascii="Helvetica" w:eastAsia="Times New Roman" w:hAnsi="Helvetica" w:cs="Times New Roman"/>
          <w:i/>
          <w:iCs/>
          <w:color w:val="000000"/>
          <w:sz w:val="24"/>
          <w:szCs w:val="24"/>
          <w:u w:color="000000"/>
          <w:bdr w:val="nil"/>
          <w:lang w:val="en-US" w:eastAsia="en-GB"/>
        </w:rPr>
        <w:t>Code of Ethics</w:t>
      </w:r>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7" w:history="1">
        <w:r w:rsidRPr="004D05DC">
          <w:rPr>
            <w:rFonts w:ascii="Times New Roman" w:eastAsia="Arial Unicode MS" w:hAnsi="Times New Roman" w:cs="Arial Unicode MS"/>
            <w:color w:val="000000"/>
            <w:sz w:val="24"/>
            <w:szCs w:val="24"/>
            <w:u w:val="single" w:color="000000"/>
            <w:bdr w:val="nil"/>
            <w:lang w:val="en-US" w:eastAsia="en-GB"/>
          </w:rPr>
          <w:t>https://www.basw.co.uk/about-basw/code-ethics</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17th September 2017.</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Brammer, A. (2014) </w:t>
      </w:r>
      <w:r w:rsidRPr="004D05DC">
        <w:rPr>
          <w:rFonts w:ascii="Helvetica" w:eastAsia="Times New Roman" w:hAnsi="Helvetica" w:cs="Times New Roman"/>
          <w:i/>
          <w:iCs/>
          <w:color w:val="000000"/>
          <w:sz w:val="24"/>
          <w:szCs w:val="24"/>
          <w:u w:color="000000"/>
          <w:bdr w:val="nil"/>
          <w:lang w:val="en-US" w:eastAsia="en-GB"/>
        </w:rPr>
        <w:t xml:space="preserve">Safeguarding Adults. </w:t>
      </w:r>
      <w:r w:rsidRPr="004D05DC">
        <w:rPr>
          <w:rFonts w:ascii="Helvetica" w:eastAsia="Times New Roman" w:hAnsi="Helvetica" w:cs="Times New Roman"/>
          <w:color w:val="000000"/>
          <w:sz w:val="24"/>
          <w:szCs w:val="24"/>
          <w:u w:color="000000"/>
          <w:bdr w:val="nil"/>
          <w:lang w:val="en-US" w:eastAsia="en-GB"/>
        </w:rPr>
        <w:t xml:space="preserve">London: Macmillan International Higher Education.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i/>
          <w:iCs/>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Bridgeman, J., Keating, H. and Lind, C. (2016) </w:t>
      </w:r>
      <w:r w:rsidRPr="004D05DC">
        <w:rPr>
          <w:rFonts w:ascii="Helvetica" w:eastAsia="Times New Roman" w:hAnsi="Helvetica" w:cs="Times New Roman"/>
          <w:i/>
          <w:iCs/>
          <w:color w:val="000000"/>
          <w:sz w:val="24"/>
          <w:szCs w:val="24"/>
          <w:u w:color="000000"/>
          <w:bdr w:val="nil"/>
          <w:lang w:val="en-US" w:eastAsia="en-GB"/>
        </w:rPr>
        <w:t xml:space="preserve">Regulating Family Responsibilities. </w:t>
      </w:r>
      <w:r w:rsidRPr="004D05DC">
        <w:rPr>
          <w:rFonts w:ascii="Helvetica" w:eastAsia="Times New Roman" w:hAnsi="Helvetica" w:cs="Times New Roman"/>
          <w:color w:val="000000"/>
          <w:sz w:val="24"/>
          <w:szCs w:val="24"/>
          <w:u w:color="000000"/>
          <w:bdr w:val="nil"/>
          <w:lang w:val="en-US" w:eastAsia="en-GB"/>
        </w:rPr>
        <w:t xml:space="preserve">London: Routledge.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Care and Quality Commission (2017) </w:t>
      </w:r>
      <w:r w:rsidRPr="004D05DC">
        <w:rPr>
          <w:rFonts w:ascii="Helvetica" w:eastAsia="Times New Roman" w:hAnsi="Helvetica" w:cs="Times New Roman"/>
          <w:i/>
          <w:iCs/>
          <w:color w:val="000000"/>
          <w:sz w:val="24"/>
          <w:szCs w:val="24"/>
          <w:u w:color="000000"/>
          <w:bdr w:val="nil"/>
          <w:lang w:val="en-US" w:eastAsia="en-GB"/>
        </w:rPr>
        <w:t xml:space="preserve">Experts by Experience </w:t>
      </w:r>
      <w:r w:rsidRPr="004D05DC">
        <w:rPr>
          <w:rFonts w:ascii="Helvetica" w:eastAsia="Times New Roman" w:hAnsi="Helvetica" w:cs="Times New Roman"/>
          <w:color w:val="000000"/>
          <w:sz w:val="24"/>
          <w:szCs w:val="24"/>
          <w:u w:color="000000"/>
          <w:bdr w:val="nil"/>
          <w:lang w:val="en-US" w:eastAsia="en-GB"/>
        </w:rPr>
        <w:t>[online]</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8" w:history="1">
        <w:r w:rsidRPr="004D05DC">
          <w:rPr>
            <w:rFonts w:ascii="Times New Roman" w:eastAsia="Arial Unicode MS" w:hAnsi="Times New Roman" w:cs="Arial Unicode MS"/>
            <w:color w:val="000000"/>
            <w:sz w:val="24"/>
            <w:szCs w:val="24"/>
            <w:u w:val="single" w:color="000000"/>
            <w:bdr w:val="nil"/>
            <w:lang w:val="en-US" w:eastAsia="en-GB"/>
          </w:rPr>
          <w:t>https://www.cqc.org.uk/about-us/jobs/experts-experience</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18th August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i/>
          <w:iCs/>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Citizens Advice (2018) </w:t>
      </w:r>
      <w:proofErr w:type="gramStart"/>
      <w:r w:rsidRPr="004D05DC">
        <w:rPr>
          <w:rFonts w:ascii="Helvetica" w:eastAsia="Times New Roman" w:hAnsi="Helvetica" w:cs="Times New Roman"/>
          <w:i/>
          <w:iCs/>
          <w:color w:val="000000"/>
          <w:sz w:val="24"/>
          <w:szCs w:val="24"/>
          <w:u w:color="000000"/>
          <w:bdr w:val="nil"/>
          <w:lang w:val="en-US" w:eastAsia="en-GB"/>
        </w:rPr>
        <w:t>Your</w:t>
      </w:r>
      <w:proofErr w:type="gramEnd"/>
      <w:r w:rsidRPr="004D05DC">
        <w:rPr>
          <w:rFonts w:ascii="Helvetica" w:eastAsia="Times New Roman" w:hAnsi="Helvetica" w:cs="Times New Roman"/>
          <w:i/>
          <w:iCs/>
          <w:color w:val="000000"/>
          <w:sz w:val="24"/>
          <w:szCs w:val="24"/>
          <w:u w:color="000000"/>
          <w:bdr w:val="nil"/>
          <w:lang w:val="en-US" w:eastAsia="en-GB"/>
        </w:rPr>
        <w:t xml:space="preserve"> Right to Respect for Family and Private Life.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xml:space="preserve">] Available at: </w:t>
      </w:r>
      <w:hyperlink r:id="rId9" w:history="1">
        <w:r w:rsidRPr="004D05DC">
          <w:rPr>
            <w:rFonts w:ascii="Times New Roman" w:eastAsia="Arial Unicode MS" w:hAnsi="Times New Roman" w:cs="Arial Unicode MS"/>
            <w:color w:val="000000"/>
            <w:sz w:val="24"/>
            <w:szCs w:val="24"/>
            <w:u w:val="single" w:color="000000"/>
            <w:bdr w:val="nil"/>
            <w:lang w:val="en-US" w:eastAsia="en-GB"/>
          </w:rPr>
          <w:t>https://www.citizensadvice.org.uk/law-and-courts/civil-rights/human-rights/what-rights-are-protected-under-the-human-rights-act/your-right-to-respect-for-private-and-family-life/</w:t>
        </w:r>
      </w:hyperlink>
      <w:r w:rsidRPr="004D05DC">
        <w:rPr>
          <w:rFonts w:ascii="Helvetica" w:eastAsia="Times New Roman" w:hAnsi="Helvetica" w:cs="Times New Roman"/>
          <w:color w:val="000000"/>
          <w:sz w:val="24"/>
          <w:szCs w:val="24"/>
          <w:u w:color="000000"/>
          <w:bdr w:val="nil"/>
          <w:lang w:val="en-US" w:eastAsia="en-GB"/>
        </w:rPr>
        <w:t xml:space="preserve"> Accessed: 3rd August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i/>
          <w:iCs/>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Citizens Advice (2018). </w:t>
      </w:r>
      <w:r w:rsidRPr="004D05DC">
        <w:rPr>
          <w:rFonts w:ascii="Helvetica" w:eastAsia="Times New Roman" w:hAnsi="Helvetica" w:cs="Times New Roman"/>
          <w:i/>
          <w:iCs/>
          <w:color w:val="000000"/>
          <w:sz w:val="24"/>
          <w:szCs w:val="24"/>
          <w:u w:color="000000"/>
          <w:bdr w:val="nil"/>
          <w:lang w:val="en-US" w:eastAsia="en-GB"/>
        </w:rPr>
        <w:t>Managing Affairs for Somebody Else</w:t>
      </w:r>
      <w:r w:rsidRPr="004D05DC">
        <w:rPr>
          <w:rFonts w:ascii="Helvetica" w:eastAsia="Times New Roman" w:hAnsi="Helvetica" w:cs="Times New Roman"/>
          <w:color w:val="000000"/>
          <w:sz w:val="24"/>
          <w:szCs w:val="24"/>
          <w:u w:color="000000"/>
          <w:bdr w:val="nil"/>
          <w:lang w:val="en-US" w:eastAsia="en-GB"/>
        </w:rPr>
        <w:t>.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10" w:history="1">
        <w:r w:rsidRPr="004D05DC">
          <w:rPr>
            <w:rFonts w:ascii="Times New Roman" w:eastAsia="Arial Unicode MS" w:hAnsi="Times New Roman" w:cs="Arial Unicode MS"/>
            <w:color w:val="000000"/>
            <w:sz w:val="24"/>
            <w:szCs w:val="24"/>
            <w:u w:val="single" w:color="000000"/>
            <w:bdr w:val="nil"/>
            <w:lang w:val="en-US" w:eastAsia="en-GB"/>
          </w:rPr>
          <w:t>https://www.citizensadvice.org.uk/family/looking-after-people/managing-affairs-for-someone-else/</w:t>
        </w:r>
      </w:hyperlink>
      <w:r w:rsidRPr="004D05DC">
        <w:rPr>
          <w:rFonts w:ascii="Helvetica" w:eastAsia="Times New Roman" w:hAnsi="Helvetica" w:cs="Times New Roman"/>
          <w:color w:val="000000"/>
          <w:sz w:val="24"/>
          <w:szCs w:val="24"/>
          <w:u w:color="000000"/>
          <w:bdr w:val="nil"/>
          <w:lang w:val="en-US" w:eastAsia="en-GB"/>
        </w:rPr>
        <w:t xml:space="preserve"> Accessed: 19th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i/>
          <w:iCs/>
          <w:color w:val="000000"/>
          <w:sz w:val="24"/>
          <w:szCs w:val="24"/>
          <w:u w:color="000000"/>
          <w:bdr w:val="nil"/>
          <w:lang w:val="en-US" w:eastAsia="en-GB"/>
        </w:rPr>
        <w:t>Code of Professional Practice for Social Care</w:t>
      </w:r>
      <w:r w:rsidRPr="004D05DC">
        <w:rPr>
          <w:rFonts w:ascii="Helvetica" w:eastAsia="Times New Roman" w:hAnsi="Helvetica" w:cs="Times New Roman"/>
          <w:color w:val="000000"/>
          <w:sz w:val="24"/>
          <w:szCs w:val="24"/>
          <w:u w:color="000000"/>
          <w:bdr w:val="nil"/>
          <w:lang w:val="en-US" w:eastAsia="en-GB"/>
        </w:rPr>
        <w:t>.</w:t>
      </w:r>
    </w:p>
    <w:p w:rsidR="004D05DC" w:rsidRPr="004D05DC" w:rsidRDefault="001B56C4" w:rsidP="004D05DC">
      <w:pPr>
        <w:pBdr>
          <w:top w:val="nil"/>
          <w:left w:val="nil"/>
          <w:bottom w:val="nil"/>
          <w:right w:val="nil"/>
          <w:between w:val="nil"/>
          <w:bar w:val="nil"/>
        </w:pBdr>
        <w:spacing w:after="0" w:line="240" w:lineRule="auto"/>
        <w:rPr>
          <w:rFonts w:ascii="Times New Roman" w:eastAsia="Arial" w:hAnsi="Times New Roman" w:cs="Times New Roman"/>
          <w:color w:val="000000"/>
          <w:sz w:val="24"/>
          <w:szCs w:val="24"/>
          <w:u w:val="single" w:color="000000"/>
          <w:bdr w:val="nil"/>
          <w:lang w:val="en-US" w:eastAsia="en-GB"/>
        </w:rPr>
      </w:pPr>
      <w:hyperlink r:id="rId11" w:history="1">
        <w:r w:rsidR="004D05DC" w:rsidRPr="004D05DC">
          <w:rPr>
            <w:rFonts w:ascii="Times New Roman" w:eastAsia="Arial Unicode MS" w:hAnsi="Times New Roman" w:cs="Arial Unicode MS"/>
            <w:color w:val="000000"/>
            <w:sz w:val="24"/>
            <w:szCs w:val="24"/>
            <w:u w:val="single" w:color="000000"/>
            <w:bdr w:val="nil"/>
            <w:lang w:val="en-US" w:eastAsia="en-GB"/>
          </w:rPr>
          <w:t>https://socialcare.wales/cms_assets/file-uploads/Code-of-Professional-Practice-for-Social-Care-web-version.pdf</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17th June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roofErr w:type="spellStart"/>
      <w:r w:rsidRPr="004D05DC">
        <w:rPr>
          <w:rFonts w:ascii="Helvetica" w:eastAsia="Times New Roman" w:hAnsi="Helvetica" w:cs="Times New Roman"/>
          <w:color w:val="000000"/>
          <w:sz w:val="24"/>
          <w:szCs w:val="24"/>
          <w:u w:color="000000"/>
          <w:bdr w:val="nil"/>
          <w:lang w:val="en-US" w:eastAsia="en-GB"/>
        </w:rPr>
        <w:t>Cysur</w:t>
      </w:r>
      <w:proofErr w:type="spellEnd"/>
      <w:r w:rsidRPr="004D05DC">
        <w:rPr>
          <w:rFonts w:ascii="Helvetica" w:eastAsia="Times New Roman" w:hAnsi="Helvetica" w:cs="Times New Roman"/>
          <w:color w:val="000000"/>
          <w:sz w:val="24"/>
          <w:szCs w:val="24"/>
          <w:u w:color="000000"/>
          <w:bdr w:val="nil"/>
          <w:lang w:val="en-US" w:eastAsia="en-GB"/>
        </w:rPr>
        <w:t xml:space="preserve"> (2018) </w:t>
      </w:r>
      <w:r w:rsidRPr="004D05DC">
        <w:rPr>
          <w:rFonts w:ascii="Helvetica" w:eastAsia="Times New Roman" w:hAnsi="Helvetica" w:cs="Times New Roman"/>
          <w:i/>
          <w:iCs/>
          <w:color w:val="000000"/>
          <w:sz w:val="24"/>
          <w:szCs w:val="24"/>
          <w:u w:color="000000"/>
          <w:bdr w:val="nil"/>
          <w:lang w:val="en-US" w:eastAsia="en-GB"/>
        </w:rPr>
        <w:t xml:space="preserve">XXX </w:t>
      </w:r>
      <w:proofErr w:type="spellStart"/>
      <w:r w:rsidRPr="004D05DC">
        <w:rPr>
          <w:rFonts w:ascii="Helvetica" w:eastAsia="Times New Roman" w:hAnsi="Helvetica" w:cs="Times New Roman"/>
          <w:i/>
          <w:iCs/>
          <w:color w:val="000000"/>
          <w:sz w:val="24"/>
          <w:szCs w:val="24"/>
          <w:u w:color="000000"/>
          <w:bdr w:val="nil"/>
          <w:lang w:val="en-US" w:eastAsia="en-GB"/>
        </w:rPr>
        <w:t>XXX</w:t>
      </w:r>
      <w:proofErr w:type="spellEnd"/>
      <w:r w:rsidRPr="004D05DC">
        <w:rPr>
          <w:rFonts w:ascii="Helvetica" w:eastAsia="Times New Roman" w:hAnsi="Helvetica" w:cs="Times New Roman"/>
          <w:i/>
          <w:iCs/>
          <w:color w:val="000000"/>
          <w:sz w:val="24"/>
          <w:szCs w:val="24"/>
          <w:u w:color="000000"/>
          <w:bdr w:val="nil"/>
          <w:lang w:val="en-US" w:eastAsia="en-GB"/>
        </w:rPr>
        <w:t xml:space="preserve"> Safeguarding Board. Regional Policies and Procedures.</w:t>
      </w:r>
      <w:r w:rsidRPr="004D05DC">
        <w:rPr>
          <w:rFonts w:ascii="Helvetica" w:eastAsia="Times New Roman" w:hAnsi="Helvetica" w:cs="Times New Roman"/>
          <w:color w:val="000000"/>
          <w:sz w:val="24"/>
          <w:szCs w:val="24"/>
          <w:u w:color="000000"/>
          <w:bdr w:val="nil"/>
          <w:lang w:val="en-US" w:eastAsia="en-GB"/>
        </w:rPr>
        <w:t xml:space="preserve">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xml:space="preserv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12" w:history="1">
        <w:r w:rsidRPr="004D05DC">
          <w:rPr>
            <w:rFonts w:ascii="Arial" w:eastAsia="Arial Unicode MS" w:hAnsi="Arial" w:cs="Arial Unicode MS"/>
            <w:color w:val="000000"/>
            <w:sz w:val="24"/>
            <w:szCs w:val="24"/>
            <w:u w:color="0000FF"/>
            <w:bdr w:val="nil"/>
            <w:lang w:val="en-US" w:eastAsia="en-GB"/>
          </w:rPr>
          <w:t>http://cysur.wales/home/regional-policies-procedures/</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r w:rsidRPr="004D05DC">
        <w:rPr>
          <w:rFonts w:ascii="Helvetica" w:eastAsia="Times New Roman" w:hAnsi="Helvetica" w:cs="Times New Roman"/>
          <w:color w:val="000000"/>
          <w:sz w:val="24"/>
          <w:szCs w:val="24"/>
          <w:u w:val="single" w:color="000000"/>
          <w:bdr w:val="nil"/>
          <w:lang w:val="en-US" w:eastAsia="en-GB"/>
        </w:rPr>
        <w:t>Accessed: 14th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Dare, D. and O’Donovan, M. (2000) </w:t>
      </w:r>
      <w:r w:rsidRPr="004D05DC">
        <w:rPr>
          <w:rFonts w:ascii="Helvetica" w:eastAsia="Times New Roman" w:hAnsi="Helvetica" w:cs="Times New Roman"/>
          <w:i/>
          <w:iCs/>
          <w:color w:val="000000"/>
          <w:sz w:val="24"/>
          <w:szCs w:val="24"/>
          <w:u w:color="000000"/>
          <w:bdr w:val="nil"/>
          <w:lang w:val="en-US" w:eastAsia="en-GB"/>
        </w:rPr>
        <w:t>Good Practice and Child Safety.</w:t>
      </w:r>
      <w:r w:rsidRPr="004D05DC">
        <w:rPr>
          <w:rFonts w:ascii="Helvetica" w:eastAsia="Times New Roman" w:hAnsi="Helvetica" w:cs="Times New Roman"/>
          <w:color w:val="000000"/>
          <w:sz w:val="24"/>
          <w:szCs w:val="24"/>
          <w:u w:color="000000"/>
          <w:bdr w:val="nil"/>
          <w:lang w:val="en-US" w:eastAsia="en-GB"/>
        </w:rPr>
        <w:t xml:space="preserve"> Cheltenham: Nelson Thornes.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Davies, K. (2015) </w:t>
      </w:r>
      <w:r w:rsidRPr="004D05DC">
        <w:rPr>
          <w:rFonts w:ascii="Helvetica" w:eastAsia="Times New Roman" w:hAnsi="Helvetica" w:cs="Times New Roman"/>
          <w:i/>
          <w:iCs/>
          <w:color w:val="000000"/>
          <w:sz w:val="24"/>
          <w:szCs w:val="24"/>
          <w:u w:color="000000"/>
          <w:bdr w:val="nil"/>
          <w:lang w:val="en-US" w:eastAsia="en-GB"/>
        </w:rPr>
        <w:t>Skills for Social Work Practice.</w:t>
      </w:r>
      <w:r w:rsidRPr="004D05DC">
        <w:rPr>
          <w:rFonts w:ascii="Helvetica" w:eastAsia="Times New Roman" w:hAnsi="Helvetica" w:cs="Times New Roman"/>
          <w:color w:val="000000"/>
          <w:sz w:val="24"/>
          <w:szCs w:val="24"/>
          <w:u w:color="000000"/>
          <w:bdr w:val="nil"/>
          <w:lang w:val="en-US" w:eastAsia="en-GB"/>
        </w:rPr>
        <w:t xml:space="preserve"> London: Palgrave.</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Davis, L. (2014) </w:t>
      </w:r>
      <w:r w:rsidRPr="004D05DC">
        <w:rPr>
          <w:rFonts w:ascii="Helvetica" w:eastAsia="Times New Roman" w:hAnsi="Helvetica" w:cs="Times New Roman"/>
          <w:i/>
          <w:iCs/>
          <w:color w:val="000000"/>
          <w:sz w:val="24"/>
          <w:szCs w:val="24"/>
          <w:u w:color="000000"/>
          <w:bdr w:val="nil"/>
          <w:lang w:val="en-US" w:eastAsia="en-GB"/>
        </w:rPr>
        <w:t xml:space="preserve">The Social Worker’s Guide to Children and Families Law: </w:t>
      </w:r>
      <w:r w:rsidRPr="004D05DC">
        <w:rPr>
          <w:rFonts w:ascii="Helvetica" w:eastAsia="Times New Roman" w:hAnsi="Helvetica" w:cs="Times New Roman"/>
          <w:color w:val="000000"/>
          <w:sz w:val="24"/>
          <w:szCs w:val="24"/>
          <w:u w:color="000000"/>
          <w:bdr w:val="nil"/>
          <w:lang w:val="en-US" w:eastAsia="en-GB"/>
        </w:rPr>
        <w:t xml:space="preserve">2nd </w:t>
      </w:r>
      <w:proofErr w:type="spellStart"/>
      <w:r w:rsidRPr="004D05DC">
        <w:rPr>
          <w:rFonts w:ascii="Helvetica" w:eastAsia="Times New Roman" w:hAnsi="Helvetica" w:cs="Times New Roman"/>
          <w:color w:val="000000"/>
          <w:sz w:val="24"/>
          <w:szCs w:val="24"/>
          <w:u w:color="000000"/>
          <w:bdr w:val="nil"/>
          <w:lang w:val="en-US" w:eastAsia="en-GB"/>
        </w:rPr>
        <w:t>edn</w:t>
      </w:r>
      <w:proofErr w:type="spellEnd"/>
      <w:r w:rsidRPr="004D05DC">
        <w:rPr>
          <w:rFonts w:ascii="Helvetica" w:eastAsia="Times New Roman" w:hAnsi="Helvetica" w:cs="Times New Roman"/>
          <w:color w:val="000000"/>
          <w:sz w:val="24"/>
          <w:szCs w:val="24"/>
          <w:u w:color="000000"/>
          <w:bdr w:val="nil"/>
          <w:lang w:val="en-US" w:eastAsia="en-GB"/>
        </w:rPr>
        <w:t xml:space="preserve">. London: Jessica Kingsley Publishers.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Department for Constitutional Affairs (2007) </w:t>
      </w:r>
      <w:r w:rsidRPr="004D05DC">
        <w:rPr>
          <w:rFonts w:ascii="Helvetica" w:eastAsia="Times New Roman" w:hAnsi="Helvetica" w:cs="Times New Roman"/>
          <w:i/>
          <w:iCs/>
          <w:color w:val="000000"/>
          <w:sz w:val="24"/>
          <w:szCs w:val="24"/>
          <w:u w:color="000000"/>
          <w:bdr w:val="nil"/>
          <w:lang w:val="en-US" w:eastAsia="en-GB"/>
        </w:rPr>
        <w:t>Mental Capacity Act 2005 Code of Practice</w:t>
      </w:r>
      <w:r w:rsidRPr="004D05DC">
        <w:rPr>
          <w:rFonts w:ascii="Helvetica" w:eastAsia="Times New Roman" w:hAnsi="Helvetica" w:cs="Times New Roman"/>
          <w:color w:val="000000"/>
          <w:sz w:val="24"/>
          <w:szCs w:val="24"/>
          <w:u w:color="000000"/>
          <w:bdr w:val="nil"/>
          <w:lang w:val="en-US" w:eastAsia="en-GB"/>
        </w:rPr>
        <w:t xml:space="preserve">. London: The Stationary Office.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Department of Education and Skills (2006) </w:t>
      </w:r>
      <w:r w:rsidRPr="004D05DC">
        <w:rPr>
          <w:rFonts w:ascii="Helvetica" w:eastAsia="Times New Roman" w:hAnsi="Helvetica" w:cs="Times New Roman"/>
          <w:i/>
          <w:iCs/>
          <w:color w:val="000000"/>
          <w:sz w:val="24"/>
          <w:szCs w:val="24"/>
          <w:u w:color="000000"/>
          <w:bdr w:val="nil"/>
          <w:lang w:val="en-US" w:eastAsia="en-GB"/>
        </w:rPr>
        <w:t xml:space="preserve">Working Together To Safeguard Children: A Guide </w:t>
      </w:r>
      <w:proofErr w:type="gramStart"/>
      <w:r w:rsidRPr="004D05DC">
        <w:rPr>
          <w:rFonts w:ascii="Helvetica" w:eastAsia="Times New Roman" w:hAnsi="Helvetica" w:cs="Times New Roman"/>
          <w:i/>
          <w:iCs/>
          <w:color w:val="000000"/>
          <w:sz w:val="24"/>
          <w:szCs w:val="24"/>
          <w:u w:color="000000"/>
          <w:bdr w:val="nil"/>
          <w:lang w:val="en-US" w:eastAsia="en-GB"/>
        </w:rPr>
        <w:t>To</w:t>
      </w:r>
      <w:proofErr w:type="gramEnd"/>
      <w:r w:rsidRPr="004D05DC">
        <w:rPr>
          <w:rFonts w:ascii="Helvetica" w:eastAsia="Times New Roman" w:hAnsi="Helvetica" w:cs="Times New Roman"/>
          <w:i/>
          <w:iCs/>
          <w:color w:val="000000"/>
          <w:sz w:val="24"/>
          <w:szCs w:val="24"/>
          <w:u w:color="000000"/>
          <w:bdr w:val="nil"/>
          <w:lang w:val="en-US" w:eastAsia="en-GB"/>
        </w:rPr>
        <w:t xml:space="preserve"> Interagency Working to Safeguard and Promote the Welfare of Children.</w:t>
      </w:r>
      <w:r w:rsidRPr="004D05DC">
        <w:rPr>
          <w:rFonts w:ascii="Helvetica" w:eastAsia="Times New Roman" w:hAnsi="Helvetica" w:cs="Times New Roman"/>
          <w:color w:val="000000"/>
          <w:sz w:val="24"/>
          <w:szCs w:val="24"/>
          <w:u w:color="000000"/>
          <w:bdr w:val="nil"/>
          <w:lang w:val="en-US" w:eastAsia="en-GB"/>
        </w:rPr>
        <w:t xml:space="preserve"> London: The Stationary Office.</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Dorr, C. (2014) </w:t>
      </w:r>
      <w:r w:rsidRPr="004D05DC">
        <w:rPr>
          <w:rFonts w:ascii="Helvetica" w:eastAsia="Times New Roman" w:hAnsi="Helvetica" w:cs="Times New Roman"/>
          <w:i/>
          <w:iCs/>
          <w:color w:val="000000"/>
          <w:sz w:val="24"/>
          <w:szCs w:val="24"/>
          <w:u w:color="000000"/>
          <w:bdr w:val="nil"/>
          <w:lang w:val="en-US" w:eastAsia="en-GB"/>
        </w:rPr>
        <w:t xml:space="preserve">Social Work Live: Theory and Practice in Social Work Using Videos. </w:t>
      </w:r>
      <w:r w:rsidRPr="004D05DC">
        <w:rPr>
          <w:rFonts w:ascii="Helvetica" w:eastAsia="Times New Roman" w:hAnsi="Helvetica" w:cs="Times New Roman"/>
          <w:color w:val="000000"/>
          <w:sz w:val="24"/>
          <w:szCs w:val="24"/>
          <w:u w:color="000000"/>
          <w:bdr w:val="nil"/>
          <w:lang w:val="en-US" w:eastAsia="en-GB"/>
        </w:rPr>
        <w:t>Oxford: Oxford University Press.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Drury, B. (2012) Sorting Out Your Finances for Dummies. London: John Wiley and Sons.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roofErr w:type="spellStart"/>
      <w:r w:rsidRPr="004D05DC">
        <w:rPr>
          <w:rFonts w:ascii="Helvetica" w:eastAsia="Times New Roman" w:hAnsi="Helvetica" w:cs="Times New Roman"/>
          <w:color w:val="000000"/>
          <w:sz w:val="24"/>
          <w:szCs w:val="24"/>
          <w:u w:color="000000"/>
          <w:bdr w:val="nil"/>
          <w:lang w:val="en-US" w:eastAsia="en-GB"/>
        </w:rPr>
        <w:t>Effgen</w:t>
      </w:r>
      <w:proofErr w:type="spellEnd"/>
      <w:r w:rsidRPr="004D05DC">
        <w:rPr>
          <w:rFonts w:ascii="Helvetica" w:eastAsia="Times New Roman" w:hAnsi="Helvetica" w:cs="Times New Roman"/>
          <w:color w:val="000000"/>
          <w:sz w:val="24"/>
          <w:szCs w:val="24"/>
          <w:u w:color="000000"/>
          <w:bdr w:val="nil"/>
          <w:lang w:val="en-US" w:eastAsia="en-GB"/>
        </w:rPr>
        <w:t xml:space="preserve">, S. (2012) </w:t>
      </w:r>
      <w:r w:rsidRPr="004D05DC">
        <w:rPr>
          <w:rFonts w:ascii="Helvetica" w:eastAsia="Times New Roman" w:hAnsi="Helvetica" w:cs="Times New Roman"/>
          <w:i/>
          <w:iCs/>
          <w:color w:val="000000"/>
          <w:sz w:val="24"/>
          <w:szCs w:val="24"/>
          <w:u w:color="000000"/>
          <w:bdr w:val="nil"/>
          <w:lang w:val="en-US" w:eastAsia="en-GB"/>
        </w:rPr>
        <w:t>Meeting the Physical Therapy Needs of Children.</w:t>
      </w:r>
      <w:r w:rsidRPr="004D05DC">
        <w:rPr>
          <w:rFonts w:ascii="Helvetica" w:eastAsia="Times New Roman" w:hAnsi="Helvetica" w:cs="Times New Roman"/>
          <w:color w:val="000000"/>
          <w:sz w:val="24"/>
          <w:szCs w:val="24"/>
          <w:u w:color="000000"/>
          <w:bdr w:val="nil"/>
          <w:lang w:val="en-US" w:eastAsia="en-GB"/>
        </w:rPr>
        <w:t xml:space="preserve"> Philadelphia: Davies Company.</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Equality and Human Rights Commission (2018) </w:t>
      </w:r>
      <w:r w:rsidRPr="004D05DC">
        <w:rPr>
          <w:rFonts w:ascii="Helvetica" w:eastAsia="Times New Roman" w:hAnsi="Helvetica" w:cs="Times New Roman"/>
          <w:i/>
          <w:iCs/>
          <w:color w:val="000000"/>
          <w:sz w:val="24"/>
          <w:szCs w:val="24"/>
          <w:u w:color="000000"/>
          <w:bdr w:val="nil"/>
          <w:lang w:val="en-US" w:eastAsia="en-GB"/>
        </w:rPr>
        <w:t xml:space="preserve">Article 2: Right to Life. </w:t>
      </w:r>
    </w:p>
    <w:p w:rsidR="004D05DC" w:rsidRPr="004D05DC" w:rsidRDefault="001B56C4"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hyperlink r:id="rId13" w:history="1">
        <w:r w:rsidR="004D05DC" w:rsidRPr="004D05DC">
          <w:rPr>
            <w:rFonts w:ascii="Times New Roman" w:eastAsia="Arial Unicode MS" w:hAnsi="Times New Roman" w:cs="Arial Unicode MS"/>
            <w:color w:val="000000"/>
            <w:sz w:val="24"/>
            <w:szCs w:val="24"/>
            <w:u w:val="single" w:color="000000"/>
            <w:bdr w:val="nil"/>
            <w:lang w:val="en-US" w:eastAsia="en-GB"/>
          </w:rPr>
          <w:t>https://www.equalityhumanrights.com/en/human-rights-act/article-2-right-life</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17th August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Equality and Human Rights Commission (2018) </w:t>
      </w:r>
      <w:r w:rsidRPr="004D05DC">
        <w:rPr>
          <w:rFonts w:ascii="Helvetica" w:eastAsia="Times New Roman" w:hAnsi="Helvetica" w:cs="Times New Roman"/>
          <w:i/>
          <w:iCs/>
          <w:color w:val="000000"/>
          <w:sz w:val="24"/>
          <w:szCs w:val="24"/>
          <w:u w:color="000000"/>
          <w:bdr w:val="nil"/>
          <w:lang w:val="en-US" w:eastAsia="en-GB"/>
        </w:rPr>
        <w:t>Equality Act 2010</w:t>
      </w:r>
      <w:r w:rsidRPr="004D05DC">
        <w:rPr>
          <w:rFonts w:ascii="Helvetica" w:eastAsia="Times New Roman" w:hAnsi="Helvetica" w:cs="Times New Roman"/>
          <w:color w:val="000000"/>
          <w:sz w:val="24"/>
          <w:szCs w:val="24"/>
          <w:u w:color="000000"/>
          <w:bdr w:val="nil"/>
          <w:lang w:val="en-US" w:eastAsia="en-GB"/>
        </w:rPr>
        <w:t xml:space="preserve"> [online] Available at:</w:t>
      </w:r>
    </w:p>
    <w:p w:rsidR="004D05DC" w:rsidRPr="004D05DC" w:rsidRDefault="001B56C4"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hyperlink r:id="rId14" w:history="1">
        <w:r w:rsidR="004D05DC" w:rsidRPr="004D05DC">
          <w:rPr>
            <w:rFonts w:ascii="Times New Roman" w:eastAsia="Arial Unicode MS" w:hAnsi="Times New Roman" w:cs="Arial Unicode MS"/>
            <w:color w:val="000000"/>
            <w:sz w:val="24"/>
            <w:szCs w:val="24"/>
            <w:u w:val="single" w:color="000000"/>
            <w:bdr w:val="nil"/>
            <w:lang w:val="en-US" w:eastAsia="en-GB"/>
          </w:rPr>
          <w:t>https://www.equalityhumanrights.com/en/equality-act/equality-act-2010</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18th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Flynn, E. (2015) </w:t>
      </w:r>
      <w:r w:rsidRPr="004D05DC">
        <w:rPr>
          <w:rFonts w:ascii="Helvetica" w:eastAsia="Times New Roman" w:hAnsi="Helvetica" w:cs="Times New Roman"/>
          <w:i/>
          <w:iCs/>
          <w:color w:val="000000"/>
          <w:sz w:val="24"/>
          <w:szCs w:val="24"/>
          <w:u w:color="000000"/>
          <w:bdr w:val="nil"/>
          <w:lang w:val="en-US" w:eastAsia="en-GB"/>
        </w:rPr>
        <w:t>Disabled Justice? Access to Justice and the UN Convention on the Rights of Persons with Disabilities.</w:t>
      </w:r>
      <w:r w:rsidRPr="004D05DC">
        <w:rPr>
          <w:rFonts w:ascii="Helvetica" w:eastAsia="Times New Roman" w:hAnsi="Helvetica" w:cs="Times New Roman"/>
          <w:color w:val="000000"/>
          <w:sz w:val="24"/>
          <w:szCs w:val="24"/>
          <w:u w:color="000000"/>
          <w:bdr w:val="nil"/>
          <w:lang w:val="en-US" w:eastAsia="en-GB"/>
        </w:rPr>
        <w:t xml:space="preserve"> Surry: Assignee Publishing Ltd.</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Galpin, D. and Bates, N. (2009) </w:t>
      </w:r>
      <w:r w:rsidRPr="004D05DC">
        <w:rPr>
          <w:rFonts w:ascii="Helvetica" w:eastAsia="Times New Roman" w:hAnsi="Helvetica" w:cs="Times New Roman"/>
          <w:i/>
          <w:iCs/>
          <w:color w:val="000000"/>
          <w:sz w:val="24"/>
          <w:szCs w:val="24"/>
          <w:u w:color="000000"/>
          <w:bdr w:val="nil"/>
          <w:lang w:val="en-US" w:eastAsia="en-GB"/>
        </w:rPr>
        <w:t xml:space="preserve">Social Work Practice with Adults. </w:t>
      </w:r>
      <w:r w:rsidRPr="004D05DC">
        <w:rPr>
          <w:rFonts w:ascii="Helvetica" w:eastAsia="Times New Roman" w:hAnsi="Helvetica" w:cs="Times New Roman"/>
          <w:color w:val="000000"/>
          <w:sz w:val="24"/>
          <w:szCs w:val="24"/>
          <w:u w:color="000000"/>
          <w:bdr w:val="nil"/>
          <w:lang w:val="en-US" w:eastAsia="en-GB"/>
        </w:rPr>
        <w:t>Exeter: Learning Matters.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Gibbs G. (1988) </w:t>
      </w:r>
      <w:r w:rsidRPr="004D05DC">
        <w:rPr>
          <w:rFonts w:ascii="Helvetica" w:eastAsia="Times New Roman" w:hAnsi="Helvetica" w:cs="Times New Roman"/>
          <w:i/>
          <w:iCs/>
          <w:color w:val="000000"/>
          <w:sz w:val="24"/>
          <w:szCs w:val="24"/>
          <w:u w:color="000000"/>
          <w:bdr w:val="nil"/>
          <w:lang w:val="en-US" w:eastAsia="en-GB"/>
        </w:rPr>
        <w:t>Learning by Doing: A guide to Teaching and Learning Methods.</w:t>
      </w:r>
      <w:r w:rsidRPr="004D05DC">
        <w:rPr>
          <w:rFonts w:ascii="Helvetica" w:eastAsia="Times New Roman" w:hAnsi="Helvetica" w:cs="Times New Roman"/>
          <w:color w:val="000000"/>
          <w:sz w:val="24"/>
          <w:szCs w:val="24"/>
          <w:u w:color="000000"/>
          <w:bdr w:val="nil"/>
          <w:lang w:val="en-US" w:eastAsia="en-GB"/>
        </w:rPr>
        <w:t xml:space="preserve"> Further Education Unit. Oxford: Oxford Polytechnic.</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Glasby, J. and Dickinson, H. (2009) </w:t>
      </w:r>
      <w:r w:rsidRPr="004D05DC">
        <w:rPr>
          <w:rFonts w:ascii="Helvetica" w:eastAsia="Times New Roman" w:hAnsi="Helvetica" w:cs="Times New Roman"/>
          <w:i/>
          <w:iCs/>
          <w:color w:val="000000"/>
          <w:sz w:val="24"/>
          <w:szCs w:val="24"/>
          <w:u w:color="000000"/>
          <w:bdr w:val="nil"/>
          <w:lang w:val="en-US" w:eastAsia="en-GB"/>
        </w:rPr>
        <w:t>International Perspectives on Health and Social Care: Working in Action.</w:t>
      </w:r>
      <w:r w:rsidRPr="004D05DC">
        <w:rPr>
          <w:rFonts w:ascii="Helvetica" w:eastAsia="Times New Roman" w:hAnsi="Helvetica" w:cs="Times New Roman"/>
          <w:color w:val="000000"/>
          <w:sz w:val="24"/>
          <w:szCs w:val="24"/>
          <w:u w:color="000000"/>
          <w:bdr w:val="nil"/>
          <w:lang w:val="en-US" w:eastAsia="en-GB"/>
        </w:rPr>
        <w:t xml:space="preserve"> Oxford: John Wiley and Sons.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Goldson, B. (2013) </w:t>
      </w:r>
      <w:r w:rsidRPr="004D05DC">
        <w:rPr>
          <w:rFonts w:ascii="Helvetica" w:eastAsia="Times New Roman" w:hAnsi="Helvetica" w:cs="Times New Roman"/>
          <w:i/>
          <w:iCs/>
          <w:color w:val="000000"/>
          <w:sz w:val="24"/>
          <w:szCs w:val="24"/>
          <w:u w:color="000000"/>
          <w:bdr w:val="nil"/>
          <w:lang w:val="en-US" w:eastAsia="en-GB"/>
        </w:rPr>
        <w:t>Dictionary of Youth Justice</w:t>
      </w:r>
      <w:r w:rsidRPr="004D05DC">
        <w:rPr>
          <w:rFonts w:ascii="Helvetica" w:eastAsia="Times New Roman" w:hAnsi="Helvetica" w:cs="Times New Roman"/>
          <w:color w:val="000000"/>
          <w:sz w:val="24"/>
          <w:szCs w:val="24"/>
          <w:u w:color="000000"/>
          <w:bdr w:val="nil"/>
          <w:lang w:val="en-US" w:eastAsia="en-GB"/>
        </w:rPr>
        <w:t>. London: Routledge.</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Greene, R. (2011) </w:t>
      </w:r>
      <w:r w:rsidRPr="004D05DC">
        <w:rPr>
          <w:rFonts w:ascii="Helvetica" w:eastAsia="Times New Roman" w:hAnsi="Helvetica" w:cs="Times New Roman"/>
          <w:i/>
          <w:iCs/>
          <w:color w:val="000000"/>
          <w:sz w:val="24"/>
          <w:szCs w:val="24"/>
          <w:u w:color="000000"/>
          <w:bdr w:val="nil"/>
          <w:lang w:val="en-US" w:eastAsia="en-GB"/>
        </w:rPr>
        <w:t xml:space="preserve">Human Behaviour Theory and Social Work Practice. </w:t>
      </w:r>
      <w:r w:rsidRPr="004D05DC">
        <w:rPr>
          <w:rFonts w:ascii="Helvetica" w:eastAsia="Times New Roman" w:hAnsi="Helvetica" w:cs="Times New Roman"/>
          <w:color w:val="000000"/>
          <w:sz w:val="24"/>
          <w:szCs w:val="24"/>
          <w:u w:color="000000"/>
          <w:bdr w:val="nil"/>
          <w:lang w:val="en-US" w:eastAsia="en-GB"/>
        </w:rPr>
        <w:t>New Jersey: Transaction Publishers.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Hendricks, J. and Hendricks, C. (2014) </w:t>
      </w:r>
      <w:r w:rsidRPr="004D05DC">
        <w:rPr>
          <w:rFonts w:ascii="Helvetica" w:eastAsia="Times New Roman" w:hAnsi="Helvetica" w:cs="Times New Roman"/>
          <w:i/>
          <w:iCs/>
          <w:color w:val="000000"/>
          <w:sz w:val="24"/>
          <w:szCs w:val="24"/>
          <w:u w:color="000000"/>
          <w:bdr w:val="nil"/>
          <w:lang w:val="en-US" w:eastAsia="en-GB"/>
        </w:rPr>
        <w:t xml:space="preserve">Crisis Intervention in Criminal Justice/Social Service. </w:t>
      </w:r>
      <w:r w:rsidRPr="004D05DC">
        <w:rPr>
          <w:rFonts w:ascii="Helvetica" w:eastAsia="Times New Roman" w:hAnsi="Helvetica" w:cs="Times New Roman"/>
          <w:color w:val="000000"/>
          <w:sz w:val="24"/>
          <w:szCs w:val="24"/>
          <w:u w:color="000000"/>
          <w:bdr w:val="nil"/>
          <w:lang w:val="en-US" w:eastAsia="en-GB"/>
        </w:rPr>
        <w:t xml:space="preserve">5th </w:t>
      </w:r>
      <w:proofErr w:type="spellStart"/>
      <w:r w:rsidRPr="004D05DC">
        <w:rPr>
          <w:rFonts w:ascii="Helvetica" w:eastAsia="Times New Roman" w:hAnsi="Helvetica" w:cs="Times New Roman"/>
          <w:color w:val="000000"/>
          <w:sz w:val="24"/>
          <w:szCs w:val="24"/>
          <w:u w:color="000000"/>
          <w:bdr w:val="nil"/>
          <w:lang w:val="en-US" w:eastAsia="en-GB"/>
        </w:rPr>
        <w:t>edn</w:t>
      </w:r>
      <w:proofErr w:type="spellEnd"/>
      <w:r w:rsidRPr="004D05DC">
        <w:rPr>
          <w:rFonts w:ascii="Helvetica" w:eastAsia="Times New Roman" w:hAnsi="Helvetica" w:cs="Times New Roman"/>
          <w:color w:val="000000"/>
          <w:sz w:val="24"/>
          <w:szCs w:val="24"/>
          <w:u w:color="000000"/>
          <w:bdr w:val="nil"/>
          <w:lang w:val="en-US" w:eastAsia="en-GB"/>
        </w:rPr>
        <w:t>. Springfield: Charles C Thomas Publisher.</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House of Bishops (2006) </w:t>
      </w:r>
      <w:r w:rsidRPr="004D05DC">
        <w:rPr>
          <w:rFonts w:ascii="Helvetica" w:eastAsia="Times New Roman" w:hAnsi="Helvetica" w:cs="Times New Roman"/>
          <w:i/>
          <w:iCs/>
          <w:color w:val="000000"/>
          <w:sz w:val="24"/>
          <w:szCs w:val="24"/>
          <w:u w:color="000000"/>
          <w:bdr w:val="nil"/>
          <w:lang w:val="en-US" w:eastAsia="en-GB"/>
        </w:rPr>
        <w:t>Prompting a Safe Church: Policy for Safeguarding.</w:t>
      </w:r>
      <w:r w:rsidRPr="004D05DC">
        <w:rPr>
          <w:rFonts w:ascii="Helvetica" w:eastAsia="Times New Roman" w:hAnsi="Helvetica" w:cs="Times New Roman"/>
          <w:color w:val="000000"/>
          <w:sz w:val="24"/>
          <w:szCs w:val="24"/>
          <w:u w:color="000000"/>
          <w:bdr w:val="nil"/>
          <w:lang w:val="en-US" w:eastAsia="en-GB"/>
        </w:rPr>
        <w:t xml:space="preserve"> London: Church House Publishing.</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Johns, R. (2014) </w:t>
      </w:r>
      <w:r w:rsidRPr="004D05DC">
        <w:rPr>
          <w:rFonts w:ascii="Helvetica" w:eastAsia="Times New Roman" w:hAnsi="Helvetica" w:cs="Times New Roman"/>
          <w:i/>
          <w:iCs/>
          <w:color w:val="000000"/>
          <w:sz w:val="24"/>
          <w:szCs w:val="24"/>
          <w:u w:color="000000"/>
          <w:bdr w:val="nil"/>
          <w:lang w:val="en-US" w:eastAsia="en-GB"/>
        </w:rPr>
        <w:t xml:space="preserve">Using the Law in Social Work. </w:t>
      </w:r>
      <w:r w:rsidRPr="004D05DC">
        <w:rPr>
          <w:rFonts w:ascii="Helvetica" w:eastAsia="Times New Roman" w:hAnsi="Helvetica" w:cs="Times New Roman"/>
          <w:color w:val="000000"/>
          <w:sz w:val="24"/>
          <w:szCs w:val="24"/>
          <w:u w:color="000000"/>
          <w:bdr w:val="nil"/>
          <w:lang w:val="en-US" w:eastAsia="en-GB"/>
        </w:rPr>
        <w:t xml:space="preserve">Learning Matters. London.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Journal of Social Work (2017) ‘Understanding risk in social work’, </w:t>
      </w:r>
      <w:r w:rsidRPr="004D05DC">
        <w:rPr>
          <w:rFonts w:ascii="Helvetica" w:eastAsia="Times New Roman" w:hAnsi="Helvetica" w:cs="Times New Roman"/>
          <w:i/>
          <w:iCs/>
          <w:color w:val="000000"/>
          <w:sz w:val="24"/>
          <w:szCs w:val="24"/>
          <w:u w:color="000000"/>
          <w:bdr w:val="nil"/>
          <w:lang w:val="en-US" w:eastAsia="en-GB"/>
        </w:rPr>
        <w:t>Journal of Social Work Practice</w:t>
      </w:r>
      <w:r w:rsidRPr="004D05DC">
        <w:rPr>
          <w:rFonts w:ascii="Helvetica" w:eastAsia="Times New Roman" w:hAnsi="Helvetica" w:cs="Times New Roman"/>
          <w:color w:val="000000"/>
          <w:sz w:val="24"/>
          <w:szCs w:val="24"/>
          <w:u w:color="000000"/>
          <w:bdr w:val="nil"/>
          <w:lang w:val="en-US" w:eastAsia="en-GB"/>
        </w:rPr>
        <w:t xml:space="preserve"> (1) 375</w:t>
      </w:r>
      <w:r w:rsidRPr="004D05DC">
        <w:rPr>
          <w:rFonts w:ascii="Arial" w:eastAsia="Times New Roman" w:hAnsi="Arial" w:cs="Times New Roman"/>
          <w:color w:val="000000"/>
          <w:sz w:val="24"/>
          <w:szCs w:val="24"/>
          <w:u w:color="000000"/>
          <w:bdr w:val="nil"/>
          <w:lang w:val="en-US" w:eastAsia="en-GB"/>
        </w:rPr>
        <w:t>–</w:t>
      </w:r>
      <w:r w:rsidRPr="004D05DC">
        <w:rPr>
          <w:rFonts w:ascii="Helvetica" w:eastAsia="Times New Roman" w:hAnsi="Helvetica" w:cs="Times New Roman"/>
          <w:color w:val="000000"/>
          <w:sz w:val="24"/>
          <w:szCs w:val="24"/>
          <w:u w:color="000000"/>
          <w:bdr w:val="nil"/>
          <w:lang w:val="en-US" w:eastAsia="en-GB"/>
        </w:rPr>
        <w:t>378.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color w:val="000000"/>
          <w:sz w:val="24"/>
          <w:szCs w:val="24"/>
          <w:u w:color="000000"/>
          <w:bdr w:val="nil"/>
          <w:lang w:val="en-US" w:eastAsia="en-GB"/>
        </w:rPr>
      </w:pPr>
      <w:proofErr w:type="spellStart"/>
      <w:r w:rsidRPr="004D05DC">
        <w:rPr>
          <w:rFonts w:ascii="Helvetica" w:eastAsia="Helvetica" w:hAnsi="Helvetica" w:cs="Helvetica"/>
          <w:color w:val="000000"/>
          <w:sz w:val="24"/>
          <w:szCs w:val="24"/>
          <w:u w:color="000000"/>
          <w:bdr w:val="nil"/>
          <w:lang w:val="en-US" w:eastAsia="en-GB"/>
        </w:rPr>
        <w:t>Koubel</w:t>
      </w:r>
      <w:proofErr w:type="spellEnd"/>
      <w:r w:rsidRPr="004D05DC">
        <w:rPr>
          <w:rFonts w:ascii="Helvetica" w:eastAsia="Helvetica" w:hAnsi="Helvetica" w:cs="Helvetica"/>
          <w:color w:val="000000"/>
          <w:sz w:val="24"/>
          <w:szCs w:val="24"/>
          <w:u w:color="000000"/>
          <w:bdr w:val="nil"/>
          <w:lang w:val="en-US" w:eastAsia="en-GB"/>
        </w:rPr>
        <w:t xml:space="preserve">, G. (2016) </w:t>
      </w:r>
      <w:r w:rsidRPr="004D05DC">
        <w:rPr>
          <w:rFonts w:ascii="Helvetica" w:eastAsia="Helvetica" w:hAnsi="Helvetica" w:cs="Helvetica"/>
          <w:i/>
          <w:iCs/>
          <w:color w:val="000000"/>
          <w:sz w:val="24"/>
          <w:szCs w:val="24"/>
          <w:u w:color="000000"/>
          <w:bdr w:val="nil"/>
          <w:lang w:val="en-US" w:eastAsia="en-GB"/>
        </w:rPr>
        <w:t>Safeguarding Adults and Children: Dilemmas and Complex Practice.</w:t>
      </w:r>
      <w:r w:rsidRPr="004D05DC">
        <w:rPr>
          <w:rFonts w:ascii="Helvetica" w:eastAsia="Helvetica" w:hAnsi="Helvetica" w:cs="Helvetica"/>
          <w:color w:val="000000"/>
          <w:sz w:val="24"/>
          <w:szCs w:val="24"/>
          <w:u w:color="000000"/>
          <w:bdr w:val="nil"/>
          <w:lang w:val="en-US" w:eastAsia="en-GB"/>
        </w:rPr>
        <w:t xml:space="preserve"> </w:t>
      </w:r>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color w:val="000000"/>
          <w:sz w:val="24"/>
          <w:szCs w:val="24"/>
          <w:u w:color="000000"/>
          <w:bdr w:val="nil"/>
          <w:lang w:val="en-US" w:eastAsia="en-GB"/>
        </w:rPr>
      </w:pPr>
      <w:r w:rsidRPr="004D05DC">
        <w:rPr>
          <w:rFonts w:ascii="Helvetica" w:eastAsia="Helvetica" w:hAnsi="Helvetica" w:cs="Helvetica"/>
          <w:color w:val="000000"/>
          <w:sz w:val="24"/>
          <w:szCs w:val="24"/>
          <w:u w:color="000000"/>
          <w:bdr w:val="nil"/>
          <w:lang w:val="en-US" w:eastAsia="en-GB"/>
        </w:rPr>
        <w:t>London:</w:t>
      </w:r>
      <w:r w:rsidRPr="004D05DC">
        <w:rPr>
          <w:rFonts w:ascii="Helvetica" w:eastAsia="Helvetica" w:hAnsi="Helvetica" w:cs="Helvetica"/>
          <w:i/>
          <w:iCs/>
          <w:color w:val="000000"/>
          <w:sz w:val="24"/>
          <w:szCs w:val="24"/>
          <w:u w:color="000000"/>
          <w:bdr w:val="nil"/>
          <w:lang w:val="en-US" w:eastAsia="en-GB"/>
        </w:rPr>
        <w:t xml:space="preserve"> </w:t>
      </w:r>
      <w:r w:rsidRPr="004D05DC">
        <w:rPr>
          <w:rFonts w:ascii="Helvetica" w:eastAsia="Helvetica" w:hAnsi="Helvetica" w:cs="Helvetica"/>
          <w:color w:val="000000"/>
          <w:sz w:val="24"/>
          <w:szCs w:val="24"/>
          <w:u w:color="000000"/>
          <w:bdr w:val="nil"/>
          <w:lang w:val="en-US" w:eastAsia="en-GB"/>
        </w:rPr>
        <w:t>Macmillan International Higher Education</w:t>
      </w:r>
      <w:proofErr w:type="gramStart"/>
      <w:r w:rsidRPr="004D05DC">
        <w:rPr>
          <w:rFonts w:ascii="Helvetica" w:eastAsia="Helvetica" w:hAnsi="Helvetica" w:cs="Helvetica"/>
          <w:color w:val="000000"/>
          <w:sz w:val="24"/>
          <w:szCs w:val="24"/>
          <w:u w:color="000000"/>
          <w:bdr w:val="nil"/>
          <w:lang w:val="en-US" w:eastAsia="en-GB"/>
        </w:rPr>
        <w:t>..</w:t>
      </w:r>
      <w:proofErr w:type="gramEnd"/>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Laird, S. (2014) </w:t>
      </w:r>
      <w:r w:rsidRPr="004D05DC">
        <w:rPr>
          <w:rFonts w:ascii="Helvetica" w:eastAsia="Times New Roman" w:hAnsi="Helvetica" w:cs="Times New Roman"/>
          <w:i/>
          <w:iCs/>
          <w:color w:val="000000"/>
          <w:sz w:val="24"/>
          <w:szCs w:val="24"/>
          <w:u w:color="000000"/>
          <w:bdr w:val="nil"/>
          <w:lang w:val="en-US" w:eastAsia="en-GB"/>
        </w:rPr>
        <w:t>Practical Social Work Law: Analysing Court Cases and Inquiries</w:t>
      </w:r>
      <w:r w:rsidRPr="004D05DC">
        <w:rPr>
          <w:rFonts w:ascii="Helvetica" w:eastAsia="Times New Roman" w:hAnsi="Helvetica" w:cs="Times New Roman"/>
          <w:color w:val="000000"/>
          <w:sz w:val="24"/>
          <w:szCs w:val="24"/>
          <w:u w:color="000000"/>
          <w:bdr w:val="nil"/>
          <w:lang w:val="en-US" w:eastAsia="en-GB"/>
        </w:rPr>
        <w:t>. London: Routledge.</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Leathers, D. and Eaves, M. (2005) </w:t>
      </w:r>
      <w:r w:rsidRPr="004D05DC">
        <w:rPr>
          <w:rFonts w:ascii="Helvetica" w:eastAsia="Times New Roman" w:hAnsi="Helvetica" w:cs="Times New Roman"/>
          <w:i/>
          <w:iCs/>
          <w:color w:val="000000"/>
          <w:sz w:val="24"/>
          <w:szCs w:val="24"/>
          <w:u w:color="000000"/>
          <w:bdr w:val="nil"/>
          <w:lang w:val="en-US" w:eastAsia="en-GB"/>
        </w:rPr>
        <w:t>Successful Nonverbal Communication: Principles and Applications.</w:t>
      </w:r>
      <w:r w:rsidRPr="004D05DC">
        <w:rPr>
          <w:rFonts w:ascii="Helvetica" w:eastAsia="Times New Roman" w:hAnsi="Helvetica" w:cs="Times New Roman"/>
          <w:color w:val="000000"/>
          <w:sz w:val="24"/>
          <w:szCs w:val="24"/>
          <w:u w:color="000000"/>
          <w:bdr w:val="nil"/>
          <w:lang w:val="en-US" w:eastAsia="en-GB"/>
        </w:rPr>
        <w:t xml:space="preserve"> </w:t>
      </w:r>
      <w:proofErr w:type="spellStart"/>
      <w:r w:rsidRPr="004D05DC">
        <w:rPr>
          <w:rFonts w:ascii="Helvetica" w:eastAsia="Times New Roman" w:hAnsi="Helvetica" w:cs="Times New Roman"/>
          <w:color w:val="000000"/>
          <w:sz w:val="24"/>
          <w:szCs w:val="24"/>
          <w:u w:color="000000"/>
          <w:bdr w:val="nil"/>
          <w:lang w:val="en-US" w:eastAsia="en-GB"/>
        </w:rPr>
        <w:t>Roultedge</w:t>
      </w:r>
      <w:proofErr w:type="spellEnd"/>
      <w:r w:rsidRPr="004D05DC">
        <w:rPr>
          <w:rFonts w:ascii="Helvetica" w:eastAsia="Times New Roman" w:hAnsi="Helvetica" w:cs="Times New Roman"/>
          <w:color w:val="000000"/>
          <w:sz w:val="24"/>
          <w:szCs w:val="24"/>
          <w:u w:color="000000"/>
          <w:bdr w:val="nil"/>
          <w:lang w:val="en-US" w:eastAsia="en-GB"/>
        </w:rPr>
        <w:t>: London.</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Leigh Day (2018) </w:t>
      </w:r>
      <w:proofErr w:type="gramStart"/>
      <w:r w:rsidRPr="004D05DC">
        <w:rPr>
          <w:rFonts w:ascii="Helvetica" w:eastAsia="Times New Roman" w:hAnsi="Helvetica" w:cs="Times New Roman"/>
          <w:i/>
          <w:iCs/>
          <w:color w:val="000000"/>
          <w:sz w:val="24"/>
          <w:szCs w:val="24"/>
          <w:u w:color="000000"/>
          <w:bdr w:val="nil"/>
          <w:lang w:val="en-US" w:eastAsia="en-GB"/>
        </w:rPr>
        <w:t>The</w:t>
      </w:r>
      <w:proofErr w:type="gramEnd"/>
      <w:r w:rsidRPr="004D05DC">
        <w:rPr>
          <w:rFonts w:ascii="Helvetica" w:eastAsia="Times New Roman" w:hAnsi="Helvetica" w:cs="Times New Roman"/>
          <w:i/>
          <w:iCs/>
          <w:color w:val="000000"/>
          <w:sz w:val="24"/>
          <w:szCs w:val="24"/>
          <w:u w:color="000000"/>
          <w:bdr w:val="nil"/>
          <w:lang w:val="en-US" w:eastAsia="en-GB"/>
        </w:rPr>
        <w:t xml:space="preserve"> Court Protection and the Office of the Public Guardian - the Basics.</w:t>
      </w:r>
      <w:r w:rsidRPr="004D05DC">
        <w:rPr>
          <w:rFonts w:ascii="Helvetica" w:eastAsia="Times New Roman" w:hAnsi="Helvetica" w:cs="Times New Roman"/>
          <w:color w:val="000000"/>
          <w:sz w:val="24"/>
          <w:szCs w:val="24"/>
          <w:u w:color="000000"/>
          <w:bdr w:val="nil"/>
          <w:lang w:val="en-US" w:eastAsia="en-GB"/>
        </w:rPr>
        <w:t xml:space="preserve">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xml:space="preserve">] Available at: </w:t>
      </w:r>
      <w:hyperlink r:id="rId15" w:history="1">
        <w:r w:rsidRPr="004D05DC">
          <w:rPr>
            <w:rFonts w:ascii="Arial" w:eastAsia="Arial Unicode MS" w:hAnsi="Arial" w:cs="Arial Unicode MS"/>
            <w:color w:val="000000"/>
            <w:sz w:val="24"/>
            <w:szCs w:val="24"/>
            <w:u w:val="single" w:color="000000"/>
            <w:bdr w:val="nil"/>
            <w:lang w:val="en-US" w:eastAsia="en-GB"/>
          </w:rPr>
          <w:t>https://www.leighday.co.uk/Human-rights-abuse-claims-judicial-review/Children-vulnerable-adults/Court-of-Protection-best-interests/The-Court-of-Protection-and-the-Office-of-the-Publ</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20th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Lynch, J. (2011) </w:t>
      </w:r>
      <w:r w:rsidRPr="004D05DC">
        <w:rPr>
          <w:rFonts w:ascii="Helvetica" w:eastAsia="Times New Roman" w:hAnsi="Helvetica" w:cs="Times New Roman"/>
          <w:i/>
          <w:iCs/>
          <w:color w:val="000000"/>
          <w:sz w:val="24"/>
          <w:szCs w:val="24"/>
          <w:u w:color="000000"/>
          <w:bdr w:val="nil"/>
          <w:lang w:val="en-US" w:eastAsia="en-GB"/>
        </w:rPr>
        <w:t>Consent to Treatment</w:t>
      </w:r>
      <w:r w:rsidRPr="004D05DC">
        <w:rPr>
          <w:rFonts w:ascii="Helvetica" w:eastAsia="Times New Roman" w:hAnsi="Helvetica" w:cs="Times New Roman"/>
          <w:color w:val="000000"/>
          <w:sz w:val="24"/>
          <w:szCs w:val="24"/>
          <w:u w:color="000000"/>
          <w:bdr w:val="nil"/>
          <w:lang w:val="en-US" w:eastAsia="en-GB"/>
        </w:rPr>
        <w:t>. Oxford: Radcliffe Publishing.</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Lynch, R. (2013) </w:t>
      </w:r>
      <w:r w:rsidRPr="004D05DC">
        <w:rPr>
          <w:rFonts w:ascii="Helvetica" w:eastAsia="Times New Roman" w:hAnsi="Helvetica" w:cs="Times New Roman"/>
          <w:i/>
          <w:iCs/>
          <w:color w:val="000000"/>
          <w:sz w:val="24"/>
          <w:szCs w:val="24"/>
          <w:u w:color="000000"/>
          <w:bdr w:val="nil"/>
          <w:lang w:val="en-US" w:eastAsia="en-GB"/>
        </w:rPr>
        <w:t xml:space="preserve">Social Work Practice with Older People. A Positive Person-Centred Approach. </w:t>
      </w:r>
      <w:r w:rsidRPr="004D05DC">
        <w:rPr>
          <w:rFonts w:ascii="Helvetica" w:eastAsia="Times New Roman" w:hAnsi="Helvetica" w:cs="Times New Roman"/>
          <w:color w:val="000000"/>
          <w:sz w:val="24"/>
          <w:szCs w:val="24"/>
          <w:u w:color="000000"/>
          <w:bdr w:val="nil"/>
          <w:lang w:val="en-US" w:eastAsia="en-GB"/>
        </w:rPr>
        <w:t>London: Sage Publications.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Mandelstam, M. (1999) </w:t>
      </w:r>
      <w:r w:rsidRPr="004D05DC">
        <w:rPr>
          <w:rFonts w:ascii="Helvetica" w:eastAsia="Times New Roman" w:hAnsi="Helvetica" w:cs="Times New Roman"/>
          <w:i/>
          <w:iCs/>
          <w:color w:val="000000"/>
          <w:sz w:val="24"/>
          <w:szCs w:val="24"/>
          <w:u w:color="000000"/>
          <w:bdr w:val="nil"/>
          <w:lang w:val="en-US" w:eastAsia="en-GB"/>
        </w:rPr>
        <w:t xml:space="preserve">Community Care Practice and the Law. </w:t>
      </w:r>
      <w:r w:rsidRPr="004D05DC">
        <w:rPr>
          <w:rFonts w:ascii="Helvetica" w:eastAsia="Times New Roman" w:hAnsi="Helvetica" w:cs="Times New Roman"/>
          <w:color w:val="000000"/>
          <w:sz w:val="24"/>
          <w:szCs w:val="24"/>
          <w:u w:color="000000"/>
          <w:bdr w:val="nil"/>
          <w:lang w:val="en-US" w:eastAsia="en-GB"/>
        </w:rPr>
        <w:t>2nd edition. London: Jessica Kingsley Publishers.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Medical Protection (2015) </w:t>
      </w:r>
      <w:r w:rsidRPr="004D05DC">
        <w:rPr>
          <w:rFonts w:ascii="Helvetica" w:eastAsia="Times New Roman" w:hAnsi="Helvetica" w:cs="Times New Roman"/>
          <w:i/>
          <w:iCs/>
          <w:color w:val="000000"/>
          <w:sz w:val="24"/>
          <w:szCs w:val="24"/>
          <w:u w:color="000000"/>
          <w:bdr w:val="nil"/>
          <w:lang w:val="en-US" w:eastAsia="en-GB"/>
        </w:rPr>
        <w:t xml:space="preserve">Mental Capacity Act 2005 - Court of Protection and Deputies. </w:t>
      </w:r>
      <w:r w:rsidRPr="004D05DC">
        <w:rPr>
          <w:rFonts w:ascii="Helvetica" w:eastAsia="Times New Roman" w:hAnsi="Helvetica" w:cs="Times New Roman"/>
          <w:color w:val="000000"/>
          <w:sz w:val="24"/>
          <w:szCs w:val="24"/>
          <w:u w:color="000000"/>
          <w:bdr w:val="nil"/>
          <w:lang w:val="en-US" w:eastAsia="en-GB"/>
        </w:rPr>
        <w:t>[</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xml:space="preserve">] Available at: </w:t>
      </w:r>
      <w:hyperlink r:id="rId16" w:history="1">
        <w:r w:rsidRPr="004D05DC">
          <w:rPr>
            <w:rFonts w:ascii="Times New Roman" w:eastAsia="Arial Unicode MS" w:hAnsi="Times New Roman" w:cs="Arial Unicode MS"/>
            <w:color w:val="000000"/>
            <w:sz w:val="24"/>
            <w:szCs w:val="24"/>
            <w:u w:val="single" w:color="000000"/>
            <w:bdr w:val="nil"/>
            <w:lang w:val="en-US" w:eastAsia="en-GB"/>
          </w:rPr>
          <w:t>https://www.medicalprotection.org/uk/articles/mental-capacity-act-2005-court-of-protection-and-deputies</w:t>
        </w:r>
      </w:hyperlink>
      <w:r w:rsidRPr="004D05DC">
        <w:rPr>
          <w:rFonts w:ascii="Helvetica" w:eastAsia="Times New Roman" w:hAnsi="Helvetica" w:cs="Times New Roman"/>
          <w:color w:val="000000"/>
          <w:sz w:val="24"/>
          <w:szCs w:val="24"/>
          <w:u w:color="000000"/>
          <w:bdr w:val="nil"/>
          <w:lang w:val="en-US" w:eastAsia="en-GB"/>
        </w:rPr>
        <w:t xml:space="preserve"> Accessed: 20th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Miller, C. (2009) </w:t>
      </w:r>
      <w:r w:rsidRPr="004D05DC">
        <w:rPr>
          <w:rFonts w:ascii="Helvetica" w:eastAsia="Times New Roman" w:hAnsi="Helvetica" w:cs="Times New Roman"/>
          <w:i/>
          <w:iCs/>
          <w:color w:val="000000"/>
          <w:sz w:val="24"/>
          <w:szCs w:val="24"/>
          <w:u w:color="000000"/>
          <w:bdr w:val="nil"/>
          <w:lang w:val="en-US" w:eastAsia="en-GB"/>
        </w:rPr>
        <w:t xml:space="preserve">Nursing for Wellness in Older Adults. </w:t>
      </w:r>
      <w:r w:rsidRPr="004D05DC">
        <w:rPr>
          <w:rFonts w:ascii="Helvetica" w:eastAsia="Times New Roman" w:hAnsi="Helvetica" w:cs="Times New Roman"/>
          <w:color w:val="000000"/>
          <w:sz w:val="24"/>
          <w:szCs w:val="24"/>
          <w:u w:color="000000"/>
          <w:bdr w:val="nil"/>
          <w:lang w:val="en-US" w:eastAsia="en-GB"/>
        </w:rPr>
        <w:t>London: Lippincott Williams &amp; Wilkins.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Moonie, N. (2014) </w:t>
      </w:r>
      <w:r w:rsidRPr="004D05DC">
        <w:rPr>
          <w:rFonts w:ascii="Helvetica" w:eastAsia="Times New Roman" w:hAnsi="Helvetica" w:cs="Times New Roman"/>
          <w:i/>
          <w:iCs/>
          <w:color w:val="000000"/>
          <w:sz w:val="24"/>
          <w:szCs w:val="24"/>
          <w:u w:color="000000"/>
          <w:bdr w:val="nil"/>
          <w:lang w:val="en-US" w:eastAsia="en-GB"/>
        </w:rPr>
        <w:t xml:space="preserve">GCE AS Level Health and Social Care. Oxford: </w:t>
      </w:r>
      <w:r w:rsidRPr="004D05DC">
        <w:rPr>
          <w:rFonts w:ascii="Helvetica" w:eastAsia="Times New Roman" w:hAnsi="Helvetica" w:cs="Times New Roman"/>
          <w:color w:val="000000"/>
          <w:sz w:val="24"/>
          <w:szCs w:val="24"/>
          <w:u w:color="000000"/>
          <w:bdr w:val="nil"/>
          <w:lang w:val="en-US" w:eastAsia="en-GB"/>
        </w:rPr>
        <w:t>Heinemann.</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Newman, P. and Jennings, I. (2012) C</w:t>
      </w:r>
      <w:r w:rsidRPr="004D05DC">
        <w:rPr>
          <w:rFonts w:ascii="Helvetica" w:eastAsia="Times New Roman" w:hAnsi="Helvetica" w:cs="Times New Roman"/>
          <w:i/>
          <w:iCs/>
          <w:color w:val="000000"/>
          <w:sz w:val="24"/>
          <w:szCs w:val="24"/>
          <w:u w:color="000000"/>
          <w:bdr w:val="nil"/>
          <w:lang w:val="en-US" w:eastAsia="en-GB"/>
        </w:rPr>
        <w:t>ities as Sustainable Ecosystems: Principles and Practices.</w:t>
      </w:r>
      <w:r w:rsidRPr="004D05DC">
        <w:rPr>
          <w:rFonts w:ascii="Helvetica" w:eastAsia="Times New Roman" w:hAnsi="Helvetica" w:cs="Times New Roman"/>
          <w:color w:val="000000"/>
          <w:sz w:val="24"/>
          <w:szCs w:val="24"/>
          <w:u w:color="000000"/>
          <w:bdr w:val="nil"/>
          <w:lang w:val="en-US" w:eastAsia="en-GB"/>
        </w:rPr>
        <w:t xml:space="preserve"> London: Island Press.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NSPCC (2018) </w:t>
      </w:r>
      <w:r w:rsidRPr="004D05DC">
        <w:rPr>
          <w:rFonts w:ascii="Helvetica" w:eastAsia="Times New Roman" w:hAnsi="Helvetica" w:cs="Times New Roman"/>
          <w:i/>
          <w:iCs/>
          <w:color w:val="000000"/>
          <w:sz w:val="24"/>
          <w:szCs w:val="24"/>
          <w:u w:color="000000"/>
          <w:bdr w:val="nil"/>
          <w:lang w:val="en-US" w:eastAsia="en-GB"/>
        </w:rPr>
        <w:t xml:space="preserve">Child Protection System in Wales. </w:t>
      </w:r>
      <w:r w:rsidRPr="004D05DC">
        <w:rPr>
          <w:rFonts w:ascii="Helvetica" w:eastAsia="Times New Roman" w:hAnsi="Helvetica" w:cs="Times New Roman"/>
          <w:color w:val="000000"/>
          <w:sz w:val="24"/>
          <w:szCs w:val="24"/>
          <w:u w:color="000000"/>
          <w:bdr w:val="nil"/>
          <w:lang w:val="en-US" w:eastAsia="en-GB"/>
        </w:rPr>
        <w:t>[</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xml:space="preserv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17" w:history="1">
        <w:r w:rsidRPr="004D05DC">
          <w:rPr>
            <w:rFonts w:ascii="Times New Roman" w:eastAsia="Arial Unicode MS" w:hAnsi="Times New Roman" w:cs="Arial Unicode MS"/>
            <w:color w:val="000000"/>
            <w:sz w:val="24"/>
            <w:szCs w:val="24"/>
            <w:u w:val="single" w:color="000000"/>
            <w:bdr w:val="nil"/>
            <w:lang w:val="en-US" w:eastAsia="en-GB"/>
          </w:rPr>
          <w:t>https://learning.nspcc.org.uk/child-protection-system/wales/</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12th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i/>
          <w:iC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O’Connor, I. (2006) </w:t>
      </w:r>
      <w:r w:rsidRPr="004D05DC">
        <w:rPr>
          <w:rFonts w:ascii="Helvetica" w:eastAsia="Times New Roman" w:hAnsi="Helvetica" w:cs="Times New Roman"/>
          <w:i/>
          <w:iCs/>
          <w:color w:val="000000"/>
          <w:sz w:val="24"/>
          <w:szCs w:val="24"/>
          <w:u w:color="000000"/>
          <w:bdr w:val="nil"/>
          <w:lang w:val="en-US" w:eastAsia="en-GB"/>
        </w:rPr>
        <w:t>Social Work and Social Care Practice.</w:t>
      </w:r>
      <w:r w:rsidRPr="004D05DC">
        <w:rPr>
          <w:rFonts w:ascii="Helvetica" w:eastAsia="Times New Roman" w:hAnsi="Helvetica" w:cs="Times New Roman"/>
          <w:color w:val="000000"/>
          <w:sz w:val="24"/>
          <w:szCs w:val="24"/>
          <w:u w:color="000000"/>
          <w:bdr w:val="nil"/>
          <w:lang w:val="en-US" w:eastAsia="en-GB"/>
        </w:rPr>
        <w:t xml:space="preserve"> London: Pine Forge Press.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Office of the Public Guardian (2014) </w:t>
      </w:r>
      <w:r w:rsidRPr="004D05DC">
        <w:rPr>
          <w:rFonts w:ascii="Helvetica" w:eastAsia="Times New Roman" w:hAnsi="Helvetica" w:cs="Times New Roman"/>
          <w:i/>
          <w:iCs/>
          <w:color w:val="000000"/>
          <w:sz w:val="24"/>
          <w:szCs w:val="24"/>
          <w:u w:color="000000"/>
          <w:bdr w:val="nil"/>
          <w:lang w:val="en-US" w:eastAsia="en-GB"/>
        </w:rPr>
        <w:t>Mental Capacity Act: Making Decisions.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xml:space="preserv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Times New Roman" w:eastAsia="Arial Unicode MS" w:hAnsi="Times New Roman" w:cs="Arial Unicode MS"/>
          <w:color w:val="000000"/>
          <w:sz w:val="24"/>
          <w:szCs w:val="24"/>
          <w:u w:val="single" w:color="000000"/>
          <w:bdr w:val="nil"/>
          <w:lang w:val="en-US" w:eastAsia="en-GB"/>
        </w:rPr>
        <w:t>Accessed</w:t>
      </w:r>
      <w:proofErr w:type="gramStart"/>
      <w:r w:rsidRPr="004D05DC">
        <w:rPr>
          <w:rFonts w:ascii="Times New Roman" w:eastAsia="Arial Unicode MS" w:hAnsi="Times New Roman" w:cs="Arial Unicode MS"/>
          <w:color w:val="000000"/>
          <w:sz w:val="24"/>
          <w:szCs w:val="24"/>
          <w:u w:val="single" w:color="000000"/>
          <w:bdr w:val="nil"/>
          <w:lang w:val="en-US" w:eastAsia="en-GB"/>
        </w:rPr>
        <w:t>:</w:t>
      </w:r>
      <w:proofErr w:type="gramEnd"/>
      <w:r w:rsidR="001B56C4">
        <w:rPr>
          <w:rFonts w:ascii="Times New Roman" w:eastAsia="Arial Unicode MS" w:hAnsi="Times New Roman" w:cs="Arial Unicode MS"/>
          <w:color w:val="000000"/>
          <w:sz w:val="24"/>
          <w:szCs w:val="24"/>
          <w:u w:val="single" w:color="000000"/>
          <w:bdr w:val="nil"/>
          <w:lang w:val="en-US" w:eastAsia="en-GB"/>
        </w:rPr>
        <w:fldChar w:fldCharType="begin"/>
      </w:r>
      <w:r w:rsidR="001B56C4">
        <w:rPr>
          <w:rFonts w:ascii="Times New Roman" w:eastAsia="Arial Unicode MS" w:hAnsi="Times New Roman" w:cs="Arial Unicode MS"/>
          <w:color w:val="000000"/>
          <w:sz w:val="24"/>
          <w:szCs w:val="24"/>
          <w:u w:val="single" w:color="000000"/>
          <w:bdr w:val="nil"/>
          <w:lang w:val="en-US" w:eastAsia="en-GB"/>
        </w:rPr>
        <w:instrText xml:space="preserve"> HYPERLINK "https://www.gov.uk/government/collections/mental-capacity-act-making-decisions" </w:instrText>
      </w:r>
      <w:r w:rsidR="001B56C4">
        <w:rPr>
          <w:rFonts w:ascii="Times New Roman" w:eastAsia="Arial Unicode MS" w:hAnsi="Times New Roman" w:cs="Arial Unicode MS"/>
          <w:color w:val="000000"/>
          <w:sz w:val="24"/>
          <w:szCs w:val="24"/>
          <w:u w:val="single" w:color="000000"/>
          <w:bdr w:val="nil"/>
          <w:lang w:val="en-US" w:eastAsia="en-GB"/>
        </w:rPr>
        <w:fldChar w:fldCharType="separate"/>
      </w:r>
      <w:r w:rsidRPr="004D05DC">
        <w:rPr>
          <w:rFonts w:ascii="Times New Roman" w:eastAsia="Arial Unicode MS" w:hAnsi="Times New Roman" w:cs="Arial Unicode MS"/>
          <w:color w:val="000000"/>
          <w:sz w:val="24"/>
          <w:szCs w:val="24"/>
          <w:u w:val="single" w:color="000000"/>
          <w:bdr w:val="nil"/>
          <w:lang w:val="en-US" w:eastAsia="en-GB"/>
        </w:rPr>
        <w:t>https://www.gov.uk/government/collections/mental-capacity-act-making-decisions</w:t>
      </w:r>
      <w:r w:rsidR="001B56C4">
        <w:rPr>
          <w:rFonts w:ascii="Times New Roman" w:eastAsia="Arial Unicode MS" w:hAnsi="Times New Roman" w:cs="Arial Unicode MS"/>
          <w:color w:val="000000"/>
          <w:sz w:val="24"/>
          <w:szCs w:val="24"/>
          <w:u w:val="single" w:color="000000"/>
          <w:bdr w:val="nil"/>
          <w:lang w:val="en-US" w:eastAsia="en-GB"/>
        </w:rPr>
        <w:fldChar w:fldCharType="end"/>
      </w:r>
      <w:r w:rsidRPr="004D05DC">
        <w:rPr>
          <w:rFonts w:ascii="Helvetica" w:eastAsia="Times New Roman" w:hAnsi="Helvetica" w:cs="Times New Roman"/>
          <w:color w:val="000000"/>
          <w:sz w:val="24"/>
          <w:szCs w:val="24"/>
          <w:u w:color="000000"/>
          <w:bdr w:val="nil"/>
          <w:lang w:val="en-US" w:eastAsia="en-GB"/>
        </w:rPr>
        <w:t xml:space="preserve">  Accessed: 23rd September 2018.</w:t>
      </w:r>
    </w:p>
    <w:p w:rsidR="004D05DC" w:rsidRPr="004D05DC" w:rsidRDefault="004D05DC" w:rsidP="004D05DC">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Pagano, M. (2014) </w:t>
      </w:r>
      <w:r w:rsidRPr="004D05DC">
        <w:rPr>
          <w:rFonts w:ascii="Helvetica" w:eastAsia="Times New Roman" w:hAnsi="Helvetica" w:cs="Times New Roman"/>
          <w:i/>
          <w:iCs/>
          <w:color w:val="000000"/>
          <w:sz w:val="24"/>
          <w:szCs w:val="24"/>
          <w:u w:color="000000"/>
          <w:bdr w:val="nil"/>
          <w:lang w:val="en-US" w:eastAsia="en-GB"/>
        </w:rPr>
        <w:t>Communication Case Studies for Health Care Professionals,</w:t>
      </w:r>
      <w:r w:rsidRPr="004D05DC">
        <w:rPr>
          <w:rFonts w:ascii="Helvetica" w:eastAsia="Times New Roman" w:hAnsi="Helvetica" w:cs="Times New Roman"/>
          <w:color w:val="000000"/>
          <w:sz w:val="24"/>
          <w:szCs w:val="24"/>
          <w:u w:color="000000"/>
          <w:bdr w:val="nil"/>
          <w:lang w:val="en-US" w:eastAsia="en-GB"/>
        </w:rPr>
        <w:t xml:space="preserve"> 2nd </w:t>
      </w:r>
      <w:proofErr w:type="spellStart"/>
      <w:r w:rsidRPr="004D05DC">
        <w:rPr>
          <w:rFonts w:ascii="Helvetica" w:eastAsia="Times New Roman" w:hAnsi="Helvetica" w:cs="Times New Roman"/>
          <w:color w:val="000000"/>
          <w:sz w:val="24"/>
          <w:szCs w:val="24"/>
          <w:u w:color="000000"/>
          <w:bdr w:val="nil"/>
          <w:lang w:val="en-US" w:eastAsia="en-GB"/>
        </w:rPr>
        <w:t>edn</w:t>
      </w:r>
      <w:proofErr w:type="spellEnd"/>
      <w:r w:rsidRPr="004D05DC">
        <w:rPr>
          <w:rFonts w:ascii="Helvetica" w:eastAsia="Times New Roman" w:hAnsi="Helvetica" w:cs="Times New Roman"/>
          <w:color w:val="000000"/>
          <w:sz w:val="24"/>
          <w:szCs w:val="24"/>
          <w:u w:color="000000"/>
          <w:bdr w:val="nil"/>
          <w:lang w:val="en-US" w:eastAsia="en-GB"/>
        </w:rPr>
        <w:t xml:space="preserve">. New York: Springer Publishing Company. </w:t>
      </w:r>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color w:val="000000"/>
          <w:sz w:val="24"/>
          <w:szCs w:val="24"/>
          <w:u w:color="000000"/>
          <w:bdr w:val="nil"/>
          <w:lang w:val="en-US" w:eastAsia="en-GB"/>
        </w:rPr>
      </w:pPr>
      <w:r w:rsidRPr="004D05DC">
        <w:rPr>
          <w:rFonts w:ascii="Helvetica" w:eastAsia="Helvetica" w:hAnsi="Helvetica" w:cs="Helvetica"/>
          <w:color w:val="000000"/>
          <w:sz w:val="24"/>
          <w:szCs w:val="24"/>
          <w:u w:color="000000"/>
          <w:bdr w:val="nil"/>
          <w:lang w:val="en-US" w:eastAsia="en-GB"/>
        </w:rPr>
        <w:t xml:space="preserve">Pritchard, J. (2008) </w:t>
      </w:r>
      <w:r w:rsidRPr="004D05DC">
        <w:rPr>
          <w:rFonts w:ascii="Helvetica" w:eastAsia="Helvetica" w:hAnsi="Helvetica" w:cs="Helvetica"/>
          <w:i/>
          <w:iCs/>
          <w:color w:val="000000"/>
          <w:sz w:val="24"/>
          <w:szCs w:val="24"/>
          <w:u w:color="000000"/>
          <w:bdr w:val="nil"/>
          <w:lang w:val="en-US" w:eastAsia="en-GB"/>
        </w:rPr>
        <w:t xml:space="preserve">Good Practice in the Law and Safeguarding </w:t>
      </w:r>
      <w:r w:rsidRPr="004D05DC">
        <w:rPr>
          <w:rFonts w:ascii="Helvetica" w:eastAsia="Helvetica" w:hAnsi="Helvetica" w:cs="Helvetica"/>
          <w:color w:val="000000"/>
          <w:sz w:val="24"/>
          <w:szCs w:val="24"/>
          <w:u w:color="000000"/>
          <w:bdr w:val="nil"/>
          <w:lang w:val="en-US" w:eastAsia="en-GB"/>
        </w:rPr>
        <w:t>Adults: Criminal Justice</w:t>
      </w:r>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color w:val="000000"/>
          <w:sz w:val="24"/>
          <w:szCs w:val="24"/>
          <w:u w:color="000000"/>
          <w:bdr w:val="nil"/>
          <w:lang w:val="en-US" w:eastAsia="en-GB"/>
        </w:rPr>
      </w:pPr>
      <w:proofErr w:type="gramStart"/>
      <w:r w:rsidRPr="004D05DC">
        <w:rPr>
          <w:rFonts w:ascii="Helvetica" w:eastAsia="Helvetica" w:hAnsi="Helvetica" w:cs="Helvetica"/>
          <w:color w:val="000000"/>
          <w:sz w:val="24"/>
          <w:szCs w:val="24"/>
          <w:u w:color="000000"/>
          <w:bdr w:val="nil"/>
          <w:lang w:val="en-US" w:eastAsia="en-GB"/>
        </w:rPr>
        <w:t>and</w:t>
      </w:r>
      <w:proofErr w:type="gramEnd"/>
      <w:r w:rsidRPr="004D05DC">
        <w:rPr>
          <w:rFonts w:ascii="Helvetica" w:eastAsia="Helvetica" w:hAnsi="Helvetica" w:cs="Helvetica"/>
          <w:color w:val="000000"/>
          <w:sz w:val="24"/>
          <w:szCs w:val="24"/>
          <w:u w:color="000000"/>
          <w:bdr w:val="nil"/>
          <w:lang w:val="en-US" w:eastAsia="en-GB"/>
        </w:rPr>
        <w:t xml:space="preserve"> Adult Protection. London: Jessica Kingsley Publishers. </w:t>
      </w:r>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Quality Care Commission (2014)</w:t>
      </w:r>
      <w:r w:rsidRPr="004D05DC">
        <w:rPr>
          <w:rFonts w:ascii="Helvetica" w:eastAsia="Times New Roman" w:hAnsi="Helvetica" w:cs="Times New Roman"/>
          <w:i/>
          <w:iCs/>
          <w:color w:val="000000"/>
          <w:sz w:val="24"/>
          <w:szCs w:val="24"/>
          <w:u w:color="000000"/>
          <w:bdr w:val="nil"/>
          <w:lang w:val="en-US" w:eastAsia="en-GB"/>
        </w:rPr>
        <w:t xml:space="preserve"> Safeguarding Adults.</w:t>
      </w:r>
      <w:r w:rsidRPr="004D05DC">
        <w:rPr>
          <w:rFonts w:ascii="Helvetica" w:eastAsia="Times New Roman" w:hAnsi="Helvetica" w:cs="Times New Roman"/>
          <w:color w:val="000000"/>
          <w:sz w:val="24"/>
          <w:szCs w:val="24"/>
          <w:u w:color="000000"/>
          <w:bdr w:val="nil"/>
          <w:lang w:val="en-US" w:eastAsia="en-GB"/>
        </w:rPr>
        <w:t xml:space="preserve">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Available at:</w:t>
      </w:r>
    </w:p>
    <w:p w:rsidR="004D05DC" w:rsidRPr="004D05DC" w:rsidRDefault="001B56C4"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hyperlink r:id="rId18" w:history="1">
        <w:r w:rsidR="004D05DC" w:rsidRPr="004D05DC">
          <w:rPr>
            <w:rFonts w:ascii="Times New Roman" w:eastAsia="Arial Unicode MS" w:hAnsi="Times New Roman" w:cs="Arial Unicode MS"/>
            <w:color w:val="000000"/>
            <w:sz w:val="24"/>
            <w:szCs w:val="24"/>
            <w:u w:val="single" w:color="000000"/>
            <w:bdr w:val="nil"/>
            <w:lang w:val="en-US" w:eastAsia="en-GB"/>
          </w:rPr>
          <w:t>https://www.cqc.org.uk/sites/default/files/20140416_safeguarding_adults_-_roles_and_responsibilities_-_revised_draf....pdf</w:t>
        </w:r>
      </w:hyperlink>
      <w:r w:rsidR="004D05DC" w:rsidRPr="004D05DC">
        <w:rPr>
          <w:rFonts w:ascii="Helvetica" w:eastAsia="Times New Roman" w:hAnsi="Helvetica" w:cs="Times New Roman"/>
          <w:color w:val="000000"/>
          <w:sz w:val="24"/>
          <w:szCs w:val="24"/>
          <w:u w:color="000000"/>
          <w:bdr w:val="nil"/>
          <w:lang w:val="en-US" w:eastAsia="en-GB"/>
        </w:rPr>
        <w:t xml:space="preserv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15th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roofErr w:type="spellStart"/>
      <w:r w:rsidRPr="004D05DC">
        <w:rPr>
          <w:rFonts w:ascii="Helvetica" w:eastAsia="Times New Roman" w:hAnsi="Helvetica" w:cs="Times New Roman"/>
          <w:color w:val="000000"/>
          <w:sz w:val="24"/>
          <w:szCs w:val="24"/>
          <w:u w:color="000000"/>
          <w:bdr w:val="nil"/>
          <w:lang w:val="en-US" w:eastAsia="en-GB"/>
        </w:rPr>
        <w:t>Ramlaul</w:t>
      </w:r>
      <w:proofErr w:type="spellEnd"/>
      <w:r w:rsidRPr="004D05DC">
        <w:rPr>
          <w:rFonts w:ascii="Helvetica" w:eastAsia="Times New Roman" w:hAnsi="Helvetica" w:cs="Times New Roman"/>
          <w:color w:val="000000"/>
          <w:sz w:val="24"/>
          <w:szCs w:val="24"/>
          <w:u w:color="000000"/>
          <w:bdr w:val="nil"/>
          <w:lang w:val="en-US" w:eastAsia="en-GB"/>
        </w:rPr>
        <w:t xml:space="preserve">, A. and Vosper, M. (2013) </w:t>
      </w:r>
      <w:r w:rsidRPr="004D05DC">
        <w:rPr>
          <w:rFonts w:ascii="Helvetica" w:eastAsia="Times New Roman" w:hAnsi="Helvetica" w:cs="Times New Roman"/>
          <w:i/>
          <w:iCs/>
          <w:color w:val="000000"/>
          <w:sz w:val="24"/>
          <w:szCs w:val="24"/>
          <w:u w:color="000000"/>
          <w:bdr w:val="nil"/>
          <w:lang w:val="en-US" w:eastAsia="en-GB"/>
        </w:rPr>
        <w:t xml:space="preserve">Patient </w:t>
      </w:r>
      <w:proofErr w:type="spellStart"/>
      <w:r w:rsidRPr="004D05DC">
        <w:rPr>
          <w:rFonts w:ascii="Helvetica" w:eastAsia="Times New Roman" w:hAnsi="Helvetica" w:cs="Times New Roman"/>
          <w:i/>
          <w:iCs/>
          <w:color w:val="000000"/>
          <w:sz w:val="24"/>
          <w:szCs w:val="24"/>
          <w:u w:color="000000"/>
          <w:bdr w:val="nil"/>
          <w:lang w:val="en-US" w:eastAsia="en-GB"/>
        </w:rPr>
        <w:t>Centred</w:t>
      </w:r>
      <w:proofErr w:type="spellEnd"/>
      <w:r w:rsidRPr="004D05DC">
        <w:rPr>
          <w:rFonts w:ascii="Helvetica" w:eastAsia="Times New Roman" w:hAnsi="Helvetica" w:cs="Times New Roman"/>
          <w:i/>
          <w:iCs/>
          <w:color w:val="000000"/>
          <w:sz w:val="24"/>
          <w:szCs w:val="24"/>
          <w:u w:color="000000"/>
          <w:bdr w:val="nil"/>
          <w:lang w:val="en-US" w:eastAsia="en-GB"/>
        </w:rPr>
        <w:t xml:space="preserve"> Care in Medical Imaging and Radiotherapy. London: </w:t>
      </w:r>
      <w:r w:rsidRPr="004D05DC">
        <w:rPr>
          <w:rFonts w:ascii="Helvetica" w:eastAsia="Times New Roman" w:hAnsi="Helvetica" w:cs="Times New Roman"/>
          <w:color w:val="000000"/>
          <w:sz w:val="24"/>
          <w:szCs w:val="24"/>
          <w:u w:color="000000"/>
          <w:bdr w:val="nil"/>
          <w:lang w:val="en-US" w:eastAsia="en-GB"/>
        </w:rPr>
        <w:t xml:space="preserve">Churchill Livingstone.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Rogers, J., Bright, L. and Davies, H. (2015)</w:t>
      </w:r>
      <w:r w:rsidRPr="004D05DC">
        <w:rPr>
          <w:rFonts w:ascii="Helvetica" w:eastAsia="Times New Roman" w:hAnsi="Helvetica" w:cs="Times New Roman"/>
          <w:i/>
          <w:iCs/>
          <w:color w:val="000000"/>
          <w:sz w:val="24"/>
          <w:szCs w:val="24"/>
          <w:u w:color="000000"/>
          <w:bdr w:val="nil"/>
          <w:lang w:val="en-US" w:eastAsia="en-GB"/>
        </w:rPr>
        <w:t xml:space="preserve"> Social Work with Adults.</w:t>
      </w:r>
      <w:r w:rsidRPr="004D05DC">
        <w:rPr>
          <w:rFonts w:ascii="Helvetica" w:eastAsia="Times New Roman" w:hAnsi="Helvetica" w:cs="Times New Roman"/>
          <w:color w:val="000000"/>
          <w:sz w:val="24"/>
          <w:szCs w:val="24"/>
          <w:u w:color="000000"/>
          <w:bdr w:val="nil"/>
          <w:lang w:val="en-US" w:eastAsia="en-GB"/>
        </w:rPr>
        <w:t xml:space="preserve"> London. Learning Matters.</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Social Care Institute for Excellence (2015) </w:t>
      </w:r>
      <w:r w:rsidRPr="004D05DC">
        <w:rPr>
          <w:rFonts w:ascii="Helvetica" w:eastAsia="Times New Roman" w:hAnsi="Helvetica" w:cs="Times New Roman"/>
          <w:i/>
          <w:iCs/>
          <w:color w:val="000000"/>
          <w:sz w:val="24"/>
          <w:szCs w:val="24"/>
          <w:u w:color="000000"/>
          <w:bdr w:val="nil"/>
          <w:lang w:val="en-US" w:eastAsia="en-GB"/>
        </w:rPr>
        <w:t>Adult Safeguarding: Sharing Information.</w:t>
      </w:r>
      <w:r w:rsidRPr="004D05DC">
        <w:rPr>
          <w:rFonts w:ascii="Helvetica" w:eastAsia="Times New Roman" w:hAnsi="Helvetica" w:cs="Times New Roman"/>
          <w:color w:val="000000"/>
          <w:sz w:val="24"/>
          <w:szCs w:val="24"/>
          <w:u w:color="000000"/>
          <w:bdr w:val="nil"/>
          <w:lang w:val="en-US" w:eastAsia="en-GB"/>
        </w:rPr>
        <w:t xml:space="preserve">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19" w:history="1">
        <w:r w:rsidRPr="004D05DC">
          <w:rPr>
            <w:rFonts w:ascii="Times New Roman" w:eastAsia="Arial Unicode MS" w:hAnsi="Times New Roman" w:cs="Arial Unicode MS"/>
            <w:color w:val="000000"/>
            <w:sz w:val="24"/>
            <w:szCs w:val="24"/>
            <w:u w:val="single" w:color="000000"/>
            <w:bdr w:val="nil"/>
            <w:lang w:val="en-US" w:eastAsia="en-GB"/>
          </w:rPr>
          <w:t>https://www.scie.org.uk/care-act-2014/safeguarding-adults/sharing-information/</w:t>
        </w:r>
      </w:hyperlink>
      <w:r w:rsidRPr="004D05DC">
        <w:rPr>
          <w:rFonts w:ascii="Helvetica" w:eastAsia="Times New Roman" w:hAnsi="Helvetica" w:cs="Times New Roman"/>
          <w:color w:val="000000"/>
          <w:sz w:val="24"/>
          <w:szCs w:val="24"/>
          <w:u w:color="000000"/>
          <w:bdr w:val="nil"/>
          <w:lang w:val="en-US" w:eastAsia="en-GB"/>
        </w:rPr>
        <w:t xml:space="preserve">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31st August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Social Care Wales (2017) </w:t>
      </w:r>
      <w:r w:rsidRPr="004D05DC">
        <w:rPr>
          <w:rFonts w:ascii="Helvetica" w:eastAsia="Times New Roman" w:hAnsi="Helvetica" w:cs="Times New Roman"/>
          <w:i/>
          <w:iCs/>
          <w:color w:val="000000"/>
          <w:sz w:val="24"/>
          <w:szCs w:val="24"/>
          <w:u w:color="000000"/>
          <w:bdr w:val="nil"/>
          <w:lang w:val="en-US" w:eastAsia="en-GB"/>
        </w:rPr>
        <w:t xml:space="preserve">Practice Guidance For Social Workers Registered with Social Care Wales. </w:t>
      </w:r>
      <w:r w:rsidRPr="004D05DC">
        <w:rPr>
          <w:rFonts w:ascii="Helvetica" w:eastAsia="Times New Roman" w:hAnsi="Helvetica" w:cs="Times New Roman"/>
          <w:color w:val="000000"/>
          <w:sz w:val="24"/>
          <w:szCs w:val="24"/>
          <w:u w:color="000000"/>
          <w:bdr w:val="nil"/>
          <w:lang w:val="en-US" w:eastAsia="en-GB"/>
        </w:rPr>
        <w:t>Available at:</w:t>
      </w:r>
      <w:r w:rsidRPr="004D05DC">
        <w:rPr>
          <w:rFonts w:ascii="Helvetica" w:eastAsia="Times New Roman" w:hAnsi="Helvetica" w:cs="Times New Roman"/>
          <w:i/>
          <w:iCs/>
          <w:color w:val="000000"/>
          <w:sz w:val="24"/>
          <w:szCs w:val="24"/>
          <w:u w:color="000000"/>
          <w:bdr w:val="nil"/>
          <w:lang w:val="en-US" w:eastAsia="en-GB"/>
        </w:rPr>
        <w:t xml:space="preserve"> </w:t>
      </w:r>
      <w:hyperlink r:id="rId20" w:history="1">
        <w:r w:rsidRPr="004D05DC">
          <w:rPr>
            <w:rFonts w:ascii="Times New Roman" w:eastAsia="Arial Unicode MS" w:hAnsi="Times New Roman" w:cs="Arial Unicode MS"/>
            <w:color w:val="000000"/>
            <w:sz w:val="24"/>
            <w:szCs w:val="24"/>
            <w:u w:val="single" w:color="000000"/>
            <w:bdr w:val="nil"/>
            <w:lang w:val="en-US" w:eastAsia="en-GB"/>
          </w:rPr>
          <w:t>https://socialcare.wales/cms_assets/file-uploads/The-social-worker-April-2017.pdf</w:t>
        </w:r>
      </w:hyperlink>
      <w:r w:rsidRPr="004D05DC">
        <w:rPr>
          <w:rFonts w:ascii="Helvetica" w:eastAsia="Times New Roman" w:hAnsi="Helvetica" w:cs="Times New Roman"/>
          <w:color w:val="000000"/>
          <w:sz w:val="24"/>
          <w:szCs w:val="24"/>
          <w:u w:color="000000"/>
          <w:bdr w:val="nil"/>
          <w:lang w:val="en-US" w:eastAsia="en-GB"/>
        </w:rPr>
        <w:t xml:space="preserve"> Accessed: 26th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val="single"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South </w:t>
      </w:r>
      <w:proofErr w:type="spellStart"/>
      <w:r w:rsidRPr="004D05DC">
        <w:rPr>
          <w:rFonts w:ascii="Helvetica" w:eastAsia="Times New Roman" w:hAnsi="Helvetica" w:cs="Times New Roman"/>
          <w:color w:val="000000"/>
          <w:sz w:val="24"/>
          <w:szCs w:val="24"/>
          <w:u w:color="000000"/>
          <w:bdr w:val="nil"/>
          <w:lang w:val="en-US" w:eastAsia="en-GB"/>
        </w:rPr>
        <w:t>Lanarkshire</w:t>
      </w:r>
      <w:proofErr w:type="spellEnd"/>
      <w:r w:rsidRPr="004D05DC">
        <w:rPr>
          <w:rFonts w:ascii="Helvetica" w:eastAsia="Times New Roman" w:hAnsi="Helvetica" w:cs="Times New Roman"/>
          <w:color w:val="000000"/>
          <w:sz w:val="24"/>
          <w:szCs w:val="24"/>
          <w:u w:color="000000"/>
          <w:bdr w:val="nil"/>
          <w:lang w:val="en-US" w:eastAsia="en-GB"/>
        </w:rPr>
        <w:t xml:space="preserve"> Adult Protection Committee (2018) </w:t>
      </w:r>
      <w:r w:rsidRPr="004D05DC">
        <w:rPr>
          <w:rFonts w:ascii="Helvetica" w:eastAsia="Times New Roman" w:hAnsi="Helvetica" w:cs="Times New Roman"/>
          <w:i/>
          <w:iCs/>
          <w:color w:val="000000"/>
          <w:sz w:val="24"/>
          <w:szCs w:val="24"/>
          <w:u w:color="000000"/>
          <w:bdr w:val="nil"/>
          <w:lang w:val="en-US" w:eastAsia="en-GB"/>
        </w:rPr>
        <w:t xml:space="preserve">Social Work. </w:t>
      </w:r>
      <w:r w:rsidRPr="004D05DC">
        <w:rPr>
          <w:rFonts w:ascii="Helvetica" w:eastAsia="Times New Roman" w:hAnsi="Helvetica" w:cs="Times New Roman"/>
          <w:color w:val="000000"/>
          <w:sz w:val="24"/>
          <w:szCs w:val="24"/>
          <w:u w:color="000000"/>
          <w:bdr w:val="nil"/>
          <w:lang w:val="en-US" w:eastAsia="en-GB"/>
        </w:rPr>
        <w:t>[</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21" w:history="1">
        <w:r w:rsidRPr="004D05DC">
          <w:rPr>
            <w:rFonts w:ascii="Times New Roman" w:eastAsia="Arial Unicode MS" w:hAnsi="Times New Roman" w:cs="Arial Unicode MS"/>
            <w:color w:val="000000"/>
            <w:sz w:val="24"/>
            <w:szCs w:val="24"/>
            <w:u w:val="single" w:color="000000"/>
            <w:bdr w:val="nil"/>
            <w:lang w:val="en-US" w:eastAsia="en-GB"/>
          </w:rPr>
          <w:t>http://www.adultprotectionsouthlanarkshire.org.uk/adultprotection/info/61/social_work</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12th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Teater, B. (2014) </w:t>
      </w:r>
      <w:r w:rsidRPr="004D05DC">
        <w:rPr>
          <w:rFonts w:ascii="Helvetica" w:eastAsia="Times New Roman" w:hAnsi="Helvetica" w:cs="Times New Roman"/>
          <w:i/>
          <w:iCs/>
          <w:color w:val="000000"/>
          <w:sz w:val="24"/>
          <w:szCs w:val="24"/>
          <w:u w:color="000000"/>
          <w:bdr w:val="nil"/>
          <w:lang w:val="en-US" w:eastAsia="en-GB"/>
        </w:rPr>
        <w:t xml:space="preserve">Contemporary Social Work Practice. Berkshire: </w:t>
      </w:r>
      <w:r w:rsidRPr="004D05DC">
        <w:rPr>
          <w:rFonts w:ascii="Helvetica" w:eastAsia="Times New Roman" w:hAnsi="Helvetica" w:cs="Times New Roman"/>
          <w:color w:val="000000"/>
          <w:sz w:val="24"/>
          <w:szCs w:val="24"/>
          <w:u w:color="000000"/>
          <w:bdr w:val="nil"/>
          <w:lang w:val="en-US" w:eastAsia="en-GB"/>
        </w:rPr>
        <w:t>McGraw-Hill Education.</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Taylor, B. (2010) </w:t>
      </w:r>
      <w:r w:rsidRPr="004D05DC">
        <w:rPr>
          <w:rFonts w:ascii="Helvetica" w:eastAsia="Times New Roman" w:hAnsi="Helvetica" w:cs="Times New Roman"/>
          <w:i/>
          <w:iCs/>
          <w:color w:val="000000"/>
          <w:sz w:val="24"/>
          <w:szCs w:val="24"/>
          <w:u w:color="000000"/>
          <w:bdr w:val="nil"/>
          <w:lang w:val="en-US" w:eastAsia="en-GB"/>
        </w:rPr>
        <w:t xml:space="preserve">Professional Decision Making in Social Work. </w:t>
      </w:r>
      <w:r w:rsidRPr="004D05DC">
        <w:rPr>
          <w:rFonts w:ascii="Helvetica" w:eastAsia="Times New Roman" w:hAnsi="Helvetica" w:cs="Times New Roman"/>
          <w:color w:val="000000"/>
          <w:sz w:val="24"/>
          <w:szCs w:val="24"/>
          <w:u w:color="000000"/>
          <w:bdr w:val="nil"/>
          <w:lang w:val="en-US" w:eastAsia="en-GB"/>
        </w:rPr>
        <w:t xml:space="preserve">London: Sage Publication.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Taylor, B. (2017) </w:t>
      </w:r>
      <w:r w:rsidRPr="004D05DC">
        <w:rPr>
          <w:rFonts w:ascii="Helvetica" w:eastAsia="Times New Roman" w:hAnsi="Helvetica" w:cs="Times New Roman"/>
          <w:i/>
          <w:iCs/>
          <w:color w:val="000000"/>
          <w:sz w:val="24"/>
          <w:szCs w:val="24"/>
          <w:u w:color="000000"/>
          <w:bdr w:val="nil"/>
          <w:lang w:val="en-US" w:eastAsia="en-GB"/>
        </w:rPr>
        <w:t xml:space="preserve">Decision Making: Assessment and Risk in Social Work. </w:t>
      </w:r>
      <w:r w:rsidRPr="004D05DC">
        <w:rPr>
          <w:rFonts w:ascii="Helvetica" w:eastAsia="Times New Roman" w:hAnsi="Helvetica" w:cs="Times New Roman"/>
          <w:color w:val="000000"/>
          <w:sz w:val="24"/>
          <w:szCs w:val="24"/>
          <w:u w:color="000000"/>
          <w:bdr w:val="nil"/>
          <w:lang w:val="en-US" w:eastAsia="en-GB"/>
        </w:rPr>
        <w:t>London:</w:t>
      </w:r>
      <w:r w:rsidRPr="004D05DC">
        <w:rPr>
          <w:rFonts w:ascii="Helvetica" w:eastAsia="Times New Roman" w:hAnsi="Helvetica" w:cs="Times New Roman"/>
          <w:i/>
          <w:iCs/>
          <w:color w:val="000000"/>
          <w:sz w:val="24"/>
          <w:szCs w:val="24"/>
          <w:u w:color="000000"/>
          <w:bdr w:val="nil"/>
          <w:lang w:val="en-US" w:eastAsia="en-GB"/>
        </w:rPr>
        <w:t xml:space="preserve"> </w:t>
      </w:r>
      <w:r w:rsidRPr="004D05DC">
        <w:rPr>
          <w:rFonts w:ascii="Helvetica" w:eastAsia="Times New Roman" w:hAnsi="Helvetica" w:cs="Times New Roman"/>
          <w:color w:val="000000"/>
          <w:sz w:val="24"/>
          <w:szCs w:val="24"/>
          <w:u w:color="000000"/>
          <w:bdr w:val="nil"/>
          <w:lang w:val="en-US" w:eastAsia="en-GB"/>
        </w:rPr>
        <w:t xml:space="preserve">Learning Matters.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The Welsh NHS Confederation (2018) </w:t>
      </w:r>
      <w:r w:rsidRPr="004D05DC">
        <w:rPr>
          <w:rFonts w:ascii="Helvetica" w:eastAsia="Times New Roman" w:hAnsi="Helvetica" w:cs="Times New Roman"/>
          <w:i/>
          <w:iCs/>
          <w:color w:val="000000"/>
          <w:sz w:val="24"/>
          <w:szCs w:val="24"/>
          <w:u w:color="000000"/>
          <w:bdr w:val="nil"/>
          <w:lang w:val="en-US" w:eastAsia="en-GB"/>
        </w:rPr>
        <w:t xml:space="preserve">Rural Health and Care Services in Wales. </w:t>
      </w:r>
      <w:r w:rsidRPr="004D05DC">
        <w:rPr>
          <w:rFonts w:ascii="Helvetica" w:eastAsia="Times New Roman" w:hAnsi="Helvetica" w:cs="Times New Roman"/>
          <w:color w:val="000000"/>
          <w:sz w:val="24"/>
          <w:szCs w:val="24"/>
          <w:u w:color="000000"/>
          <w:bdr w:val="nil"/>
          <w:lang w:val="en-US" w:eastAsia="en-GB"/>
        </w:rPr>
        <w:t>[</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Available at</w:t>
      </w:r>
      <w:proofErr w:type="gramStart"/>
      <w:r w:rsidRPr="004D05DC">
        <w:rPr>
          <w:rFonts w:ascii="Helvetica" w:eastAsia="Times New Roman" w:hAnsi="Helvetica" w:cs="Times New Roman"/>
          <w:color w:val="000000"/>
          <w:sz w:val="24"/>
          <w:szCs w:val="24"/>
          <w:u w:color="000000"/>
          <w:bdr w:val="nil"/>
          <w:lang w:val="en-US" w:eastAsia="en-GB"/>
        </w:rPr>
        <w:t>:https</w:t>
      </w:r>
      <w:proofErr w:type="gramEnd"/>
      <w:r w:rsidRPr="004D05DC">
        <w:rPr>
          <w:rFonts w:ascii="Helvetica" w:eastAsia="Times New Roman" w:hAnsi="Helvetica" w:cs="Times New Roman"/>
          <w:color w:val="000000"/>
          <w:sz w:val="24"/>
          <w:szCs w:val="24"/>
          <w:u w:color="000000"/>
          <w:bdr w:val="nil"/>
          <w:lang w:val="en-US" w:eastAsia="en-GB"/>
        </w:rPr>
        <w:t>://</w:t>
      </w:r>
      <w:hyperlink r:id="rId22" w:history="1">
        <w:r w:rsidRPr="004D05DC">
          <w:rPr>
            <w:rFonts w:ascii="Times New Roman" w:eastAsia="Arial Unicode MS" w:hAnsi="Times New Roman" w:cs="Arial Unicode MS"/>
            <w:color w:val="000000"/>
            <w:sz w:val="24"/>
            <w:szCs w:val="24"/>
            <w:u w:val="single" w:color="000000"/>
            <w:bdr w:val="nil"/>
            <w:lang w:val="en-US" w:eastAsia="en-GB"/>
          </w:rPr>
          <w:t>www.nhsconfed.org/-/media/Confederation/Files/Wales-Confed/Rural-Health-and-Care-Services-in-Wales.pdf</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15th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Welsh Government. (2005) </w:t>
      </w:r>
      <w:r w:rsidRPr="004D05DC">
        <w:rPr>
          <w:rFonts w:ascii="Helvetica" w:eastAsia="Times New Roman" w:hAnsi="Helvetica" w:cs="Times New Roman"/>
          <w:i/>
          <w:iCs/>
          <w:color w:val="000000"/>
          <w:sz w:val="24"/>
          <w:szCs w:val="24"/>
          <w:u w:color="000000"/>
          <w:bdr w:val="nil"/>
          <w:lang w:val="en-US" w:eastAsia="en-GB"/>
        </w:rPr>
        <w:t xml:space="preserve">Confidentiality: Code of Practice for Health and Social Care in Wales. </w:t>
      </w:r>
      <w:r w:rsidRPr="004D05DC">
        <w:rPr>
          <w:rFonts w:ascii="Helvetica" w:eastAsia="Times New Roman" w:hAnsi="Helvetica" w:cs="Times New Roman"/>
          <w:color w:val="000000"/>
          <w:sz w:val="24"/>
          <w:szCs w:val="24"/>
          <w:u w:color="000000"/>
          <w:bdr w:val="nil"/>
          <w:lang w:val="en-US" w:eastAsia="en-GB"/>
        </w:rPr>
        <w:t>[</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xml:space="preserve">] Available at: </w:t>
      </w:r>
      <w:hyperlink r:id="rId23" w:history="1">
        <w:r w:rsidRPr="004D05DC">
          <w:rPr>
            <w:rFonts w:ascii="Times New Roman" w:eastAsia="Arial Unicode MS" w:hAnsi="Times New Roman" w:cs="Arial Unicode MS"/>
            <w:color w:val="000000"/>
            <w:sz w:val="24"/>
            <w:szCs w:val="24"/>
            <w:u w:val="single" w:color="000000"/>
            <w:bdr w:val="nil"/>
            <w:lang w:val="en-US" w:eastAsia="en-GB"/>
          </w:rPr>
          <w:t>http://www.wales.nhs.uk/sites3/documents/950/codeofpractice.pdf</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30th June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Welsh Government (2012) </w:t>
      </w:r>
      <w:r w:rsidRPr="004D05DC">
        <w:rPr>
          <w:rFonts w:ascii="Helvetica" w:eastAsia="Times New Roman" w:hAnsi="Helvetica" w:cs="Times New Roman"/>
          <w:i/>
          <w:iCs/>
          <w:color w:val="000000"/>
          <w:sz w:val="24"/>
          <w:szCs w:val="24"/>
          <w:u w:color="000000"/>
          <w:bdr w:val="nil"/>
          <w:lang w:val="en-US" w:eastAsia="en-GB"/>
        </w:rPr>
        <w:t xml:space="preserve">More than just words. Strategic Framework for Welsh Language Services in Health, Social Services and Social Care. </w:t>
      </w:r>
      <w:r w:rsidRPr="004D05DC">
        <w:rPr>
          <w:rFonts w:ascii="Helvetica" w:eastAsia="Times New Roman" w:hAnsi="Helvetica" w:cs="Times New Roman"/>
          <w:color w:val="000000"/>
          <w:sz w:val="24"/>
          <w:szCs w:val="24"/>
          <w:u w:color="000000"/>
          <w:bdr w:val="nil"/>
          <w:lang w:val="en-US" w:eastAsia="en-GB"/>
        </w:rPr>
        <w:t>[</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Available at</w:t>
      </w:r>
      <w:proofErr w:type="gramStart"/>
      <w:r w:rsidRPr="004D05DC">
        <w:rPr>
          <w:rFonts w:ascii="Helvetica" w:eastAsia="Times New Roman" w:hAnsi="Helvetica" w:cs="Times New Roman"/>
          <w:color w:val="000000"/>
          <w:sz w:val="24"/>
          <w:szCs w:val="24"/>
          <w:u w:color="000000"/>
          <w:bdr w:val="nil"/>
          <w:lang w:val="en-US" w:eastAsia="en-GB"/>
        </w:rPr>
        <w:t>:http</w:t>
      </w:r>
      <w:proofErr w:type="gramEnd"/>
      <w:r w:rsidRPr="004D05DC">
        <w:rPr>
          <w:rFonts w:ascii="Helvetica" w:eastAsia="Times New Roman" w:hAnsi="Helvetica" w:cs="Times New Roman"/>
          <w:color w:val="000000"/>
          <w:sz w:val="24"/>
          <w:szCs w:val="24"/>
          <w:u w:color="000000"/>
          <w:bdr w:val="nil"/>
          <w:lang w:val="en-US" w:eastAsia="en-GB"/>
        </w:rPr>
        <w:t>://</w:t>
      </w:r>
      <w:hyperlink r:id="rId24" w:history="1">
        <w:r w:rsidRPr="004D05DC">
          <w:rPr>
            <w:rFonts w:ascii="Times New Roman" w:eastAsia="Arial Unicode MS" w:hAnsi="Times New Roman" w:cs="Arial Unicode MS"/>
            <w:color w:val="000000"/>
            <w:sz w:val="24"/>
            <w:szCs w:val="24"/>
            <w:u w:val="single" w:color="000000"/>
            <w:bdr w:val="nil"/>
            <w:lang w:val="en-US" w:eastAsia="en-GB"/>
          </w:rPr>
          <w:t>www.wales.nhs.uk/sites3/documents/415/web%20-%2016184_narrative_e_web.pdf</w:t>
        </w:r>
      </w:hyperlink>
      <w:r w:rsidRPr="004D05DC">
        <w:rPr>
          <w:rFonts w:ascii="Helvetica" w:eastAsia="Times New Roman" w:hAnsi="Helvetica" w:cs="Times New Roman"/>
          <w:color w:val="000000"/>
          <w:sz w:val="24"/>
          <w:szCs w:val="24"/>
          <w:u w:color="000000"/>
          <w:bdr w:val="nil"/>
          <w:lang w:val="en-US" w:eastAsia="en-GB"/>
        </w:rPr>
        <w:t xml:space="preserve"> Accessed: 18th August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i/>
          <w:iCs/>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Welsh Government, (2014) </w:t>
      </w:r>
      <w:r w:rsidRPr="004D05DC">
        <w:rPr>
          <w:rFonts w:ascii="Helvetica" w:eastAsia="Times New Roman" w:hAnsi="Helvetica" w:cs="Times New Roman"/>
          <w:i/>
          <w:iCs/>
          <w:color w:val="000000"/>
          <w:sz w:val="24"/>
          <w:szCs w:val="24"/>
          <w:u w:color="000000"/>
          <w:bdr w:val="nil"/>
          <w:lang w:val="en-US" w:eastAsia="en-GB"/>
        </w:rPr>
        <w:t>Decision Support Tool for Continuing Healthcare</w:t>
      </w:r>
      <w:r w:rsidRPr="004D05DC">
        <w:rPr>
          <w:rFonts w:ascii="Helvetica" w:eastAsia="Times New Roman" w:hAnsi="Helvetica" w:cs="Times New Roman"/>
          <w:color w:val="000000"/>
          <w:sz w:val="24"/>
          <w:szCs w:val="24"/>
          <w:u w:color="000000"/>
          <w:bdr w:val="nil"/>
          <w:lang w:val="en-US" w:eastAsia="en-GB"/>
        </w:rPr>
        <w:t>.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25" w:history="1">
        <w:r w:rsidRPr="004D05DC">
          <w:rPr>
            <w:rFonts w:ascii="Times New Roman" w:eastAsia="Arial Unicode MS" w:hAnsi="Times New Roman" w:cs="Arial Unicode MS"/>
            <w:color w:val="000000"/>
            <w:sz w:val="24"/>
            <w:szCs w:val="24"/>
            <w:u w:val="single" w:color="000000"/>
            <w:bdr w:val="nil"/>
            <w:lang w:val="en-US" w:eastAsia="en-GB"/>
          </w:rPr>
          <w:t>http://www.cciss.org.uk/sitesplus/documents/1131/Decision%20Support%20Tool%20for%20Continuing%20NHS%20Healthcare%20English.pdf</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13th August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i/>
          <w:iCs/>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Welsh Government. (2016) </w:t>
      </w:r>
      <w:r w:rsidRPr="004D05DC">
        <w:rPr>
          <w:rFonts w:ascii="Helvetica" w:eastAsia="Times New Roman" w:hAnsi="Helvetica" w:cs="Times New Roman"/>
          <w:i/>
          <w:iCs/>
          <w:color w:val="000000"/>
          <w:sz w:val="24"/>
          <w:szCs w:val="24"/>
          <w:u w:color="000000"/>
          <w:bdr w:val="nil"/>
          <w:lang w:val="en-US" w:eastAsia="en-GB"/>
        </w:rPr>
        <w:t xml:space="preserve">Assessing and Meeting Needs. </w:t>
      </w:r>
      <w:r w:rsidRPr="004D05DC">
        <w:rPr>
          <w:rFonts w:ascii="Helvetica" w:eastAsia="Times New Roman" w:hAnsi="Helvetica" w:cs="Times New Roman"/>
          <w:color w:val="000000"/>
          <w:sz w:val="24"/>
          <w:szCs w:val="24"/>
          <w:u w:color="000000"/>
          <w:bdr w:val="nil"/>
          <w:lang w:val="en-US" w:eastAsia="en-GB"/>
        </w:rPr>
        <w:t>[</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26" w:history="1">
        <w:r w:rsidRPr="004D05DC">
          <w:rPr>
            <w:rFonts w:ascii="Times New Roman" w:eastAsia="Arial Unicode MS" w:hAnsi="Times New Roman" w:cs="Arial Unicode MS"/>
            <w:color w:val="000000"/>
            <w:sz w:val="24"/>
            <w:szCs w:val="24"/>
            <w:u w:val="single" w:color="000000"/>
            <w:bdr w:val="nil"/>
            <w:lang w:val="en-US" w:eastAsia="en-GB"/>
          </w:rPr>
          <w:t>http://law.gov.wales/publicservices/social-care/Local-authority-responsibilities/Care-and-support-for-adults-and-children/Assessing-and-meeting-needs/?lang=en#/publicservices/social-care/Local-authority-responsibilities/Care-and-support-for-adults-and-children/Assessing-and-meeting-needs/?tab=overview&amp;lang=en</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13th July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Welsh Government. (2018) </w:t>
      </w:r>
      <w:r w:rsidRPr="004D05DC">
        <w:rPr>
          <w:rFonts w:ascii="Helvetica" w:eastAsia="Times New Roman" w:hAnsi="Helvetica" w:cs="Times New Roman"/>
          <w:i/>
          <w:iCs/>
          <w:color w:val="000000"/>
          <w:sz w:val="24"/>
          <w:szCs w:val="24"/>
          <w:u w:color="000000"/>
          <w:bdr w:val="nil"/>
          <w:lang w:val="en-US" w:eastAsia="en-GB"/>
        </w:rPr>
        <w:t>Codes of Practice and Statutory Guidance</w:t>
      </w:r>
      <w:r w:rsidRPr="004D05DC">
        <w:rPr>
          <w:rFonts w:ascii="Helvetica" w:eastAsia="Times New Roman" w:hAnsi="Helvetica" w:cs="Times New Roman"/>
          <w:color w:val="000000"/>
          <w:sz w:val="24"/>
          <w:szCs w:val="24"/>
          <w:u w:color="000000"/>
          <w:bdr w:val="nil"/>
          <w:lang w:val="en-US" w:eastAsia="en-GB"/>
        </w:rPr>
        <w:t xml:space="preserve"> [online]</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27" w:history="1">
        <w:r w:rsidRPr="004D05DC">
          <w:rPr>
            <w:rFonts w:ascii="Times New Roman" w:eastAsia="Arial Unicode MS" w:hAnsi="Times New Roman" w:cs="Arial Unicode MS"/>
            <w:color w:val="000000"/>
            <w:sz w:val="24"/>
            <w:szCs w:val="24"/>
            <w:u w:val="single" w:color="000000"/>
            <w:bdr w:val="nil"/>
            <w:lang w:val="en-US" w:eastAsia="en-GB"/>
          </w:rPr>
          <w:t>https://gov.wales/topics/health/socialcare/act/code-of-practice/?lang=en</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June 30th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Welsh Government (2018) </w:t>
      </w:r>
      <w:r w:rsidRPr="004D05DC">
        <w:rPr>
          <w:rFonts w:ascii="Helvetica" w:eastAsia="Times New Roman" w:hAnsi="Helvetica" w:cs="Times New Roman"/>
          <w:i/>
          <w:iCs/>
          <w:color w:val="000000"/>
          <w:sz w:val="24"/>
          <w:szCs w:val="24"/>
          <w:u w:color="000000"/>
          <w:bdr w:val="nil"/>
          <w:lang w:val="en-US" w:eastAsia="en-GB"/>
        </w:rPr>
        <w:t xml:space="preserve">Adult Protection and Support Orders. </w:t>
      </w:r>
      <w:r w:rsidRPr="004D05DC">
        <w:rPr>
          <w:rFonts w:ascii="Helvetica" w:eastAsia="Times New Roman" w:hAnsi="Helvetica" w:cs="Times New Roman"/>
          <w:color w:val="000000"/>
          <w:sz w:val="24"/>
          <w:szCs w:val="24"/>
          <w:u w:color="000000"/>
          <w:bdr w:val="nil"/>
          <w:lang w:val="en-US" w:eastAsia="en-GB"/>
        </w:rPr>
        <w:t>[</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at:http://law.gov.wales/publicservices/social-care/Local-authority-responsibilities/Safeguarding/adult-protection-and-support-orders/?lang=en#/publicservices/social-care/Local-authority-responsibilities/Safeguarding/adult-protection-and-support-orders/?tab=overview&amp;lang=en </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13th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Whitney, B. (2004) </w:t>
      </w:r>
      <w:r w:rsidRPr="004D05DC">
        <w:rPr>
          <w:rFonts w:ascii="Helvetica" w:eastAsia="Times New Roman" w:hAnsi="Helvetica" w:cs="Times New Roman"/>
          <w:i/>
          <w:iCs/>
          <w:color w:val="000000"/>
          <w:sz w:val="24"/>
          <w:szCs w:val="24"/>
          <w:u w:color="000000"/>
          <w:bdr w:val="nil"/>
          <w:lang w:val="en-US" w:eastAsia="en-GB"/>
        </w:rPr>
        <w:t xml:space="preserve">Protecting Children: A Handbook for Teachers and School Managers. </w:t>
      </w:r>
      <w:r w:rsidRPr="004D05DC">
        <w:rPr>
          <w:rFonts w:ascii="Helvetica" w:eastAsia="Times New Roman" w:hAnsi="Helvetica" w:cs="Times New Roman"/>
          <w:color w:val="000000"/>
          <w:sz w:val="24"/>
          <w:szCs w:val="24"/>
          <w:u w:color="000000"/>
          <w:bdr w:val="nil"/>
          <w:lang w:val="en-US" w:eastAsia="en-GB"/>
        </w:rPr>
        <w:t xml:space="preserve">London: Rutledge </w:t>
      </w:r>
      <w:proofErr w:type="spellStart"/>
      <w:r w:rsidRPr="004D05DC">
        <w:rPr>
          <w:rFonts w:ascii="Helvetica" w:eastAsia="Times New Roman" w:hAnsi="Helvetica" w:cs="Times New Roman"/>
          <w:color w:val="000000"/>
          <w:sz w:val="24"/>
          <w:szCs w:val="24"/>
          <w:u w:color="000000"/>
          <w:bdr w:val="nil"/>
          <w:lang w:val="en-US" w:eastAsia="en-GB"/>
        </w:rPr>
        <w:t>Falmer</w:t>
      </w:r>
      <w:proofErr w:type="spellEnd"/>
      <w:r w:rsidRPr="004D05DC">
        <w:rPr>
          <w:rFonts w:ascii="Helvetica" w:eastAsia="Times New Roman" w:hAnsi="Helvetica" w:cs="Times New Roman"/>
          <w:color w:val="000000"/>
          <w:sz w:val="24"/>
          <w:szCs w:val="24"/>
          <w:u w:color="000000"/>
          <w:bdr w:val="nil"/>
          <w:lang w:val="en-US" w:eastAsia="en-GB"/>
        </w:rPr>
        <w: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i/>
          <w:iCs/>
          <w:color w:val="000000"/>
          <w:sz w:val="24"/>
          <w:szCs w:val="24"/>
          <w:u w:color="000000"/>
          <w:bdr w:val="nil"/>
          <w:lang w:val="en-US" w:eastAsia="en-GB"/>
        </w:rPr>
      </w:pPr>
      <w:r w:rsidRPr="004D05DC">
        <w:rPr>
          <w:rFonts w:ascii="Helvetica" w:eastAsia="Helvetica" w:hAnsi="Helvetica" w:cs="Helvetica"/>
          <w:color w:val="000000"/>
          <w:sz w:val="24"/>
          <w:szCs w:val="24"/>
          <w:u w:color="000000"/>
          <w:bdr w:val="nil"/>
          <w:lang w:val="en-US" w:eastAsia="en-GB"/>
        </w:rPr>
        <w:t xml:space="preserve">Williamson, T. and </w:t>
      </w:r>
      <w:proofErr w:type="spellStart"/>
      <w:r w:rsidRPr="004D05DC">
        <w:rPr>
          <w:rFonts w:ascii="Helvetica" w:eastAsia="Helvetica" w:hAnsi="Helvetica" w:cs="Helvetica"/>
          <w:color w:val="000000"/>
          <w:sz w:val="24"/>
          <w:szCs w:val="24"/>
          <w:u w:color="000000"/>
          <w:bdr w:val="nil"/>
          <w:lang w:val="en-US" w:eastAsia="en-GB"/>
        </w:rPr>
        <w:t>Daw</w:t>
      </w:r>
      <w:proofErr w:type="spellEnd"/>
      <w:r w:rsidRPr="004D05DC">
        <w:rPr>
          <w:rFonts w:ascii="Helvetica" w:eastAsia="Helvetica" w:hAnsi="Helvetica" w:cs="Helvetica"/>
          <w:color w:val="000000"/>
          <w:sz w:val="24"/>
          <w:szCs w:val="24"/>
          <w:u w:color="000000"/>
          <w:bdr w:val="nil"/>
          <w:lang w:val="en-US" w:eastAsia="en-GB"/>
        </w:rPr>
        <w:t xml:space="preserve">, R. (2013) </w:t>
      </w:r>
      <w:r w:rsidRPr="004D05DC">
        <w:rPr>
          <w:rFonts w:ascii="Helvetica" w:eastAsia="Helvetica" w:hAnsi="Helvetica" w:cs="Helvetica"/>
          <w:i/>
          <w:iCs/>
          <w:color w:val="000000"/>
          <w:sz w:val="24"/>
          <w:szCs w:val="24"/>
          <w:u w:color="000000"/>
          <w:bdr w:val="nil"/>
          <w:lang w:val="en-US" w:eastAsia="en-GB"/>
        </w:rPr>
        <w:t xml:space="preserve">Law, Values and Practice in Mental Health Nursing: A </w:t>
      </w:r>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i/>
          <w:iCs/>
          <w:color w:val="000000"/>
          <w:sz w:val="24"/>
          <w:szCs w:val="24"/>
          <w:u w:color="000000"/>
          <w:bdr w:val="nil"/>
          <w:lang w:val="en-US" w:eastAsia="en-GB"/>
        </w:rPr>
      </w:pPr>
      <w:r w:rsidRPr="004D05DC">
        <w:rPr>
          <w:rFonts w:ascii="Helvetica" w:eastAsia="Helvetica" w:hAnsi="Helvetica" w:cs="Helvetica"/>
          <w:i/>
          <w:iCs/>
          <w:color w:val="000000"/>
          <w:sz w:val="24"/>
          <w:szCs w:val="24"/>
          <w:u w:color="000000"/>
          <w:bdr w:val="nil"/>
          <w:lang w:val="en-US" w:eastAsia="en-GB"/>
        </w:rPr>
        <w:t xml:space="preserve">Handbook. </w:t>
      </w:r>
      <w:r w:rsidRPr="004D05DC">
        <w:rPr>
          <w:rFonts w:ascii="Helvetica" w:eastAsia="Helvetica" w:hAnsi="Helvetica" w:cs="Helvetica"/>
          <w:color w:val="000000"/>
          <w:sz w:val="24"/>
          <w:szCs w:val="24"/>
          <w:u w:color="000000"/>
          <w:bdr w:val="nil"/>
          <w:lang w:val="en-US" w:eastAsia="en-GB"/>
        </w:rPr>
        <w:t>Berkshire: McGraw-Hill Education.</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Wilson, K. and James, A. (2007)</w:t>
      </w:r>
      <w:r w:rsidRPr="004D05DC">
        <w:rPr>
          <w:rFonts w:ascii="Helvetica" w:eastAsia="Times New Roman" w:hAnsi="Helvetica" w:cs="Times New Roman"/>
          <w:i/>
          <w:iCs/>
          <w:color w:val="000000"/>
          <w:sz w:val="24"/>
          <w:szCs w:val="24"/>
          <w:u w:color="000000"/>
          <w:bdr w:val="nil"/>
          <w:lang w:val="en-US" w:eastAsia="en-GB"/>
        </w:rPr>
        <w:t xml:space="preserve"> The Child Protection Handbook: The Practitioners Guide to Safeguarding Children.</w:t>
      </w:r>
      <w:r w:rsidRPr="004D05DC">
        <w:rPr>
          <w:rFonts w:ascii="Helvetica" w:eastAsia="Times New Roman" w:hAnsi="Helvetica" w:cs="Times New Roman"/>
          <w:color w:val="000000"/>
          <w:sz w:val="24"/>
          <w:szCs w:val="24"/>
          <w:u w:color="000000"/>
          <w:bdr w:val="nil"/>
          <w:lang w:val="en-US" w:eastAsia="en-GB"/>
        </w:rPr>
        <w:t xml:space="preserve"> London: Elsevier Health Services.</w:t>
      </w:r>
    </w:p>
    <w:p w:rsidR="004D05DC" w:rsidRPr="004D05DC" w:rsidRDefault="004D05DC" w:rsidP="004D05DC">
      <w:pPr>
        <w:pBdr>
          <w:top w:val="nil"/>
          <w:left w:val="nil"/>
          <w:bottom w:val="nil"/>
          <w:right w:val="nil"/>
          <w:between w:val="nil"/>
          <w:bar w:val="nil"/>
        </w:pBdr>
        <w:tabs>
          <w:tab w:val="left" w:pos="220"/>
          <w:tab w:val="left" w:pos="720"/>
        </w:tabs>
        <w:spacing w:after="0" w:line="240" w:lineRule="auto"/>
        <w:ind w:left="720" w:hanging="720"/>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XXX </w:t>
      </w:r>
      <w:r w:rsidRPr="004D05DC">
        <w:rPr>
          <w:rFonts w:ascii="Helvetica" w:eastAsia="Times New Roman" w:hAnsi="Helvetica" w:cs="Times New Roman"/>
          <w:i/>
          <w:iCs/>
          <w:color w:val="000000"/>
          <w:sz w:val="24"/>
          <w:szCs w:val="24"/>
          <w:u w:color="000000"/>
          <w:bdr w:val="nil"/>
          <w:lang w:val="en-US" w:eastAsia="en-GB"/>
        </w:rPr>
        <w:t>Multi-Agency Referral Form - Supporting Information</w:t>
      </w:r>
      <w:r w:rsidRPr="004D05DC">
        <w:rPr>
          <w:rFonts w:ascii="Helvetica" w:eastAsia="Times New Roman" w:hAnsi="Helvetica" w:cs="Times New Roman"/>
          <w:color w:val="000000"/>
          <w:sz w:val="24"/>
          <w:szCs w:val="24"/>
          <w:u w:color="000000"/>
          <w:bdr w:val="nil"/>
          <w:lang w:val="en-US" w:eastAsia="en-GB"/>
        </w:rPr>
        <w:t>.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Available at:</w:t>
      </w:r>
    </w:p>
    <w:p w:rsidR="004D05DC" w:rsidRPr="004D05DC" w:rsidRDefault="001B56C4"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hyperlink r:id="rId28" w:history="1">
        <w:r w:rsidR="004D05DC" w:rsidRPr="004D05DC">
          <w:rPr>
            <w:rFonts w:ascii="Times New Roman" w:eastAsia="Arial Unicode MS" w:hAnsi="Times New Roman" w:cs="Arial Unicode MS"/>
            <w:color w:val="000000"/>
            <w:sz w:val="24"/>
            <w:szCs w:val="24"/>
            <w:u w:val="single" w:color="000000"/>
            <w:bdr w:val="nil"/>
            <w:lang w:val="en-US" w:eastAsia="en-GB"/>
          </w:rPr>
          <w:t>https://www.XXX.gov.wales/media/1212381/guidance</w:t>
        </w:r>
      </w:hyperlink>
      <w:r w:rsidR="004D05DC" w:rsidRPr="004D05DC">
        <w:rPr>
          <w:rFonts w:ascii="Helvetica" w:eastAsia="Times New Roman" w:hAnsi="Helvetica" w:cs="Times New Roman"/>
          <w:color w:val="000000"/>
          <w:sz w:val="24"/>
          <w:szCs w:val="24"/>
          <w:u w:color="000000"/>
          <w:bdr w:val="nil"/>
          <w:lang w:val="en-US" w:eastAsia="en-GB"/>
        </w:rPr>
        <w:t>-on-completing-a-pova-form-pdf</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9th September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XXX County Council (2015) </w:t>
      </w:r>
      <w:r w:rsidRPr="004D05DC">
        <w:rPr>
          <w:rFonts w:ascii="Helvetica" w:eastAsia="Times New Roman" w:hAnsi="Helvetica" w:cs="Times New Roman"/>
          <w:i/>
          <w:iCs/>
          <w:color w:val="000000"/>
          <w:sz w:val="24"/>
          <w:szCs w:val="24"/>
          <w:u w:color="000000"/>
          <w:bdr w:val="nil"/>
          <w:lang w:val="en-US" w:eastAsia="en-GB"/>
        </w:rPr>
        <w:t>Records Management 4</w:t>
      </w:r>
      <w:r w:rsidRPr="004D05DC">
        <w:rPr>
          <w:rFonts w:ascii="Helvetica" w:eastAsia="Times New Roman" w:hAnsi="Helvetica" w:cs="Times New Roman"/>
          <w:color w:val="000000"/>
          <w:sz w:val="24"/>
          <w:szCs w:val="24"/>
          <w:u w:color="000000"/>
          <w:bdr w:val="nil"/>
          <w:lang w:val="en-US" w:eastAsia="en-GB"/>
        </w:rPr>
        <w:t>.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Available at:</w:t>
      </w:r>
    </w:p>
    <w:p w:rsidR="004D05DC" w:rsidRPr="004D05DC" w:rsidRDefault="001B56C4"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hyperlink r:id="rId29" w:history="1">
        <w:r w:rsidR="004D05DC" w:rsidRPr="004D05DC">
          <w:rPr>
            <w:rFonts w:ascii="Times New Roman" w:eastAsia="Arial Unicode MS" w:hAnsi="Times New Roman" w:cs="Arial Unicode MS"/>
            <w:color w:val="000000"/>
            <w:sz w:val="24"/>
            <w:szCs w:val="24"/>
            <w:u w:val="single" w:color="000000"/>
            <w:bdr w:val="nil"/>
            <w:lang w:val="en-US" w:eastAsia="en-GB"/>
          </w:rPr>
          <w:t>http://www.XXX.gov.wales/media/3298/records-management-policy-pdf</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15th August 2018.</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XXX Council (2015) </w:t>
      </w:r>
      <w:r w:rsidRPr="004D05DC">
        <w:rPr>
          <w:rFonts w:ascii="Helvetica" w:eastAsia="Times New Roman" w:hAnsi="Helvetica" w:cs="Times New Roman"/>
          <w:i/>
          <w:iCs/>
          <w:color w:val="000000"/>
          <w:sz w:val="24"/>
          <w:szCs w:val="24"/>
          <w:u w:color="000000"/>
          <w:bdr w:val="nil"/>
          <w:lang w:val="en-US" w:eastAsia="en-GB"/>
        </w:rPr>
        <w:t>Corporate Safeguarding Policy.</w:t>
      </w:r>
      <w:r w:rsidRPr="004D05DC">
        <w:rPr>
          <w:rFonts w:ascii="Helvetica" w:eastAsia="Times New Roman" w:hAnsi="Helvetica" w:cs="Times New Roman"/>
          <w:color w:val="000000"/>
          <w:sz w:val="24"/>
          <w:szCs w:val="24"/>
          <w:u w:color="000000"/>
          <w:bdr w:val="nil"/>
          <w:lang w:val="en-US" w:eastAsia="en-GB"/>
        </w:rPr>
        <w:t xml:space="preserve"> [</w:t>
      </w:r>
      <w:proofErr w:type="gramStart"/>
      <w:r w:rsidRPr="004D05DC">
        <w:rPr>
          <w:rFonts w:ascii="Helvetica" w:eastAsia="Times New Roman" w:hAnsi="Helvetica" w:cs="Times New Roman"/>
          <w:color w:val="000000"/>
          <w:sz w:val="24"/>
          <w:szCs w:val="24"/>
          <w:u w:color="000000"/>
          <w:bdr w:val="nil"/>
          <w:lang w:val="en-US" w:eastAsia="en-GB"/>
        </w:rPr>
        <w:t>online</w:t>
      </w:r>
      <w:proofErr w:type="gramEnd"/>
      <w:r w:rsidRPr="004D05DC">
        <w:rPr>
          <w:rFonts w:ascii="Helvetica" w:eastAsia="Times New Roman" w:hAnsi="Helvetica" w:cs="Times New Roman"/>
          <w:color w:val="000000"/>
          <w:sz w:val="24"/>
          <w:szCs w:val="24"/>
          <w:u w:color="000000"/>
          <w:bdr w:val="nil"/>
          <w:lang w:val="en-US" w:eastAsia="en-GB"/>
        </w:rPr>
        <w:t>] Available at:</w:t>
      </w:r>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sz w:val="24"/>
          <w:szCs w:val="24"/>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 xml:space="preserve">Available at: </w:t>
      </w:r>
      <w:hyperlink r:id="rId30" w:history="1">
        <w:r w:rsidRPr="004D05DC">
          <w:rPr>
            <w:rFonts w:ascii="Times New Roman" w:eastAsia="Arial Unicode MS" w:hAnsi="Times New Roman" w:cs="Arial Unicode MS"/>
            <w:color w:val="000000"/>
            <w:sz w:val="24"/>
            <w:szCs w:val="24"/>
            <w:u w:val="single" w:color="000000"/>
            <w:bdr w:val="nil"/>
            <w:lang w:val="en-US" w:eastAsia="en-GB"/>
          </w:rPr>
          <w:t>http://democracy.XXX.gov.wales/documents/s1147/report.pdf</w:t>
        </w:r>
      </w:hyperlink>
    </w:p>
    <w:p w:rsidR="004D05DC" w:rsidRPr="004D05DC" w:rsidRDefault="004D05DC" w:rsidP="004D05DC">
      <w:pPr>
        <w:pBdr>
          <w:top w:val="nil"/>
          <w:left w:val="nil"/>
          <w:bottom w:val="nil"/>
          <w:right w:val="nil"/>
          <w:between w:val="nil"/>
          <w:bar w:val="nil"/>
        </w:pBdr>
        <w:spacing w:after="0" w:line="240" w:lineRule="auto"/>
        <w:rPr>
          <w:rFonts w:ascii="Helvetica" w:eastAsia="Helvetica" w:hAnsi="Helvetica" w:cs="Helvetica"/>
          <w:color w:val="000000"/>
          <w:u w:color="000000"/>
          <w:bdr w:val="nil"/>
          <w:lang w:val="en-US" w:eastAsia="en-GB"/>
        </w:rPr>
      </w:pPr>
      <w:r w:rsidRPr="004D05DC">
        <w:rPr>
          <w:rFonts w:ascii="Helvetica" w:eastAsia="Times New Roman" w:hAnsi="Helvetica" w:cs="Times New Roman"/>
          <w:color w:val="000000"/>
          <w:sz w:val="24"/>
          <w:szCs w:val="24"/>
          <w:u w:color="000000"/>
          <w:bdr w:val="nil"/>
          <w:lang w:val="en-US" w:eastAsia="en-GB"/>
        </w:rPr>
        <w:t>Accessed: 15th August 2018.</w:t>
      </w:r>
    </w:p>
    <w:p w:rsidR="004D05DC" w:rsidRPr="004D05DC" w:rsidRDefault="004D05DC" w:rsidP="004D05DC">
      <w:pPr>
        <w:pBdr>
          <w:top w:val="nil"/>
          <w:left w:val="nil"/>
          <w:bottom w:val="nil"/>
          <w:right w:val="nil"/>
          <w:between w:val="nil"/>
          <w:bar w:val="nil"/>
        </w:pBdr>
        <w:spacing w:after="0" w:line="240" w:lineRule="auto"/>
        <w:rPr>
          <w:rFonts w:ascii="Helvetica" w:eastAsia="Arial Unicode MS" w:hAnsi="Helvetica" w:cs="Arial Unicode MS"/>
          <w:color w:val="000000"/>
          <w:u w:color="000000"/>
          <w:bdr w:val="nil"/>
          <w:lang w:val="en-US" w:eastAsia="en-GB"/>
        </w:rPr>
      </w:pPr>
    </w:p>
    <w:p w:rsidR="000D11C9" w:rsidRDefault="000D11C9"/>
    <w:sectPr w:rsidR="000D11C9">
      <w:footerReference w:type="default" r:id="rId31"/>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6C4" w:rsidRDefault="001B56C4" w:rsidP="004D05DC">
      <w:pPr>
        <w:spacing w:after="0" w:line="240" w:lineRule="auto"/>
      </w:pPr>
      <w:r>
        <w:separator/>
      </w:r>
    </w:p>
  </w:endnote>
  <w:endnote w:type="continuationSeparator" w:id="0">
    <w:p w:rsidR="001B56C4" w:rsidRDefault="001B56C4" w:rsidP="004D0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5187"/>
      <w:docPartObj>
        <w:docPartGallery w:val="Page Numbers (Bottom of Page)"/>
        <w:docPartUnique/>
      </w:docPartObj>
    </w:sdtPr>
    <w:sdtEndPr/>
    <w:sdtContent>
      <w:p w:rsidR="004D05DC" w:rsidRDefault="004D05DC">
        <w:pPr>
          <w:pStyle w:val="Footer"/>
          <w:jc w:val="right"/>
        </w:pPr>
        <w:r>
          <w:t xml:space="preserve">Page | </w:t>
        </w:r>
        <w:r>
          <w:fldChar w:fldCharType="begin"/>
        </w:r>
        <w:r>
          <w:instrText xml:space="preserve"> PAGE   \* MERGEFORMAT </w:instrText>
        </w:r>
        <w:r>
          <w:fldChar w:fldCharType="separate"/>
        </w:r>
        <w:r w:rsidR="009B5378">
          <w:rPr>
            <w:noProof/>
          </w:rPr>
          <w:t>2</w:t>
        </w:r>
        <w:r>
          <w:rPr>
            <w:noProof/>
          </w:rPr>
          <w:fldChar w:fldCharType="end"/>
        </w:r>
        <w:r>
          <w:t xml:space="preserve"> </w:t>
        </w:r>
      </w:p>
    </w:sdtContent>
  </w:sdt>
  <w:p w:rsidR="004D05DC" w:rsidRDefault="004D05DC">
    <w:pPr>
      <w:pStyle w:val="HeaderFooter"/>
    </w:pPr>
    <w:r>
      <w:t>1708394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6C4" w:rsidRDefault="001B56C4" w:rsidP="004D05DC">
      <w:pPr>
        <w:spacing w:after="0" w:line="240" w:lineRule="auto"/>
      </w:pPr>
      <w:r>
        <w:separator/>
      </w:r>
    </w:p>
  </w:footnote>
  <w:footnote w:type="continuationSeparator" w:id="0">
    <w:p w:rsidR="001B56C4" w:rsidRDefault="001B56C4" w:rsidP="004D05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5DC"/>
    <w:rsid w:val="000059B1"/>
    <w:rsid w:val="00083C5E"/>
    <w:rsid w:val="000D11C9"/>
    <w:rsid w:val="001B56C4"/>
    <w:rsid w:val="00261A8D"/>
    <w:rsid w:val="00332FFD"/>
    <w:rsid w:val="004D05DC"/>
    <w:rsid w:val="00742148"/>
    <w:rsid w:val="009B5378"/>
    <w:rsid w:val="00B33DB3"/>
    <w:rsid w:val="00C04193"/>
    <w:rsid w:val="00CB7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4D79E4-3A0B-4A21-A21B-AD687AFA3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4D05DC"/>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en-GB"/>
    </w:rPr>
  </w:style>
  <w:style w:type="paragraph" w:styleId="Header">
    <w:name w:val="header"/>
    <w:basedOn w:val="Normal"/>
    <w:link w:val="HeaderChar"/>
    <w:uiPriority w:val="99"/>
    <w:unhideWhenUsed/>
    <w:rsid w:val="004D0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5DC"/>
  </w:style>
  <w:style w:type="paragraph" w:styleId="Footer">
    <w:name w:val="footer"/>
    <w:basedOn w:val="Normal"/>
    <w:link w:val="FooterChar"/>
    <w:uiPriority w:val="99"/>
    <w:unhideWhenUsed/>
    <w:rsid w:val="004D05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5DC"/>
  </w:style>
  <w:style w:type="paragraph" w:styleId="BalloonText">
    <w:name w:val="Balloon Text"/>
    <w:basedOn w:val="Normal"/>
    <w:link w:val="BalloonTextChar"/>
    <w:uiPriority w:val="99"/>
    <w:semiHidden/>
    <w:unhideWhenUsed/>
    <w:rsid w:val="004D05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5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about-us/jobs/experts-experience" TargetMode="External"/><Relationship Id="rId13" Type="http://schemas.openxmlformats.org/officeDocument/2006/relationships/hyperlink" Target="https://www.equalityhumanrights.com/en/human-rights-act/article-2-right-life" TargetMode="External"/><Relationship Id="rId18" Type="http://schemas.openxmlformats.org/officeDocument/2006/relationships/hyperlink" Target="https://www.cqc.org.uk/sites/default/files/20140416_safeguarding_adults_-_roles_and_responsibilities_-_revised_draf....pdf" TargetMode="External"/><Relationship Id="rId26" Type="http://schemas.openxmlformats.org/officeDocument/2006/relationships/hyperlink" Target="http://law.gov.wales/publicservices/social-care/Local-authority-responsibilities/Care-and-support-for-adults-and-children/Assessing-and-meeting-needs/?lang=en%23/publicservices/social-care/Local-authority-responsibilities/Care-and-support-for-adults-and-children/Assessing-and-meeting-needs/?tab=overview&amp;lang=en" TargetMode="External"/><Relationship Id="rId3" Type="http://schemas.openxmlformats.org/officeDocument/2006/relationships/webSettings" Target="webSettings.xml"/><Relationship Id="rId21" Type="http://schemas.openxmlformats.org/officeDocument/2006/relationships/hyperlink" Target="http://www.adultprotectionsouthlanarkshire.org.uk/adultprotection/info/61/social_work" TargetMode="External"/><Relationship Id="rId7" Type="http://schemas.openxmlformats.org/officeDocument/2006/relationships/hyperlink" Target="https://www.basw.co.uk/about-basw/code-ethics" TargetMode="External"/><Relationship Id="rId12" Type="http://schemas.openxmlformats.org/officeDocument/2006/relationships/hyperlink" Target="http://cysur.wales/home/regional-policies-procedures/" TargetMode="External"/><Relationship Id="rId17" Type="http://schemas.openxmlformats.org/officeDocument/2006/relationships/hyperlink" Target="https://learning.nspcc.org.uk/child-protection-system/wales/" TargetMode="External"/><Relationship Id="rId25" Type="http://schemas.openxmlformats.org/officeDocument/2006/relationships/hyperlink" Target="http://www.cciss.org.uk/sitesplus/documents/1131/Decision%2520Support%2520Tool%2520for%2520Continuing%2520NHS%2520Healthcare%2520English.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medicalprotection.org/uk/articles/mental-capacity-act-2005-court-of-protection-and-deputies" TargetMode="External"/><Relationship Id="rId20" Type="http://schemas.openxmlformats.org/officeDocument/2006/relationships/hyperlink" Target="https://socialcare.wales/cms_assets/file-uploads/The-social-worker-April-2017.pdf" TargetMode="External"/><Relationship Id="rId29" Type="http://schemas.openxmlformats.org/officeDocument/2006/relationships/hyperlink" Target="http://www.XXX.gov.wales/media/3298/records-management-policy-pdf" TargetMode="External"/><Relationship Id="rId1" Type="http://schemas.openxmlformats.org/officeDocument/2006/relationships/styles" Target="styles.xml"/><Relationship Id="rId6" Type="http://schemas.openxmlformats.org/officeDocument/2006/relationships/hyperlink" Target="http://gov.uk" TargetMode="External"/><Relationship Id="rId11" Type="http://schemas.openxmlformats.org/officeDocument/2006/relationships/hyperlink" Target="https://socialcare.wales/cms_assets/file-uploads/Code-of-Professional-Practice-for-Social-Care-web-version.pdf" TargetMode="External"/><Relationship Id="rId24" Type="http://schemas.openxmlformats.org/officeDocument/2006/relationships/hyperlink" Target="http://www.wales.nhs.uk/sites3/documents/415/web%2520-%252016184_narrative_e_web.pdf"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leighday.co.uk/Human-rights-abuse-claims-judicial-review/Children-vulnerable-adults/Court-of-Protection-best-interests/The-Court-of-Protection-and-the-Office-of-the-Publ" TargetMode="External"/><Relationship Id="rId23" Type="http://schemas.openxmlformats.org/officeDocument/2006/relationships/hyperlink" Target="http://www.wales.nhs.uk/sites3/documents/950/codeofpractice.pdf" TargetMode="External"/><Relationship Id="rId28" Type="http://schemas.openxmlformats.org/officeDocument/2006/relationships/hyperlink" Target="https://www.XXX.gov.wales/media/1212381/guidance" TargetMode="External"/><Relationship Id="rId10" Type="http://schemas.openxmlformats.org/officeDocument/2006/relationships/hyperlink" Target="https://www.citizensadvice.org.uk/family/looking-after-people/managing-affairs-for-someone-else/" TargetMode="External"/><Relationship Id="rId19" Type="http://schemas.openxmlformats.org/officeDocument/2006/relationships/hyperlink" Target="https://www.scie.org.uk/care-act-2014/safeguarding-adults/sharing-information/"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citizensadvice.org.uk/law-and-courts/civil-rights/human-rights/what-rights-are-protected-under-the-human-rights-act/your-right-to-respect-for-private-and-family-life/" TargetMode="External"/><Relationship Id="rId14" Type="http://schemas.openxmlformats.org/officeDocument/2006/relationships/hyperlink" Target="https://www.equalityhumanrights.com/en/equality-act/equality-act-2010" TargetMode="External"/><Relationship Id="rId22" Type="http://schemas.openxmlformats.org/officeDocument/2006/relationships/hyperlink" Target="http://www.nhsconfed.org/-/media/Confederation/Files/Wales-Confed/Rural-Health-and-Care-Services-in-Wales.pdf" TargetMode="External"/><Relationship Id="rId27" Type="http://schemas.openxmlformats.org/officeDocument/2006/relationships/hyperlink" Target="https://gov.wales/topics/health/socialcare/act/code-of-practice/?lang=en" TargetMode="External"/><Relationship Id="rId30" Type="http://schemas.openxmlformats.org/officeDocument/2006/relationships/hyperlink" Target="http://democracy.XXX.gov.wales/documents/s1147/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10683</Words>
  <Characters>60897</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71438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Ceris Humphreys</dc:creator>
  <cp:keywords/>
  <dc:description/>
  <cp:lastModifiedBy>Ceris Humphreys</cp:lastModifiedBy>
  <cp:revision>2</cp:revision>
  <cp:lastPrinted>2018-10-12T08:30:00Z</cp:lastPrinted>
  <dcterms:created xsi:type="dcterms:W3CDTF">2018-10-12T10:36:00Z</dcterms:created>
  <dcterms:modified xsi:type="dcterms:W3CDTF">2018-10-12T10:36:00Z</dcterms:modified>
</cp:coreProperties>
</file>