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5F13A90" wp14:paraId="7CAAEB26" wp14:textId="3C2A503E">
      <w:pPr>
        <w:spacing w:line="480" w:lineRule="auto"/>
        <w:ind w:left="720"/>
        <w:rPr>
          <w:rFonts w:ascii="Arial" w:hAnsi="Arial" w:eastAsia="Arial" w:cs="Arial"/>
          <w:b w:val="0"/>
          <w:bCs w:val="0"/>
          <w:i w:val="0"/>
          <w:iCs w:val="0"/>
          <w:caps w:val="0"/>
          <w:smallCaps w:val="0"/>
          <w:noProof w:val="0"/>
          <w:color w:val="000000" w:themeColor="text1" w:themeTint="FF" w:themeShade="FF"/>
          <w:sz w:val="32"/>
          <w:szCs w:val="32"/>
          <w:lang w:val="en-US"/>
        </w:rPr>
      </w:pPr>
      <w:r w:rsidRPr="55F13A90" w:rsidR="62AF3DE7">
        <w:rPr>
          <w:rFonts w:ascii="Arial" w:hAnsi="Arial" w:eastAsia="Arial" w:cs="Arial"/>
          <w:b w:val="0"/>
          <w:bCs w:val="0"/>
          <w:i w:val="0"/>
          <w:iCs w:val="0"/>
          <w:caps w:val="0"/>
          <w:smallCaps w:val="0"/>
          <w:noProof w:val="0"/>
          <w:color w:val="000000" w:themeColor="text1" w:themeTint="FF" w:themeShade="FF"/>
          <w:sz w:val="32"/>
          <w:szCs w:val="32"/>
          <w:lang w:val="en-US"/>
        </w:rPr>
        <w:t>Name: Ifaz Faruki</w:t>
      </w:r>
    </w:p>
    <w:p xmlns:wp14="http://schemas.microsoft.com/office/word/2010/wordml" w:rsidP="55F13A90" wp14:paraId="12F9B748" wp14:textId="55ECD104">
      <w:pPr>
        <w:spacing w:line="480" w:lineRule="auto"/>
        <w:ind w:left="720"/>
        <w:rPr>
          <w:rFonts w:ascii="Arial" w:hAnsi="Arial" w:eastAsia="Arial" w:cs="Arial"/>
          <w:b w:val="0"/>
          <w:bCs w:val="0"/>
          <w:i w:val="0"/>
          <w:iCs w:val="0"/>
          <w:caps w:val="0"/>
          <w:smallCaps w:val="0"/>
          <w:noProof w:val="0"/>
          <w:color w:val="000000" w:themeColor="text1" w:themeTint="FF" w:themeShade="FF"/>
          <w:sz w:val="32"/>
          <w:szCs w:val="32"/>
          <w:lang w:val="en-US"/>
        </w:rPr>
      </w:pPr>
      <w:r w:rsidRPr="55F13A90" w:rsidR="62AF3DE7">
        <w:rPr>
          <w:rFonts w:ascii="Arial" w:hAnsi="Arial" w:eastAsia="Arial" w:cs="Arial"/>
          <w:b w:val="0"/>
          <w:bCs w:val="0"/>
          <w:i w:val="0"/>
          <w:iCs w:val="0"/>
          <w:caps w:val="0"/>
          <w:smallCaps w:val="0"/>
          <w:noProof w:val="0"/>
          <w:color w:val="000000" w:themeColor="text1" w:themeTint="FF" w:themeShade="FF"/>
          <w:sz w:val="32"/>
          <w:szCs w:val="32"/>
          <w:lang w:val="en-US"/>
        </w:rPr>
        <w:t>Student number: 2305668</w:t>
      </w:r>
    </w:p>
    <w:p xmlns:wp14="http://schemas.microsoft.com/office/word/2010/wordml" w:rsidP="55F13A90" wp14:paraId="6D5782FB" wp14:textId="226CA342">
      <w:pPr>
        <w:spacing w:line="480" w:lineRule="auto"/>
        <w:ind w:left="720"/>
        <w:rPr>
          <w:rFonts w:ascii="Arial" w:hAnsi="Arial" w:eastAsia="Arial" w:cs="Arial"/>
          <w:b w:val="0"/>
          <w:bCs w:val="0"/>
          <w:i w:val="0"/>
          <w:iCs w:val="0"/>
          <w:caps w:val="0"/>
          <w:smallCaps w:val="0"/>
          <w:noProof w:val="0"/>
          <w:color w:val="000000" w:themeColor="text1" w:themeTint="FF" w:themeShade="FF"/>
          <w:sz w:val="32"/>
          <w:szCs w:val="32"/>
          <w:lang w:val="en-US"/>
        </w:rPr>
      </w:pPr>
      <w:r w:rsidRPr="55F13A90" w:rsidR="62AF3DE7">
        <w:rPr>
          <w:rFonts w:ascii="Arial" w:hAnsi="Arial" w:eastAsia="Arial" w:cs="Arial"/>
          <w:b w:val="0"/>
          <w:bCs w:val="0"/>
          <w:i w:val="0"/>
          <w:iCs w:val="0"/>
          <w:caps w:val="0"/>
          <w:smallCaps w:val="0"/>
          <w:noProof w:val="0"/>
          <w:color w:val="000000" w:themeColor="text1" w:themeTint="FF" w:themeShade="FF"/>
          <w:sz w:val="32"/>
          <w:szCs w:val="32"/>
          <w:lang w:val="fr-FR"/>
        </w:rPr>
        <w:t>Module code: BMCP5005</w:t>
      </w:r>
    </w:p>
    <w:p xmlns:wp14="http://schemas.microsoft.com/office/word/2010/wordml" w:rsidP="55F13A90" wp14:paraId="521E4814" wp14:textId="7DA3BE10">
      <w:pPr>
        <w:spacing w:line="480" w:lineRule="auto"/>
        <w:ind w:left="720"/>
        <w:rPr>
          <w:rFonts w:ascii="Arial" w:hAnsi="Arial" w:eastAsia="Arial" w:cs="Arial"/>
          <w:b w:val="0"/>
          <w:bCs w:val="0"/>
          <w:i w:val="0"/>
          <w:iCs w:val="0"/>
          <w:caps w:val="0"/>
          <w:smallCaps w:val="0"/>
          <w:noProof w:val="0"/>
          <w:color w:val="000000" w:themeColor="text1" w:themeTint="FF" w:themeShade="FF"/>
          <w:sz w:val="32"/>
          <w:szCs w:val="32"/>
          <w:lang w:val="en-US"/>
        </w:rPr>
      </w:pPr>
      <w:r w:rsidRPr="55F13A90" w:rsidR="62AF3DE7">
        <w:rPr>
          <w:rFonts w:ascii="Arial" w:hAnsi="Arial" w:eastAsia="Arial" w:cs="Arial"/>
          <w:b w:val="0"/>
          <w:bCs w:val="0"/>
          <w:i w:val="0"/>
          <w:iCs w:val="0"/>
          <w:caps w:val="0"/>
          <w:smallCaps w:val="0"/>
          <w:noProof w:val="0"/>
          <w:color w:val="000000" w:themeColor="text1" w:themeTint="FF" w:themeShade="FF"/>
          <w:sz w:val="32"/>
          <w:szCs w:val="32"/>
          <w:lang w:val="fr-FR"/>
        </w:rPr>
        <w:t>Lecturer: Mike Durke</w:t>
      </w:r>
    </w:p>
    <w:p xmlns:wp14="http://schemas.microsoft.com/office/word/2010/wordml" w:rsidP="55F13A90" wp14:paraId="700F4409" wp14:textId="1C68D56E">
      <w:pPr>
        <w:spacing w:line="480" w:lineRule="auto"/>
        <w:ind w:left="720"/>
        <w:rPr>
          <w:rFonts w:ascii="Arial" w:hAnsi="Arial" w:eastAsia="Arial" w:cs="Arial"/>
          <w:b w:val="0"/>
          <w:bCs w:val="0"/>
          <w:i w:val="0"/>
          <w:iCs w:val="0"/>
          <w:caps w:val="0"/>
          <w:smallCaps w:val="0"/>
          <w:noProof w:val="0"/>
          <w:color w:val="000000" w:themeColor="text1" w:themeTint="FF" w:themeShade="FF"/>
          <w:sz w:val="32"/>
          <w:szCs w:val="32"/>
          <w:lang w:val="en-US"/>
        </w:rPr>
      </w:pPr>
      <w:r w:rsidRPr="55F13A90" w:rsidR="62AF3DE7">
        <w:rPr>
          <w:rFonts w:ascii="Arial" w:hAnsi="Arial" w:eastAsia="Arial" w:cs="Arial"/>
          <w:b w:val="0"/>
          <w:bCs w:val="0"/>
          <w:i w:val="0"/>
          <w:iCs w:val="0"/>
          <w:caps w:val="0"/>
          <w:smallCaps w:val="0"/>
          <w:noProof w:val="0"/>
          <w:color w:val="000000" w:themeColor="text1" w:themeTint="FF" w:themeShade="FF"/>
          <w:sz w:val="32"/>
          <w:szCs w:val="32"/>
          <w:lang w:val="en-US"/>
        </w:rPr>
        <w:t>Submission date: Friday 8</w:t>
      </w:r>
      <w:r w:rsidRPr="55F13A90" w:rsidR="62AF3DE7">
        <w:rPr>
          <w:rFonts w:ascii="Arial" w:hAnsi="Arial" w:eastAsia="Arial" w:cs="Arial"/>
          <w:b w:val="0"/>
          <w:bCs w:val="0"/>
          <w:i w:val="0"/>
          <w:iCs w:val="0"/>
          <w:caps w:val="0"/>
          <w:smallCaps w:val="0"/>
          <w:noProof w:val="0"/>
          <w:color w:val="000000" w:themeColor="text1" w:themeTint="FF" w:themeShade="FF"/>
          <w:sz w:val="32"/>
          <w:szCs w:val="32"/>
          <w:vertAlign w:val="superscript"/>
          <w:lang w:val="en-US"/>
        </w:rPr>
        <w:t>th</w:t>
      </w:r>
      <w:r w:rsidRPr="55F13A90" w:rsidR="62AF3DE7">
        <w:rPr>
          <w:rFonts w:ascii="Arial" w:hAnsi="Arial" w:eastAsia="Arial" w:cs="Arial"/>
          <w:b w:val="0"/>
          <w:bCs w:val="0"/>
          <w:i w:val="0"/>
          <w:iCs w:val="0"/>
          <w:caps w:val="0"/>
          <w:smallCaps w:val="0"/>
          <w:noProof w:val="0"/>
          <w:color w:val="000000" w:themeColor="text1" w:themeTint="FF" w:themeShade="FF"/>
          <w:sz w:val="32"/>
          <w:szCs w:val="32"/>
          <w:lang w:val="en-US"/>
        </w:rPr>
        <w:t xml:space="preserve"> November 2024</w:t>
      </w:r>
    </w:p>
    <w:p xmlns:wp14="http://schemas.microsoft.com/office/word/2010/wordml" w:rsidP="55F13A90" wp14:paraId="6F73E0FB" wp14:textId="2FA91B15">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55F13A90" w:rsidR="62AF3DE7">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US"/>
        </w:rPr>
        <w:t>Policing the Public: Community Consent vs Governmental Control</w:t>
      </w:r>
    </w:p>
    <w:p xmlns:wp14="http://schemas.microsoft.com/office/word/2010/wordml" w:rsidP="55F13A90" wp14:paraId="3510076F" wp14:textId="29AC9B88">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102A5A68" wp14:textId="51B8E4C9">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228DDEF7" wp14:textId="6A690B21">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08ADB91A" wp14:textId="0F431635">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635B30E3" wp14:textId="0E8E1260">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44A307D9" wp14:textId="0458B3E5">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7FB7C80B" wp14:textId="4A43FA6A">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313F828C" wp14:textId="70F7601B">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2D8D0075" wp14:textId="04AA84C4">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3BF5E547" wp14:textId="69695359">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6CF2E4B" wp14:paraId="2BB07A0C" wp14:textId="7C315489">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Historically, in 1200 A.D, the UK were policed and governed by having community members appointing hired </w:t>
      </w: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watchmen</w:t>
      </w: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and local parish constables to stop crime (Joyce and Laverick, 2023). However, all community members were still legally obligated to assist the authorities in catching criminals, this was known as the Hue and Cry which </w:t>
      </w:r>
      <w:r w:rsidRPr="76CF2E4B" w:rsidR="04CC9FB3">
        <w:rPr>
          <w:rFonts w:ascii="Arial" w:hAnsi="Arial" w:eastAsia="Arial" w:cs="Arial"/>
          <w:b w:val="0"/>
          <w:bCs w:val="0"/>
          <w:i w:val="0"/>
          <w:iCs w:val="0"/>
          <w:caps w:val="0"/>
          <w:smallCaps w:val="0"/>
          <w:noProof w:val="0"/>
          <w:color w:val="000000" w:themeColor="text1" w:themeTint="FF" w:themeShade="FF"/>
          <w:sz w:val="24"/>
          <w:szCs w:val="24"/>
          <w:lang w:val="en-GB"/>
        </w:rPr>
        <w:t>use to be</w:t>
      </w:r>
      <w:r w:rsidRPr="76CF2E4B" w:rsidR="4BEBBCF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CF2E4B" w:rsidR="5CDB73E4">
        <w:rPr>
          <w:rFonts w:ascii="Arial" w:hAnsi="Arial" w:eastAsia="Arial" w:cs="Arial"/>
          <w:b w:val="0"/>
          <w:bCs w:val="0"/>
          <w:i w:val="0"/>
          <w:iCs w:val="0"/>
          <w:caps w:val="0"/>
          <w:smallCaps w:val="0"/>
          <w:noProof w:val="0"/>
          <w:color w:val="000000" w:themeColor="text1" w:themeTint="FF" w:themeShade="FF"/>
          <w:sz w:val="24"/>
          <w:szCs w:val="24"/>
          <w:lang w:val="en-GB"/>
        </w:rPr>
        <w:t>a type of early legal practice</w:t>
      </w:r>
      <w:r w:rsidRPr="76CF2E4B" w:rsidR="173B1EB1">
        <w:rPr>
          <w:rFonts w:ascii="Arial" w:hAnsi="Arial" w:eastAsia="Arial" w:cs="Arial"/>
          <w:b w:val="0"/>
          <w:bCs w:val="0"/>
          <w:i w:val="0"/>
          <w:iCs w:val="0"/>
          <w:caps w:val="0"/>
          <w:smallCaps w:val="0"/>
          <w:noProof w:val="0"/>
          <w:color w:val="000000" w:themeColor="text1" w:themeTint="FF" w:themeShade="FF"/>
          <w:sz w:val="24"/>
          <w:szCs w:val="24"/>
          <w:lang w:val="en-GB"/>
        </w:rPr>
        <w:t xml:space="preserve"> in</w:t>
      </w:r>
      <w:r w:rsidRPr="76CF2E4B" w:rsidR="0F07DB77">
        <w:rPr>
          <w:rFonts w:ascii="Arial" w:hAnsi="Arial" w:eastAsia="Arial" w:cs="Arial"/>
          <w:b w:val="0"/>
          <w:bCs w:val="0"/>
          <w:i w:val="0"/>
          <w:iCs w:val="0"/>
          <w:caps w:val="0"/>
          <w:smallCaps w:val="0"/>
          <w:noProof w:val="0"/>
          <w:color w:val="000000" w:themeColor="text1" w:themeTint="FF" w:themeShade="FF"/>
          <w:sz w:val="24"/>
          <w:szCs w:val="24"/>
          <w:lang w:val="en-GB"/>
        </w:rPr>
        <w:t xml:space="preserve"> England</w:t>
      </w:r>
      <w:r w:rsidRPr="76CF2E4B" w:rsidR="173B1EB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CF2E4B" w:rsidR="0DDCAE82">
        <w:rPr>
          <w:rFonts w:ascii="Arial" w:hAnsi="Arial" w:eastAsia="Arial" w:cs="Arial"/>
          <w:b w:val="0"/>
          <w:bCs w:val="0"/>
          <w:i w:val="0"/>
          <w:iCs w:val="0"/>
          <w:caps w:val="0"/>
          <w:smallCaps w:val="0"/>
          <w:noProof w:val="0"/>
          <w:color w:val="000000" w:themeColor="text1" w:themeTint="FF" w:themeShade="FF"/>
          <w:sz w:val="24"/>
          <w:szCs w:val="24"/>
          <w:lang w:val="en-GB"/>
        </w:rPr>
        <w:t>where</w:t>
      </w:r>
      <w:r w:rsidRPr="76CF2E4B" w:rsidR="173B1EB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CF2E4B" w:rsidR="7C4F443C">
        <w:rPr>
          <w:rFonts w:ascii="Arial" w:hAnsi="Arial" w:eastAsia="Arial" w:cs="Arial"/>
          <w:b w:val="0"/>
          <w:bCs w:val="0"/>
          <w:i w:val="0"/>
          <w:iCs w:val="0"/>
          <w:caps w:val="0"/>
          <w:smallCaps w:val="0"/>
          <w:noProof w:val="0"/>
          <w:color w:val="000000" w:themeColor="text1" w:themeTint="FF" w:themeShade="FF"/>
          <w:sz w:val="24"/>
          <w:szCs w:val="24"/>
          <w:lang w:val="en-GB"/>
        </w:rPr>
        <w:t>people would give</w:t>
      </w:r>
      <w:r w:rsidRPr="76CF2E4B" w:rsidR="3644F8AD">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76CF2E4B" w:rsidR="7C4F443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CF2E4B" w:rsidR="5902C48A">
        <w:rPr>
          <w:rFonts w:ascii="Arial" w:hAnsi="Arial" w:eastAsia="Arial" w:cs="Arial"/>
          <w:b w:val="0"/>
          <w:bCs w:val="0"/>
          <w:i w:val="0"/>
          <w:iCs w:val="0"/>
          <w:caps w:val="0"/>
          <w:smallCaps w:val="0"/>
          <w:noProof w:val="0"/>
          <w:color w:val="000000" w:themeColor="text1" w:themeTint="FF" w:themeShade="FF"/>
          <w:sz w:val="24"/>
          <w:szCs w:val="24"/>
          <w:lang w:val="en-GB"/>
        </w:rPr>
        <w:t xml:space="preserve">loud call </w:t>
      </w:r>
      <w:r w:rsidRPr="76CF2E4B" w:rsidR="7C4F443C">
        <w:rPr>
          <w:rFonts w:ascii="Arial" w:hAnsi="Arial" w:eastAsia="Arial" w:cs="Arial"/>
          <w:b w:val="0"/>
          <w:bCs w:val="0"/>
          <w:i w:val="0"/>
          <w:iCs w:val="0"/>
          <w:caps w:val="0"/>
          <w:smallCaps w:val="0"/>
          <w:noProof w:val="0"/>
          <w:color w:val="000000" w:themeColor="text1" w:themeTint="FF" w:themeShade="FF"/>
          <w:sz w:val="24"/>
          <w:szCs w:val="24"/>
          <w:lang w:val="en-GB"/>
        </w:rPr>
        <w:t xml:space="preserve">for </w:t>
      </w:r>
      <w:r w:rsidRPr="76CF2E4B" w:rsidR="758CB74C">
        <w:rPr>
          <w:rFonts w:ascii="Arial" w:hAnsi="Arial" w:eastAsia="Arial" w:cs="Arial"/>
          <w:b w:val="0"/>
          <w:bCs w:val="0"/>
          <w:i w:val="0"/>
          <w:iCs w:val="0"/>
          <w:caps w:val="0"/>
          <w:smallCaps w:val="0"/>
          <w:noProof w:val="0"/>
          <w:color w:val="000000" w:themeColor="text1" w:themeTint="FF" w:themeShade="FF"/>
          <w:sz w:val="24"/>
          <w:szCs w:val="24"/>
          <w:lang w:val="en-GB"/>
        </w:rPr>
        <w:t>the capture</w:t>
      </w:r>
      <w:r w:rsidRPr="76CF2E4B" w:rsidR="758CB74C">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76CF2E4B" w:rsidR="7C4F443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CF2E4B" w:rsidR="7C4F443C">
        <w:rPr>
          <w:rFonts w:ascii="Arial" w:hAnsi="Arial" w:eastAsia="Arial" w:cs="Arial"/>
          <w:b w:val="0"/>
          <w:bCs w:val="0"/>
          <w:i w:val="0"/>
          <w:iCs w:val="0"/>
          <w:caps w:val="0"/>
          <w:smallCaps w:val="0"/>
          <w:noProof w:val="0"/>
          <w:color w:val="000000" w:themeColor="text1" w:themeTint="FF" w:themeShade="FF"/>
          <w:sz w:val="24"/>
          <w:szCs w:val="24"/>
          <w:lang w:val="en-GB"/>
        </w:rPr>
        <w:t>a</w:t>
      </w:r>
      <w:r w:rsidRPr="76CF2E4B" w:rsidR="27D6C16E">
        <w:rPr>
          <w:rFonts w:ascii="Arial" w:hAnsi="Arial" w:eastAsia="Arial" w:cs="Arial"/>
          <w:b w:val="0"/>
          <w:bCs w:val="0"/>
          <w:i w:val="0"/>
          <w:iCs w:val="0"/>
          <w:caps w:val="0"/>
          <w:smallCaps w:val="0"/>
          <w:noProof w:val="0"/>
          <w:color w:val="000000" w:themeColor="text1" w:themeTint="FF" w:themeShade="FF"/>
          <w:sz w:val="24"/>
          <w:szCs w:val="24"/>
          <w:lang w:val="en-GB"/>
        </w:rPr>
        <w:t xml:space="preserve">rrest of a criminal, this </w:t>
      </w: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was abolished in the 1800s (Rawlings, 2008). In 1835 the Municipal Corporations Act was given royal assent and formed the basis of modern police forces today in every city and town in England and Wales to serve and protect the community which is controlled by the government (Hart, 1955). This essay aims to discuss the effectiveness of community consent and government control regarding social control in policing, in order find out which one is more efficient at controlling crime and society. </w:t>
      </w:r>
    </w:p>
    <w:p xmlns:wp14="http://schemas.microsoft.com/office/word/2010/wordml" w:rsidP="55F13A90" wp14:paraId="74EC8A73" wp14:textId="3D3724A1">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5F13A90" wp14:paraId="7EA091F2" wp14:textId="1583E407">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6CF2E4B" wp14:paraId="57EC9A8E" wp14:textId="6661ED79">
      <w:pPr>
        <w:pStyle w:val="Normal"/>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Community consent, which is also known as policing by consent</w:t>
      </w: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refers to when legal power of the police service comes from the consent of the community, as opposed to government control (House of Lords, 2023). For community consent to work, it would require members of the public to trust the police service (Jonathan </w:t>
      </w:r>
      <w:r w:rsidRPr="76CF2E4B" w:rsidR="62AF3DE7">
        <w:rPr>
          <w:rFonts w:ascii="Arial" w:hAnsi="Arial" w:eastAsia="Arial" w:cs="Arial"/>
          <w:b w:val="0"/>
          <w:bCs w:val="0"/>
          <w:i w:val="1"/>
          <w:iCs w:val="1"/>
          <w:caps w:val="0"/>
          <w:smallCaps w:val="0"/>
          <w:noProof w:val="0"/>
          <w:color w:val="000000" w:themeColor="text1" w:themeTint="FF" w:themeShade="FF"/>
          <w:sz w:val="24"/>
          <w:szCs w:val="24"/>
          <w:lang w:val="en-GB"/>
        </w:rPr>
        <w:t>et al</w:t>
      </w: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2012). </w:t>
      </w:r>
      <w:r w:rsidRPr="76CF2E4B" w:rsidR="5338215A">
        <w:rPr>
          <w:rFonts w:ascii="Arial" w:hAnsi="Arial" w:eastAsia="Arial" w:cs="Arial"/>
          <w:b w:val="0"/>
          <w:bCs w:val="0"/>
          <w:i w:val="0"/>
          <w:iCs w:val="0"/>
          <w:caps w:val="0"/>
          <w:smallCaps w:val="0"/>
          <w:noProof w:val="0"/>
          <w:color w:val="000000" w:themeColor="text1" w:themeTint="FF" w:themeShade="FF"/>
          <w:sz w:val="24"/>
          <w:szCs w:val="24"/>
          <w:lang w:val="en-GB"/>
        </w:rPr>
        <w:t xml:space="preserve">Policing by consent </w:t>
      </w:r>
      <w:r w:rsidRPr="76CF2E4B" w:rsidR="5338215A">
        <w:rPr>
          <w:rFonts w:ascii="Arial" w:hAnsi="Arial" w:eastAsia="Arial" w:cs="Arial"/>
          <w:b w:val="0"/>
          <w:bCs w:val="0"/>
          <w:i w:val="0"/>
          <w:iCs w:val="0"/>
          <w:caps w:val="0"/>
          <w:smallCaps w:val="0"/>
          <w:noProof w:val="0"/>
          <w:color w:val="000000" w:themeColor="text1" w:themeTint="FF" w:themeShade="FF"/>
          <w:sz w:val="24"/>
          <w:szCs w:val="24"/>
          <w:lang w:val="en-GB"/>
        </w:rPr>
        <w:t>emerged</w:t>
      </w:r>
      <w:r w:rsidRPr="76CF2E4B" w:rsidR="5338215A">
        <w:rPr>
          <w:rFonts w:ascii="Arial" w:hAnsi="Arial" w:eastAsia="Arial" w:cs="Arial"/>
          <w:b w:val="0"/>
          <w:bCs w:val="0"/>
          <w:i w:val="0"/>
          <w:iCs w:val="0"/>
          <w:caps w:val="0"/>
          <w:smallCaps w:val="0"/>
          <w:noProof w:val="0"/>
          <w:color w:val="000000" w:themeColor="text1" w:themeTint="FF" w:themeShade="FF"/>
          <w:sz w:val="24"/>
          <w:szCs w:val="24"/>
          <w:lang w:val="en-GB"/>
        </w:rPr>
        <w:t xml:space="preserve"> from Robert Peel’s approach to policing</w:t>
      </w:r>
      <w:r w:rsidRPr="76CF2E4B" w:rsidR="7FB7F569">
        <w:rPr>
          <w:rFonts w:ascii="Arial" w:hAnsi="Arial" w:eastAsia="Arial" w:cs="Arial"/>
          <w:b w:val="0"/>
          <w:bCs w:val="0"/>
          <w:i w:val="0"/>
          <w:iCs w:val="0"/>
          <w:caps w:val="0"/>
          <w:smallCaps w:val="0"/>
          <w:noProof w:val="0"/>
          <w:color w:val="000000" w:themeColor="text1" w:themeTint="FF" w:themeShade="FF"/>
          <w:sz w:val="24"/>
          <w:szCs w:val="24"/>
          <w:lang w:val="en-GB"/>
        </w:rPr>
        <w:t xml:space="preserve"> (Lentz and Chaires, 2007)</w:t>
      </w:r>
      <w:r w:rsidRPr="76CF2E4B" w:rsidR="5338215A">
        <w:rPr>
          <w:rFonts w:ascii="Arial" w:hAnsi="Arial" w:eastAsia="Arial" w:cs="Arial"/>
          <w:b w:val="0"/>
          <w:bCs w:val="0"/>
          <w:i w:val="0"/>
          <w:iCs w:val="0"/>
          <w:caps w:val="0"/>
          <w:smallCaps w:val="0"/>
          <w:noProof w:val="0"/>
          <w:color w:val="000000" w:themeColor="text1" w:themeTint="FF" w:themeShade="FF"/>
          <w:sz w:val="24"/>
          <w:szCs w:val="24"/>
          <w:lang w:val="en-GB"/>
        </w:rPr>
        <w:t>.</w:t>
      </w:r>
      <w:r w:rsidRPr="76CF2E4B" w:rsidR="56FBE78E">
        <w:rPr>
          <w:rFonts w:ascii="Arial" w:hAnsi="Arial" w:eastAsia="Arial" w:cs="Arial"/>
          <w:b w:val="0"/>
          <w:bCs w:val="0"/>
          <w:i w:val="0"/>
          <w:iCs w:val="0"/>
          <w:caps w:val="0"/>
          <w:smallCaps w:val="0"/>
          <w:noProof w:val="0"/>
          <w:color w:val="000000" w:themeColor="text1" w:themeTint="FF" w:themeShade="FF"/>
          <w:sz w:val="24"/>
          <w:szCs w:val="24"/>
          <w:lang w:val="en-GB"/>
        </w:rPr>
        <w:t xml:space="preserve"> Consent was seen as a social contract by </w:t>
      </w:r>
      <w:r w:rsidRPr="76CF2E4B" w:rsidR="5428F58E">
        <w:rPr>
          <w:rFonts w:ascii="Arial" w:hAnsi="Arial" w:eastAsia="Arial" w:cs="Arial"/>
          <w:b w:val="0"/>
          <w:bCs w:val="0"/>
          <w:i w:val="0"/>
          <w:iCs w:val="0"/>
          <w:caps w:val="0"/>
          <w:smallCaps w:val="0"/>
          <w:noProof w:val="0"/>
          <w:color w:val="000000" w:themeColor="text1" w:themeTint="FF" w:themeShade="FF"/>
          <w:sz w:val="24"/>
          <w:szCs w:val="24"/>
          <w:lang w:val="en-GB"/>
        </w:rPr>
        <w:t>i</w:t>
      </w:r>
      <w:r w:rsidRPr="76CF2E4B" w:rsidR="7F330907">
        <w:rPr>
          <w:rFonts w:ascii="Arial" w:hAnsi="Arial" w:eastAsia="Arial" w:cs="Arial"/>
          <w:b w:val="0"/>
          <w:bCs w:val="0"/>
          <w:i w:val="0"/>
          <w:iCs w:val="0"/>
          <w:caps w:val="0"/>
          <w:smallCaps w:val="0"/>
          <w:noProof w:val="0"/>
          <w:color w:val="000000" w:themeColor="text1" w:themeTint="FF" w:themeShade="FF"/>
          <w:sz w:val="24"/>
          <w:szCs w:val="24"/>
          <w:lang w:val="en-GB"/>
        </w:rPr>
        <w:t>nd</w:t>
      </w:r>
      <w:r w:rsidRPr="76CF2E4B" w:rsidR="2250CB5C">
        <w:rPr>
          <w:rFonts w:ascii="Arial" w:hAnsi="Arial" w:eastAsia="Arial" w:cs="Arial"/>
          <w:b w:val="0"/>
          <w:bCs w:val="0"/>
          <w:i w:val="0"/>
          <w:iCs w:val="0"/>
          <w:caps w:val="0"/>
          <w:smallCaps w:val="0"/>
          <w:noProof w:val="0"/>
          <w:color w:val="000000" w:themeColor="text1" w:themeTint="FF" w:themeShade="FF"/>
          <w:sz w:val="24"/>
          <w:szCs w:val="24"/>
          <w:lang w:val="en-GB"/>
        </w:rPr>
        <w:t>i</w:t>
      </w:r>
      <w:r w:rsidRPr="76CF2E4B" w:rsidR="7F330907">
        <w:rPr>
          <w:rFonts w:ascii="Arial" w:hAnsi="Arial" w:eastAsia="Arial" w:cs="Arial"/>
          <w:b w:val="0"/>
          <w:bCs w:val="0"/>
          <w:i w:val="0"/>
          <w:iCs w:val="0"/>
          <w:caps w:val="0"/>
          <w:smallCaps w:val="0"/>
          <w:noProof w:val="0"/>
          <w:color w:val="000000" w:themeColor="text1" w:themeTint="FF" w:themeShade="FF"/>
          <w:sz w:val="24"/>
          <w:szCs w:val="24"/>
          <w:lang w:val="en-GB"/>
        </w:rPr>
        <w:t>vidual</w:t>
      </w:r>
      <w:r w:rsidRPr="76CF2E4B" w:rsidR="6D1A33B3">
        <w:rPr>
          <w:rFonts w:ascii="Arial" w:hAnsi="Arial" w:eastAsia="Arial" w:cs="Arial"/>
          <w:b w:val="0"/>
          <w:bCs w:val="0"/>
          <w:i w:val="0"/>
          <w:iCs w:val="0"/>
          <w:caps w:val="0"/>
          <w:smallCaps w:val="0"/>
          <w:noProof w:val="0"/>
          <w:color w:val="000000" w:themeColor="text1" w:themeTint="FF" w:themeShade="FF"/>
          <w:sz w:val="24"/>
          <w:szCs w:val="24"/>
          <w:lang w:val="en-GB"/>
        </w:rPr>
        <w:t>s</w:t>
      </w:r>
      <w:r w:rsidRPr="76CF2E4B" w:rsidR="56FBE78E">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John Locke and JJ Roussea</w:t>
      </w:r>
      <w:r w:rsidRPr="76CF2E4B" w:rsidR="1C54F920">
        <w:rPr>
          <w:rFonts w:ascii="Arial" w:hAnsi="Arial" w:eastAsia="Arial" w:cs="Arial"/>
          <w:b w:val="0"/>
          <w:bCs w:val="0"/>
          <w:i w:val="0"/>
          <w:iCs w:val="0"/>
          <w:caps w:val="0"/>
          <w:smallCaps w:val="0"/>
          <w:noProof w:val="0"/>
          <w:color w:val="000000" w:themeColor="text1" w:themeTint="FF" w:themeShade="FF"/>
          <w:sz w:val="24"/>
          <w:szCs w:val="24"/>
          <w:lang w:val="en-GB"/>
        </w:rPr>
        <w:t>u</w:t>
      </w:r>
      <w:r w:rsidRPr="76CF2E4B" w:rsidR="0955F5D0">
        <w:rPr>
          <w:rFonts w:ascii="Arial" w:hAnsi="Arial" w:eastAsia="Arial" w:cs="Arial"/>
          <w:b w:val="0"/>
          <w:bCs w:val="0"/>
          <w:i w:val="0"/>
          <w:iCs w:val="0"/>
          <w:caps w:val="0"/>
          <w:smallCaps w:val="0"/>
          <w:noProof w:val="0"/>
          <w:color w:val="000000" w:themeColor="text1" w:themeTint="FF" w:themeShade="FF"/>
          <w:sz w:val="24"/>
          <w:szCs w:val="24"/>
          <w:lang w:val="en-GB"/>
        </w:rPr>
        <w:t xml:space="preserve"> where </w:t>
      </w:r>
      <w:r w:rsidRPr="76CF2E4B" w:rsidR="33E4F251">
        <w:rPr>
          <w:rFonts w:ascii="Arial" w:hAnsi="Arial" w:eastAsia="Arial" w:cs="Arial"/>
          <w:b w:val="0"/>
          <w:bCs w:val="0"/>
          <w:i w:val="0"/>
          <w:iCs w:val="0"/>
          <w:caps w:val="0"/>
          <w:smallCaps w:val="0"/>
          <w:noProof w:val="0"/>
          <w:color w:val="000000" w:themeColor="text1" w:themeTint="FF" w:themeShade="FF"/>
          <w:sz w:val="24"/>
          <w:szCs w:val="24"/>
          <w:lang w:val="en-GB"/>
        </w:rPr>
        <w:t>people</w:t>
      </w:r>
      <w:r w:rsidRPr="76CF2E4B" w:rsidR="0955F5D0">
        <w:rPr>
          <w:rFonts w:ascii="Arial" w:hAnsi="Arial" w:eastAsia="Arial" w:cs="Arial"/>
          <w:b w:val="0"/>
          <w:bCs w:val="0"/>
          <w:i w:val="0"/>
          <w:iCs w:val="0"/>
          <w:caps w:val="0"/>
          <w:smallCaps w:val="0"/>
          <w:noProof w:val="0"/>
          <w:color w:val="000000" w:themeColor="text1" w:themeTint="FF" w:themeShade="FF"/>
          <w:sz w:val="24"/>
          <w:szCs w:val="24"/>
          <w:lang w:val="en-GB"/>
        </w:rPr>
        <w:t xml:space="preserve"> would consent to obey rules in a society (</w:t>
      </w:r>
      <w:r w:rsidRPr="76CF2E4B" w:rsidR="1DDE71C5">
        <w:rPr>
          <w:rFonts w:ascii="Arial" w:hAnsi="Arial" w:eastAsia="Arial" w:cs="Arial"/>
          <w:b w:val="0"/>
          <w:bCs w:val="0"/>
          <w:i w:val="0"/>
          <w:iCs w:val="0"/>
          <w:caps w:val="0"/>
          <w:smallCaps w:val="0"/>
          <w:noProof w:val="0"/>
          <w:color w:val="000000" w:themeColor="text1" w:themeTint="FF" w:themeShade="FF"/>
          <w:sz w:val="24"/>
          <w:szCs w:val="24"/>
          <w:lang w:val="en-GB"/>
        </w:rPr>
        <w:t xml:space="preserve">Hoffman </w:t>
      </w:r>
      <w:r w:rsidRPr="76CF2E4B" w:rsidR="1DDE71C5">
        <w:rPr>
          <w:rFonts w:ascii="Arial" w:hAnsi="Arial" w:eastAsia="Arial" w:cs="Arial"/>
          <w:b w:val="0"/>
          <w:bCs w:val="0"/>
          <w:i w:val="1"/>
          <w:iCs w:val="1"/>
          <w:caps w:val="0"/>
          <w:smallCaps w:val="0"/>
          <w:noProof w:val="0"/>
          <w:color w:val="000000" w:themeColor="text1" w:themeTint="FF" w:themeShade="FF"/>
          <w:sz w:val="24"/>
          <w:szCs w:val="24"/>
          <w:lang w:val="en-GB"/>
        </w:rPr>
        <w:t>et al</w:t>
      </w:r>
      <w:r w:rsidRPr="76CF2E4B" w:rsidR="1DDE71C5">
        <w:rPr>
          <w:rFonts w:ascii="Arial" w:hAnsi="Arial" w:eastAsia="Arial" w:cs="Arial"/>
          <w:b w:val="0"/>
          <w:bCs w:val="0"/>
          <w:i w:val="0"/>
          <w:iCs w:val="0"/>
          <w:caps w:val="0"/>
          <w:smallCaps w:val="0"/>
          <w:noProof w:val="0"/>
          <w:color w:val="000000" w:themeColor="text1" w:themeTint="FF" w:themeShade="FF"/>
          <w:sz w:val="24"/>
          <w:szCs w:val="24"/>
          <w:lang w:val="en-GB"/>
        </w:rPr>
        <w:t>, 2018</w:t>
      </w:r>
      <w:r w:rsidRPr="76CF2E4B" w:rsidR="1E5518CC">
        <w:rPr>
          <w:rFonts w:ascii="Arial" w:hAnsi="Arial" w:eastAsia="Arial" w:cs="Arial"/>
          <w:b w:val="0"/>
          <w:bCs w:val="0"/>
          <w:i w:val="0"/>
          <w:iCs w:val="0"/>
          <w:caps w:val="0"/>
          <w:smallCaps w:val="0"/>
          <w:noProof w:val="0"/>
          <w:color w:val="000000" w:themeColor="text1" w:themeTint="FF" w:themeShade="FF"/>
          <w:sz w:val="24"/>
          <w:szCs w:val="24"/>
          <w:lang w:val="en-GB"/>
        </w:rPr>
        <w:t>)</w:t>
      </w:r>
      <w:r w:rsidRPr="76CF2E4B" w:rsidR="0955F5D0">
        <w:rPr>
          <w:rFonts w:ascii="Arial" w:hAnsi="Arial" w:eastAsia="Arial" w:cs="Arial"/>
          <w:b w:val="0"/>
          <w:bCs w:val="0"/>
          <w:i w:val="0"/>
          <w:iCs w:val="0"/>
          <w:caps w:val="0"/>
          <w:smallCaps w:val="0"/>
          <w:noProof w:val="0"/>
          <w:color w:val="000000" w:themeColor="text1" w:themeTint="FF" w:themeShade="FF"/>
          <w:sz w:val="24"/>
          <w:szCs w:val="24"/>
          <w:lang w:val="en-GB"/>
        </w:rPr>
        <w:t>.</w:t>
      </w:r>
      <w:r w:rsidRPr="76CF2E4B" w:rsidR="37E98B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Robert Peel’s conception of policing was to focus on preventing crime instead of punishment and the importance of cooperation from the public (Lentz and Chaires, 2007).</w:t>
      </w:r>
    </w:p>
    <w:p xmlns:wp14="http://schemas.microsoft.com/office/word/2010/wordml" w:rsidP="55F13A90" wp14:paraId="598E155E" wp14:textId="6A613CE0">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5F13A90" wp14:paraId="273EC608" wp14:textId="57BC52A2">
      <w:pPr>
        <w:spacing w:before="0" w:beforeAutospacing="off" w:after="160" w:afterAutospacing="off" w:line="480" w:lineRule="auto"/>
        <w:ind w:left="72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Jackson and Bradford (2009) community consent in policing could be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advantageous</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if the members of the public have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high levels</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of trust in the police service because they may be encouraged to support and cooperate with police service when dealing with issues that affect the community</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w:t>
      </w:r>
      <w:r w:rsidRPr="55F13A90" w:rsidR="62AF3DE7">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Jonathan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GB"/>
        </w:rPr>
        <w:t>et al</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(2012) conducted research in the UK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public trust in the police service and outcomes of it. They surveyed 2,422 members of the public. The results showed that 36% of people were willing to obey the law if they trusted the police service to treat people equally and fairly. Furthermore, it showed that 24% of members of the public were willing to obey and cooperate with the police service, if they trusted that the police were effective at procedural fairness. Jonathan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GB"/>
        </w:rPr>
        <w:t>et al</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(2012) concluded that the police service and members of the public can work together to deal with problems in society if communities trust the police</w:t>
      </w:r>
      <w:r w:rsidRPr="55F13A90" w:rsidR="62AF3DE7">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However, public confidence in the police service has decreased throughout the years in the UK, which could reduce the number of people wanting to cooperate with the police (Bowling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GB"/>
        </w:rPr>
        <w:t xml:space="preserve">et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al, 2019;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Torrible</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2022). An example of this is the case of Sarah Everard who was murdered by a police officer. This caused a decrease in community trust in the police service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Lowerson</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2022). A women's right organisation called End Violence Against Women (2021) directed nationwide research in the UK from March 2021 to November 2021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in regard to</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community trust and confidence within the police service after the murder of Sarah Everard. The findings showed that 40% of males and 47% of females said that they have lost trust in the police service. Furthermore, the research revealed that 1 in 10 (10%) of females were less likely report to the police service any crimes committed against women. The research also found that 65% of members of the public think that more actions need to be taken by the government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protect females. Another case study was done by Police Race Action Plan (2024) when they analysed data in the UK from 2021 to 2023 on the treatment of ethnic minorities by the authorities. The findings were that ethnic minorities are less likely to cooperate with the police service because they are 4 times more likely to be stopped and searched by the police service compared to other groups. Moreover, another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reason why</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ethnic minorities are less likely to support the police service is because the police are 3 times more likely to use force against ethnic minorities compared. This shows that members of the public would be less likely to support and cooperate with the police service. </w:t>
      </w:r>
    </w:p>
    <w:p xmlns:wp14="http://schemas.microsoft.com/office/word/2010/wordml" w:rsidP="55F13A90" wp14:paraId="548125D4" wp14:textId="1ECD84D7">
      <w:pPr>
        <w:spacing w:before="0" w:beforeAutospacing="off" w:after="160" w:afterAutospacing="off" w:line="480" w:lineRule="auto"/>
        <w:ind w:left="72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5F13A90" wp14:paraId="1E441922" wp14:textId="1C1F35AD">
      <w:pPr>
        <w:spacing w:before="0" w:beforeAutospacing="off" w:after="160" w:afterAutospacing="off" w:line="480" w:lineRule="auto"/>
        <w:ind w:left="72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128CAA0" wp14:paraId="192F0CEC" wp14:textId="0A86F861">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Community consent promotes neighbourhood and </w:t>
      </w:r>
      <w:r w:rsidRPr="3128CAA0" w:rsidR="3D292FAB">
        <w:rPr>
          <w:rFonts w:ascii="Arial" w:hAnsi="Arial" w:eastAsia="Arial" w:cs="Arial"/>
          <w:b w:val="0"/>
          <w:bCs w:val="0"/>
          <w:i w:val="0"/>
          <w:iCs w:val="0"/>
          <w:caps w:val="0"/>
          <w:smallCaps w:val="0"/>
          <w:noProof w:val="0"/>
          <w:color w:val="000000" w:themeColor="text1" w:themeTint="FF" w:themeShade="FF"/>
          <w:sz w:val="24"/>
          <w:szCs w:val="24"/>
          <w:lang w:val="en-GB"/>
        </w:rPr>
        <w:t>community</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policing which is good when it comes to reducing anti-social behaviour and making members of the public feel safe (Gill </w:t>
      </w:r>
      <w:r w:rsidRPr="3128CAA0" w:rsidR="04170AE4">
        <w:rPr>
          <w:rFonts w:ascii="Arial" w:hAnsi="Arial" w:eastAsia="Arial" w:cs="Arial"/>
          <w:b w:val="0"/>
          <w:bCs w:val="0"/>
          <w:i w:val="1"/>
          <w:iCs w:val="1"/>
          <w:caps w:val="0"/>
          <w:smallCaps w:val="0"/>
          <w:noProof w:val="0"/>
          <w:color w:val="000000" w:themeColor="text1" w:themeTint="FF" w:themeShade="FF"/>
          <w:sz w:val="24"/>
          <w:szCs w:val="24"/>
          <w:lang w:val="en-GB"/>
        </w:rPr>
        <w:t>et al</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2014; Ratcliffe </w:t>
      </w:r>
      <w:r w:rsidRPr="3128CAA0" w:rsidR="04170AE4">
        <w:rPr>
          <w:rFonts w:ascii="Arial" w:hAnsi="Arial" w:eastAsia="Arial" w:cs="Arial"/>
          <w:b w:val="0"/>
          <w:bCs w:val="0"/>
          <w:i w:val="1"/>
          <w:iCs w:val="1"/>
          <w:caps w:val="0"/>
          <w:smallCaps w:val="0"/>
          <w:noProof w:val="0"/>
          <w:color w:val="000000" w:themeColor="text1" w:themeTint="FF" w:themeShade="FF"/>
          <w:sz w:val="24"/>
          <w:szCs w:val="24"/>
          <w:lang w:val="en-GB"/>
        </w:rPr>
        <w:t>et al</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2015). The National Reassurance Policing Programme (2007) conducted research from October 2003 to March 2005 </w:t>
      </w:r>
      <w:bookmarkStart w:name="_Int_Ox9TWCL8" w:id="2112385824"/>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regarding</w:t>
      </w:r>
      <w:bookmarkEnd w:id="2112385824"/>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the impact neighbourhood policing had on anti-social behaviour. The findings were that there was a 62.5% decrease in anti-social behaviour. Another case study was done the Chicago Alternative Policing Strategy (2000) conducted research from in Chicago, America from 1993 to 1999,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the outcomes of neighbourhood and community policing. The results were that 78% of ethnic minorities living in Chicago said that they felt safer. However, according to </w:t>
      </w:r>
      <w:r w:rsidRPr="3128CAA0" w:rsidR="38F65144">
        <w:rPr>
          <w:rFonts w:ascii="Arial" w:hAnsi="Arial" w:eastAsia="Arial" w:cs="Arial"/>
          <w:b w:val="0"/>
          <w:bCs w:val="0"/>
          <w:i w:val="0"/>
          <w:iCs w:val="0"/>
          <w:caps w:val="0"/>
          <w:smallCaps w:val="0"/>
          <w:noProof w:val="0"/>
          <w:color w:val="000000" w:themeColor="text1" w:themeTint="FF" w:themeShade="FF"/>
          <w:sz w:val="24"/>
          <w:szCs w:val="24"/>
          <w:lang w:val="en-GB"/>
        </w:rPr>
        <w:t xml:space="preserve">Ekici </w:t>
      </w:r>
      <w:r w:rsidRPr="3128CAA0" w:rsidR="38F65144">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3128CAA0" w:rsidR="38F65144">
        <w:rPr>
          <w:rFonts w:ascii="Arial" w:hAnsi="Arial" w:eastAsia="Arial" w:cs="Arial"/>
          <w:b w:val="0"/>
          <w:bCs w:val="0"/>
          <w:i w:val="0"/>
          <w:iCs w:val="0"/>
          <w:caps w:val="0"/>
          <w:smallCaps w:val="0"/>
          <w:noProof w:val="0"/>
          <w:color w:val="000000" w:themeColor="text1" w:themeTint="FF" w:themeShade="FF"/>
          <w:sz w:val="24"/>
          <w:szCs w:val="24"/>
          <w:lang w:val="en-GB"/>
        </w:rPr>
        <w:t xml:space="preserve">(2022)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neighbourhood and community policing does not reduce </w:t>
      </w:r>
      <w:r w:rsidRPr="3128CAA0" w:rsidR="48E23A6D">
        <w:rPr>
          <w:rFonts w:ascii="Arial" w:hAnsi="Arial" w:eastAsia="Arial" w:cs="Arial"/>
          <w:b w:val="0"/>
          <w:bCs w:val="0"/>
          <w:i w:val="0"/>
          <w:iCs w:val="0"/>
          <w:caps w:val="0"/>
          <w:smallCaps w:val="0"/>
          <w:noProof w:val="0"/>
          <w:color w:val="000000" w:themeColor="text1" w:themeTint="FF" w:themeShade="FF"/>
          <w:sz w:val="24"/>
          <w:szCs w:val="24"/>
          <w:lang w:val="en-GB"/>
        </w:rPr>
        <w:t xml:space="preserve">certain types of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crime. Ekici </w:t>
      </w:r>
      <w:r w:rsidRPr="3128CAA0" w:rsidR="04170AE4">
        <w:rPr>
          <w:rFonts w:ascii="Arial" w:hAnsi="Arial" w:eastAsia="Arial" w:cs="Arial"/>
          <w:b w:val="0"/>
          <w:bCs w:val="0"/>
          <w:i w:val="1"/>
          <w:iCs w:val="1"/>
          <w:caps w:val="0"/>
          <w:smallCaps w:val="0"/>
          <w:noProof w:val="0"/>
          <w:color w:val="000000" w:themeColor="text1" w:themeTint="FF" w:themeShade="FF"/>
          <w:sz w:val="24"/>
          <w:szCs w:val="24"/>
          <w:lang w:val="en-GB"/>
        </w:rPr>
        <w:t>et al</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(2022) conducted research from 2019 to 2022 on community and neighbourhood policing and reduction crime and concluded that community and neighbourhood policing did not reduce illegal drug sales (odds ratio: 0.394), disorder (odds ratio: 0.861) and property crime (odds ratio: 0.935). Additionally, Blair </w:t>
      </w:r>
      <w:r w:rsidRPr="3128CAA0" w:rsidR="04170AE4">
        <w:rPr>
          <w:rFonts w:ascii="Arial" w:hAnsi="Arial" w:eastAsia="Arial" w:cs="Arial"/>
          <w:b w:val="0"/>
          <w:bCs w:val="0"/>
          <w:i w:val="1"/>
          <w:iCs w:val="1"/>
          <w:caps w:val="0"/>
          <w:smallCaps w:val="0"/>
          <w:noProof w:val="0"/>
          <w:color w:val="000000" w:themeColor="text1" w:themeTint="FF" w:themeShade="FF"/>
          <w:sz w:val="24"/>
          <w:szCs w:val="24"/>
          <w:lang w:val="en-GB"/>
        </w:rPr>
        <w:t>et al</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(2021) examined community policing in six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d</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ifferent locations</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from 2018 to 2019 on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w</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hether or not</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community policing decreased crime. The results were that community police had zero impact on reducing crime. </w:t>
      </w:r>
    </w:p>
    <w:p xmlns:wp14="http://schemas.microsoft.com/office/word/2010/wordml" w:rsidP="55F13A90" wp14:paraId="3E10E470" wp14:textId="61DD5984">
      <w:pPr>
        <w:spacing w:before="0" w:beforeAutospacing="off" w:after="160" w:afterAutospacing="off" w:line="480" w:lineRule="auto"/>
        <w:ind w:left="72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D69EC13" wp14:paraId="52BCF49E" wp14:textId="76864AD4">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Another form of </w:t>
      </w:r>
      <w:r w:rsidRPr="0D69EC13" w:rsidR="4B278F40">
        <w:rPr>
          <w:rFonts w:ascii="Arial" w:hAnsi="Arial" w:eastAsia="Arial" w:cs="Arial"/>
          <w:b w:val="0"/>
          <w:bCs w:val="0"/>
          <w:i w:val="0"/>
          <w:iCs w:val="0"/>
          <w:caps w:val="0"/>
          <w:smallCaps w:val="0"/>
          <w:noProof w:val="0"/>
          <w:color w:val="000000" w:themeColor="text1" w:themeTint="FF" w:themeShade="FF"/>
          <w:sz w:val="24"/>
          <w:szCs w:val="24"/>
          <w:lang w:val="en-GB"/>
        </w:rPr>
        <w:t>social control in policing</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is governmental control. This is when the government can control and influence laws and policing and much more within a society (Rose, 2000). </w:t>
      </w:r>
      <w:r w:rsidRPr="0D69EC13" w:rsidR="17F1EBB1">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times when the police need to take control and dictate and dominate </w:t>
      </w:r>
      <w:r w:rsidRPr="0D69EC13" w:rsidR="58B43FB4">
        <w:rPr>
          <w:rFonts w:ascii="Arial" w:hAnsi="Arial" w:eastAsia="Arial" w:cs="Arial"/>
          <w:b w:val="0"/>
          <w:bCs w:val="0"/>
          <w:i w:val="0"/>
          <w:iCs w:val="0"/>
          <w:caps w:val="0"/>
          <w:smallCaps w:val="0"/>
          <w:noProof w:val="0"/>
          <w:color w:val="000000" w:themeColor="text1" w:themeTint="FF" w:themeShade="FF"/>
          <w:sz w:val="24"/>
          <w:szCs w:val="24"/>
          <w:lang w:val="en-GB"/>
        </w:rPr>
        <w:t xml:space="preserve">in certain circumstances when </w:t>
      </w:r>
      <w:r w:rsidRPr="0D69EC13" w:rsidR="04952FB7">
        <w:rPr>
          <w:rFonts w:ascii="Arial" w:hAnsi="Arial" w:eastAsia="Arial" w:cs="Arial"/>
          <w:b w:val="0"/>
          <w:bCs w:val="0"/>
          <w:i w:val="0"/>
          <w:iCs w:val="0"/>
          <w:caps w:val="0"/>
          <w:smallCaps w:val="0"/>
          <w:noProof w:val="0"/>
          <w:color w:val="000000" w:themeColor="text1" w:themeTint="FF" w:themeShade="FF"/>
          <w:sz w:val="24"/>
          <w:szCs w:val="24"/>
          <w:lang w:val="en-GB"/>
        </w:rPr>
        <w:t>necessary,</w:t>
      </w:r>
      <w:r w:rsidRPr="0D69EC13" w:rsidR="04952FB7">
        <w:rPr>
          <w:rFonts w:ascii="Arial" w:hAnsi="Arial" w:eastAsia="Arial" w:cs="Arial"/>
          <w:b w:val="0"/>
          <w:bCs w:val="0"/>
          <w:i w:val="0"/>
          <w:iCs w:val="0"/>
          <w:caps w:val="0"/>
          <w:smallCaps w:val="0"/>
          <w:noProof w:val="0"/>
          <w:color w:val="000000" w:themeColor="text1" w:themeTint="FF" w:themeShade="FF"/>
          <w:sz w:val="24"/>
          <w:szCs w:val="24"/>
          <w:lang w:val="en-GB"/>
        </w:rPr>
        <w:t xml:space="preserve"> depending on the context</w:t>
      </w:r>
      <w:r w:rsidRPr="0D69EC13" w:rsidR="58B43F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255823CD">
        <w:rPr>
          <w:rFonts w:ascii="Arial" w:hAnsi="Arial" w:eastAsia="Arial" w:cs="Arial"/>
          <w:b w:val="0"/>
          <w:bCs w:val="0"/>
          <w:i w:val="0"/>
          <w:iCs w:val="0"/>
          <w:caps w:val="0"/>
          <w:smallCaps w:val="0"/>
          <w:noProof w:val="0"/>
          <w:color w:val="000000" w:themeColor="text1" w:themeTint="FF" w:themeShade="FF"/>
          <w:sz w:val="24"/>
          <w:szCs w:val="24"/>
          <w:lang w:val="en-GB"/>
        </w:rPr>
        <w:t>(Rose, 2000)</w:t>
      </w:r>
      <w:r w:rsidRPr="0D69EC13" w:rsidR="58B43FB4">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55F13A90" wp14:paraId="1FE5FADA" wp14:textId="2A4A9AC2">
      <w:pPr>
        <w:spacing w:line="480" w:lineRule="auto"/>
        <w:ind w:left="720"/>
        <w:rPr>
          <w:rFonts w:ascii="Arial" w:hAnsi="Arial" w:eastAsia="Arial" w:cs="Arial"/>
          <w:b w:val="0"/>
          <w:bCs w:val="0"/>
          <w:i w:val="0"/>
          <w:iCs w:val="0"/>
          <w:caps w:val="0"/>
          <w:smallCaps w:val="0"/>
          <w:noProof w:val="0"/>
          <w:color w:val="FF0000"/>
          <w:sz w:val="24"/>
          <w:szCs w:val="24"/>
          <w:lang w:val="en-US"/>
        </w:rPr>
      </w:pPr>
    </w:p>
    <w:p xmlns:wp14="http://schemas.microsoft.com/office/word/2010/wordml" w:rsidP="0D69EC13" wp14:paraId="7290C3E4" wp14:textId="318CCF52">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A strength of governmental control in policing is that it restores justice and can increase public confidence (Button, 2007; Cosgrove, 2016; Cordner, 1997; Dixon, 1997). An example of governmental control in policing being effective at restoring justice and public confidence is the 2011 Tottenham riots. This resulted from an unarmed man</w:t>
      </w:r>
      <w:r w:rsidRPr="0D69EC13" w:rsidR="66C9AB5A">
        <w:rPr>
          <w:rFonts w:ascii="Arial" w:hAnsi="Arial" w:eastAsia="Arial" w:cs="Arial"/>
          <w:b w:val="0"/>
          <w:bCs w:val="0"/>
          <w:i w:val="0"/>
          <w:iCs w:val="0"/>
          <w:caps w:val="0"/>
          <w:smallCaps w:val="0"/>
          <w:noProof w:val="0"/>
          <w:color w:val="000000" w:themeColor="text1" w:themeTint="FF" w:themeShade="FF"/>
          <w:sz w:val="24"/>
          <w:szCs w:val="24"/>
          <w:lang w:val="en-GB"/>
        </w:rPr>
        <w:t xml:space="preserve"> who was a known violent criminal</w:t>
      </w:r>
      <w:r w:rsidRPr="0D69EC13" w:rsidR="365F5DF6">
        <w:rPr>
          <w:rFonts w:ascii="Arial" w:hAnsi="Arial" w:eastAsia="Arial" w:cs="Arial"/>
          <w:b w:val="0"/>
          <w:bCs w:val="0"/>
          <w:i w:val="0"/>
          <w:iCs w:val="0"/>
          <w:caps w:val="0"/>
          <w:smallCaps w:val="0"/>
          <w:noProof w:val="0"/>
          <w:color w:val="000000" w:themeColor="text1" w:themeTint="FF" w:themeShade="FF"/>
          <w:sz w:val="24"/>
          <w:szCs w:val="24"/>
          <w:lang w:val="en-GB"/>
        </w:rPr>
        <w:t xml:space="preserve"> and gang member</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getting shot in Tottenham, by armed police officers during a stop and search.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B</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audains</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2AF3DE7">
        <w:rPr>
          <w:rFonts w:ascii="Arial" w:hAnsi="Arial" w:eastAsia="Arial" w:cs="Arial"/>
          <w:b w:val="0"/>
          <w:bCs w:val="0"/>
          <w:i w:val="1"/>
          <w:iCs w:val="1"/>
          <w:caps w:val="0"/>
          <w:smallCaps w:val="0"/>
          <w:noProof w:val="0"/>
          <w:color w:val="000000" w:themeColor="text1" w:themeTint="FF" w:themeShade="FF"/>
          <w:sz w:val="24"/>
          <w:szCs w:val="24"/>
          <w:lang w:val="en-GB"/>
        </w:rPr>
        <w:t xml:space="preserve">et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al, 2013; Dillion and Fanning, 2013). </w:t>
      </w:r>
      <w:r w:rsidRPr="0D69EC13" w:rsidR="4CFBB59E">
        <w:rPr>
          <w:rFonts w:ascii="Arial" w:hAnsi="Arial" w:eastAsia="Arial" w:cs="Arial"/>
          <w:b w:val="0"/>
          <w:bCs w:val="0"/>
          <w:i w:val="0"/>
          <w:iCs w:val="0"/>
          <w:caps w:val="0"/>
          <w:smallCaps w:val="0"/>
          <w:noProof w:val="0"/>
          <w:color w:val="000000" w:themeColor="text1" w:themeTint="FF" w:themeShade="FF"/>
          <w:sz w:val="24"/>
          <w:szCs w:val="24"/>
          <w:lang w:val="en-GB"/>
        </w:rPr>
        <w:t>The man’s name is Mark Duggan wh</w:t>
      </w:r>
      <w:r w:rsidRPr="0D69EC13" w:rsidR="0C6CE3C1">
        <w:rPr>
          <w:rFonts w:ascii="Arial" w:hAnsi="Arial" w:eastAsia="Arial" w:cs="Arial"/>
          <w:b w:val="0"/>
          <w:bCs w:val="0"/>
          <w:i w:val="0"/>
          <w:iCs w:val="0"/>
          <w:caps w:val="0"/>
          <w:smallCaps w:val="0"/>
          <w:noProof w:val="0"/>
          <w:color w:val="000000" w:themeColor="text1" w:themeTint="FF" w:themeShade="FF"/>
          <w:sz w:val="24"/>
          <w:szCs w:val="24"/>
          <w:lang w:val="en-GB"/>
        </w:rPr>
        <w:t xml:space="preserve">o </w:t>
      </w:r>
      <w:r w:rsidRPr="0D69EC13" w:rsidR="7C70A917">
        <w:rPr>
          <w:rFonts w:ascii="Arial" w:hAnsi="Arial" w:eastAsia="Arial" w:cs="Arial"/>
          <w:b w:val="0"/>
          <w:bCs w:val="0"/>
          <w:i w:val="0"/>
          <w:iCs w:val="0"/>
          <w:caps w:val="0"/>
          <w:smallCaps w:val="0"/>
          <w:noProof w:val="0"/>
          <w:color w:val="000000" w:themeColor="text1" w:themeTint="FF" w:themeShade="FF"/>
          <w:sz w:val="24"/>
          <w:szCs w:val="24"/>
          <w:lang w:val="en-GB"/>
        </w:rPr>
        <w:t>is responsible for</w:t>
      </w:r>
      <w:r w:rsidRPr="0D69EC13" w:rsidR="7C70A917">
        <w:rPr>
          <w:rFonts w:ascii="Arial" w:hAnsi="Arial" w:eastAsia="Arial" w:cs="Arial"/>
          <w:b w:val="0"/>
          <w:bCs w:val="0"/>
          <w:i w:val="0"/>
          <w:iCs w:val="0"/>
          <w:caps w:val="0"/>
          <w:smallCaps w:val="0"/>
          <w:noProof w:val="0"/>
          <w:color w:val="000000" w:themeColor="text1" w:themeTint="FF" w:themeShade="FF"/>
          <w:sz w:val="24"/>
          <w:szCs w:val="24"/>
          <w:lang w:val="en-GB"/>
        </w:rPr>
        <w:t xml:space="preserve"> gang violence and drug dealing </w:t>
      </w:r>
      <w:r w:rsidRPr="0D69EC13" w:rsidR="6BBE7DCF">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r w:rsidRPr="0D69EC13" w:rsidR="7C70A917">
        <w:rPr>
          <w:rFonts w:ascii="Arial" w:hAnsi="Arial" w:eastAsia="Arial" w:cs="Arial"/>
          <w:b w:val="0"/>
          <w:bCs w:val="0"/>
          <w:i w:val="0"/>
          <w:iCs w:val="0"/>
          <w:caps w:val="0"/>
          <w:smallCaps w:val="0"/>
          <w:noProof w:val="0"/>
          <w:color w:val="000000" w:themeColor="text1" w:themeTint="FF" w:themeShade="FF"/>
          <w:sz w:val="24"/>
          <w:szCs w:val="24"/>
          <w:lang w:val="en-GB"/>
        </w:rPr>
        <w:t xml:space="preserve">London </w:t>
      </w:r>
      <w:r w:rsidRPr="0D69EC13" w:rsidR="2E7FB90E">
        <w:rPr>
          <w:rFonts w:ascii="Arial" w:hAnsi="Arial" w:eastAsia="Arial" w:cs="Arial"/>
          <w:b w:val="0"/>
          <w:bCs w:val="0"/>
          <w:i w:val="0"/>
          <w:iCs w:val="0"/>
          <w:caps w:val="0"/>
          <w:smallCaps w:val="0"/>
          <w:noProof w:val="0"/>
          <w:color w:val="000000" w:themeColor="text1" w:themeTint="FF" w:themeShade="FF"/>
          <w:sz w:val="24"/>
          <w:szCs w:val="24"/>
          <w:lang w:val="en-GB"/>
        </w:rPr>
        <w:t>communities (Dillion and Fanning, 2013)</w:t>
      </w:r>
      <w:r w:rsidRPr="0D69EC13" w:rsidR="4CFBB59E">
        <w:rPr>
          <w:rFonts w:ascii="Arial" w:hAnsi="Arial" w:eastAsia="Arial" w:cs="Arial"/>
          <w:b w:val="0"/>
          <w:bCs w:val="0"/>
          <w:i w:val="0"/>
          <w:iCs w:val="0"/>
          <w:caps w:val="0"/>
          <w:smallCaps w:val="0"/>
          <w:noProof w:val="0"/>
          <w:color w:val="000000" w:themeColor="text1" w:themeTint="FF" w:themeShade="FF"/>
          <w:sz w:val="24"/>
          <w:szCs w:val="24"/>
          <w:lang w:val="en-GB"/>
        </w:rPr>
        <w:t>.</w:t>
      </w:r>
      <w:r w:rsidRPr="0D69EC13" w:rsidR="75F6C5D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After the incident took place, members of the local community which consisted of friends and family members of the </w:t>
      </w:r>
      <w:r w:rsidRPr="0D69EC13" w:rsidR="5D22EE0B">
        <w:rPr>
          <w:rFonts w:ascii="Arial" w:hAnsi="Arial" w:eastAsia="Arial" w:cs="Arial"/>
          <w:b w:val="0"/>
          <w:bCs w:val="0"/>
          <w:i w:val="0"/>
          <w:iCs w:val="0"/>
          <w:caps w:val="0"/>
          <w:smallCaps w:val="0"/>
          <w:noProof w:val="0"/>
          <w:color w:val="000000" w:themeColor="text1" w:themeTint="FF" w:themeShade="FF"/>
          <w:sz w:val="24"/>
          <w:szCs w:val="24"/>
          <w:lang w:val="en-GB"/>
        </w:rPr>
        <w:t>Mark Duggan</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organised a protest outside a Tottenham police station in London which later escalated into riots that spread to other cities in the UK such as Bristol, Liverpool, and Birmingham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House of Commons</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2011). The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House of Commons</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53463D7C">
        <w:rPr>
          <w:rFonts w:ascii="Arial" w:hAnsi="Arial" w:eastAsia="Arial" w:cs="Arial"/>
          <w:b w:val="0"/>
          <w:bCs w:val="0"/>
          <w:i w:val="0"/>
          <w:iCs w:val="0"/>
          <w:caps w:val="0"/>
          <w:smallCaps w:val="0"/>
          <w:noProof w:val="0"/>
          <w:color w:val="000000" w:themeColor="text1" w:themeTint="FF" w:themeShade="FF"/>
          <w:sz w:val="24"/>
          <w:szCs w:val="24"/>
          <w:lang w:val="en-GB"/>
        </w:rPr>
        <w:t>(2011)</w:t>
      </w:r>
      <w:r w:rsidRPr="0D69EC13" w:rsidR="335247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conducted research in the UK from August 2011 to October 2011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r</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egarding</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the number of arrests made after the Tottenham riots. The findings were that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n</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early 4,000</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individuals were arrested during early September of 2011. Another finding from the research was that 5,175 criminal offences were collected and recorded by the police service</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D69EC13" wp14:paraId="0A14E71C" wp14:textId="333576A5">
      <w:pPr>
        <w:pStyle w:val="Normal"/>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The National Police Chiefs’ Council (NPCC) conducted research in the UK from June 2011 to June 2012, which was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nearly a</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year after the Tottenham riots,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public confidence in the police service. The research findings found that 75% of members of the public have confidence in the police service, which is an increase from 2006 which had a public confidence level of 63% (Home Office, 2023). Chief Constable Simon Cole said, “the public perceptions of policing statistics for 2011/12 published today make promising reading, particularly in the context of crime falling by six per cent for the 12 months to June 2012” (National Police Chiefs’ Council, 2012, para 3). </w:t>
      </w:r>
      <w:r w:rsidRPr="0D69EC13" w:rsidR="1AACFC50">
        <w:rPr>
          <w:rFonts w:ascii="Arial" w:hAnsi="Arial" w:eastAsia="Arial" w:cs="Arial"/>
          <w:b w:val="0"/>
          <w:bCs w:val="0"/>
          <w:i w:val="0"/>
          <w:iCs w:val="0"/>
          <w:caps w:val="0"/>
          <w:smallCaps w:val="0"/>
          <w:noProof w:val="0"/>
          <w:color w:val="000000" w:themeColor="text1" w:themeTint="FF" w:themeShade="FF"/>
          <w:sz w:val="24"/>
          <w:szCs w:val="24"/>
          <w:lang w:val="en-GB"/>
        </w:rPr>
        <w:t>Yet,</w:t>
      </w:r>
      <w:r w:rsidRPr="0D69EC13" w:rsidR="73F12E31">
        <w:rPr>
          <w:rFonts w:ascii="Arial" w:hAnsi="Arial" w:eastAsia="Arial" w:cs="Arial"/>
          <w:b w:val="0"/>
          <w:bCs w:val="0"/>
          <w:i w:val="0"/>
          <w:iCs w:val="0"/>
          <w:caps w:val="0"/>
          <w:smallCaps w:val="0"/>
          <w:noProof w:val="0"/>
          <w:color w:val="000000" w:themeColor="text1" w:themeTint="FF" w:themeShade="FF"/>
          <w:sz w:val="24"/>
          <w:szCs w:val="24"/>
          <w:lang w:val="en-GB"/>
        </w:rPr>
        <w:t xml:space="preserve"> polic</w:t>
      </w:r>
      <w:r w:rsidRPr="0D69EC13" w:rsidR="49530F9D">
        <w:rPr>
          <w:rFonts w:ascii="Arial" w:hAnsi="Arial" w:eastAsia="Arial" w:cs="Arial"/>
          <w:b w:val="0"/>
          <w:bCs w:val="0"/>
          <w:i w:val="0"/>
          <w:iCs w:val="0"/>
          <w:caps w:val="0"/>
          <w:smallCaps w:val="0"/>
          <w:noProof w:val="0"/>
          <w:color w:val="000000" w:themeColor="text1" w:themeTint="FF" w:themeShade="FF"/>
          <w:sz w:val="24"/>
          <w:szCs w:val="24"/>
          <w:lang w:val="en-GB"/>
        </w:rPr>
        <w:t>ing</w:t>
      </w:r>
      <w:r w:rsidRPr="0D69EC13" w:rsidR="15B611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028BA1F">
        <w:rPr>
          <w:rFonts w:ascii="Arial" w:hAnsi="Arial" w:eastAsia="Arial" w:cs="Arial"/>
          <w:b w:val="0"/>
          <w:bCs w:val="0"/>
          <w:i w:val="0"/>
          <w:iCs w:val="0"/>
          <w:caps w:val="0"/>
          <w:smallCaps w:val="0"/>
          <w:noProof w:val="0"/>
          <w:color w:val="000000" w:themeColor="text1" w:themeTint="FF" w:themeShade="FF"/>
          <w:sz w:val="24"/>
          <w:szCs w:val="24"/>
          <w:lang w:val="en-GB"/>
        </w:rPr>
        <w:t>by consent could have</w:t>
      </w:r>
      <w:r w:rsidRPr="0D69EC13" w:rsidR="1F37FB4B">
        <w:rPr>
          <w:rFonts w:ascii="Arial" w:hAnsi="Arial" w:eastAsia="Arial" w:cs="Arial"/>
          <w:b w:val="0"/>
          <w:bCs w:val="0"/>
          <w:i w:val="0"/>
          <w:iCs w:val="0"/>
          <w:caps w:val="0"/>
          <w:smallCaps w:val="0"/>
          <w:noProof w:val="0"/>
          <w:color w:val="000000" w:themeColor="text1" w:themeTint="FF" w:themeShade="FF"/>
          <w:sz w:val="24"/>
          <w:szCs w:val="24"/>
          <w:lang w:val="en-GB"/>
        </w:rPr>
        <w:t xml:space="preserve"> potentially</w:t>
      </w:r>
      <w:r w:rsidRPr="0D69EC13" w:rsidR="6028BA1F">
        <w:rPr>
          <w:rFonts w:ascii="Arial" w:hAnsi="Arial" w:eastAsia="Arial" w:cs="Arial"/>
          <w:b w:val="0"/>
          <w:bCs w:val="0"/>
          <w:i w:val="0"/>
          <w:iCs w:val="0"/>
          <w:caps w:val="0"/>
          <w:smallCaps w:val="0"/>
          <w:noProof w:val="0"/>
          <w:color w:val="000000" w:themeColor="text1" w:themeTint="FF" w:themeShade="FF"/>
          <w:sz w:val="24"/>
          <w:szCs w:val="24"/>
          <w:lang w:val="en-GB"/>
        </w:rPr>
        <w:t xml:space="preserve"> prevented the </w:t>
      </w:r>
      <w:r w:rsidRPr="0D69EC13" w:rsidR="76F4ED45">
        <w:rPr>
          <w:rFonts w:ascii="Arial" w:hAnsi="Arial" w:eastAsia="Arial" w:cs="Arial"/>
          <w:b w:val="0"/>
          <w:bCs w:val="0"/>
          <w:i w:val="0"/>
          <w:iCs w:val="0"/>
          <w:caps w:val="0"/>
          <w:smallCaps w:val="0"/>
          <w:noProof w:val="0"/>
          <w:color w:val="000000" w:themeColor="text1" w:themeTint="FF" w:themeShade="FF"/>
          <w:sz w:val="24"/>
          <w:szCs w:val="24"/>
          <w:lang w:val="en-GB"/>
        </w:rPr>
        <w:t xml:space="preserve">Tottenham </w:t>
      </w:r>
      <w:r w:rsidRPr="0D69EC13" w:rsidR="6028BA1F">
        <w:rPr>
          <w:rFonts w:ascii="Arial" w:hAnsi="Arial" w:eastAsia="Arial" w:cs="Arial"/>
          <w:b w:val="0"/>
          <w:bCs w:val="0"/>
          <w:i w:val="0"/>
          <w:iCs w:val="0"/>
          <w:caps w:val="0"/>
          <w:smallCaps w:val="0"/>
          <w:noProof w:val="0"/>
          <w:color w:val="000000" w:themeColor="text1" w:themeTint="FF" w:themeShade="FF"/>
          <w:sz w:val="24"/>
          <w:szCs w:val="24"/>
          <w:lang w:val="en-GB"/>
        </w:rPr>
        <w:t xml:space="preserve">riots by dealing with the issues before it </w:t>
      </w:r>
      <w:r w:rsidRPr="0D69EC13" w:rsidR="20D38536">
        <w:rPr>
          <w:rFonts w:ascii="Arial" w:hAnsi="Arial" w:eastAsia="Arial" w:cs="Arial"/>
          <w:b w:val="0"/>
          <w:bCs w:val="0"/>
          <w:i w:val="0"/>
          <w:iCs w:val="0"/>
          <w:caps w:val="0"/>
          <w:smallCaps w:val="0"/>
          <w:noProof w:val="0"/>
          <w:color w:val="000000" w:themeColor="text1" w:themeTint="FF" w:themeShade="FF"/>
          <w:sz w:val="24"/>
          <w:szCs w:val="24"/>
          <w:lang w:val="en-GB"/>
        </w:rPr>
        <w:t xml:space="preserve">becomes </w:t>
      </w:r>
      <w:r w:rsidRPr="0D69EC13" w:rsidR="20D38536">
        <w:rPr>
          <w:rFonts w:ascii="Arial" w:hAnsi="Arial" w:eastAsia="Arial" w:cs="Arial"/>
          <w:b w:val="0"/>
          <w:bCs w:val="0"/>
          <w:i w:val="0"/>
          <w:iCs w:val="0"/>
          <w:caps w:val="0"/>
          <w:smallCaps w:val="0"/>
          <w:noProof w:val="0"/>
          <w:color w:val="000000" w:themeColor="text1" w:themeTint="FF" w:themeShade="FF"/>
          <w:sz w:val="24"/>
          <w:szCs w:val="24"/>
          <w:lang w:val="en-GB"/>
        </w:rPr>
        <w:t xml:space="preserve">a serious </w:t>
      </w:r>
      <w:r w:rsidRPr="0D69EC13" w:rsidR="6D854D1F">
        <w:rPr>
          <w:rFonts w:ascii="Arial" w:hAnsi="Arial" w:eastAsia="Arial" w:cs="Arial"/>
          <w:b w:val="0"/>
          <w:bCs w:val="0"/>
          <w:i w:val="0"/>
          <w:iCs w:val="0"/>
          <w:caps w:val="0"/>
          <w:smallCaps w:val="0"/>
          <w:noProof w:val="0"/>
          <w:color w:val="000000" w:themeColor="text1" w:themeTint="FF" w:themeShade="FF"/>
          <w:sz w:val="24"/>
          <w:szCs w:val="24"/>
          <w:lang w:val="en-GB"/>
        </w:rPr>
        <w:t>problem</w:t>
      </w:r>
      <w:r w:rsidRPr="0D69EC13" w:rsidR="6D854D1F">
        <w:rPr>
          <w:rFonts w:ascii="Arial" w:hAnsi="Arial" w:eastAsia="Arial" w:cs="Arial"/>
          <w:b w:val="0"/>
          <w:bCs w:val="0"/>
          <w:i w:val="0"/>
          <w:iCs w:val="0"/>
          <w:caps w:val="0"/>
          <w:smallCaps w:val="0"/>
          <w:noProof w:val="0"/>
          <w:color w:val="000000" w:themeColor="text1" w:themeTint="FF" w:themeShade="FF"/>
          <w:sz w:val="24"/>
          <w:szCs w:val="24"/>
          <w:lang w:val="en-GB"/>
        </w:rPr>
        <w:t>,</w:t>
      </w:r>
      <w:r w:rsidRPr="0D69EC13" w:rsidR="70567C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7395942B">
        <w:rPr>
          <w:rFonts w:ascii="Arial" w:hAnsi="Arial" w:eastAsia="Arial" w:cs="Arial"/>
          <w:b w:val="0"/>
          <w:bCs w:val="0"/>
          <w:i w:val="0"/>
          <w:iCs w:val="0"/>
          <w:caps w:val="0"/>
          <w:smallCaps w:val="0"/>
          <w:noProof w:val="0"/>
          <w:color w:val="000000" w:themeColor="text1" w:themeTint="FF" w:themeShade="FF"/>
          <w:sz w:val="24"/>
          <w:szCs w:val="24"/>
          <w:lang w:val="en-GB"/>
        </w:rPr>
        <w:t>and</w:t>
      </w:r>
      <w:r w:rsidRPr="0D69EC13" w:rsidR="7496DA05">
        <w:rPr>
          <w:rFonts w:ascii="Arial" w:hAnsi="Arial" w:eastAsia="Arial" w:cs="Arial"/>
          <w:b w:val="0"/>
          <w:bCs w:val="0"/>
          <w:i w:val="0"/>
          <w:iCs w:val="0"/>
          <w:caps w:val="0"/>
          <w:smallCaps w:val="0"/>
          <w:noProof w:val="0"/>
          <w:color w:val="000000" w:themeColor="text1" w:themeTint="FF" w:themeShade="FF"/>
          <w:sz w:val="24"/>
          <w:szCs w:val="24"/>
          <w:lang w:val="en-GB"/>
        </w:rPr>
        <w:t xml:space="preserve"> so that</w:t>
      </w:r>
      <w:r w:rsidRPr="0D69EC13" w:rsidR="7395942B">
        <w:rPr>
          <w:rFonts w:ascii="Arial" w:hAnsi="Arial" w:eastAsia="Arial" w:cs="Arial"/>
          <w:b w:val="0"/>
          <w:bCs w:val="0"/>
          <w:i w:val="0"/>
          <w:iCs w:val="0"/>
          <w:caps w:val="0"/>
          <w:smallCaps w:val="0"/>
          <w:noProof w:val="0"/>
          <w:color w:val="000000" w:themeColor="text1" w:themeTint="FF" w:themeShade="FF"/>
          <w:sz w:val="24"/>
          <w:szCs w:val="24"/>
          <w:lang w:val="en-GB"/>
        </w:rPr>
        <w:t xml:space="preserve"> tension</w:t>
      </w:r>
      <w:r w:rsidRPr="0D69EC13" w:rsidR="75933101">
        <w:rPr>
          <w:rFonts w:ascii="Arial" w:hAnsi="Arial" w:eastAsia="Arial" w:cs="Arial"/>
          <w:b w:val="0"/>
          <w:bCs w:val="0"/>
          <w:i w:val="0"/>
          <w:iCs w:val="0"/>
          <w:caps w:val="0"/>
          <w:smallCaps w:val="0"/>
          <w:noProof w:val="0"/>
          <w:color w:val="000000" w:themeColor="text1" w:themeTint="FF" w:themeShade="FF"/>
          <w:sz w:val="24"/>
          <w:szCs w:val="24"/>
          <w:lang w:val="en-GB"/>
        </w:rPr>
        <w:t>s</w:t>
      </w:r>
      <w:r w:rsidRPr="0D69EC13" w:rsidR="7395942B">
        <w:rPr>
          <w:rFonts w:ascii="Arial" w:hAnsi="Arial" w:eastAsia="Arial" w:cs="Arial"/>
          <w:b w:val="0"/>
          <w:bCs w:val="0"/>
          <w:i w:val="0"/>
          <w:iCs w:val="0"/>
          <w:caps w:val="0"/>
          <w:smallCaps w:val="0"/>
          <w:noProof w:val="0"/>
          <w:color w:val="000000" w:themeColor="text1" w:themeTint="FF" w:themeShade="FF"/>
          <w:sz w:val="24"/>
          <w:szCs w:val="24"/>
          <w:lang w:val="en-GB"/>
        </w:rPr>
        <w:t xml:space="preserve"> do not grow </w:t>
      </w:r>
      <w:r w:rsidRPr="0D69EC13" w:rsidR="70567C64">
        <w:rPr>
          <w:rFonts w:ascii="Arial" w:hAnsi="Arial" w:eastAsia="Arial" w:cs="Arial"/>
          <w:b w:val="0"/>
          <w:bCs w:val="0"/>
          <w:i w:val="0"/>
          <w:iCs w:val="0"/>
          <w:caps w:val="0"/>
          <w:smallCaps w:val="0"/>
          <w:noProof w:val="0"/>
          <w:color w:val="000000" w:themeColor="text1" w:themeTint="FF" w:themeShade="FF"/>
          <w:sz w:val="24"/>
          <w:szCs w:val="24"/>
          <w:lang w:val="en-GB"/>
        </w:rPr>
        <w:t>which in the case</w:t>
      </w:r>
      <w:r w:rsidRPr="0D69EC13" w:rsidR="70567C64">
        <w:rPr>
          <w:rFonts w:ascii="Arial" w:hAnsi="Arial" w:eastAsia="Arial" w:cs="Arial"/>
          <w:b w:val="0"/>
          <w:bCs w:val="0"/>
          <w:i w:val="0"/>
          <w:iCs w:val="0"/>
          <w:caps w:val="0"/>
          <w:smallCaps w:val="0"/>
          <w:noProof w:val="0"/>
          <w:color w:val="000000" w:themeColor="text1" w:themeTint="FF" w:themeShade="FF"/>
          <w:sz w:val="24"/>
          <w:szCs w:val="24"/>
          <w:lang w:val="en-GB"/>
        </w:rPr>
        <w:t xml:space="preserve"> of Mark Duggan</w:t>
      </w:r>
      <w:r w:rsidRPr="0D69EC13" w:rsidR="67515E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6B0E1CB">
        <w:rPr>
          <w:rFonts w:ascii="Arial" w:hAnsi="Arial" w:eastAsia="Arial" w:cs="Arial"/>
          <w:b w:val="0"/>
          <w:bCs w:val="0"/>
          <w:i w:val="0"/>
          <w:iCs w:val="0"/>
          <w:caps w:val="0"/>
          <w:smallCaps w:val="0"/>
          <w:noProof w:val="0"/>
          <w:color w:val="000000" w:themeColor="text1" w:themeTint="FF" w:themeShade="FF"/>
          <w:sz w:val="24"/>
          <w:szCs w:val="24"/>
          <w:lang w:val="en-GB"/>
        </w:rPr>
        <w:t>the issue</w:t>
      </w:r>
      <w:r w:rsidRPr="0D69EC13" w:rsidR="67515E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70567C64">
        <w:rPr>
          <w:rFonts w:ascii="Arial" w:hAnsi="Arial" w:eastAsia="Arial" w:cs="Arial"/>
          <w:b w:val="0"/>
          <w:bCs w:val="0"/>
          <w:i w:val="0"/>
          <w:iCs w:val="0"/>
          <w:caps w:val="0"/>
          <w:smallCaps w:val="0"/>
          <w:noProof w:val="0"/>
          <w:color w:val="000000" w:themeColor="text1" w:themeTint="FF" w:themeShade="FF"/>
          <w:sz w:val="24"/>
          <w:szCs w:val="24"/>
          <w:lang w:val="en-GB"/>
        </w:rPr>
        <w:t>was drug dealing and gang violence</w:t>
      </w:r>
      <w:r w:rsidRPr="0D69EC13" w:rsidR="67124E5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73E4E6B6">
        <w:rPr>
          <w:rFonts w:ascii="Arial" w:hAnsi="Arial" w:eastAsia="Arial" w:cs="Arial"/>
          <w:b w:val="0"/>
          <w:bCs w:val="0"/>
          <w:i w:val="0"/>
          <w:iCs w:val="0"/>
          <w:caps w:val="0"/>
          <w:smallCaps w:val="0"/>
          <w:noProof w:val="0"/>
          <w:color w:val="000000" w:themeColor="text1" w:themeTint="FF" w:themeShade="FF"/>
          <w:sz w:val="24"/>
          <w:szCs w:val="24"/>
          <w:lang w:val="en-GB"/>
        </w:rPr>
        <w:t>(</w:t>
      </w:r>
      <w:r w:rsidRPr="0D69EC13" w:rsidR="22D17102">
        <w:rPr>
          <w:rFonts w:ascii="Arial" w:hAnsi="Arial" w:eastAsia="Arial" w:cs="Arial"/>
          <w:b w:val="0"/>
          <w:bCs w:val="0"/>
          <w:i w:val="0"/>
          <w:iCs w:val="0"/>
          <w:caps w:val="0"/>
          <w:smallCaps w:val="0"/>
          <w:noProof w:val="0"/>
          <w:color w:val="000000" w:themeColor="text1" w:themeTint="FF" w:themeShade="FF"/>
          <w:sz w:val="24"/>
          <w:szCs w:val="24"/>
          <w:lang w:val="en-GB"/>
        </w:rPr>
        <w:t>Dillion and Fanning, 2013)</w:t>
      </w:r>
      <w:r w:rsidRPr="0D69EC13" w:rsidR="6028BA1F">
        <w:rPr>
          <w:rFonts w:ascii="Arial" w:hAnsi="Arial" w:eastAsia="Arial" w:cs="Arial"/>
          <w:b w:val="0"/>
          <w:bCs w:val="0"/>
          <w:i w:val="0"/>
          <w:iCs w:val="0"/>
          <w:caps w:val="0"/>
          <w:smallCaps w:val="0"/>
          <w:noProof w:val="0"/>
          <w:color w:val="000000" w:themeColor="text1" w:themeTint="FF" w:themeShade="FF"/>
          <w:sz w:val="24"/>
          <w:szCs w:val="24"/>
          <w:lang w:val="en-GB"/>
        </w:rPr>
        <w:t>.</w:t>
      </w:r>
      <w:r w:rsidRPr="0D69EC13" w:rsidR="0039817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1D0386D">
        <w:rPr>
          <w:rFonts w:ascii="Arial" w:hAnsi="Arial" w:eastAsia="Arial" w:cs="Arial"/>
          <w:b w:val="0"/>
          <w:bCs w:val="0"/>
          <w:i w:val="0"/>
          <w:iCs w:val="0"/>
          <w:caps w:val="0"/>
          <w:smallCaps w:val="0"/>
          <w:noProof w:val="0"/>
          <w:color w:val="000000" w:themeColor="text1" w:themeTint="FF" w:themeShade="FF"/>
          <w:sz w:val="24"/>
          <w:szCs w:val="24"/>
          <w:lang w:val="en-GB"/>
        </w:rPr>
        <w:t>Nubani</w:t>
      </w:r>
      <w:r w:rsidRPr="0D69EC13" w:rsidR="61D0386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218E591F">
        <w:rPr>
          <w:rFonts w:ascii="Arial" w:hAnsi="Arial" w:eastAsia="Arial" w:cs="Arial"/>
          <w:b w:val="0"/>
          <w:bCs w:val="0"/>
          <w:i w:val="1"/>
          <w:iCs w:val="1"/>
          <w:caps w:val="0"/>
          <w:smallCaps w:val="0"/>
          <w:noProof w:val="0"/>
          <w:color w:val="000000" w:themeColor="text1" w:themeTint="FF" w:themeShade="FF"/>
          <w:sz w:val="24"/>
          <w:szCs w:val="24"/>
          <w:lang w:val="en-GB"/>
        </w:rPr>
        <w:t>et al</w:t>
      </w:r>
      <w:r w:rsidRPr="0D69EC13" w:rsidR="218E591F">
        <w:rPr>
          <w:rFonts w:ascii="Arial" w:hAnsi="Arial" w:eastAsia="Arial" w:cs="Arial"/>
          <w:b w:val="0"/>
          <w:bCs w:val="0"/>
          <w:i w:val="0"/>
          <w:iCs w:val="0"/>
          <w:caps w:val="0"/>
          <w:smallCaps w:val="0"/>
          <w:noProof w:val="0"/>
          <w:color w:val="000000" w:themeColor="text1" w:themeTint="FF" w:themeShade="FF"/>
          <w:sz w:val="24"/>
          <w:szCs w:val="24"/>
          <w:lang w:val="en-GB"/>
        </w:rPr>
        <w:t xml:space="preserve"> (2023) </w:t>
      </w:r>
      <w:r w:rsidRPr="0D69EC13" w:rsidR="297A7B79">
        <w:rPr>
          <w:rFonts w:ascii="Arial" w:hAnsi="Arial" w:eastAsia="Arial" w:cs="Arial"/>
          <w:b w:val="0"/>
          <w:bCs w:val="0"/>
          <w:i w:val="0"/>
          <w:iCs w:val="0"/>
          <w:caps w:val="0"/>
          <w:smallCaps w:val="0"/>
          <w:noProof w:val="0"/>
          <w:color w:val="000000" w:themeColor="text1" w:themeTint="FF" w:themeShade="FF"/>
          <w:sz w:val="24"/>
          <w:szCs w:val="24"/>
          <w:lang w:val="en-GB"/>
        </w:rPr>
        <w:t>c</w:t>
      </w:r>
      <w:r w:rsidRPr="0D69EC13" w:rsidR="218E591F">
        <w:rPr>
          <w:rFonts w:ascii="Arial" w:hAnsi="Arial" w:eastAsia="Arial" w:cs="Arial"/>
          <w:b w:val="0"/>
          <w:bCs w:val="0"/>
          <w:i w:val="0"/>
          <w:iCs w:val="0"/>
          <w:caps w:val="0"/>
          <w:smallCaps w:val="0"/>
          <w:noProof w:val="0"/>
          <w:color w:val="000000" w:themeColor="text1" w:themeTint="FF" w:themeShade="FF"/>
          <w:sz w:val="24"/>
          <w:szCs w:val="24"/>
          <w:lang w:val="en-GB"/>
        </w:rPr>
        <w:t xml:space="preserve">onducted research from </w:t>
      </w:r>
      <w:r w:rsidRPr="0D69EC13" w:rsidR="3EF69DEB">
        <w:rPr>
          <w:rFonts w:ascii="Arial" w:hAnsi="Arial" w:eastAsia="Arial" w:cs="Arial"/>
          <w:b w:val="0"/>
          <w:bCs w:val="0"/>
          <w:i w:val="0"/>
          <w:iCs w:val="0"/>
          <w:caps w:val="0"/>
          <w:smallCaps w:val="0"/>
          <w:noProof w:val="0"/>
          <w:color w:val="000000" w:themeColor="text1" w:themeTint="FF" w:themeShade="FF"/>
          <w:sz w:val="24"/>
          <w:szCs w:val="24"/>
          <w:lang w:val="en-GB"/>
        </w:rPr>
        <w:t xml:space="preserve">2018 </w:t>
      </w:r>
      <w:r w:rsidRPr="0D69EC13" w:rsidR="484D6C74">
        <w:rPr>
          <w:rFonts w:ascii="Arial" w:hAnsi="Arial" w:eastAsia="Arial" w:cs="Arial"/>
          <w:b w:val="0"/>
          <w:bCs w:val="0"/>
          <w:i w:val="0"/>
          <w:iCs w:val="0"/>
          <w:caps w:val="0"/>
          <w:smallCaps w:val="0"/>
          <w:noProof w:val="0"/>
          <w:color w:val="000000" w:themeColor="text1" w:themeTint="FF" w:themeShade="FF"/>
          <w:sz w:val="24"/>
          <w:szCs w:val="24"/>
          <w:lang w:val="en-GB"/>
        </w:rPr>
        <w:t>to 2022 on community engagement and crime reduction. The results were that there was a 40% reduction violent crime</w:t>
      </w:r>
      <w:r w:rsidRPr="0D69EC13" w:rsidR="371CE880">
        <w:rPr>
          <w:rFonts w:ascii="Arial" w:hAnsi="Arial" w:eastAsia="Arial" w:cs="Arial"/>
          <w:b w:val="0"/>
          <w:bCs w:val="0"/>
          <w:i w:val="0"/>
          <w:iCs w:val="0"/>
          <w:caps w:val="0"/>
          <w:smallCaps w:val="0"/>
          <w:noProof w:val="0"/>
          <w:color w:val="000000" w:themeColor="text1" w:themeTint="FF" w:themeShade="FF"/>
          <w:sz w:val="24"/>
          <w:szCs w:val="24"/>
          <w:lang w:val="en-GB"/>
        </w:rPr>
        <w:t xml:space="preserve"> and there was decrease in community tension</w:t>
      </w:r>
      <w:r w:rsidRPr="0D69EC13" w:rsidR="5AF2AB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6CF2E4B" w:rsidP="76CF2E4B" w:rsidRDefault="76CF2E4B" w14:paraId="28399FE6" w14:textId="47C79D3F">
      <w:pPr>
        <w:pStyle w:val="Normal"/>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5F13A90" wp14:paraId="0DB77262" wp14:textId="46A03C15">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Another example of governmental control in policing being efficient at restoring justice is during the 2024 Southport riots that took place in multiple cities and towns in the UK and the reason for this is because 3 innocent young females were murdered by a 17-year-old teenager and then misinformation was spread about the man’s religion (College of Policing, 2024). The police services operation to arrest individuals who were involved in the riots proved to be a success as the National Police Chiefs’ Council said that 1,280 individuals had been arrested for taking part in the riots, and 796 criminal charges have been confirmed (House of Commons, 2024; National Police Chief’s Council, 2024). YouGov (2024) conducted a research study from 30</w:t>
      </w:r>
      <w:r w:rsidRPr="55F13A90" w:rsidR="62AF3DE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of July to August 23</w:t>
      </w:r>
      <w:r w:rsidRPr="55F13A90" w:rsidR="62AF3DE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on the opinions from the members of the public on the how police service did during the 2024 Southport riots. The findings from the research were that 63% of members of the public said that the police service did a very good job at dealing with the riots and felt much safer. This shows that governmental control in policing is beneficial and at times necessary when it comes to restoring justice in incidents where riots occur, which community consent is not able to achieve. </w:t>
      </w:r>
    </w:p>
    <w:p xmlns:wp14="http://schemas.microsoft.com/office/word/2010/wordml" w:rsidP="55F13A90" wp14:paraId="24F95874" wp14:textId="096CF31F">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5F13A90" wp14:paraId="00A1B9B7" wp14:textId="3B05E898">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9E54F17" wp14:paraId="60B9D2BA" wp14:textId="325CF62F">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Governmental control can be a good thing when it comes to social control to benefit and protect the population (Bass, 2001). An example of this is the Covid-19 </w:t>
      </w:r>
      <w:r w:rsidRPr="29E54F17" w:rsidR="30E4EE5F">
        <w:rPr>
          <w:rFonts w:ascii="Arial" w:hAnsi="Arial" w:eastAsia="Arial" w:cs="Arial"/>
          <w:b w:val="0"/>
          <w:bCs w:val="0"/>
          <w:i w:val="0"/>
          <w:iCs w:val="0"/>
          <w:caps w:val="0"/>
          <w:smallCaps w:val="0"/>
          <w:noProof w:val="0"/>
          <w:color w:val="000000" w:themeColor="text1" w:themeTint="FF" w:themeShade="FF"/>
          <w:sz w:val="24"/>
          <w:szCs w:val="24"/>
          <w:lang w:val="en-GB"/>
        </w:rPr>
        <w:t>pandemic</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where </w:t>
      </w:r>
      <w:r w:rsidRPr="29E54F17" w:rsidR="7C584A9E">
        <w:rPr>
          <w:rFonts w:ascii="Arial" w:hAnsi="Arial" w:eastAsia="Arial" w:cs="Arial"/>
          <w:b w:val="0"/>
          <w:bCs w:val="0"/>
          <w:i w:val="0"/>
          <w:iCs w:val="0"/>
          <w:caps w:val="0"/>
          <w:smallCaps w:val="0"/>
          <w:noProof w:val="0"/>
          <w:color w:val="000000" w:themeColor="text1" w:themeTint="FF" w:themeShade="FF"/>
          <w:sz w:val="24"/>
          <w:szCs w:val="24"/>
          <w:lang w:val="en-GB"/>
        </w:rPr>
        <w:t>the government imposed a nationwide lockdown, members of the public had to</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keep</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2 meters away from another person and wear face masks outside to prevent the spread of the virus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Cherman</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E54F17" w:rsidR="62AF3DE7">
        <w:rPr>
          <w:rFonts w:ascii="Arial" w:hAnsi="Arial" w:eastAsia="Arial" w:cs="Arial"/>
          <w:b w:val="0"/>
          <w:bCs w:val="0"/>
          <w:i w:val="1"/>
          <w:iCs w:val="1"/>
          <w:caps w:val="0"/>
          <w:smallCaps w:val="0"/>
          <w:noProof w:val="0"/>
          <w:color w:val="000000" w:themeColor="text1" w:themeTint="FF" w:themeShade="FF"/>
          <w:sz w:val="24"/>
          <w:szCs w:val="24"/>
          <w:lang w:val="en-GB"/>
        </w:rPr>
        <w:t>et al</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2022). Anyone who breached lockdown rules would be fined by the police service (HMICFRS, 2021). Aitkenhead </w:t>
      </w:r>
      <w:r w:rsidRPr="29E54F17" w:rsidR="62AF3DE7">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(2022) conducted research from 2020 to 2021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in regard to</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the effectiveness of the Covid-19 lockdown and the work of the police service during the lockdown. The results </w:t>
      </w:r>
      <w:r w:rsidRPr="29E54F17" w:rsidR="2D75F395">
        <w:rPr>
          <w:rFonts w:ascii="Arial" w:hAnsi="Arial" w:eastAsia="Arial" w:cs="Arial"/>
          <w:b w:val="0"/>
          <w:bCs w:val="0"/>
          <w:i w:val="0"/>
          <w:iCs w:val="0"/>
          <w:caps w:val="0"/>
          <w:smallCaps w:val="0"/>
          <w:noProof w:val="0"/>
          <w:color w:val="000000" w:themeColor="text1" w:themeTint="FF" w:themeShade="FF"/>
          <w:sz w:val="24"/>
          <w:szCs w:val="24"/>
          <w:lang w:val="en-GB"/>
        </w:rPr>
        <w:t>showed</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that police in England and Wales issue</w:t>
      </w:r>
      <w:r w:rsidRPr="29E54F17" w:rsidR="037635E4">
        <w:rPr>
          <w:rFonts w:ascii="Arial" w:hAnsi="Arial" w:eastAsia="Arial" w:cs="Arial"/>
          <w:b w:val="0"/>
          <w:bCs w:val="0"/>
          <w:i w:val="0"/>
          <w:iCs w:val="0"/>
          <w:caps w:val="0"/>
          <w:smallCaps w:val="0"/>
          <w:noProof w:val="0"/>
          <w:color w:val="000000" w:themeColor="text1" w:themeTint="FF" w:themeShade="FF"/>
          <w:sz w:val="24"/>
          <w:szCs w:val="24"/>
          <w:lang w:val="en-GB"/>
        </w:rPr>
        <w:t>d</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less than </w:t>
      </w:r>
      <w:r w:rsidRPr="29E54F17" w:rsidR="7730893B">
        <w:rPr>
          <w:rFonts w:ascii="Arial" w:hAnsi="Arial" w:eastAsia="Arial" w:cs="Arial"/>
          <w:b w:val="0"/>
          <w:bCs w:val="0"/>
          <w:i w:val="0"/>
          <w:iCs w:val="0"/>
          <w:caps w:val="0"/>
          <w:smallCaps w:val="0"/>
          <w:noProof w:val="0"/>
          <w:color w:val="000000" w:themeColor="text1" w:themeTint="FF" w:themeShade="FF"/>
          <w:sz w:val="24"/>
          <w:szCs w:val="24"/>
          <w:lang w:val="en-GB"/>
        </w:rPr>
        <w:t>two</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fines per 10,000 people (1.62) and police in Scotland only issued </w:t>
      </w:r>
      <w:r w:rsidRPr="29E54F17" w:rsidR="7D84165A">
        <w:rPr>
          <w:rFonts w:ascii="Arial" w:hAnsi="Arial" w:eastAsia="Arial" w:cs="Arial"/>
          <w:b w:val="0"/>
          <w:bCs w:val="0"/>
          <w:i w:val="0"/>
          <w:iCs w:val="0"/>
          <w:caps w:val="0"/>
          <w:smallCaps w:val="0"/>
          <w:noProof w:val="0"/>
          <w:color w:val="000000" w:themeColor="text1" w:themeTint="FF" w:themeShade="FF"/>
          <w:sz w:val="24"/>
          <w:szCs w:val="24"/>
          <w:lang w:val="en-GB"/>
        </w:rPr>
        <w:t>four</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fines per 10,00 people (3.91). This s</w:t>
      </w:r>
      <w:r w:rsidRPr="29E54F17" w:rsidR="775EC5CE">
        <w:rPr>
          <w:rFonts w:ascii="Arial" w:hAnsi="Arial" w:eastAsia="Arial" w:cs="Arial"/>
          <w:b w:val="0"/>
          <w:bCs w:val="0"/>
          <w:i w:val="0"/>
          <w:iCs w:val="0"/>
          <w:caps w:val="0"/>
          <w:smallCaps w:val="0"/>
          <w:noProof w:val="0"/>
          <w:color w:val="000000" w:themeColor="text1" w:themeTint="FF" w:themeShade="FF"/>
          <w:sz w:val="24"/>
          <w:szCs w:val="24"/>
          <w:lang w:val="en-GB"/>
        </w:rPr>
        <w:t>uggests</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that governmental control in policing can be effective in achieving social control to protect and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benefit</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society</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In contrast</w:t>
      </w:r>
      <w:r w:rsidRPr="29E54F17" w:rsidR="6165F35F">
        <w:rPr>
          <w:rFonts w:ascii="Arial" w:hAnsi="Arial" w:eastAsia="Arial" w:cs="Arial"/>
          <w:b w:val="0"/>
          <w:bCs w:val="0"/>
          <w:i w:val="0"/>
          <w:iCs w:val="0"/>
          <w:caps w:val="0"/>
          <w:smallCaps w:val="0"/>
          <w:noProof w:val="0"/>
          <w:color w:val="000000" w:themeColor="text1" w:themeTint="FF" w:themeShade="FF"/>
          <w:sz w:val="24"/>
          <w:szCs w:val="24"/>
          <w:lang w:val="en-GB"/>
        </w:rPr>
        <w:t xml:space="preserve"> and from a Marxist </w:t>
      </w:r>
      <w:r w:rsidRPr="29E54F17" w:rsidR="3F21613E">
        <w:rPr>
          <w:rFonts w:ascii="Arial" w:hAnsi="Arial" w:eastAsia="Arial" w:cs="Arial"/>
          <w:b w:val="0"/>
          <w:bCs w:val="0"/>
          <w:i w:val="0"/>
          <w:iCs w:val="0"/>
          <w:caps w:val="0"/>
          <w:smallCaps w:val="0"/>
          <w:noProof w:val="0"/>
          <w:color w:val="000000" w:themeColor="text1" w:themeTint="FF" w:themeShade="FF"/>
          <w:sz w:val="24"/>
          <w:szCs w:val="24"/>
          <w:lang w:val="en-GB"/>
        </w:rPr>
        <w:t xml:space="preserve">perspective, </w:t>
      </w:r>
      <w:r w:rsidRPr="29E54F17" w:rsidR="3F21613E">
        <w:rPr>
          <w:rFonts w:ascii="Arial" w:hAnsi="Arial" w:eastAsia="Arial" w:cs="Arial"/>
          <w:b w:val="0"/>
          <w:bCs w:val="0"/>
          <w:i w:val="0"/>
          <w:iCs w:val="0"/>
          <w:caps w:val="0"/>
          <w:smallCaps w:val="0"/>
          <w:noProof w:val="0"/>
          <w:color w:val="000000" w:themeColor="text1" w:themeTint="FF" w:themeShade="FF"/>
          <w:sz w:val="24"/>
          <w:szCs w:val="24"/>
          <w:lang w:val="en-GB"/>
        </w:rPr>
        <w:t>Lin</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and Wang (2023) </w:t>
      </w:r>
      <w:r w:rsidRPr="29E54F17" w:rsidR="7F13706D">
        <w:rPr>
          <w:rFonts w:ascii="Arial" w:hAnsi="Arial" w:eastAsia="Arial" w:cs="Arial"/>
          <w:b w:val="0"/>
          <w:bCs w:val="0"/>
          <w:i w:val="0"/>
          <w:iCs w:val="0"/>
          <w:caps w:val="0"/>
          <w:smallCaps w:val="0"/>
          <w:noProof w:val="0"/>
          <w:color w:val="000000" w:themeColor="text1" w:themeTint="FF" w:themeShade="FF"/>
          <w:sz w:val="24"/>
          <w:szCs w:val="24"/>
          <w:lang w:val="en-GB"/>
        </w:rPr>
        <w:t xml:space="preserve">argues that </w:t>
      </w:r>
      <w:r w:rsidRPr="29E54F17" w:rsidR="7C0EABD1">
        <w:rPr>
          <w:rFonts w:ascii="Arial" w:hAnsi="Arial" w:eastAsia="Arial" w:cs="Arial"/>
          <w:b w:val="0"/>
          <w:bCs w:val="0"/>
          <w:i w:val="0"/>
          <w:iCs w:val="0"/>
          <w:caps w:val="0"/>
          <w:smallCaps w:val="0"/>
          <w:noProof w:val="0"/>
          <w:color w:val="000000" w:themeColor="text1" w:themeTint="FF" w:themeShade="FF"/>
          <w:sz w:val="24"/>
          <w:szCs w:val="24"/>
          <w:lang w:val="en-GB"/>
        </w:rPr>
        <w:t>governmental</w:t>
      </w:r>
      <w:r w:rsidRPr="29E54F17" w:rsidR="7F13706D">
        <w:rPr>
          <w:rFonts w:ascii="Arial" w:hAnsi="Arial" w:eastAsia="Arial" w:cs="Arial"/>
          <w:b w:val="0"/>
          <w:bCs w:val="0"/>
          <w:i w:val="0"/>
          <w:iCs w:val="0"/>
          <w:caps w:val="0"/>
          <w:smallCaps w:val="0"/>
          <w:noProof w:val="0"/>
          <w:color w:val="000000" w:themeColor="text1" w:themeTint="FF" w:themeShade="FF"/>
          <w:sz w:val="24"/>
          <w:szCs w:val="24"/>
          <w:lang w:val="en-GB"/>
        </w:rPr>
        <w:t xml:space="preserve"> control during control measures during the Covid-19 pandemic was a means of controlling </w:t>
      </w:r>
      <w:r w:rsidRPr="29E54F17" w:rsidR="1D9A1CF5">
        <w:rPr>
          <w:rFonts w:ascii="Arial" w:hAnsi="Arial" w:eastAsia="Arial" w:cs="Arial"/>
          <w:b w:val="0"/>
          <w:bCs w:val="0"/>
          <w:i w:val="0"/>
          <w:iCs w:val="0"/>
          <w:caps w:val="0"/>
          <w:smallCaps w:val="0"/>
          <w:noProof w:val="0"/>
          <w:color w:val="000000" w:themeColor="text1" w:themeTint="FF" w:themeShade="FF"/>
          <w:sz w:val="24"/>
          <w:szCs w:val="24"/>
          <w:lang w:val="en-GB"/>
        </w:rPr>
        <w:t xml:space="preserve">and dominating </w:t>
      </w:r>
      <w:r w:rsidRPr="29E54F17" w:rsidR="7F13706D">
        <w:rPr>
          <w:rFonts w:ascii="Arial" w:hAnsi="Arial" w:eastAsia="Arial" w:cs="Arial"/>
          <w:b w:val="0"/>
          <w:bCs w:val="0"/>
          <w:i w:val="0"/>
          <w:iCs w:val="0"/>
          <w:caps w:val="0"/>
          <w:smallCaps w:val="0"/>
          <w:noProof w:val="0"/>
          <w:color w:val="000000" w:themeColor="text1" w:themeTint="FF" w:themeShade="FF"/>
          <w:sz w:val="24"/>
          <w:szCs w:val="24"/>
          <w:lang w:val="en-GB"/>
        </w:rPr>
        <w:t>the working class</w:t>
      </w:r>
      <w:r w:rsidRPr="29E54F17" w:rsidR="7F13706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The Office for National Statistics (2020) </w:t>
      </w:r>
      <w:r w:rsidRPr="29E54F17" w:rsidR="71F3F907">
        <w:rPr>
          <w:rFonts w:ascii="Arial" w:hAnsi="Arial" w:eastAsia="Arial" w:cs="Arial"/>
          <w:b w:val="0"/>
          <w:bCs w:val="0"/>
          <w:i w:val="0"/>
          <w:iCs w:val="0"/>
          <w:caps w:val="0"/>
          <w:smallCaps w:val="0"/>
          <w:noProof w:val="0"/>
          <w:color w:val="000000" w:themeColor="text1" w:themeTint="FF" w:themeShade="FF"/>
          <w:sz w:val="24"/>
          <w:szCs w:val="24"/>
          <w:lang w:val="en-GB"/>
        </w:rPr>
        <w:t>conducted</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from March 2020 and August 2020 on the employment statistics during the Covid-19 lockdown in the UK. The findings were that UK unemployment rate was 4.5% which is higher compared to the years before. Moreover, 13% of the decrease in employment were young people between the ages of 16 to 24 years old. Furthermore, Devine </w:t>
      </w:r>
      <w:r w:rsidRPr="29E54F17" w:rsidR="62AF3DE7">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(2022) conducted research in the UK from March 2020 and April 2021 on the impact that lockdown had on the economy and labour market. The conclusion from the study is that from October 2020 to December 2020, the unemployment rates dropped by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nearly 400,000</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Additionally, there was an increase of people who were economically inactive by 327,00 during the Covid-19 lockdown. This suggests that governmental control could be potentially seen as the economically powerful controlling and dominating the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working class</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people in society. </w:t>
      </w:r>
    </w:p>
    <w:p xmlns:wp14="http://schemas.microsoft.com/office/word/2010/wordml" w:rsidP="55F13A90" wp14:paraId="03FFF4BB" wp14:textId="6A9E0601">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87BA470" wp14:paraId="2C078E63" wp14:textId="53C0B26E">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87BA470" w:rsidR="61AF7896">
        <w:rPr>
          <w:rFonts w:ascii="Arial" w:hAnsi="Arial" w:eastAsia="Arial" w:cs="Arial"/>
          <w:b w:val="0"/>
          <w:bCs w:val="0"/>
          <w:i w:val="0"/>
          <w:iCs w:val="0"/>
          <w:caps w:val="0"/>
          <w:smallCaps w:val="0"/>
          <w:noProof w:val="0"/>
          <w:color w:val="000000" w:themeColor="text1" w:themeTint="FF" w:themeShade="FF"/>
          <w:sz w:val="24"/>
          <w:szCs w:val="24"/>
          <w:lang w:val="en-GB"/>
        </w:rPr>
        <w:t>Overall</w:t>
      </w:r>
      <w:r w:rsidRPr="687BA470" w:rsidR="04170AE4">
        <w:rPr>
          <w:rFonts w:ascii="Arial" w:hAnsi="Arial" w:eastAsia="Arial" w:cs="Arial"/>
          <w:b w:val="0"/>
          <w:bCs w:val="0"/>
          <w:i w:val="0"/>
          <w:iCs w:val="0"/>
          <w:caps w:val="0"/>
          <w:smallCaps w:val="0"/>
          <w:noProof w:val="0"/>
          <w:color w:val="000000" w:themeColor="text1" w:themeTint="FF" w:themeShade="FF"/>
          <w:sz w:val="24"/>
          <w:szCs w:val="24"/>
          <w:lang w:val="en-GB"/>
        </w:rPr>
        <w:t>,</w:t>
      </w:r>
      <w:r w:rsidRPr="687BA470" w:rsidR="6D86A57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7BA470" w:rsidR="5FAF1E16">
        <w:rPr>
          <w:rFonts w:ascii="Arial" w:hAnsi="Arial" w:eastAsia="Arial" w:cs="Arial"/>
          <w:b w:val="0"/>
          <w:bCs w:val="0"/>
          <w:i w:val="0"/>
          <w:iCs w:val="0"/>
          <w:caps w:val="0"/>
          <w:smallCaps w:val="0"/>
          <w:noProof w:val="0"/>
          <w:color w:val="000000" w:themeColor="text1" w:themeTint="FF" w:themeShade="FF"/>
          <w:sz w:val="24"/>
          <w:szCs w:val="24"/>
          <w:lang w:val="en-GB"/>
        </w:rPr>
        <w:t xml:space="preserve">evidence shows that </w:t>
      </w:r>
      <w:r w:rsidRPr="687BA470" w:rsidR="04170AE4">
        <w:rPr>
          <w:rFonts w:ascii="Arial" w:hAnsi="Arial" w:eastAsia="Arial" w:cs="Arial"/>
          <w:b w:val="0"/>
          <w:bCs w:val="0"/>
          <w:i w:val="0"/>
          <w:iCs w:val="0"/>
          <w:caps w:val="0"/>
          <w:smallCaps w:val="0"/>
          <w:noProof w:val="0"/>
          <w:color w:val="000000" w:themeColor="text1" w:themeTint="FF" w:themeShade="FF"/>
          <w:sz w:val="24"/>
          <w:szCs w:val="24"/>
          <w:lang w:val="en-GB"/>
        </w:rPr>
        <w:t>both governmental control and community consent</w:t>
      </w:r>
      <w:r w:rsidRPr="687BA470" w:rsidR="247E3619">
        <w:rPr>
          <w:rFonts w:ascii="Arial" w:hAnsi="Arial" w:eastAsia="Arial" w:cs="Arial"/>
          <w:b w:val="0"/>
          <w:bCs w:val="0"/>
          <w:i w:val="0"/>
          <w:iCs w:val="0"/>
          <w:caps w:val="0"/>
          <w:smallCaps w:val="0"/>
          <w:noProof w:val="0"/>
          <w:color w:val="000000" w:themeColor="text1" w:themeTint="FF" w:themeShade="FF"/>
          <w:sz w:val="24"/>
          <w:szCs w:val="24"/>
          <w:lang w:val="en-GB"/>
        </w:rPr>
        <w:t xml:space="preserve"> each present</w:t>
      </w:r>
      <w:r w:rsidRPr="687BA470" w:rsidR="486E05D8">
        <w:rPr>
          <w:rFonts w:ascii="Arial" w:hAnsi="Arial" w:eastAsia="Arial" w:cs="Arial"/>
          <w:b w:val="0"/>
          <w:bCs w:val="0"/>
          <w:i w:val="0"/>
          <w:iCs w:val="0"/>
          <w:caps w:val="0"/>
          <w:smallCaps w:val="0"/>
          <w:noProof w:val="0"/>
          <w:color w:val="000000" w:themeColor="text1" w:themeTint="FF" w:themeShade="FF"/>
          <w:sz w:val="24"/>
          <w:szCs w:val="24"/>
          <w:lang w:val="en-GB"/>
        </w:rPr>
        <w:t xml:space="preserve"> unique advantages and challenges.</w:t>
      </w:r>
      <w:r w:rsidRPr="687BA470" w:rsidR="6B42FB14">
        <w:rPr>
          <w:rFonts w:ascii="Arial" w:hAnsi="Arial" w:eastAsia="Arial" w:cs="Arial"/>
          <w:b w:val="0"/>
          <w:bCs w:val="0"/>
          <w:i w:val="0"/>
          <w:iCs w:val="0"/>
          <w:caps w:val="0"/>
          <w:smallCaps w:val="0"/>
          <w:noProof w:val="0"/>
          <w:color w:val="000000" w:themeColor="text1" w:themeTint="FF" w:themeShade="FF"/>
          <w:sz w:val="24"/>
          <w:szCs w:val="24"/>
          <w:lang w:val="en-GB"/>
        </w:rPr>
        <w:t xml:space="preserve"> Community consent </w:t>
      </w:r>
      <w:r w:rsidRPr="687BA470" w:rsidR="658B8007">
        <w:rPr>
          <w:rFonts w:ascii="Arial" w:hAnsi="Arial" w:eastAsia="Arial" w:cs="Arial"/>
          <w:b w:val="0"/>
          <w:bCs w:val="0"/>
          <w:i w:val="0"/>
          <w:iCs w:val="0"/>
          <w:caps w:val="0"/>
          <w:smallCaps w:val="0"/>
          <w:noProof w:val="0"/>
          <w:color w:val="000000" w:themeColor="text1" w:themeTint="FF" w:themeShade="FF"/>
          <w:sz w:val="24"/>
          <w:szCs w:val="24"/>
          <w:lang w:val="en-GB"/>
        </w:rPr>
        <w:t xml:space="preserve">could </w:t>
      </w:r>
      <w:r w:rsidRPr="687BA470" w:rsidR="6B42FB14">
        <w:rPr>
          <w:rFonts w:ascii="Arial" w:hAnsi="Arial" w:eastAsia="Arial" w:cs="Arial"/>
          <w:b w:val="0"/>
          <w:bCs w:val="0"/>
          <w:i w:val="0"/>
          <w:iCs w:val="0"/>
          <w:caps w:val="0"/>
          <w:smallCaps w:val="0"/>
          <w:noProof w:val="0"/>
          <w:color w:val="000000" w:themeColor="text1" w:themeTint="FF" w:themeShade="FF"/>
          <w:sz w:val="24"/>
          <w:szCs w:val="24"/>
          <w:lang w:val="en-GB"/>
        </w:rPr>
        <w:t xml:space="preserve">improve public trust and </w:t>
      </w:r>
      <w:r w:rsidRPr="687BA470" w:rsidR="00C39FB3">
        <w:rPr>
          <w:rFonts w:ascii="Arial" w:hAnsi="Arial" w:eastAsia="Arial" w:cs="Arial"/>
          <w:b w:val="0"/>
          <w:bCs w:val="0"/>
          <w:i w:val="0"/>
          <w:iCs w:val="0"/>
          <w:caps w:val="0"/>
          <w:smallCaps w:val="0"/>
          <w:noProof w:val="0"/>
          <w:color w:val="000000" w:themeColor="text1" w:themeTint="FF" w:themeShade="FF"/>
          <w:sz w:val="24"/>
          <w:szCs w:val="24"/>
          <w:lang w:val="en-GB"/>
        </w:rPr>
        <w:t>cooperation</w:t>
      </w:r>
      <w:r w:rsidRPr="687BA470" w:rsidR="6B42FB14">
        <w:rPr>
          <w:rFonts w:ascii="Arial" w:hAnsi="Arial" w:eastAsia="Arial" w:cs="Arial"/>
          <w:b w:val="0"/>
          <w:bCs w:val="0"/>
          <w:i w:val="0"/>
          <w:iCs w:val="0"/>
          <w:caps w:val="0"/>
          <w:smallCaps w:val="0"/>
          <w:noProof w:val="0"/>
          <w:color w:val="000000" w:themeColor="text1" w:themeTint="FF" w:themeShade="FF"/>
          <w:sz w:val="24"/>
          <w:szCs w:val="24"/>
          <w:lang w:val="en-GB"/>
        </w:rPr>
        <w:t xml:space="preserve">, yet faces </w:t>
      </w:r>
      <w:r w:rsidRPr="687BA470" w:rsidR="6CC6627A">
        <w:rPr>
          <w:rFonts w:ascii="Arial" w:hAnsi="Arial" w:eastAsia="Arial" w:cs="Arial"/>
          <w:b w:val="0"/>
          <w:bCs w:val="0"/>
          <w:i w:val="0"/>
          <w:iCs w:val="0"/>
          <w:caps w:val="0"/>
          <w:smallCaps w:val="0"/>
          <w:noProof w:val="0"/>
          <w:color w:val="000000" w:themeColor="text1" w:themeTint="FF" w:themeShade="FF"/>
          <w:sz w:val="24"/>
          <w:szCs w:val="24"/>
          <w:lang w:val="en-GB"/>
        </w:rPr>
        <w:t xml:space="preserve">obstacles due to </w:t>
      </w:r>
      <w:r w:rsidRPr="687BA470" w:rsidR="513DC2AB">
        <w:rPr>
          <w:rFonts w:ascii="Arial" w:hAnsi="Arial" w:eastAsia="Arial" w:cs="Arial"/>
          <w:b w:val="0"/>
          <w:bCs w:val="0"/>
          <w:i w:val="0"/>
          <w:iCs w:val="0"/>
          <w:caps w:val="0"/>
          <w:smallCaps w:val="0"/>
          <w:noProof w:val="0"/>
          <w:color w:val="000000" w:themeColor="text1" w:themeTint="FF" w:themeShade="FF"/>
          <w:sz w:val="24"/>
          <w:szCs w:val="24"/>
          <w:lang w:val="en-GB"/>
        </w:rPr>
        <w:t>decrease</w:t>
      </w:r>
      <w:r w:rsidRPr="687BA470" w:rsidR="6CC6627A">
        <w:rPr>
          <w:rFonts w:ascii="Arial" w:hAnsi="Arial" w:eastAsia="Arial" w:cs="Arial"/>
          <w:b w:val="0"/>
          <w:bCs w:val="0"/>
          <w:i w:val="0"/>
          <w:iCs w:val="0"/>
          <w:caps w:val="0"/>
          <w:smallCaps w:val="0"/>
          <w:noProof w:val="0"/>
          <w:color w:val="000000" w:themeColor="text1" w:themeTint="FF" w:themeShade="FF"/>
          <w:sz w:val="24"/>
          <w:szCs w:val="24"/>
          <w:lang w:val="en-GB"/>
        </w:rPr>
        <w:t xml:space="preserve"> in public confidence</w:t>
      </w:r>
      <w:r w:rsidRPr="687BA470" w:rsidR="5B997BA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7BA470" w:rsidR="0895745F">
        <w:rPr>
          <w:rFonts w:ascii="Arial" w:hAnsi="Arial" w:eastAsia="Arial" w:cs="Arial"/>
          <w:b w:val="0"/>
          <w:bCs w:val="0"/>
          <w:i w:val="0"/>
          <w:iCs w:val="0"/>
          <w:caps w:val="0"/>
          <w:smallCaps w:val="0"/>
          <w:noProof w:val="0"/>
          <w:color w:val="000000" w:themeColor="text1" w:themeTint="FF" w:themeShade="FF"/>
          <w:sz w:val="24"/>
          <w:szCs w:val="24"/>
          <w:lang w:val="en-GB"/>
        </w:rPr>
        <w:t>especially</w:t>
      </w:r>
      <w:r w:rsidRPr="687BA470" w:rsidR="1163F6F1">
        <w:rPr>
          <w:rFonts w:ascii="Arial" w:hAnsi="Arial" w:eastAsia="Arial" w:cs="Arial"/>
          <w:b w:val="0"/>
          <w:bCs w:val="0"/>
          <w:i w:val="0"/>
          <w:iCs w:val="0"/>
          <w:caps w:val="0"/>
          <w:smallCaps w:val="0"/>
          <w:noProof w:val="0"/>
          <w:color w:val="000000" w:themeColor="text1" w:themeTint="FF" w:themeShade="FF"/>
          <w:sz w:val="24"/>
          <w:szCs w:val="24"/>
          <w:lang w:val="en-GB"/>
        </w:rPr>
        <w:t xml:space="preserve"> after cases such as </w:t>
      </w:r>
      <w:r w:rsidRPr="687BA470" w:rsidR="654F10FF">
        <w:rPr>
          <w:rFonts w:ascii="Arial" w:hAnsi="Arial" w:eastAsia="Arial" w:cs="Arial"/>
          <w:b w:val="0"/>
          <w:bCs w:val="0"/>
          <w:i w:val="0"/>
          <w:iCs w:val="0"/>
          <w:caps w:val="0"/>
          <w:smallCaps w:val="0"/>
          <w:noProof w:val="0"/>
          <w:color w:val="000000" w:themeColor="text1" w:themeTint="FF" w:themeShade="FF"/>
          <w:sz w:val="24"/>
          <w:szCs w:val="24"/>
          <w:lang w:val="en-GB"/>
        </w:rPr>
        <w:t xml:space="preserve">the murder of </w:t>
      </w:r>
      <w:r w:rsidRPr="687BA470" w:rsidR="1163F6F1">
        <w:rPr>
          <w:rFonts w:ascii="Arial" w:hAnsi="Arial" w:eastAsia="Arial" w:cs="Arial"/>
          <w:b w:val="0"/>
          <w:bCs w:val="0"/>
          <w:i w:val="0"/>
          <w:iCs w:val="0"/>
          <w:caps w:val="0"/>
          <w:smallCaps w:val="0"/>
          <w:noProof w:val="0"/>
          <w:color w:val="000000" w:themeColor="text1" w:themeTint="FF" w:themeShade="FF"/>
          <w:sz w:val="24"/>
          <w:szCs w:val="24"/>
          <w:lang w:val="en-GB"/>
        </w:rPr>
        <w:t>Sarah Ever</w:t>
      </w:r>
      <w:r w:rsidRPr="687BA470" w:rsidR="4982557F">
        <w:rPr>
          <w:rFonts w:ascii="Arial" w:hAnsi="Arial" w:eastAsia="Arial" w:cs="Arial"/>
          <w:b w:val="0"/>
          <w:bCs w:val="0"/>
          <w:i w:val="0"/>
          <w:iCs w:val="0"/>
          <w:caps w:val="0"/>
          <w:smallCaps w:val="0"/>
          <w:noProof w:val="0"/>
          <w:color w:val="000000" w:themeColor="text1" w:themeTint="FF" w:themeShade="FF"/>
          <w:sz w:val="24"/>
          <w:szCs w:val="24"/>
          <w:lang w:val="en-GB"/>
        </w:rPr>
        <w:t>ard</w:t>
      </w:r>
      <w:r w:rsidRPr="687BA470" w:rsidR="56D880DA">
        <w:rPr>
          <w:rFonts w:ascii="Arial" w:hAnsi="Arial" w:eastAsia="Arial" w:cs="Arial"/>
          <w:b w:val="0"/>
          <w:bCs w:val="0"/>
          <w:i w:val="0"/>
          <w:iCs w:val="0"/>
          <w:caps w:val="0"/>
          <w:smallCaps w:val="0"/>
          <w:noProof w:val="0"/>
          <w:color w:val="000000" w:themeColor="text1" w:themeTint="FF" w:themeShade="FF"/>
          <w:sz w:val="24"/>
          <w:szCs w:val="24"/>
          <w:lang w:val="en-GB"/>
        </w:rPr>
        <w:t>. Conversely, governmental control can restore order during times</w:t>
      </w:r>
      <w:r w:rsidRPr="687BA470" w:rsidR="4782A995">
        <w:rPr>
          <w:rFonts w:ascii="Arial" w:hAnsi="Arial" w:eastAsia="Arial" w:cs="Arial"/>
          <w:b w:val="0"/>
          <w:bCs w:val="0"/>
          <w:i w:val="0"/>
          <w:iCs w:val="0"/>
          <w:caps w:val="0"/>
          <w:smallCaps w:val="0"/>
          <w:noProof w:val="0"/>
          <w:color w:val="000000" w:themeColor="text1" w:themeTint="FF" w:themeShade="FF"/>
          <w:sz w:val="24"/>
          <w:szCs w:val="24"/>
          <w:lang w:val="en-GB"/>
        </w:rPr>
        <w:t xml:space="preserve"> of</w:t>
      </w:r>
      <w:r w:rsidRPr="687BA470" w:rsidR="56D880D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7BA470" w:rsidR="450AF019">
        <w:rPr>
          <w:rFonts w:ascii="Arial" w:hAnsi="Arial" w:eastAsia="Arial" w:cs="Arial"/>
          <w:b w:val="0"/>
          <w:bCs w:val="0"/>
          <w:i w:val="0"/>
          <w:iCs w:val="0"/>
          <w:caps w:val="0"/>
          <w:smallCaps w:val="0"/>
          <w:noProof w:val="0"/>
          <w:color w:val="000000" w:themeColor="text1" w:themeTint="FF" w:themeShade="FF"/>
          <w:sz w:val="24"/>
          <w:szCs w:val="24"/>
          <w:lang w:val="en-GB"/>
        </w:rPr>
        <w:t xml:space="preserve">crisis as seen in the Tottenham and Southport </w:t>
      </w:r>
      <w:r w:rsidRPr="687BA470" w:rsidR="1B1EA5C3">
        <w:rPr>
          <w:rFonts w:ascii="Arial" w:hAnsi="Arial" w:eastAsia="Arial" w:cs="Arial"/>
          <w:b w:val="0"/>
          <w:bCs w:val="0"/>
          <w:i w:val="0"/>
          <w:iCs w:val="0"/>
          <w:caps w:val="0"/>
          <w:smallCaps w:val="0"/>
          <w:noProof w:val="0"/>
          <w:color w:val="000000" w:themeColor="text1" w:themeTint="FF" w:themeShade="FF"/>
          <w:sz w:val="24"/>
          <w:szCs w:val="24"/>
          <w:lang w:val="en-GB"/>
        </w:rPr>
        <w:t>riots but</w:t>
      </w:r>
      <w:r w:rsidRPr="687BA470" w:rsidR="5E292E06">
        <w:rPr>
          <w:rFonts w:ascii="Arial" w:hAnsi="Arial" w:eastAsia="Arial" w:cs="Arial"/>
          <w:b w:val="0"/>
          <w:bCs w:val="0"/>
          <w:i w:val="0"/>
          <w:iCs w:val="0"/>
          <w:caps w:val="0"/>
          <w:smallCaps w:val="0"/>
          <w:noProof w:val="0"/>
          <w:color w:val="000000" w:themeColor="text1" w:themeTint="FF" w:themeShade="FF"/>
          <w:sz w:val="24"/>
          <w:szCs w:val="24"/>
          <w:lang w:val="en-GB"/>
        </w:rPr>
        <w:t xml:space="preserve"> c</w:t>
      </w:r>
      <w:r w:rsidRPr="687BA470" w:rsidR="52DB8437">
        <w:rPr>
          <w:rFonts w:ascii="Arial" w:hAnsi="Arial" w:eastAsia="Arial" w:cs="Arial"/>
          <w:b w:val="0"/>
          <w:bCs w:val="0"/>
          <w:i w:val="0"/>
          <w:iCs w:val="0"/>
          <w:caps w:val="0"/>
          <w:smallCaps w:val="0"/>
          <w:noProof w:val="0"/>
          <w:color w:val="000000" w:themeColor="text1" w:themeTint="FF" w:themeShade="FF"/>
          <w:sz w:val="24"/>
          <w:szCs w:val="24"/>
          <w:lang w:val="en-GB"/>
        </w:rPr>
        <w:t>ould potentially</w:t>
      </w:r>
      <w:r w:rsidRPr="687BA470" w:rsidR="5E292E06">
        <w:rPr>
          <w:rFonts w:ascii="Arial" w:hAnsi="Arial" w:eastAsia="Arial" w:cs="Arial"/>
          <w:b w:val="0"/>
          <w:bCs w:val="0"/>
          <w:i w:val="0"/>
          <w:iCs w:val="0"/>
          <w:caps w:val="0"/>
          <w:smallCaps w:val="0"/>
          <w:noProof w:val="0"/>
          <w:color w:val="000000" w:themeColor="text1" w:themeTint="FF" w:themeShade="FF"/>
          <w:sz w:val="24"/>
          <w:szCs w:val="24"/>
          <w:lang w:val="en-GB"/>
        </w:rPr>
        <w:t xml:space="preserve"> alienate</w:t>
      </w:r>
      <w:r w:rsidRPr="687BA470" w:rsidR="601976CE">
        <w:rPr>
          <w:rFonts w:ascii="Arial" w:hAnsi="Arial" w:eastAsia="Arial" w:cs="Arial"/>
          <w:b w:val="0"/>
          <w:bCs w:val="0"/>
          <w:i w:val="0"/>
          <w:iCs w:val="0"/>
          <w:caps w:val="0"/>
          <w:smallCaps w:val="0"/>
          <w:noProof w:val="0"/>
          <w:color w:val="000000" w:themeColor="text1" w:themeTint="FF" w:themeShade="FF"/>
          <w:sz w:val="24"/>
          <w:szCs w:val="24"/>
          <w:lang w:val="en-GB"/>
        </w:rPr>
        <w:t xml:space="preserve"> communities that are marginalised. </w:t>
      </w:r>
      <w:r w:rsidRPr="687BA470" w:rsidR="0345A4BD">
        <w:rPr>
          <w:rFonts w:ascii="Arial" w:hAnsi="Arial" w:eastAsia="Arial" w:cs="Arial"/>
          <w:b w:val="0"/>
          <w:bCs w:val="0"/>
          <w:i w:val="0"/>
          <w:iCs w:val="0"/>
          <w:caps w:val="0"/>
          <w:smallCaps w:val="0"/>
          <w:noProof w:val="0"/>
          <w:color w:val="000000" w:themeColor="text1" w:themeTint="FF" w:themeShade="FF"/>
          <w:sz w:val="24"/>
          <w:szCs w:val="24"/>
          <w:lang w:val="en-GB"/>
        </w:rPr>
        <w:t>T</w:t>
      </w:r>
      <w:r w:rsidRPr="687BA470" w:rsidR="0E9DC0AA">
        <w:rPr>
          <w:rFonts w:ascii="Arial" w:hAnsi="Arial" w:eastAsia="Arial" w:cs="Arial"/>
          <w:b w:val="0"/>
          <w:bCs w:val="0"/>
          <w:i w:val="0"/>
          <w:iCs w:val="0"/>
          <w:caps w:val="0"/>
          <w:smallCaps w:val="0"/>
          <w:noProof w:val="0"/>
          <w:color w:val="000000" w:themeColor="text1" w:themeTint="FF" w:themeShade="FF"/>
          <w:sz w:val="24"/>
          <w:szCs w:val="24"/>
          <w:lang w:val="en-GB"/>
        </w:rPr>
        <w:t xml:space="preserve">herefore, </w:t>
      </w:r>
      <w:r w:rsidRPr="687BA470" w:rsidR="35F413A4">
        <w:rPr>
          <w:rFonts w:ascii="Arial" w:hAnsi="Arial" w:eastAsia="Arial" w:cs="Arial"/>
          <w:b w:val="0"/>
          <w:bCs w:val="0"/>
          <w:i w:val="0"/>
          <w:iCs w:val="0"/>
          <w:caps w:val="0"/>
          <w:smallCaps w:val="0"/>
          <w:noProof w:val="0"/>
          <w:color w:val="000000" w:themeColor="text1" w:themeTint="FF" w:themeShade="FF"/>
          <w:sz w:val="24"/>
          <w:szCs w:val="24"/>
          <w:lang w:val="en-GB"/>
        </w:rPr>
        <w:t xml:space="preserve">it could be </w:t>
      </w:r>
      <w:r w:rsidRPr="687BA470" w:rsidR="54BAF675">
        <w:rPr>
          <w:rFonts w:ascii="Arial" w:hAnsi="Arial" w:eastAsia="Arial" w:cs="Arial"/>
          <w:b w:val="0"/>
          <w:bCs w:val="0"/>
          <w:i w:val="0"/>
          <w:iCs w:val="0"/>
          <w:caps w:val="0"/>
          <w:smallCaps w:val="0"/>
          <w:noProof w:val="0"/>
          <w:color w:val="000000" w:themeColor="text1" w:themeTint="FF" w:themeShade="FF"/>
          <w:sz w:val="24"/>
          <w:szCs w:val="24"/>
          <w:lang w:val="en-GB"/>
        </w:rPr>
        <w:t>argued</w:t>
      </w:r>
      <w:r w:rsidRPr="687BA470" w:rsidR="35F413A4">
        <w:rPr>
          <w:rFonts w:ascii="Arial" w:hAnsi="Arial" w:eastAsia="Arial" w:cs="Arial"/>
          <w:b w:val="0"/>
          <w:bCs w:val="0"/>
          <w:i w:val="0"/>
          <w:iCs w:val="0"/>
          <w:caps w:val="0"/>
          <w:smallCaps w:val="0"/>
          <w:noProof w:val="0"/>
          <w:color w:val="000000" w:themeColor="text1" w:themeTint="FF" w:themeShade="FF"/>
          <w:sz w:val="24"/>
          <w:szCs w:val="24"/>
          <w:lang w:val="en-GB"/>
        </w:rPr>
        <w:t xml:space="preserve"> that a balance of implementing both measures</w:t>
      </w:r>
      <w:r w:rsidRPr="687BA470" w:rsidR="7374D737">
        <w:rPr>
          <w:rFonts w:ascii="Arial" w:hAnsi="Arial" w:eastAsia="Arial" w:cs="Arial"/>
          <w:b w:val="0"/>
          <w:bCs w:val="0"/>
          <w:i w:val="0"/>
          <w:iCs w:val="0"/>
          <w:caps w:val="0"/>
          <w:smallCaps w:val="0"/>
          <w:noProof w:val="0"/>
          <w:color w:val="000000" w:themeColor="text1" w:themeTint="FF" w:themeShade="FF"/>
          <w:sz w:val="24"/>
          <w:szCs w:val="24"/>
          <w:lang w:val="en-GB"/>
        </w:rPr>
        <w:t xml:space="preserve"> is the best approach in managing social control. </w:t>
      </w:r>
    </w:p>
    <w:p w:rsidR="55F13A90" w:rsidRDefault="55F13A90" w14:paraId="34255EE0" w14:textId="748409DA"/>
    <w:p w:rsidR="55F13A90" w:rsidRDefault="55F13A90" w14:paraId="7DE6B7A5" w14:textId="2EA4CD31"/>
    <w:p w:rsidR="55F13A90" w:rsidP="55F13A90" w:rsidRDefault="55F13A90" w14:paraId="7EE960B9" w14:textId="20C96ACE">
      <w:pPr>
        <w:spacing w:line="48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pPr>
    </w:p>
    <w:p w:rsidR="62AF3DE7" w:rsidP="3128CAA0" w:rsidRDefault="62AF3DE7" w14:paraId="077AF6FD" w14:textId="7E34A20C">
      <w:pPr>
        <w:spacing w:line="48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pPr>
    </w:p>
    <w:p w:rsidR="62AF3DE7" w:rsidP="3128CAA0" w:rsidRDefault="62AF3DE7" w14:paraId="51200025" w14:textId="5FA60C68">
      <w:pPr>
        <w:spacing w:line="48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pPr>
    </w:p>
    <w:p w:rsidR="62AF3DE7" w:rsidP="3128CAA0" w:rsidRDefault="62AF3DE7" w14:paraId="4091C5E2" w14:textId="01E6E759">
      <w:pPr>
        <w:spacing w:line="48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pPr>
    </w:p>
    <w:p w:rsidR="62AF3DE7" w:rsidP="3128CAA0" w:rsidRDefault="62AF3DE7" w14:paraId="71BA08EA" w14:textId="0B6EA335">
      <w:pPr>
        <w:spacing w:line="48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pPr>
    </w:p>
    <w:p w:rsidR="62AF3DE7" w:rsidP="3128CAA0" w:rsidRDefault="62AF3DE7" w14:paraId="27CA3B58" w14:textId="371AC016">
      <w:pPr>
        <w:pStyle w:val="Normal"/>
        <w:spacing w:line="48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pPr>
    </w:p>
    <w:p w:rsidR="62AF3DE7" w:rsidP="3128CAA0" w:rsidRDefault="62AF3DE7" w14:paraId="35F563CE" w14:textId="26A8B83C">
      <w:pPr>
        <w:pStyle w:val="Normal"/>
        <w:spacing w:line="48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3128CAA0" w:rsidR="04170AE4">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t>Reference</w:t>
      </w:r>
      <w:r w:rsidRPr="3128CAA0" w:rsidR="1306E443">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t>s</w:t>
      </w:r>
    </w:p>
    <w:p w:rsidR="55F13A90" w:rsidP="55F13A90" w:rsidRDefault="55F13A90" w14:paraId="7DE61761" w14:textId="41496116">
      <w:pPr>
        <w:spacing w:line="24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62AF3DE7" w:rsidP="55F13A90" w:rsidRDefault="62AF3DE7" w14:paraId="32D404A7" w14:textId="41DF4901">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Aitkenhead, E., Clements, J., Lumley, J., Muir, R., Redgrave, H. and Skidmore, M. (2022)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Policing the pandemic</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London: Crest. </w:t>
      </w:r>
    </w:p>
    <w:p w:rsidR="62AF3DE7" w:rsidP="55F13A90" w:rsidRDefault="62AF3DE7" w14:paraId="7347A9B3" w14:textId="68A21E9F">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Blair, G., Weinstein, J.M., Christia, F., Arias, E., Badran, E., Blair, R.A., Cheema, A., Farooqui, A., Fetzer, T., Grossman, G., Haim, D., Hameed, Z., Hanson, R., Hasanain, A., Kronick, D., Morse, B., Muggah, R., Nadeem, F., Tsai, L.L., Nanes, M., Slough, T., Ravnanilla, N., Shapiro, J.N.,  Silva, B Souza, P. and Wilke, A.M. (2021) ‘Community policing does not build citizen trust in police or reduce crime in the Global South’,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Science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374(6571), pp. 77-98. Available at: </w:t>
      </w:r>
      <w:hyperlink r:id="R4f9193615be247e1">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https://doi.org/10.1126/science.abd3446</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7FB410C7" w14:textId="1A1713E7">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Bradford, B., Jackson, J., and Hough, M. (2014)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Police futures and legitimacy: Redefining good policing.</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Milton: Routledge. </w:t>
      </w:r>
    </w:p>
    <w:p w:rsidR="62AF3DE7" w:rsidP="55F13A90" w:rsidRDefault="62AF3DE7" w14:paraId="0515365B" w14:textId="7C70B990">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Bowling, B., Reiner, R. and Sheptycki, J. (2019)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The Politics of the police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5</w:t>
      </w:r>
      <w:r w:rsidRPr="55F13A90" w:rsidR="62AF3DE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edition. Oxford: Oxford University Press. </w:t>
      </w:r>
    </w:p>
    <w:p w:rsidR="62AF3DE7" w:rsidP="55F13A90" w:rsidRDefault="62AF3DE7" w14:paraId="61A46645" w14:textId="28CF6648">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Bottoms, A.E. and Tankebe, J. (2012) ‘Beyond procedural justice: A dialogic approach to legitimacy in criminal justice’,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Journal of Criminal Law and Criminology</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102(1), pp. 119-170. Available at: </w:t>
      </w:r>
      <w:hyperlink w:anchor=":~:text=Volume%20102%20|%20Issue%201.%20Article%204.%20Winter%202012.%20Beyond" r:id="R04337ed421844519">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https://scholarlycommons.law.northwestern.edu/cgi/viewcontent.cgi?httpsredir=1&amp;article=7419&amp;context=jclc</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5E75C346" w14:textId="1EC8D794">
      <w:pPr>
        <w:pStyle w:val="ListParagraph"/>
        <w:numPr>
          <w:ilvl w:val="0"/>
          <w:numId w:val="1"/>
        </w:numPr>
        <w:spacing w:line="240" w:lineRule="auto"/>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Bass, S. (2001) ‘Policing Space, Policing Race: Social Control Imperatives and Police Discretionary Decisions’,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Social Justice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28(1), pp. 156-176. Available at: </w:t>
      </w:r>
      <w:hyperlink r:id="R8aa92634e5a34fa3">
        <w:r w:rsidRPr="55F13A90" w:rsidR="62AF3DE7">
          <w:rPr>
            <w:rStyle w:val="Hyperlink"/>
            <w:rFonts w:ascii="Helvetica" w:hAnsi="Helvetica" w:eastAsia="Helvetica" w:cs="Helvetica"/>
            <w:b w:val="0"/>
            <w:bCs w:val="0"/>
            <w:i w:val="0"/>
            <w:iCs w:val="0"/>
            <w:caps w:val="0"/>
            <w:smallCaps w:val="0"/>
            <w:strike w:val="0"/>
            <w:dstrike w:val="0"/>
            <w:noProof w:val="0"/>
            <w:sz w:val="24"/>
            <w:szCs w:val="24"/>
            <w:lang w:val="en-US"/>
          </w:rPr>
          <w:t>http://www.jstor.org/stable/29768062</w:t>
        </w:r>
      </w:hyperlink>
      <w:r w:rsidRPr="55F13A90" w:rsidR="62AF3DE7">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29E0443B" w14:textId="092765AB">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Baudains, P., Braithwaite, A. and Johnson, S.D. (2013) ‘Target choice during extreme events: A discrete spatial choice model of the 2011 London riot’,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Criminology</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51(2), pp. 251-285. Available at: </w:t>
      </w:r>
      <w:hyperlink r:id="Rf1a1cb5b1a1046de">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https://doi.org/10.1111/1745-9125.12004</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7FB5F9B9" w14:textId="184C56D4">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Button, M. (2007)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Security Officers and Policing: Powers, Culture and Control in the Governance of Private Space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Aldershot: Ashgate. </w:t>
      </w:r>
    </w:p>
    <w:p w:rsidR="62AF3DE7" w:rsidP="55F13A90" w:rsidRDefault="62AF3DE7" w14:paraId="5192C141" w14:textId="098E7E5E">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College of Policing (2024)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Chief Constable condemns Southport violence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bdbb66985b5d4d5e">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https://www.college.police.uk/article/chief-constable-condemns-southport-violence</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6 September 2024). </w:t>
      </w:r>
    </w:p>
    <w:p w:rsidR="62AF3DE7" w:rsidP="55F13A90" w:rsidRDefault="62AF3DE7" w14:paraId="5540A29D" w14:textId="74249067">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Charman, S., Newiss, G., Smith, P., Inkpen, R., Illett, C., Ghaemmaghami, A. and Bennett, S. (2022) ‘Giving the right service to different people: revisiting police legitmacy in the Covid-19 era’,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Policing and Society</w:t>
      </w:r>
    </w:p>
    <w:p w:rsidR="62AF3DE7" w:rsidP="55F13A90" w:rsidRDefault="62AF3DE7" w14:paraId="4A17E94A" w14:textId="37F7CB98">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Cosgrove, F.M. (2016) ‘I Wannabe a Copper: The Engagement of Police Community Support Officers with the Dominant Police Occupational Culture’,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Criminology and Criminal Justice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16(1), pp. 119-138. Available at: </w:t>
      </w:r>
      <w:hyperlink r:id="R835cf33ea27543b6">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https://doi.org/10.1177/1748895815599580</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286EAC49" w14:textId="7FC41D4C">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Cordner, G.W. (1997) ‘Community Policing: Elements and Effects’,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Critical Issues in Policing: Contemporary Readings</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5(3), pp. 401-418. Available at: </w:t>
      </w:r>
      <w:hyperlink w:anchor=":~:text=Programmatic,%20philosophical,%20and%20strategic%20dimensions%20of%20community%20policing%20are%20discussed." r:id="R5c1415c0d2f1488b">
        <w:r w:rsidRPr="55F13A90" w:rsidR="62AF3DE7">
          <w:rPr>
            <w:rStyle w:val="Hyperlink"/>
            <w:rFonts w:ascii="Aptos" w:hAnsi="Aptos" w:eastAsia="Aptos" w:cs="Aptos"/>
            <w:b w:val="0"/>
            <w:bCs w:val="0"/>
            <w:i w:val="0"/>
            <w:iCs w:val="0"/>
            <w:caps w:val="0"/>
            <w:smallCaps w:val="0"/>
            <w:strike w:val="0"/>
            <w:dstrike w:val="0"/>
            <w:noProof w:val="0"/>
            <w:sz w:val="24"/>
            <w:szCs w:val="24"/>
            <w:lang w:val="en-US"/>
          </w:rPr>
          <w:t>Community Policing: Elements and Effects | National Institute of Justice (ojp.gov)</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65726978" w14:textId="5840E953">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Devine, B., Powell, A. and Clark, H. (2022)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Coronavirus: Impact on the Labour market</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39d846c17a084567">
        <w:r w:rsidRPr="55F13A90" w:rsidR="62AF3DE7">
          <w:rPr>
            <w:rStyle w:val="Hyperlink"/>
            <w:rFonts w:ascii="Aptos" w:hAnsi="Aptos" w:eastAsia="Aptos" w:cs="Aptos"/>
            <w:b w:val="0"/>
            <w:bCs w:val="0"/>
            <w:i w:val="0"/>
            <w:iCs w:val="0"/>
            <w:caps w:val="0"/>
            <w:smallCaps w:val="0"/>
            <w:strike w:val="0"/>
            <w:dstrike w:val="0"/>
            <w:noProof w:val="0"/>
            <w:sz w:val="24"/>
            <w:szCs w:val="24"/>
            <w:lang w:val="en-US"/>
          </w:rPr>
          <w:t>Coronavirus: Impact on the labour market - House of Commons Library</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24 October 2024). </w:t>
      </w:r>
    </w:p>
    <w:p w:rsidR="62AF3DE7" w:rsidP="55F13A90" w:rsidRDefault="62AF3DE7" w14:paraId="2B7ABAAB" w14:textId="314826B4">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Dillion, D. and Fanning, B. (2013) ‘The Tottenham riots: the Big Society and the recurring neglect of community participation’,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Community Development Journal</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48(4), pp. 571-586. Available at: </w:t>
      </w:r>
      <w:hyperlink r:id="Rc5078ec988354d92">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https://doi.org/10.1093/cdj/bss056</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7BBDF7C9" w14:textId="162CE508">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Dixon, D (1997) ‘Policing by Law and Policing by Consent’,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 xml:space="preserve">Law in Policing: Legal Regulation and Police Practices, </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1(2), pp. 90-125. Available at: </w:t>
      </w:r>
      <w:hyperlink r:id="Rdeb5e9b78d394509">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https://doi.org/10.1093/oso/9780198264767.003.0003</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375E8753" w14:textId="11C608C1">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Ekici, N., Akdogan, H., Kelly, R. and Gultekin, S. (2022) ‘Impact of community policing on crime reduction’,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 xml:space="preserve">Journal of Community Safety and Well-Being, </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7(3), pp. 111-121. Available at: </w:t>
      </w:r>
      <w:hyperlink r:id="R2f9f5dc9492f46aa">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http://dx.doi.org/10.35502/jcswb.244</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6AEB5932" w14:textId="1501D7EA">
      <w:pPr>
        <w:pStyle w:val="ListParagraph"/>
        <w:numPr>
          <w:ilvl w:val="0"/>
          <w:numId w:val="1"/>
        </w:numPr>
        <w:spacing w:line="240" w:lineRule="auto"/>
        <w:rPr>
          <w:rFonts w:ascii="Arial" w:hAnsi="Arial" w:eastAsia="Arial" w:cs="Arial"/>
          <w:b w:val="0"/>
          <w:bCs w:val="0"/>
          <w:i w:val="0"/>
          <w:iCs w:val="0"/>
          <w:caps w:val="0"/>
          <w:smallCaps w:val="0"/>
          <w:noProof w:val="0"/>
          <w:color w:val="222222"/>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Gill, C., Weisburd, D., Telep, C.W., Vitter, Z. and Bennett, T. (2014) ‘Community-oriented policing to reduce crime, disorder and fear and increase satisfaction and legitimacy among citizens: a systematic review’,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Journal of Experimental Criminology</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10(1), pp. 399-428. Available at: </w:t>
      </w:r>
      <w:hyperlink r:id="Rcda821940fdd45f9">
        <w:r w:rsidRPr="55F13A90" w:rsidR="62AF3DE7">
          <w:rPr>
            <w:rStyle w:val="Hyperlink"/>
            <w:rFonts w:ascii="Arial" w:hAnsi="Arial" w:eastAsia="Arial" w:cs="Arial"/>
            <w:b w:val="0"/>
            <w:bCs w:val="0"/>
            <w:i w:val="0"/>
            <w:iCs w:val="0"/>
            <w:caps w:val="0"/>
            <w:smallCaps w:val="0"/>
            <w:strike w:val="0"/>
            <w:dstrike w:val="0"/>
            <w:noProof w:val="0"/>
            <w:sz w:val="24"/>
            <w:szCs w:val="24"/>
            <w:lang w:val="en-US"/>
          </w:rPr>
          <w:t>https://doi.org/10.1007/s11292-014-9210-y</w:t>
        </w:r>
      </w:hyperlink>
      <w:r w:rsidRPr="55F13A90" w:rsidR="62AF3DE7">
        <w:rPr>
          <w:rFonts w:ascii="Arial" w:hAnsi="Arial" w:eastAsia="Arial" w:cs="Arial"/>
          <w:b w:val="0"/>
          <w:bCs w:val="0"/>
          <w:i w:val="0"/>
          <w:iCs w:val="0"/>
          <w:caps w:val="0"/>
          <w:smallCaps w:val="0"/>
          <w:noProof w:val="0"/>
          <w:color w:val="222222"/>
          <w:sz w:val="24"/>
          <w:szCs w:val="24"/>
          <w:lang w:val="en-US"/>
        </w:rPr>
        <w:t xml:space="preserve"> </w:t>
      </w:r>
    </w:p>
    <w:p w:rsidR="62AF3DE7" w:rsidP="55F13A90" w:rsidRDefault="62AF3DE7" w14:paraId="3F8C1B8F" w14:textId="0506C2FA">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House of Lords (2023)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Police standards and culture: Restoring public trust</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w:anchor=":~:text=The%20Home%20Office%20explains%20that%20the%20concept%20of,consent%20from%20the%20police%20or%20from%20the%20law." r:id="Rb4aaaeca18ad40db">
        <w:r w:rsidRPr="55F13A90" w:rsidR="62AF3DE7">
          <w:rPr>
            <w:rStyle w:val="Hyperlink"/>
            <w:rFonts w:ascii="Aptos" w:hAnsi="Aptos" w:eastAsia="Aptos" w:cs="Aptos"/>
            <w:b w:val="0"/>
            <w:bCs w:val="0"/>
            <w:i w:val="0"/>
            <w:iCs w:val="0"/>
            <w:caps w:val="0"/>
            <w:smallCaps w:val="0"/>
            <w:strike w:val="0"/>
            <w:dstrike w:val="0"/>
            <w:noProof w:val="0"/>
            <w:sz w:val="24"/>
            <w:szCs w:val="24"/>
            <w:lang w:val="en-US"/>
          </w:rPr>
          <w:t>Police standards and culture: Restoring public trust - House of Lords Library (parliament.uk)</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 October 2024). </w:t>
      </w:r>
    </w:p>
    <w:p w:rsidR="62AF3DE7" w:rsidP="55F13A90" w:rsidRDefault="62AF3DE7" w14:paraId="7F165D69" w14:textId="4C601063">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HMICFRS (2021)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Policing in the pandemic</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f2e23ed16d894e4a">
        <w:r w:rsidRPr="55F13A90" w:rsidR="62AF3DE7">
          <w:rPr>
            <w:rStyle w:val="Hyperlink"/>
            <w:rFonts w:ascii="Aptos" w:hAnsi="Aptos" w:eastAsia="Aptos" w:cs="Aptos"/>
            <w:b w:val="0"/>
            <w:bCs w:val="0"/>
            <w:i w:val="0"/>
            <w:iCs w:val="0"/>
            <w:caps w:val="0"/>
            <w:smallCaps w:val="0"/>
            <w:strike w:val="0"/>
            <w:dstrike w:val="0"/>
            <w:noProof w:val="0"/>
            <w:sz w:val="24"/>
            <w:szCs w:val="24"/>
            <w:lang w:val="en-US"/>
          </w:rPr>
          <w:t>Policing in the pandemic: The police response to the coronavirus pandemic during 2020</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25 October 2024). </w:t>
      </w:r>
    </w:p>
    <w:p w:rsidR="62AF3DE7" w:rsidP="55F13A90" w:rsidRDefault="62AF3DE7" w14:paraId="0C2E30CC" w14:textId="73606A3B">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House of Commons (2024)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Policing response to the 2024 summer riots</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4125643b34b74ee3">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https://commonslibrary.parliament.uk/policing-response-to-the-2024-summer-riots/</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6 October 2024). </w:t>
      </w:r>
    </w:p>
    <w:p w:rsidR="62AF3DE7" w:rsidP="55F13A90" w:rsidRDefault="62AF3DE7" w14:paraId="79C11CFA" w14:textId="09D26984">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House of Commons Library (2011)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The August 2011 riots: a statistical summary</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2a77dcc77f764744">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https://commonslibrary.parliament.uk/research-briefings/sn06099/</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6 October 2024).</w:t>
      </w:r>
    </w:p>
    <w:p w:rsidR="62AF3DE7" w:rsidP="29E54F17" w:rsidRDefault="62AF3DE7" w14:paraId="600AB098" w14:textId="7E3A797C">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29E54F17"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Home Office (2023) </w:t>
      </w:r>
      <w:r w:rsidRPr="29E54F17" w:rsidR="62AF3DE7">
        <w:rPr>
          <w:rFonts w:ascii="Aptos" w:hAnsi="Aptos" w:eastAsia="Aptos" w:cs="Aptos"/>
          <w:b w:val="0"/>
          <w:bCs w:val="0"/>
          <w:i w:val="1"/>
          <w:iCs w:val="1"/>
          <w:caps w:val="0"/>
          <w:smallCaps w:val="0"/>
          <w:noProof w:val="0"/>
          <w:color w:val="000000" w:themeColor="text1" w:themeTint="FF" w:themeShade="FF"/>
          <w:sz w:val="24"/>
          <w:szCs w:val="24"/>
          <w:lang w:val="en-US"/>
        </w:rPr>
        <w:t xml:space="preserve">Public </w:t>
      </w:r>
      <w:r w:rsidRPr="29E54F17" w:rsidR="62AF3DE7">
        <w:rPr>
          <w:rFonts w:ascii="Aptos" w:hAnsi="Aptos" w:eastAsia="Aptos" w:cs="Aptos"/>
          <w:b w:val="0"/>
          <w:bCs w:val="0"/>
          <w:i w:val="1"/>
          <w:iCs w:val="1"/>
          <w:caps w:val="0"/>
          <w:smallCaps w:val="0"/>
          <w:noProof w:val="0"/>
          <w:color w:val="000000" w:themeColor="text1" w:themeTint="FF" w:themeShade="FF"/>
          <w:sz w:val="24"/>
          <w:szCs w:val="24"/>
          <w:lang w:val="en-US"/>
        </w:rPr>
        <w:t>perceptions</w:t>
      </w:r>
      <w:r w:rsidRPr="29E54F17" w:rsidR="62AF3DE7">
        <w:rPr>
          <w:rFonts w:ascii="Aptos" w:hAnsi="Aptos" w:eastAsia="Aptos" w:cs="Aptos"/>
          <w:b w:val="0"/>
          <w:bCs w:val="0"/>
          <w:i w:val="1"/>
          <w:iCs w:val="1"/>
          <w:caps w:val="0"/>
          <w:smallCaps w:val="0"/>
          <w:noProof w:val="0"/>
          <w:color w:val="000000" w:themeColor="text1" w:themeTint="FF" w:themeShade="FF"/>
          <w:sz w:val="24"/>
          <w:szCs w:val="24"/>
          <w:lang w:val="en-US"/>
        </w:rPr>
        <w:t xml:space="preserve"> of policing: A review of research and literature</w:t>
      </w:r>
      <w:r w:rsidRPr="29E54F17"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w:anchor="fn:1" r:id="Rcc83a71623894383">
        <w:r w:rsidRPr="29E54F17" w:rsidR="62AF3DE7">
          <w:rPr>
            <w:rStyle w:val="Hyperlink"/>
            <w:rFonts w:ascii="Aptos" w:hAnsi="Aptos" w:eastAsia="Aptos" w:cs="Aptos"/>
            <w:b w:val="0"/>
            <w:bCs w:val="0"/>
            <w:i w:val="0"/>
            <w:iCs w:val="0"/>
            <w:caps w:val="0"/>
            <w:smallCaps w:val="0"/>
            <w:strike w:val="0"/>
            <w:dstrike w:val="0"/>
            <w:noProof w:val="0"/>
            <w:sz w:val="24"/>
            <w:szCs w:val="24"/>
            <w:lang w:val="en-US"/>
          </w:rPr>
          <w:t>Public perceptions of policing: A review of research and literature - GOV.UK</w:t>
        </w:r>
      </w:hyperlink>
      <w:r w:rsidRPr="29E54F17"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October 23</w:t>
      </w:r>
      <w:bookmarkStart w:name="_Int_XYVduTDe" w:id="1143944954"/>
      <w:r w:rsidRPr="29E54F17"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2024</w:t>
      </w:r>
      <w:bookmarkEnd w:id="1143944954"/>
      <w:r w:rsidRPr="29E54F17"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0953F172" w:rsidP="76CF2E4B" w:rsidRDefault="0953F172" w14:paraId="2FB6A189" w14:textId="624E2CF3">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6CF2E4B" w:rsidR="0953F172">
        <w:rPr>
          <w:rFonts w:ascii="Aptos" w:hAnsi="Aptos" w:eastAsia="Aptos" w:cs="Aptos"/>
          <w:b w:val="0"/>
          <w:bCs w:val="0"/>
          <w:i w:val="0"/>
          <w:iCs w:val="0"/>
          <w:caps w:val="0"/>
          <w:smallCaps w:val="0"/>
          <w:noProof w:val="0"/>
          <w:color w:val="000000" w:themeColor="text1" w:themeTint="FF" w:themeShade="FF"/>
          <w:sz w:val="24"/>
          <w:szCs w:val="24"/>
          <w:lang w:val="en-US"/>
        </w:rPr>
        <w:t xml:space="preserve">Hoffman, A.J., Alamilla, S. and Liang, B. (2018) </w:t>
      </w:r>
      <w:r w:rsidRPr="76CF2E4B" w:rsidR="0953F172">
        <w:rPr>
          <w:rFonts w:ascii="Aptos" w:hAnsi="Aptos" w:eastAsia="Aptos" w:cs="Aptos"/>
          <w:b w:val="0"/>
          <w:bCs w:val="0"/>
          <w:i w:val="1"/>
          <w:iCs w:val="1"/>
          <w:caps w:val="0"/>
          <w:smallCaps w:val="0"/>
          <w:noProof w:val="0"/>
          <w:color w:val="000000" w:themeColor="text1" w:themeTint="FF" w:themeShade="FF"/>
          <w:sz w:val="24"/>
          <w:szCs w:val="24"/>
          <w:lang w:val="en-US"/>
        </w:rPr>
        <w:t xml:space="preserve">The Social Contract Theory Revisited: Examining the </w:t>
      </w:r>
      <w:r w:rsidRPr="76CF2E4B" w:rsidR="004B8AF8">
        <w:rPr>
          <w:rFonts w:ascii="Aptos" w:hAnsi="Aptos" w:eastAsia="Aptos" w:cs="Aptos"/>
          <w:b w:val="0"/>
          <w:bCs w:val="0"/>
          <w:i w:val="1"/>
          <w:iCs w:val="1"/>
          <w:caps w:val="0"/>
          <w:smallCaps w:val="0"/>
          <w:noProof w:val="0"/>
          <w:color w:val="000000" w:themeColor="text1" w:themeTint="FF" w:themeShade="FF"/>
          <w:sz w:val="24"/>
          <w:szCs w:val="24"/>
          <w:lang w:val="en-US"/>
        </w:rPr>
        <w:t>R</w:t>
      </w:r>
      <w:r w:rsidRPr="76CF2E4B" w:rsidR="0953F172">
        <w:rPr>
          <w:rFonts w:ascii="Aptos" w:hAnsi="Aptos" w:eastAsia="Aptos" w:cs="Aptos"/>
          <w:b w:val="0"/>
          <w:bCs w:val="0"/>
          <w:i w:val="1"/>
          <w:iCs w:val="1"/>
          <w:caps w:val="0"/>
          <w:smallCaps w:val="0"/>
          <w:noProof w:val="0"/>
          <w:color w:val="000000" w:themeColor="text1" w:themeTint="FF" w:themeShade="FF"/>
          <w:sz w:val="24"/>
          <w:szCs w:val="24"/>
          <w:lang w:val="en-US"/>
        </w:rPr>
        <w:t>elationship</w:t>
      </w:r>
      <w:r w:rsidRPr="76CF2E4B" w:rsidR="3278344A">
        <w:rPr>
          <w:rFonts w:ascii="Aptos" w:hAnsi="Aptos" w:eastAsia="Aptos" w:cs="Aptos"/>
          <w:b w:val="0"/>
          <w:bCs w:val="0"/>
          <w:i w:val="1"/>
          <w:iCs w:val="1"/>
          <w:caps w:val="0"/>
          <w:smallCaps w:val="0"/>
          <w:noProof w:val="0"/>
          <w:color w:val="000000" w:themeColor="text1" w:themeTint="FF" w:themeShade="FF"/>
          <w:sz w:val="24"/>
          <w:szCs w:val="24"/>
          <w:lang w:val="en-US"/>
        </w:rPr>
        <w:t xml:space="preserve"> Between Greed, Conflict, and the </w:t>
      </w:r>
      <w:r w:rsidRPr="76CF2E4B" w:rsidR="669C3F88">
        <w:rPr>
          <w:rFonts w:ascii="Aptos" w:hAnsi="Aptos" w:eastAsia="Aptos" w:cs="Aptos"/>
          <w:b w:val="0"/>
          <w:bCs w:val="0"/>
          <w:i w:val="1"/>
          <w:iCs w:val="1"/>
          <w:caps w:val="0"/>
          <w:smallCaps w:val="0"/>
          <w:noProof w:val="0"/>
          <w:color w:val="000000" w:themeColor="text1" w:themeTint="FF" w:themeShade="FF"/>
          <w:sz w:val="24"/>
          <w:szCs w:val="24"/>
          <w:lang w:val="en-US"/>
        </w:rPr>
        <w:t>Evolution of Cooperation</w:t>
      </w:r>
      <w:r w:rsidRPr="76CF2E4B" w:rsidR="669C3F8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6CF2E4B" w:rsidR="45E767B5">
        <w:rPr>
          <w:rFonts w:ascii="Aptos" w:hAnsi="Aptos" w:eastAsia="Aptos" w:cs="Aptos"/>
          <w:b w:val="0"/>
          <w:bCs w:val="0"/>
          <w:i w:val="0"/>
          <w:iCs w:val="0"/>
          <w:caps w:val="0"/>
          <w:smallCaps w:val="0"/>
          <w:noProof w:val="0"/>
          <w:color w:val="000000" w:themeColor="text1" w:themeTint="FF" w:themeShade="FF"/>
          <w:sz w:val="24"/>
          <w:szCs w:val="24"/>
          <w:lang w:val="en-US"/>
        </w:rPr>
        <w:t xml:space="preserve">London: </w:t>
      </w:r>
      <w:r w:rsidRPr="76CF2E4B" w:rsidR="669C3F88">
        <w:rPr>
          <w:rFonts w:ascii="Aptos" w:hAnsi="Aptos" w:eastAsia="Aptos" w:cs="Aptos"/>
          <w:b w:val="0"/>
          <w:bCs w:val="0"/>
          <w:i w:val="0"/>
          <w:iCs w:val="0"/>
          <w:caps w:val="0"/>
          <w:smallCaps w:val="0"/>
          <w:noProof w:val="0"/>
          <w:color w:val="000000" w:themeColor="text1" w:themeTint="FF" w:themeShade="FF"/>
          <w:sz w:val="24"/>
          <w:szCs w:val="24"/>
          <w:lang w:val="en-US"/>
        </w:rPr>
        <w:t>Palgrave Macmillan</w:t>
      </w:r>
      <w:r w:rsidRPr="76CF2E4B" w:rsidR="03AC41FE">
        <w:rPr>
          <w:rFonts w:ascii="Aptos" w:hAnsi="Aptos" w:eastAsia="Aptos" w:cs="Aptos"/>
          <w:b w:val="0"/>
          <w:bCs w:val="0"/>
          <w:i w:val="0"/>
          <w:iCs w:val="0"/>
          <w:caps w:val="0"/>
          <w:smallCaps w:val="0"/>
          <w:noProof w:val="0"/>
          <w:color w:val="000000" w:themeColor="text1" w:themeTint="FF" w:themeShade="FF"/>
          <w:sz w:val="24"/>
          <w:szCs w:val="24"/>
          <w:lang w:val="en-US"/>
        </w:rPr>
        <w:t>.</w:t>
      </w:r>
    </w:p>
    <w:p w:rsidR="62AF3DE7" w:rsidP="55F13A90" w:rsidRDefault="62AF3DE7" w14:paraId="6C3B0D89" w14:textId="145526B0">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Hough, M., Bradford, B., Jackson, J., and Roberts, JV. (2013)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Attitudes to Sentencing and Trust in Justice: Exploring Trends from the Crime Survey for England and Wales</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London: Ministry of Justice Analytical Services. </w:t>
      </w:r>
    </w:p>
    <w:p w:rsidR="62AF3DE7" w:rsidP="55F13A90" w:rsidRDefault="62AF3DE7" w14:paraId="27371620" w14:textId="166A7CC6">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Hart, J. (1955) ‘Reform of the Borough Police 1835-1856',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English Historical Review</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70(276), 411-427. Available at: </w:t>
      </w:r>
      <w:hyperlink r:id="Rd0c2e0cb8e0d4f80">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https://doi.org/10.1093/ehr/LXX.CCLXXVI.411</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61CFBDCC" w14:textId="4266963A">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Joyce, P. and Laverick, W. (2023)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History of Policing, Crime, Disorder, Punishment</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London: Palgrave Macmillian. </w:t>
      </w:r>
    </w:p>
    <w:p w:rsidR="62AF3DE7" w:rsidP="55F13A90" w:rsidRDefault="62AF3DE7" w14:paraId="3C4B6433" w14:textId="0CD974FF">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Jackson, J., Hough, M., Bradford, B., Hohl, K. and Kuha, J. (2012) ‘Policing by Consent: Understanding the Dynamics of Police Power and Legitimacy’,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European Social Survey</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Issue 1, pp. 1-14. Available at SSRN: </w:t>
      </w:r>
      <w:hyperlink r:id="R83f9d479cb684627">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https://ssrn.com/abstract=2168702</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3AA48E3D" w14:textId="53C2DD95">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Jackson, J. and Bradford, B. (2009) Crime, policing and social order: On the expressive nature of public confidence in policing,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British Journal of Sociology</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60(1), pp. 493-521. Available at: </w:t>
      </w:r>
      <w:hyperlink r:id="R91bb27f5a03d4e36">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https://doi.org/10.1111/j.1468-4446.2009.01253.x</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7C2D3095" w14:textId="633FC64D">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Jackson J. and Bradford, B. (2010) ‘What is trust and confidence in the police?’,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Policing: A Journal of Policy and Practice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4(3), pp. 241-248. Available at: </w:t>
      </w:r>
      <w:hyperlink r:id="R5bfe17c65f1e4d2c">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https://doi.org/10.1093/police/paq020</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4886B698" w14:textId="444F4C77">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Lee, M. and McGovern, A. (2014)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Policing and media: Public relations, simulations and communications</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Milton: Routledge. </w:t>
      </w:r>
    </w:p>
    <w:p w:rsidR="62AF3DE7" w:rsidP="55F13A90" w:rsidRDefault="62AF3DE7" w14:paraId="5D38FFFA" w14:textId="71E1C2A7">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Lin, J. and Wang, Y. (2023) ‘Lesson from the stigma of Covid-19 survivors: A Marxist criticism appraisal’,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Frontiers in Public Health</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11(1), pp 1-23. Available at: </w:t>
      </w:r>
      <w:hyperlink r:id="Rc577f45f48ae48da">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https://doi.org/10.3389/fpubh.2023.1156240</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101EFE38" w14:textId="1B78C672">
      <w:pPr>
        <w:pStyle w:val="ListParagraph"/>
        <w:numPr>
          <w:ilvl w:val="0"/>
          <w:numId w:val="1"/>
        </w:num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Lowerson, A.J. (2022)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‘Proportionate? The Metropolitan Police Service Response to the Sarah Everard Vigil: Leigh v Commissioner of Police of the Metropolis [2022] EWHC 527 (Admin)’, The</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 xml:space="preserve"> Journal of Criminal Law</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86(4), pp. 287-291. Available at:  </w:t>
      </w:r>
      <w:hyperlink w:anchor=":~:text=Ms%20Everard%20was%20murdered%20on%20the%203%20March%202021%20while" r:id="R88a1e0c66b2e43d8">
        <w:r w:rsidRPr="55F13A90" w:rsidR="62AF3DE7">
          <w:rPr>
            <w:rStyle w:val="Hyperlink"/>
            <w:rFonts w:ascii="Arial" w:hAnsi="Arial" w:eastAsia="Arial" w:cs="Arial"/>
            <w:b w:val="0"/>
            <w:bCs w:val="0"/>
            <w:i w:val="0"/>
            <w:iCs w:val="0"/>
            <w:caps w:val="0"/>
            <w:smallCaps w:val="0"/>
            <w:strike w:val="0"/>
            <w:dstrike w:val="0"/>
            <w:noProof w:val="0"/>
            <w:sz w:val="24"/>
            <w:szCs w:val="24"/>
            <w:lang w:val="en-US"/>
          </w:rPr>
          <w:t>https://doi.org/10.1177/00220183221101957</w:t>
        </w:r>
      </w:hyperlink>
    </w:p>
    <w:p w:rsidR="62AF3DE7" w:rsidP="55F13A90" w:rsidRDefault="62AF3DE7" w14:paraId="1A6C8640" w14:textId="088B26EE">
      <w:pPr>
        <w:pStyle w:val="ListParagraph"/>
        <w:numPr>
          <w:ilvl w:val="0"/>
          <w:numId w:val="1"/>
        </w:num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Lentz, S. and Chaires, R.H. (2007) ‘The Invention of Peel’s principles: A study of policing textbook history’,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Journal of Criminology Justice</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35(1), pp. 68-79. Available at: </w:t>
      </w:r>
      <w:hyperlink r:id="Re28a579d4ae84f62">
        <w:r w:rsidRPr="55F13A90" w:rsidR="62AF3DE7">
          <w:rPr>
            <w:rStyle w:val="Hyperlink"/>
            <w:rFonts w:ascii="Arial" w:hAnsi="Arial" w:eastAsia="Arial" w:cs="Arial"/>
            <w:b w:val="0"/>
            <w:bCs w:val="0"/>
            <w:i w:val="0"/>
            <w:iCs w:val="0"/>
            <w:caps w:val="0"/>
            <w:smallCaps w:val="0"/>
            <w:strike w:val="0"/>
            <w:dstrike w:val="0"/>
            <w:noProof w:val="0"/>
            <w:sz w:val="24"/>
            <w:szCs w:val="24"/>
            <w:lang w:val="en-US"/>
          </w:rPr>
          <w:t>https://doi.org/10.1016/j.jcrimjus.2006.11.016</w:t>
        </w:r>
      </w:hyperlink>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2AF3DE7" w:rsidP="0D69EC13" w:rsidRDefault="62AF3DE7" w14:paraId="67B5D9E6" w14:textId="3586EE91">
      <w:pPr>
        <w:pStyle w:val="ListParagraph"/>
        <w:numPr>
          <w:ilvl w:val="0"/>
          <w:numId w:val="1"/>
        </w:num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Police Chiefs’ Council (2024) </w:t>
      </w:r>
      <w:r w:rsidRPr="0D69EC13" w:rsidR="62AF3DE7">
        <w:rPr>
          <w:rFonts w:ascii="Arial" w:hAnsi="Arial" w:eastAsia="Arial" w:cs="Arial"/>
          <w:b w:val="0"/>
          <w:bCs w:val="0"/>
          <w:i w:val="1"/>
          <w:iCs w:val="1"/>
          <w:caps w:val="0"/>
          <w:smallCaps w:val="0"/>
          <w:noProof w:val="0"/>
          <w:color w:val="000000" w:themeColor="text1" w:themeTint="FF" w:themeShade="FF"/>
          <w:sz w:val="24"/>
          <w:szCs w:val="24"/>
          <w:lang w:val="en-US"/>
        </w:rPr>
        <w:t>Arrests and charges related to violent disorder continue</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35cebfe2171743fd">
        <w:r w:rsidRPr="0D69EC13" w:rsidR="62AF3DE7">
          <w:rPr>
            <w:rStyle w:val="Hyperlink"/>
            <w:rFonts w:ascii="Arial" w:hAnsi="Arial" w:eastAsia="Arial" w:cs="Arial"/>
            <w:b w:val="0"/>
            <w:bCs w:val="0"/>
            <w:i w:val="0"/>
            <w:iCs w:val="0"/>
            <w:caps w:val="0"/>
            <w:smallCaps w:val="0"/>
            <w:strike w:val="0"/>
            <w:dstrike w:val="0"/>
            <w:noProof w:val="0"/>
            <w:sz w:val="24"/>
            <w:szCs w:val="24"/>
            <w:lang w:val="en-US"/>
          </w:rPr>
          <w:t>https://news.npcc.police.uk/releases/arrests-and-charges-related-to-violent-disorder-continue</w:t>
        </w:r>
      </w:hyperlink>
      <w:r w:rsidRPr="0D69EC13"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6 October 2024). </w:t>
      </w:r>
    </w:p>
    <w:p w:rsidR="7DFE6BA3" w:rsidP="0D69EC13" w:rsidRDefault="7DFE6BA3" w14:paraId="42740DFB" w14:textId="608F4B13">
      <w:pPr>
        <w:pStyle w:val="ListParagraph"/>
        <w:numPr>
          <w:ilvl w:val="0"/>
          <w:numId w:val="1"/>
        </w:num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D69EC13" w:rsidR="7DFE6BA3">
        <w:rPr>
          <w:rFonts w:ascii="Arial" w:hAnsi="Arial" w:eastAsia="Arial" w:cs="Arial"/>
          <w:b w:val="0"/>
          <w:bCs w:val="0"/>
          <w:i w:val="0"/>
          <w:iCs w:val="0"/>
          <w:caps w:val="0"/>
          <w:smallCaps w:val="0"/>
          <w:noProof w:val="0"/>
          <w:color w:val="000000" w:themeColor="text1" w:themeTint="FF" w:themeShade="FF"/>
          <w:sz w:val="24"/>
          <w:szCs w:val="24"/>
          <w:lang w:val="en-US"/>
        </w:rPr>
        <w:t>Nubani</w:t>
      </w:r>
      <w:r w:rsidRPr="0D69EC13" w:rsidR="7DFE6BA3">
        <w:rPr>
          <w:rFonts w:ascii="Arial" w:hAnsi="Arial" w:eastAsia="Arial" w:cs="Arial"/>
          <w:b w:val="0"/>
          <w:bCs w:val="0"/>
          <w:i w:val="0"/>
          <w:iCs w:val="0"/>
          <w:caps w:val="0"/>
          <w:smallCaps w:val="0"/>
          <w:noProof w:val="0"/>
          <w:color w:val="000000" w:themeColor="text1" w:themeTint="FF" w:themeShade="FF"/>
          <w:sz w:val="24"/>
          <w:szCs w:val="24"/>
          <w:lang w:val="en-US"/>
        </w:rPr>
        <w:t>, L., Harmony, F.G., Madil</w:t>
      </w:r>
      <w:r w:rsidRPr="0D69EC13" w:rsidR="0E2BB182">
        <w:rPr>
          <w:rFonts w:ascii="Arial" w:hAnsi="Arial" w:eastAsia="Arial" w:cs="Arial"/>
          <w:b w:val="0"/>
          <w:bCs w:val="0"/>
          <w:i w:val="0"/>
          <w:iCs w:val="0"/>
          <w:caps w:val="0"/>
          <w:smallCaps w:val="0"/>
          <w:noProof w:val="0"/>
          <w:color w:val="000000" w:themeColor="text1" w:themeTint="FF" w:themeShade="FF"/>
          <w:sz w:val="24"/>
          <w:szCs w:val="24"/>
          <w:lang w:val="en-US"/>
        </w:rPr>
        <w:t>, H. and Biasi, A.D, (2023) ‘Community Engagement in Crime Reduction Strategies: A Tale of Thr</w:t>
      </w:r>
      <w:r w:rsidRPr="0D69EC13" w:rsidR="3B85ADB6">
        <w:rPr>
          <w:rFonts w:ascii="Arial" w:hAnsi="Arial" w:eastAsia="Arial" w:cs="Arial"/>
          <w:b w:val="0"/>
          <w:bCs w:val="0"/>
          <w:i w:val="0"/>
          <w:iCs w:val="0"/>
          <w:caps w:val="0"/>
          <w:smallCaps w:val="0"/>
          <w:noProof w:val="0"/>
          <w:color w:val="000000" w:themeColor="text1" w:themeTint="FF" w:themeShade="FF"/>
          <w:sz w:val="24"/>
          <w:szCs w:val="24"/>
          <w:lang w:val="en-US"/>
        </w:rPr>
        <w:t>ee Cities</w:t>
      </w:r>
      <w:r w:rsidRPr="0D69EC13" w:rsidR="263ABD3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D69EC13" w:rsidR="263ABD39">
        <w:rPr>
          <w:rFonts w:ascii="Arial" w:hAnsi="Arial" w:eastAsia="Arial" w:cs="Arial"/>
          <w:b w:val="0"/>
          <w:bCs w:val="0"/>
          <w:i w:val="1"/>
          <w:iCs w:val="1"/>
          <w:caps w:val="0"/>
          <w:smallCaps w:val="0"/>
          <w:noProof w:val="0"/>
          <w:color w:val="000000" w:themeColor="text1" w:themeTint="FF" w:themeShade="FF"/>
          <w:sz w:val="24"/>
          <w:szCs w:val="24"/>
          <w:lang w:val="en-US"/>
        </w:rPr>
        <w:t>Journal of Participatory Research Methods</w:t>
      </w:r>
      <w:r w:rsidRPr="0D69EC13" w:rsidR="5EF25859">
        <w:rPr>
          <w:rFonts w:ascii="Arial" w:hAnsi="Arial" w:eastAsia="Arial" w:cs="Arial"/>
          <w:b w:val="0"/>
          <w:bCs w:val="0"/>
          <w:i w:val="0"/>
          <w:iCs w:val="0"/>
          <w:caps w:val="0"/>
          <w:smallCaps w:val="0"/>
          <w:noProof w:val="0"/>
          <w:color w:val="000000" w:themeColor="text1" w:themeTint="FF" w:themeShade="FF"/>
          <w:sz w:val="24"/>
          <w:szCs w:val="24"/>
          <w:lang w:val="en-US"/>
        </w:rPr>
        <w:t>. 4(1), pp. 1</w:t>
      </w:r>
      <w:r w:rsidRPr="0D69EC13" w:rsidR="34045708">
        <w:rPr>
          <w:rFonts w:ascii="Arial" w:hAnsi="Arial" w:eastAsia="Arial" w:cs="Arial"/>
          <w:b w:val="0"/>
          <w:bCs w:val="0"/>
          <w:i w:val="0"/>
          <w:iCs w:val="0"/>
          <w:caps w:val="0"/>
          <w:smallCaps w:val="0"/>
          <w:noProof w:val="0"/>
          <w:color w:val="000000" w:themeColor="text1" w:themeTint="FF" w:themeShade="FF"/>
          <w:sz w:val="24"/>
          <w:szCs w:val="24"/>
          <w:lang w:val="en-US"/>
        </w:rPr>
        <w:t>-</w:t>
      </w:r>
      <w:r w:rsidRPr="0D69EC13" w:rsidR="53CB6FE6">
        <w:rPr>
          <w:rFonts w:ascii="Arial" w:hAnsi="Arial" w:eastAsia="Arial" w:cs="Arial"/>
          <w:b w:val="0"/>
          <w:bCs w:val="0"/>
          <w:i w:val="0"/>
          <w:iCs w:val="0"/>
          <w:caps w:val="0"/>
          <w:smallCaps w:val="0"/>
          <w:noProof w:val="0"/>
          <w:color w:val="000000" w:themeColor="text1" w:themeTint="FF" w:themeShade="FF"/>
          <w:sz w:val="24"/>
          <w:szCs w:val="24"/>
          <w:lang w:val="en-US"/>
        </w:rPr>
        <w:t xml:space="preserve">45. Available at: </w:t>
      </w:r>
      <w:hyperlink r:id="R234f9b27b42d4d42">
        <w:r w:rsidRPr="0D69EC13" w:rsidR="53CB6FE6">
          <w:rPr>
            <w:rStyle w:val="Hyperlink"/>
            <w:rFonts w:ascii="Arial" w:hAnsi="Arial" w:eastAsia="Arial" w:cs="Arial"/>
            <w:b w:val="0"/>
            <w:bCs w:val="0"/>
            <w:i w:val="0"/>
            <w:iCs w:val="0"/>
            <w:caps w:val="0"/>
            <w:smallCaps w:val="0"/>
            <w:noProof w:val="0"/>
            <w:sz w:val="24"/>
            <w:szCs w:val="24"/>
            <w:lang w:val="en-US"/>
          </w:rPr>
          <w:t>https://doi.org/10.35844/001c.57526</w:t>
        </w:r>
      </w:hyperlink>
      <w:r w:rsidRPr="0D69EC13" w:rsidR="53CB6FE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4F07D691" w14:textId="2A8A1AB0">
      <w:pPr>
        <w:pStyle w:val="ListParagraph"/>
        <w:numPr>
          <w:ilvl w:val="0"/>
          <w:numId w:val="1"/>
        </w:num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Police Chiefs’ Council (2012)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ACPO comment on public perceptions of policing findings from 2011/12 Crime Survey for England and Wales (CSEW)</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cbf787ef60ab4fe3">
        <w:r w:rsidRPr="55F13A90" w:rsidR="62AF3DE7">
          <w:rPr>
            <w:rStyle w:val="Hyperlink"/>
            <w:rFonts w:ascii="Arial" w:hAnsi="Arial" w:eastAsia="Arial" w:cs="Arial"/>
            <w:b w:val="0"/>
            <w:bCs w:val="0"/>
            <w:i w:val="0"/>
            <w:iCs w:val="0"/>
            <w:caps w:val="0"/>
            <w:smallCaps w:val="0"/>
            <w:strike w:val="0"/>
            <w:dstrike w:val="0"/>
            <w:noProof w:val="0"/>
            <w:sz w:val="24"/>
            <w:szCs w:val="24"/>
            <w:lang w:val="en-US"/>
          </w:rPr>
          <w:t>https://news.npcc.police.uk/releases/acpo-comment-on-public-perceptions-of-policing-findings-from-201112-crime-survey-for-england-and-wales-csew</w:t>
        </w:r>
      </w:hyperlink>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6 October 2024). </w:t>
      </w:r>
    </w:p>
    <w:p w:rsidR="62AF3DE7" w:rsidP="55F13A90" w:rsidRDefault="62AF3DE7" w14:paraId="6C76F5D1" w14:textId="34C81086">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Office for National Statistics (2020)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 xml:space="preserve">Employment in the UK.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Available at :</w:t>
      </w:r>
      <w:hyperlink r:id="R68331d62051a4d1d">
        <w:r w:rsidRPr="55F13A90" w:rsidR="62AF3DE7">
          <w:rPr>
            <w:rStyle w:val="Hyperlink"/>
            <w:rFonts w:ascii="Aptos" w:hAnsi="Aptos" w:eastAsia="Aptos" w:cs="Aptos"/>
            <w:b w:val="0"/>
            <w:bCs w:val="0"/>
            <w:i w:val="0"/>
            <w:iCs w:val="0"/>
            <w:caps w:val="0"/>
            <w:smallCaps w:val="0"/>
            <w:strike w:val="0"/>
            <w:dstrike w:val="0"/>
            <w:noProof w:val="0"/>
            <w:sz w:val="24"/>
            <w:szCs w:val="24"/>
            <w:lang w:val="en-US"/>
          </w:rPr>
          <w:t>Employment in the UK - Office for National Statistics</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(Accesed: 25 October 2024). </w:t>
      </w:r>
    </w:p>
    <w:p w:rsidR="62AF3DE7" w:rsidP="55F13A90" w:rsidRDefault="62AF3DE7" w14:paraId="6AAB7367" w14:textId="424CBA0C">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Police Race Action Plan (2024)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Progress report</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dfdc3a9ed7dc46c7">
        <w:r w:rsidRPr="55F13A90" w:rsidR="62AF3DE7">
          <w:rPr>
            <w:rStyle w:val="Hyperlink"/>
            <w:rFonts w:ascii="Aptos" w:hAnsi="Aptos" w:eastAsia="Aptos" w:cs="Aptos"/>
            <w:b w:val="0"/>
            <w:bCs w:val="0"/>
            <w:i w:val="0"/>
            <w:iCs w:val="0"/>
            <w:caps w:val="0"/>
            <w:smallCaps w:val="0"/>
            <w:strike w:val="0"/>
            <w:dstrike w:val="0"/>
            <w:noProof w:val="0"/>
            <w:sz w:val="24"/>
            <w:szCs w:val="24"/>
            <w:lang w:val="en-US"/>
          </w:rPr>
          <w:t>PRAP progress report - OFFICIAL SENSITIVE</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26 October 2024). </w:t>
      </w:r>
    </w:p>
    <w:p w:rsidR="62AF3DE7" w:rsidP="55F13A90" w:rsidRDefault="62AF3DE7" w14:paraId="02DDA70B" w14:textId="19E4724A">
      <w:pPr>
        <w:pStyle w:val="ListParagraph"/>
        <w:numPr>
          <w:ilvl w:val="0"/>
          <w:numId w:val="1"/>
        </w:numPr>
        <w:spacing w:line="240" w:lineRule="auto"/>
        <w:rPr>
          <w:rFonts w:ascii="Arial" w:hAnsi="Arial" w:eastAsia="Arial" w:cs="Arial"/>
          <w:b w:val="0"/>
          <w:bCs w:val="0"/>
          <w:i w:val="0"/>
          <w:iCs w:val="0"/>
          <w:caps w:val="0"/>
          <w:smallCaps w:val="0"/>
          <w:noProof w:val="0"/>
          <w:color w:val="222222"/>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Ratcliffe, J.H., Groff, E.R., Sorg, E.T. and Haberman, C. (2015) ‘Citizens reactions to hot spots policing: impact on perceptions of crime, disorder, safety and police’,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Journal of Experimental Criminology</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11(1), pp. 393-417. Available at: </w:t>
      </w:r>
      <w:hyperlink r:id="Reb17917e939b43a2">
        <w:r w:rsidRPr="55F13A90" w:rsidR="62AF3DE7">
          <w:rPr>
            <w:rStyle w:val="Hyperlink"/>
            <w:rFonts w:ascii="Arial" w:hAnsi="Arial" w:eastAsia="Arial" w:cs="Arial"/>
            <w:b w:val="0"/>
            <w:bCs w:val="0"/>
            <w:i w:val="0"/>
            <w:iCs w:val="0"/>
            <w:caps w:val="0"/>
            <w:smallCaps w:val="0"/>
            <w:strike w:val="0"/>
            <w:dstrike w:val="0"/>
            <w:noProof w:val="0"/>
            <w:sz w:val="24"/>
            <w:szCs w:val="24"/>
            <w:lang w:val="en-US"/>
          </w:rPr>
          <w:t>https://doi.org/10.1007/s11292-015-9230-2</w:t>
        </w:r>
      </w:hyperlink>
      <w:r w:rsidRPr="55F13A90" w:rsidR="62AF3DE7">
        <w:rPr>
          <w:rFonts w:ascii="Arial" w:hAnsi="Arial" w:eastAsia="Arial" w:cs="Arial"/>
          <w:b w:val="0"/>
          <w:bCs w:val="0"/>
          <w:i w:val="0"/>
          <w:iCs w:val="0"/>
          <w:caps w:val="0"/>
          <w:smallCaps w:val="0"/>
          <w:noProof w:val="0"/>
          <w:color w:val="222222"/>
          <w:sz w:val="24"/>
          <w:szCs w:val="24"/>
          <w:lang w:val="en-US"/>
        </w:rPr>
        <w:t xml:space="preserve"> </w:t>
      </w:r>
    </w:p>
    <w:p w:rsidR="62AF3DE7" w:rsidP="55F13A90" w:rsidRDefault="62AF3DE7" w14:paraId="066A00ED" w14:textId="370BB2D1">
      <w:pPr>
        <w:pStyle w:val="ListParagraph"/>
        <w:numPr>
          <w:ilvl w:val="0"/>
          <w:numId w:val="1"/>
        </w:numPr>
        <w:spacing w:line="240" w:lineRule="auto"/>
        <w:rPr>
          <w:rFonts w:ascii="Arial" w:hAnsi="Arial" w:eastAsia="Arial" w:cs="Arial"/>
          <w:b w:val="0"/>
          <w:bCs w:val="0"/>
          <w:i w:val="0"/>
          <w:iCs w:val="0"/>
          <w:caps w:val="0"/>
          <w:smallCaps w:val="0"/>
          <w:noProof w:val="0"/>
          <w:color w:val="222222"/>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Rose, N. (2000) ‘Government and Control’,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The British Journal of Criminology</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40(2), pp. 321-339. Available at:</w:t>
      </w:r>
      <w:r w:rsidRPr="55F13A90" w:rsidR="62AF3DE7">
        <w:rPr>
          <w:rFonts w:ascii="Arial" w:hAnsi="Arial" w:eastAsia="Arial" w:cs="Arial"/>
          <w:b w:val="0"/>
          <w:bCs w:val="0"/>
          <w:i w:val="0"/>
          <w:iCs w:val="0"/>
          <w:caps w:val="0"/>
          <w:smallCaps w:val="0"/>
          <w:noProof w:val="0"/>
          <w:color w:val="222222"/>
          <w:sz w:val="24"/>
          <w:szCs w:val="24"/>
          <w:lang w:val="en-US"/>
        </w:rPr>
        <w:t xml:space="preserve"> </w:t>
      </w:r>
      <w:hyperlink r:id="R1a7a79b6a22a470a">
        <w:r w:rsidRPr="55F13A90" w:rsidR="62AF3DE7">
          <w:rPr>
            <w:rStyle w:val="Hyperlink"/>
            <w:rFonts w:ascii="Arial" w:hAnsi="Arial" w:eastAsia="Arial" w:cs="Arial"/>
            <w:b w:val="0"/>
            <w:bCs w:val="0"/>
            <w:i w:val="0"/>
            <w:iCs w:val="0"/>
            <w:caps w:val="0"/>
            <w:smallCaps w:val="0"/>
            <w:strike w:val="0"/>
            <w:dstrike w:val="0"/>
            <w:noProof w:val="0"/>
            <w:sz w:val="24"/>
            <w:szCs w:val="24"/>
            <w:lang w:val="en-US"/>
          </w:rPr>
          <w:t>https://doi.org/10.1093/bjc/40.2.321</w:t>
        </w:r>
      </w:hyperlink>
      <w:r w:rsidRPr="55F13A90" w:rsidR="62AF3DE7">
        <w:rPr>
          <w:rFonts w:ascii="Arial" w:hAnsi="Arial" w:eastAsia="Arial" w:cs="Arial"/>
          <w:b w:val="0"/>
          <w:bCs w:val="0"/>
          <w:i w:val="0"/>
          <w:iCs w:val="0"/>
          <w:caps w:val="0"/>
          <w:smallCaps w:val="0"/>
          <w:noProof w:val="0"/>
          <w:color w:val="222222"/>
          <w:sz w:val="24"/>
          <w:szCs w:val="24"/>
          <w:lang w:val="en-US"/>
        </w:rPr>
        <w:t xml:space="preserve"> </w:t>
      </w:r>
    </w:p>
    <w:p w:rsidR="62AF3DE7" w:rsidP="55F13A90" w:rsidRDefault="62AF3DE7" w14:paraId="224224DD" w14:textId="7F33280A">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Torrible, C.N. (2022) ‘Trust in the police and policing by consent in turbulent times’,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Safer Communities</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21(3), pp. 171-183. Available at: </w:t>
      </w:r>
      <w:hyperlink r:id="R2ea27e0f87594a2e">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https://doi.org/10.1108/SC-08-2021-0036</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38D08C7D" w14:textId="16DC4A2B">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U.S Department of Justice (2000)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 xml:space="preserve">Public Involvement: Community Policing in Chicago. Available at: </w:t>
      </w:r>
      <w:hyperlink r:id="Rdc9c2e2802984f91">
        <w:r w:rsidRPr="55F13A90" w:rsidR="62AF3DE7">
          <w:rPr>
            <w:rStyle w:val="Hyperlink"/>
            <w:rFonts w:ascii="Aptos" w:hAnsi="Aptos" w:eastAsia="Aptos" w:cs="Aptos"/>
            <w:b w:val="0"/>
            <w:bCs w:val="0"/>
            <w:i w:val="0"/>
            <w:iCs w:val="0"/>
            <w:caps w:val="0"/>
            <w:smallCaps w:val="0"/>
            <w:strike w:val="0"/>
            <w:dstrike w:val="0"/>
            <w:noProof w:val="0"/>
            <w:sz w:val="24"/>
            <w:szCs w:val="24"/>
            <w:lang w:val="en-US"/>
          </w:rPr>
          <w:t>Public Involvement: Community Policing in Chicago (Research Report</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26 October 2024). </w:t>
      </w:r>
    </w:p>
    <w:p w:rsidR="62AF3DE7" w:rsidP="55F13A90" w:rsidRDefault="62AF3DE7" w14:paraId="777056B5" w14:textId="6BBF351D">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128CAA0" w:rsidR="04170AE4">
        <w:rPr>
          <w:rFonts w:ascii="Aptos" w:hAnsi="Aptos" w:eastAsia="Aptos" w:cs="Aptos"/>
          <w:b w:val="0"/>
          <w:bCs w:val="0"/>
          <w:i w:val="0"/>
          <w:iCs w:val="0"/>
          <w:caps w:val="0"/>
          <w:smallCaps w:val="0"/>
          <w:noProof w:val="0"/>
          <w:color w:val="000000" w:themeColor="text1" w:themeTint="FF" w:themeShade="FF"/>
          <w:sz w:val="24"/>
          <w:szCs w:val="24"/>
          <w:lang w:val="en-US"/>
        </w:rPr>
        <w:t xml:space="preserve">YouGov (2024) </w:t>
      </w:r>
      <w:r w:rsidRPr="3128CAA0" w:rsidR="04170AE4">
        <w:rPr>
          <w:rFonts w:ascii="Aptos" w:hAnsi="Aptos" w:eastAsia="Aptos" w:cs="Aptos"/>
          <w:b w:val="0"/>
          <w:bCs w:val="0"/>
          <w:i w:val="1"/>
          <w:iCs w:val="1"/>
          <w:caps w:val="0"/>
          <w:smallCaps w:val="0"/>
          <w:noProof w:val="0"/>
          <w:color w:val="000000" w:themeColor="text1" w:themeTint="FF" w:themeShade="FF"/>
          <w:sz w:val="24"/>
          <w:szCs w:val="24"/>
          <w:lang w:val="en-US"/>
        </w:rPr>
        <w:t>How do Britons feel the 2024 riots were handled?</w:t>
      </w:r>
      <w:r w:rsidRPr="3128CAA0" w:rsidR="04170AE4">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c3416497d45047b2">
        <w:r w:rsidRPr="3128CAA0" w:rsidR="04170AE4">
          <w:rPr>
            <w:rStyle w:val="Hyperlink"/>
            <w:rFonts w:ascii="Aptos" w:hAnsi="Aptos" w:eastAsia="Aptos" w:cs="Aptos"/>
            <w:b w:val="0"/>
            <w:bCs w:val="0"/>
            <w:i w:val="0"/>
            <w:iCs w:val="0"/>
            <w:caps w:val="0"/>
            <w:smallCaps w:val="0"/>
            <w:strike w:val="0"/>
            <w:dstrike w:val="0"/>
            <w:noProof w:val="0"/>
            <w:sz w:val="24"/>
            <w:szCs w:val="24"/>
            <w:lang w:val="en-US"/>
          </w:rPr>
          <w:t>https://yougov.co.uk/politics/articles/50375-how-do-britons-feel-the-2024-riots-were-handled</w:t>
        </w:r>
      </w:hyperlink>
      <w:r w:rsidRPr="3128CAA0" w:rsidR="04170AE4">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6 October 2024). </w:t>
      </w:r>
    </w:p>
    <w:p w:rsidR="55F13A90" w:rsidP="55F13A90" w:rsidRDefault="55F13A90" w14:paraId="35078A92" w14:textId="25A69771">
      <w:pPr>
        <w:spacing w:line="240" w:lineRule="auto"/>
        <w:ind w:left="1080"/>
        <w:rPr>
          <w:rFonts w:ascii="Aptos" w:hAnsi="Aptos" w:eastAsia="Aptos" w:cs="Aptos"/>
          <w:b w:val="0"/>
          <w:bCs w:val="0"/>
          <w:i w:val="0"/>
          <w:iCs w:val="0"/>
          <w:caps w:val="0"/>
          <w:smallCaps w:val="0"/>
          <w:noProof w:val="0"/>
          <w:color w:val="000000" w:themeColor="text1" w:themeTint="FF" w:themeShade="FF"/>
          <w:sz w:val="24"/>
          <w:szCs w:val="24"/>
          <w:lang w:val="en-US"/>
        </w:rPr>
      </w:pPr>
    </w:p>
    <w:p w:rsidR="55F13A90" w:rsidP="55F13A90" w:rsidRDefault="55F13A90" w14:paraId="5501416C" w14:textId="1DC3D30C">
      <w:p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5F13A90" w:rsidRDefault="55F13A90" w14:paraId="706EB72B" w14:textId="12BF3120"/>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XYVduTDe" int2:invalidationBookmarkName="" int2:hashCode="S+CoU/QtZ3aNSd" int2:id="AlMx2ZnU">
      <int2:state int2:type="AugLoop_Text_Critique" int2:value="Rejected"/>
    </int2:bookmark>
    <int2:bookmark int2:bookmarkName="_Int_Ox9TWCL8" int2:invalidationBookmarkName="" int2:hashCode="43K/JlIt1QZTyM" int2:id="oj0wvPg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8a539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FA1284"/>
    <w:rsid w:val="00398172"/>
    <w:rsid w:val="004B8AF8"/>
    <w:rsid w:val="00C39FB3"/>
    <w:rsid w:val="0185FB16"/>
    <w:rsid w:val="0295F331"/>
    <w:rsid w:val="0345A4BD"/>
    <w:rsid w:val="037635E4"/>
    <w:rsid w:val="03AAC0FA"/>
    <w:rsid w:val="03AC41FE"/>
    <w:rsid w:val="04170AE4"/>
    <w:rsid w:val="04952FB7"/>
    <w:rsid w:val="04CC9FB3"/>
    <w:rsid w:val="06543CDD"/>
    <w:rsid w:val="06B8C54B"/>
    <w:rsid w:val="0772CF90"/>
    <w:rsid w:val="0895745F"/>
    <w:rsid w:val="0953F172"/>
    <w:rsid w:val="0955F5D0"/>
    <w:rsid w:val="0975A4A7"/>
    <w:rsid w:val="0A532DE9"/>
    <w:rsid w:val="0B2B34EE"/>
    <w:rsid w:val="0C6CE3C1"/>
    <w:rsid w:val="0D249DC8"/>
    <w:rsid w:val="0D69EC13"/>
    <w:rsid w:val="0DDCAE82"/>
    <w:rsid w:val="0E2BB182"/>
    <w:rsid w:val="0E42C875"/>
    <w:rsid w:val="0E9DC0AA"/>
    <w:rsid w:val="0EE4C85C"/>
    <w:rsid w:val="0F07DB77"/>
    <w:rsid w:val="0FDF261C"/>
    <w:rsid w:val="0FEA3CF5"/>
    <w:rsid w:val="10086874"/>
    <w:rsid w:val="103D6470"/>
    <w:rsid w:val="10AF7D91"/>
    <w:rsid w:val="10F889B9"/>
    <w:rsid w:val="1108A0B6"/>
    <w:rsid w:val="1111501D"/>
    <w:rsid w:val="1163F6F1"/>
    <w:rsid w:val="1184BFF9"/>
    <w:rsid w:val="1232470A"/>
    <w:rsid w:val="12F69FEB"/>
    <w:rsid w:val="1306E443"/>
    <w:rsid w:val="139DB61F"/>
    <w:rsid w:val="1537045B"/>
    <w:rsid w:val="15B61179"/>
    <w:rsid w:val="173B1EB1"/>
    <w:rsid w:val="17F1EBB1"/>
    <w:rsid w:val="1982A5C6"/>
    <w:rsid w:val="1A43DD21"/>
    <w:rsid w:val="1AACFC50"/>
    <w:rsid w:val="1B0AAEE7"/>
    <w:rsid w:val="1B1EA5C3"/>
    <w:rsid w:val="1B2007CD"/>
    <w:rsid w:val="1BB0CC49"/>
    <w:rsid w:val="1BB43A5D"/>
    <w:rsid w:val="1C18E506"/>
    <w:rsid w:val="1C54F920"/>
    <w:rsid w:val="1D0D9489"/>
    <w:rsid w:val="1D2A02FF"/>
    <w:rsid w:val="1D531470"/>
    <w:rsid w:val="1D9A1CF5"/>
    <w:rsid w:val="1DDE71C5"/>
    <w:rsid w:val="1E5518CC"/>
    <w:rsid w:val="1E8DDFDD"/>
    <w:rsid w:val="1F37FB4B"/>
    <w:rsid w:val="1FE23DA6"/>
    <w:rsid w:val="20C5F5C5"/>
    <w:rsid w:val="20D38536"/>
    <w:rsid w:val="20D51F4A"/>
    <w:rsid w:val="217C4E01"/>
    <w:rsid w:val="218E591F"/>
    <w:rsid w:val="2250CB5C"/>
    <w:rsid w:val="22789909"/>
    <w:rsid w:val="22D17102"/>
    <w:rsid w:val="231D0A5C"/>
    <w:rsid w:val="2328D8FD"/>
    <w:rsid w:val="240325D4"/>
    <w:rsid w:val="247E3619"/>
    <w:rsid w:val="255823CD"/>
    <w:rsid w:val="25D6784E"/>
    <w:rsid w:val="263ABD39"/>
    <w:rsid w:val="26C78FA4"/>
    <w:rsid w:val="27D6C16E"/>
    <w:rsid w:val="27E88551"/>
    <w:rsid w:val="28997301"/>
    <w:rsid w:val="297A7B79"/>
    <w:rsid w:val="29E3D05C"/>
    <w:rsid w:val="29E54F17"/>
    <w:rsid w:val="2A044B8C"/>
    <w:rsid w:val="2B72A740"/>
    <w:rsid w:val="2C2A4FAB"/>
    <w:rsid w:val="2CC6394D"/>
    <w:rsid w:val="2D75F395"/>
    <w:rsid w:val="2E7FB90E"/>
    <w:rsid w:val="2F39632E"/>
    <w:rsid w:val="2FA1CDF0"/>
    <w:rsid w:val="30CA23E1"/>
    <w:rsid w:val="30E4EE5F"/>
    <w:rsid w:val="3128CAA0"/>
    <w:rsid w:val="315F49B4"/>
    <w:rsid w:val="31B6D32C"/>
    <w:rsid w:val="3278344A"/>
    <w:rsid w:val="32812E5D"/>
    <w:rsid w:val="3288B492"/>
    <w:rsid w:val="32AB201D"/>
    <w:rsid w:val="33524724"/>
    <w:rsid w:val="33E4F251"/>
    <w:rsid w:val="34045708"/>
    <w:rsid w:val="3474D58B"/>
    <w:rsid w:val="348D4F92"/>
    <w:rsid w:val="352A8923"/>
    <w:rsid w:val="35A6FDD1"/>
    <w:rsid w:val="35F413A4"/>
    <w:rsid w:val="3626DC01"/>
    <w:rsid w:val="3644F8AD"/>
    <w:rsid w:val="365F5DF6"/>
    <w:rsid w:val="36A2A30F"/>
    <w:rsid w:val="371CE880"/>
    <w:rsid w:val="3723A042"/>
    <w:rsid w:val="37E98B3A"/>
    <w:rsid w:val="380B7089"/>
    <w:rsid w:val="381CD0F6"/>
    <w:rsid w:val="38F65144"/>
    <w:rsid w:val="3B85ADB6"/>
    <w:rsid w:val="3D292FAB"/>
    <w:rsid w:val="3D46C668"/>
    <w:rsid w:val="3D5816B7"/>
    <w:rsid w:val="3E907771"/>
    <w:rsid w:val="3EF69DEB"/>
    <w:rsid w:val="3F21613E"/>
    <w:rsid w:val="409A64FA"/>
    <w:rsid w:val="409C9697"/>
    <w:rsid w:val="41C4FCAE"/>
    <w:rsid w:val="41CC013C"/>
    <w:rsid w:val="422C2019"/>
    <w:rsid w:val="42BAB31E"/>
    <w:rsid w:val="4469C5BE"/>
    <w:rsid w:val="44AF6074"/>
    <w:rsid w:val="450AF019"/>
    <w:rsid w:val="45E767B5"/>
    <w:rsid w:val="46037C45"/>
    <w:rsid w:val="4613DEE3"/>
    <w:rsid w:val="4753D08D"/>
    <w:rsid w:val="4782A995"/>
    <w:rsid w:val="484D6C74"/>
    <w:rsid w:val="486E05D8"/>
    <w:rsid w:val="48E23A6D"/>
    <w:rsid w:val="49530F9D"/>
    <w:rsid w:val="49667A82"/>
    <w:rsid w:val="4982557F"/>
    <w:rsid w:val="49DCFDD4"/>
    <w:rsid w:val="49E0FB82"/>
    <w:rsid w:val="4A614BC5"/>
    <w:rsid w:val="4B278F40"/>
    <w:rsid w:val="4BE42CD0"/>
    <w:rsid w:val="4BEBBCF8"/>
    <w:rsid w:val="4C9EE5B8"/>
    <w:rsid w:val="4CFBB59E"/>
    <w:rsid w:val="4F31D8DD"/>
    <w:rsid w:val="5098899D"/>
    <w:rsid w:val="513DC2AB"/>
    <w:rsid w:val="52CBE8AB"/>
    <w:rsid w:val="52DB8437"/>
    <w:rsid w:val="53333758"/>
    <w:rsid w:val="5338215A"/>
    <w:rsid w:val="53463D7C"/>
    <w:rsid w:val="53CB6FE6"/>
    <w:rsid w:val="5428F58E"/>
    <w:rsid w:val="543CDB67"/>
    <w:rsid w:val="545937F5"/>
    <w:rsid w:val="54BAF675"/>
    <w:rsid w:val="54F8109E"/>
    <w:rsid w:val="5518BBCC"/>
    <w:rsid w:val="55E53211"/>
    <w:rsid w:val="55F13A90"/>
    <w:rsid w:val="5640C069"/>
    <w:rsid w:val="56D880DA"/>
    <w:rsid w:val="56FBE78E"/>
    <w:rsid w:val="57C18BCF"/>
    <w:rsid w:val="58B43FB4"/>
    <w:rsid w:val="5902C48A"/>
    <w:rsid w:val="596A2054"/>
    <w:rsid w:val="5A0427E3"/>
    <w:rsid w:val="5A2BB028"/>
    <w:rsid w:val="5AC53740"/>
    <w:rsid w:val="5AF2ABA2"/>
    <w:rsid w:val="5B997BA5"/>
    <w:rsid w:val="5BA71634"/>
    <w:rsid w:val="5C17163B"/>
    <w:rsid w:val="5CDB73E4"/>
    <w:rsid w:val="5D0EE146"/>
    <w:rsid w:val="5D22EE0B"/>
    <w:rsid w:val="5E292E06"/>
    <w:rsid w:val="5EAAEA21"/>
    <w:rsid w:val="5EC68948"/>
    <w:rsid w:val="5EF25859"/>
    <w:rsid w:val="5FAF1E16"/>
    <w:rsid w:val="5FB56DC9"/>
    <w:rsid w:val="601976CE"/>
    <w:rsid w:val="6028BA1F"/>
    <w:rsid w:val="6085BB2E"/>
    <w:rsid w:val="60CC80A6"/>
    <w:rsid w:val="6165F35F"/>
    <w:rsid w:val="61AF7896"/>
    <w:rsid w:val="61BEC202"/>
    <w:rsid w:val="61CF18E6"/>
    <w:rsid w:val="61D0386D"/>
    <w:rsid w:val="62AF3DE7"/>
    <w:rsid w:val="6367425E"/>
    <w:rsid w:val="639F928F"/>
    <w:rsid w:val="654F10FF"/>
    <w:rsid w:val="658B8007"/>
    <w:rsid w:val="664643EC"/>
    <w:rsid w:val="6651BF44"/>
    <w:rsid w:val="669C3F88"/>
    <w:rsid w:val="66B0E1CB"/>
    <w:rsid w:val="66C9AB5A"/>
    <w:rsid w:val="670A24D0"/>
    <w:rsid w:val="67124E59"/>
    <w:rsid w:val="67259589"/>
    <w:rsid w:val="67515E68"/>
    <w:rsid w:val="6765E14C"/>
    <w:rsid w:val="67A613A2"/>
    <w:rsid w:val="67E35942"/>
    <w:rsid w:val="67FAC375"/>
    <w:rsid w:val="687BA470"/>
    <w:rsid w:val="690F3B46"/>
    <w:rsid w:val="697EE0FF"/>
    <w:rsid w:val="6B42FB14"/>
    <w:rsid w:val="6BBE7DCF"/>
    <w:rsid w:val="6CC6627A"/>
    <w:rsid w:val="6CDE0017"/>
    <w:rsid w:val="6D1A33B3"/>
    <w:rsid w:val="6D5CA4CB"/>
    <w:rsid w:val="6D6316FC"/>
    <w:rsid w:val="6D854D1F"/>
    <w:rsid w:val="6D86A57D"/>
    <w:rsid w:val="6E573AB1"/>
    <w:rsid w:val="6E7FE63C"/>
    <w:rsid w:val="6E8D7582"/>
    <w:rsid w:val="6EE80A76"/>
    <w:rsid w:val="6FE1E6DB"/>
    <w:rsid w:val="6FE58D53"/>
    <w:rsid w:val="6FF5B0C5"/>
    <w:rsid w:val="704E6625"/>
    <w:rsid w:val="70567C64"/>
    <w:rsid w:val="7097BEF2"/>
    <w:rsid w:val="70E6FD46"/>
    <w:rsid w:val="7109E83D"/>
    <w:rsid w:val="71600289"/>
    <w:rsid w:val="71F3F907"/>
    <w:rsid w:val="72FE4170"/>
    <w:rsid w:val="7374D737"/>
    <w:rsid w:val="7395942B"/>
    <w:rsid w:val="73E4E6B6"/>
    <w:rsid w:val="73F12E31"/>
    <w:rsid w:val="7496DA05"/>
    <w:rsid w:val="758CB74C"/>
    <w:rsid w:val="75933101"/>
    <w:rsid w:val="75D74347"/>
    <w:rsid w:val="75F0FAD5"/>
    <w:rsid w:val="75F6C5D4"/>
    <w:rsid w:val="76CF2E4B"/>
    <w:rsid w:val="76F4ED45"/>
    <w:rsid w:val="77234624"/>
    <w:rsid w:val="7730893B"/>
    <w:rsid w:val="775EC5CE"/>
    <w:rsid w:val="786B11CD"/>
    <w:rsid w:val="78898447"/>
    <w:rsid w:val="790B5834"/>
    <w:rsid w:val="791A9666"/>
    <w:rsid w:val="79554C48"/>
    <w:rsid w:val="7BFD07BA"/>
    <w:rsid w:val="7C0EABD1"/>
    <w:rsid w:val="7C4F443C"/>
    <w:rsid w:val="7C584A9E"/>
    <w:rsid w:val="7C70A917"/>
    <w:rsid w:val="7CB1586B"/>
    <w:rsid w:val="7CDCC919"/>
    <w:rsid w:val="7D84165A"/>
    <w:rsid w:val="7DCF0AF2"/>
    <w:rsid w:val="7DFE6BA3"/>
    <w:rsid w:val="7EBDD46A"/>
    <w:rsid w:val="7EF2192B"/>
    <w:rsid w:val="7EFA1284"/>
    <w:rsid w:val="7F13706D"/>
    <w:rsid w:val="7F330907"/>
    <w:rsid w:val="7F5E83C7"/>
    <w:rsid w:val="7F7A7DD1"/>
    <w:rsid w:val="7FB7F5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A1284"/>
  <w15:chartTrackingRefBased/>
  <w15:docId w15:val="{16F9D1D8-E957-4270-9A81-E2AD0F49DB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cience.org/doi/10.1126/science.abd3446" TargetMode="External" Id="R4f9193615be247e1" /><Relationship Type="http://schemas.openxmlformats.org/officeDocument/2006/relationships/hyperlink" Target="https://scholarlycommons.law.northwestern.edu/cgi/viewcontent.cgi?httpsredir=1&amp;article=7419&amp;context=jclc" TargetMode="External" Id="R04337ed421844519" /><Relationship Type="http://schemas.openxmlformats.org/officeDocument/2006/relationships/hyperlink" Target="http://www.jstor.org/stable/29768062" TargetMode="External" Id="R8aa92634e5a34fa3" /><Relationship Type="http://schemas.openxmlformats.org/officeDocument/2006/relationships/hyperlink" Target="https://doi.org/10.1111/1745-9125.12004" TargetMode="External" Id="Rf1a1cb5b1a1046de" /><Relationship Type="http://schemas.openxmlformats.org/officeDocument/2006/relationships/hyperlink" Target="https://www.college.police.uk/article/chief-constable-condemns-southport-violence" TargetMode="External" Id="Rbdbb66985b5d4d5e" /><Relationship Type="http://schemas.openxmlformats.org/officeDocument/2006/relationships/hyperlink" Target="https://doi.org/10.1177/1748895815599580" TargetMode="External" Id="R835cf33ea27543b6" /><Relationship Type="http://schemas.openxmlformats.org/officeDocument/2006/relationships/hyperlink" Target="https://nij.ojp.gov/library/publications/community-policing-elements-and-effects" TargetMode="External" Id="R5c1415c0d2f1488b" /><Relationship Type="http://schemas.openxmlformats.org/officeDocument/2006/relationships/hyperlink" Target="https://commonslibrary.parliament.uk/research-briefings/cbp-8898/" TargetMode="External" Id="R39d846c17a084567" /><Relationship Type="http://schemas.openxmlformats.org/officeDocument/2006/relationships/hyperlink" Target="https://doi.org/10.1093/cdj/bss056" TargetMode="External" Id="Rc5078ec988354d92" /><Relationship Type="http://schemas.openxmlformats.org/officeDocument/2006/relationships/hyperlink" Target="https://doi.org/10.1093/oso/9780198264767.003.0003" TargetMode="External" Id="Rdeb5e9b78d394509" /><Relationship Type="http://schemas.openxmlformats.org/officeDocument/2006/relationships/hyperlink" Target="http://dx.doi.org/10.35502/jcswb.244" TargetMode="External" Id="R2f9f5dc9492f46aa" /><Relationship Type="http://schemas.openxmlformats.org/officeDocument/2006/relationships/hyperlink" Target="https://doi.org/10.1007/s11292-014-9210-y" TargetMode="External" Id="Rcda821940fdd45f9" /><Relationship Type="http://schemas.openxmlformats.org/officeDocument/2006/relationships/hyperlink" Target="https://lordslibrary.parliament.uk/police-standards-and-culture-restoring-public-trust/" TargetMode="External" Id="Rb4aaaeca18ad40db" /><Relationship Type="http://schemas.openxmlformats.org/officeDocument/2006/relationships/hyperlink" Target="https://assets-hmicfrs.justiceinspectorates.gov.uk/uploads/policing-in-the-pandemic-police-response-to-coronavirus-pandemic-during-2020.pdf" TargetMode="External" Id="Rf2e23ed16d894e4a" /><Relationship Type="http://schemas.openxmlformats.org/officeDocument/2006/relationships/hyperlink" Target="https://commonslibrary.parliament.uk/policing-response-to-the-2024-summer-riots/" TargetMode="External" Id="R4125643b34b74ee3" /><Relationship Type="http://schemas.openxmlformats.org/officeDocument/2006/relationships/hyperlink" Target="https://commonslibrary.parliament.uk/research-briefings/sn06099/" TargetMode="External" Id="R2a77dcc77f764744" /><Relationship Type="http://schemas.openxmlformats.org/officeDocument/2006/relationships/hyperlink" Target="https://doi.org/10.1093/ehr/LXX.CCLXXVI.411" TargetMode="External" Id="Rd0c2e0cb8e0d4f80" /><Relationship Type="http://schemas.openxmlformats.org/officeDocument/2006/relationships/hyperlink" Target="https://ssrn.com/abstract=2168702" TargetMode="External" Id="R83f9d479cb684627" /><Relationship Type="http://schemas.openxmlformats.org/officeDocument/2006/relationships/hyperlink" Target="https://doi.org/10.1111/j.1468-4446.2009.01253.x" TargetMode="External" Id="R91bb27f5a03d4e36" /><Relationship Type="http://schemas.openxmlformats.org/officeDocument/2006/relationships/hyperlink" Target="https://doi.org/10.1093/police/paq020" TargetMode="External" Id="R5bfe17c65f1e4d2c" /><Relationship Type="http://schemas.openxmlformats.org/officeDocument/2006/relationships/hyperlink" Target="https://doi.org/10.3389/fpubh.2023.1156240" TargetMode="External" Id="Rc577f45f48ae48da" /><Relationship Type="http://schemas.openxmlformats.org/officeDocument/2006/relationships/hyperlink" Target="https://journals.sagepub.com/doi/full/10.1177/00220183221101957" TargetMode="External" Id="R88a1e0c66b2e43d8" /><Relationship Type="http://schemas.openxmlformats.org/officeDocument/2006/relationships/hyperlink" Target="https://doi.org/10.1016/j.jcrimjus.2006.11.016" TargetMode="External" Id="Re28a579d4ae84f62" /><Relationship Type="http://schemas.openxmlformats.org/officeDocument/2006/relationships/hyperlink" Target="https://news.npcc.police.uk/releases/acpo-comment-on-public-perceptions-of-policing-findings-from-201112-crime-survey-for-england-and-wales-csew" TargetMode="External" Id="Rcbf787ef60ab4fe3" /><Relationship Type="http://schemas.openxmlformats.org/officeDocument/2006/relationships/hyperlink" Target="https://www.ons.gov.uk/employmentandlabourmarket/peopleinwork/employmentandemployeetypes/bulletins/employmentintheuk/october2020" TargetMode="External" Id="R68331d62051a4d1d" /><Relationship Type="http://schemas.openxmlformats.org/officeDocument/2006/relationships/hyperlink" Target="https://www.npcc.police.uk/SysSiteAssets/media/downloads/our-work/race-action-plan/police-race-action-plan-progress-report.pdf" TargetMode="External" Id="Rdfdc3a9ed7dc46c7" /><Relationship Type="http://schemas.openxmlformats.org/officeDocument/2006/relationships/hyperlink" Target="https://doi.org/10.1007/s11292-015-9230-2" TargetMode="External" Id="Reb17917e939b43a2" /><Relationship Type="http://schemas.openxmlformats.org/officeDocument/2006/relationships/hyperlink" Target="https://doi.org/10.1093/bjc/40.2.321" TargetMode="External" Id="R1a7a79b6a22a470a" /><Relationship Type="http://schemas.openxmlformats.org/officeDocument/2006/relationships/hyperlink" Target="https://doi.org/10.1108/SC-08-2021-0036" TargetMode="External" Id="R2ea27e0f87594a2e" /><Relationship Type="http://schemas.openxmlformats.org/officeDocument/2006/relationships/hyperlink" Target="https://www.ojp.gov/pdffiles1/nij/179557.pdf" TargetMode="External" Id="Rdc9c2e2802984f91" /><Relationship Type="http://schemas.openxmlformats.org/officeDocument/2006/relationships/numbering" Target="numbering.xml" Id="Ref1964de321f4271" /><Relationship Type="http://schemas.openxmlformats.org/officeDocument/2006/relationships/hyperlink" Target="https://news.npcc.police.uk/releases/arrests-and-charges-related-to-violent-disorder-continue" TargetMode="External" Id="R35cebfe2171743fd" /><Relationship Type="http://schemas.openxmlformats.org/officeDocument/2006/relationships/hyperlink" Target="https://doi.org/10.35844/001c.57526" TargetMode="External" Id="R234f9b27b42d4d42" /><Relationship Type="http://schemas.openxmlformats.org/officeDocument/2006/relationships/hyperlink" Target="https://www.gov.uk/government/publications/public-perceptions-of-policing-a-review-of-research-and-literature/public-perceptions-of-policing-a-review-of-research-and-literature" TargetMode="External" Id="Rcc83a71623894383" /><Relationship Type="http://schemas.microsoft.com/office/2020/10/relationships/intelligence" Target="intelligence2.xml" Id="R9b9f278a4f914c88" /><Relationship Type="http://schemas.openxmlformats.org/officeDocument/2006/relationships/hyperlink" Target="https://yougov.co.uk/politics/articles/50375-how-do-britons-feel-the-2024-riots-were-handled" TargetMode="External" Id="Rc3416497d45047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2024-10-28T22:19:28.6747948Z</dcterms:created>
  <dcterms:modified xsi:type="dcterms:W3CDTF">2024-11-06T13:43:06.6394533Z</dcterms:modified>
  <dc:creator>Ifaz Faruki (2305668)</dc:creator>
  <lastModifiedBy>Ifaz Faruki (2305668)</lastModifiedBy>
</coreProperties>
</file>