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25A70" w14:textId="5DA8B6BA" w:rsidR="00EE740D" w:rsidRDefault="00EE740D">
      <w:r w:rsidRPr="00074402">
        <w:rPr>
          <w:rFonts w:ascii="Arial" w:hAnsi="Arial" w:cs="Arial"/>
          <w:noProof/>
        </w:rPr>
        <w:drawing>
          <wp:anchor distT="0" distB="0" distL="114300" distR="114300" simplePos="0" relativeHeight="251659264" behindDoc="0" locked="0" layoutInCell="1" allowOverlap="1" wp14:anchorId="55C7014F" wp14:editId="230EB5B6">
            <wp:simplePos x="0" y="0"/>
            <wp:positionH relativeFrom="column">
              <wp:posOffset>-605155</wp:posOffset>
            </wp:positionH>
            <wp:positionV relativeFrom="paragraph">
              <wp:posOffset>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V relativeFrom="margin">
              <wp14:pctHeight>0</wp14:pctHeight>
            </wp14:sizeRelV>
          </wp:anchor>
        </w:drawing>
      </w:r>
    </w:p>
    <w:p w14:paraId="59BFD1DB" w14:textId="77777777" w:rsidR="00EE740D" w:rsidRDefault="00EE740D"/>
    <w:p w14:paraId="4986C9FD" w14:textId="77777777" w:rsidR="00EE740D" w:rsidRDefault="00EE740D"/>
    <w:p w14:paraId="0DD24C3C" w14:textId="77777777" w:rsidR="00504650" w:rsidRPr="007E00B9" w:rsidRDefault="00504650" w:rsidP="00504650">
      <w:pPr>
        <w:rPr>
          <w:color w:val="000000" w:themeColor="text1"/>
          <w:sz w:val="32"/>
          <w:szCs w:val="32"/>
        </w:rPr>
      </w:pPr>
      <w:bookmarkStart w:id="0" w:name="_Hlk119323191"/>
      <w:r w:rsidRPr="0085283A">
        <w:rPr>
          <w:b/>
          <w:bCs/>
          <w:color w:val="000000" w:themeColor="text1"/>
          <w:sz w:val="32"/>
          <w:szCs w:val="32"/>
        </w:rPr>
        <w:t xml:space="preserve">Student name: </w:t>
      </w:r>
      <w:r w:rsidRPr="007E00B9">
        <w:rPr>
          <w:color w:val="000000" w:themeColor="text1"/>
          <w:sz w:val="32"/>
          <w:szCs w:val="32"/>
        </w:rPr>
        <w:t xml:space="preserve">Neha Qayyum </w:t>
      </w:r>
    </w:p>
    <w:p w14:paraId="57C35C7B" w14:textId="77777777" w:rsidR="00504650" w:rsidRPr="00504650" w:rsidRDefault="00504650" w:rsidP="00504650">
      <w:pPr>
        <w:rPr>
          <w:color w:val="000000" w:themeColor="text1"/>
          <w:sz w:val="32"/>
          <w:szCs w:val="32"/>
        </w:rPr>
      </w:pPr>
      <w:r w:rsidRPr="00504650">
        <w:rPr>
          <w:b/>
          <w:bCs/>
          <w:color w:val="000000" w:themeColor="text1"/>
          <w:sz w:val="32"/>
          <w:szCs w:val="32"/>
        </w:rPr>
        <w:t>Student ID:</w:t>
      </w:r>
      <w:r w:rsidRPr="00504650">
        <w:rPr>
          <w:color w:val="000000" w:themeColor="text1"/>
          <w:sz w:val="32"/>
          <w:szCs w:val="32"/>
        </w:rPr>
        <w:t>2532177</w:t>
      </w:r>
    </w:p>
    <w:p w14:paraId="7CBFCDD8" w14:textId="77777777" w:rsidR="00504650" w:rsidRPr="00504650" w:rsidRDefault="00504650" w:rsidP="00504650">
      <w:pPr>
        <w:rPr>
          <w:b/>
          <w:bCs/>
          <w:color w:val="000000" w:themeColor="text1"/>
          <w:sz w:val="32"/>
          <w:szCs w:val="32"/>
        </w:rPr>
      </w:pPr>
    </w:p>
    <w:p w14:paraId="5F4C3542" w14:textId="75F46CC1" w:rsidR="0025634D" w:rsidRPr="0025634D" w:rsidRDefault="00504650" w:rsidP="0025634D">
      <w:pPr>
        <w:rPr>
          <w:b/>
          <w:bCs/>
          <w:color w:val="000000" w:themeColor="text1"/>
          <w:sz w:val="32"/>
          <w:szCs w:val="32"/>
        </w:rPr>
      </w:pPr>
      <w:r w:rsidRPr="00504650">
        <w:rPr>
          <w:b/>
          <w:bCs/>
          <w:color w:val="000000" w:themeColor="text1"/>
          <w:sz w:val="32"/>
          <w:szCs w:val="32"/>
        </w:rPr>
        <w:t>Module name</w:t>
      </w:r>
      <w:r w:rsidR="0025634D" w:rsidRPr="0025634D">
        <w:rPr>
          <w:color w:val="000000" w:themeColor="text1"/>
          <w:sz w:val="32"/>
          <w:szCs w:val="32"/>
        </w:rPr>
        <w:t>:</w:t>
      </w:r>
      <w:r w:rsidR="0025634D" w:rsidRPr="0025634D">
        <w:rPr>
          <w:rFonts w:ascii="Segoe UI" w:eastAsia="Times New Roman" w:hAnsi="Segoe UI" w:cs="Segoe UI"/>
          <w:color w:val="FFFFFF"/>
          <w:kern w:val="36"/>
          <w:sz w:val="48"/>
          <w:szCs w:val="48"/>
          <w:lang w:eastAsia="en-GB"/>
          <w14:ligatures w14:val="none"/>
        </w:rPr>
        <w:t xml:space="preserve"> </w:t>
      </w:r>
      <w:r w:rsidR="0025634D" w:rsidRPr="0025634D">
        <w:rPr>
          <w:color w:val="000000" w:themeColor="text1"/>
          <w:sz w:val="32"/>
          <w:szCs w:val="32"/>
        </w:rPr>
        <w:t>Introduction to Public Health</w:t>
      </w:r>
      <w:r w:rsidR="0025634D" w:rsidRPr="0025634D">
        <w:rPr>
          <w:b/>
          <w:bCs/>
          <w:color w:val="000000" w:themeColor="text1"/>
          <w:sz w:val="32"/>
          <w:szCs w:val="32"/>
        </w:rPr>
        <w:t> </w:t>
      </w:r>
    </w:p>
    <w:p w14:paraId="6548DEA3" w14:textId="09A40F87" w:rsidR="00504650" w:rsidRPr="0025634D" w:rsidRDefault="00504650" w:rsidP="00504650">
      <w:pPr>
        <w:rPr>
          <w:color w:val="000000" w:themeColor="text1"/>
          <w:sz w:val="32"/>
          <w:szCs w:val="32"/>
        </w:rPr>
      </w:pPr>
    </w:p>
    <w:p w14:paraId="37920721" w14:textId="77777777" w:rsidR="00504650" w:rsidRPr="00504650" w:rsidRDefault="00504650" w:rsidP="00504650">
      <w:pPr>
        <w:rPr>
          <w:b/>
          <w:bCs/>
          <w:color w:val="000000" w:themeColor="text1"/>
          <w:sz w:val="32"/>
          <w:szCs w:val="32"/>
        </w:rPr>
      </w:pPr>
    </w:p>
    <w:p w14:paraId="7C17E8A6" w14:textId="18BB7725" w:rsidR="0025634D" w:rsidRPr="0025634D" w:rsidRDefault="00504650" w:rsidP="0025634D">
      <w:pPr>
        <w:rPr>
          <w:b/>
          <w:bCs/>
          <w:color w:val="000000" w:themeColor="text1"/>
          <w:sz w:val="32"/>
          <w:szCs w:val="32"/>
        </w:rPr>
      </w:pPr>
      <w:r w:rsidRPr="0085283A">
        <w:rPr>
          <w:b/>
          <w:bCs/>
          <w:color w:val="000000" w:themeColor="text1"/>
          <w:sz w:val="32"/>
          <w:szCs w:val="32"/>
        </w:rPr>
        <w:t>Module code</w:t>
      </w:r>
      <w:r w:rsidR="0025634D" w:rsidRPr="0025634D">
        <w:rPr>
          <w:color w:val="000000" w:themeColor="text1"/>
          <w:sz w:val="32"/>
          <w:szCs w:val="32"/>
        </w:rPr>
        <w:t>: LCHS4008</w:t>
      </w:r>
    </w:p>
    <w:p w14:paraId="5652C82F" w14:textId="3C452669" w:rsidR="0025634D" w:rsidRPr="0085283A" w:rsidRDefault="0025634D" w:rsidP="00504650">
      <w:pPr>
        <w:rPr>
          <w:b/>
          <w:bCs/>
          <w:color w:val="000000" w:themeColor="text1"/>
          <w:sz w:val="32"/>
          <w:szCs w:val="32"/>
        </w:rPr>
      </w:pPr>
    </w:p>
    <w:p w14:paraId="3E94F4D1" w14:textId="77777777" w:rsidR="00504650" w:rsidRPr="0085283A" w:rsidRDefault="00504650" w:rsidP="00504650">
      <w:pPr>
        <w:rPr>
          <w:b/>
          <w:bCs/>
          <w:color w:val="000000" w:themeColor="text1"/>
          <w:sz w:val="32"/>
          <w:szCs w:val="32"/>
        </w:rPr>
      </w:pPr>
    </w:p>
    <w:p w14:paraId="7380D382" w14:textId="2275B55D" w:rsidR="00504650" w:rsidRDefault="00504650" w:rsidP="00504650">
      <w:pPr>
        <w:rPr>
          <w:color w:val="000000" w:themeColor="text1"/>
          <w:sz w:val="32"/>
          <w:szCs w:val="32"/>
        </w:rPr>
      </w:pPr>
      <w:r w:rsidRPr="0085283A">
        <w:rPr>
          <w:b/>
          <w:bCs/>
          <w:color w:val="000000" w:themeColor="text1"/>
          <w:sz w:val="32"/>
          <w:szCs w:val="32"/>
        </w:rPr>
        <w:t xml:space="preserve">Lecturer </w:t>
      </w:r>
      <w:bookmarkEnd w:id="0"/>
      <w:r w:rsidR="0025634D" w:rsidRPr="0085283A">
        <w:rPr>
          <w:b/>
          <w:bCs/>
          <w:color w:val="000000" w:themeColor="text1"/>
          <w:sz w:val="32"/>
          <w:szCs w:val="32"/>
        </w:rPr>
        <w:t>name</w:t>
      </w:r>
      <w:r w:rsidR="0025634D" w:rsidRPr="0025634D">
        <w:rPr>
          <w:color w:val="000000" w:themeColor="text1"/>
          <w:sz w:val="32"/>
          <w:szCs w:val="32"/>
        </w:rPr>
        <w:t>: Dr sharpers Ziko</w:t>
      </w:r>
    </w:p>
    <w:p w14:paraId="60C28ECE" w14:textId="77777777" w:rsidR="008A3DFA" w:rsidRDefault="008A3DFA" w:rsidP="00504650">
      <w:pPr>
        <w:rPr>
          <w:color w:val="000000" w:themeColor="text1"/>
          <w:sz w:val="32"/>
          <w:szCs w:val="32"/>
        </w:rPr>
      </w:pPr>
    </w:p>
    <w:p w14:paraId="054EF041" w14:textId="77777777" w:rsidR="008A3DFA" w:rsidRDefault="008A3DFA" w:rsidP="00504650">
      <w:pPr>
        <w:rPr>
          <w:color w:val="000000" w:themeColor="text1"/>
          <w:sz w:val="32"/>
          <w:szCs w:val="32"/>
        </w:rPr>
      </w:pPr>
    </w:p>
    <w:p w14:paraId="4BB443AC" w14:textId="3D69646C" w:rsidR="008A3DFA" w:rsidRPr="000008DB" w:rsidRDefault="00AA5684" w:rsidP="00504650">
      <w:pPr>
        <w:rPr>
          <w:color w:val="000000" w:themeColor="text1"/>
          <w:sz w:val="32"/>
          <w:szCs w:val="32"/>
        </w:rPr>
      </w:pPr>
      <w:r w:rsidRPr="00597567">
        <w:rPr>
          <w:b/>
          <w:bCs/>
          <w:color w:val="000000" w:themeColor="text1"/>
          <w:sz w:val="32"/>
          <w:szCs w:val="32"/>
        </w:rPr>
        <w:t>Assignment tit</w:t>
      </w:r>
      <w:r w:rsidR="00597567" w:rsidRPr="00597567">
        <w:rPr>
          <w:b/>
          <w:bCs/>
          <w:color w:val="000000" w:themeColor="text1"/>
          <w:sz w:val="32"/>
          <w:szCs w:val="32"/>
        </w:rPr>
        <w:t>le:</w:t>
      </w:r>
      <w:r w:rsidR="000008DB" w:rsidRPr="000008DB">
        <w:rPr>
          <w:rFonts w:ascii="Segoe UI Symbol" w:hAnsi="Segoe UI Symbol" w:cs="Segoe UI Symbol"/>
          <w:b/>
          <w:bCs/>
          <w:color w:val="000000" w:themeColor="text1"/>
          <w:sz w:val="28"/>
          <w:szCs w:val="28"/>
        </w:rPr>
        <w:t xml:space="preserve"> </w:t>
      </w:r>
      <w:r w:rsidR="000008DB" w:rsidRPr="000008DB">
        <w:rPr>
          <w:rFonts w:ascii="Segoe UI Symbol" w:hAnsi="Segoe UI Symbol" w:cs="Segoe UI Symbol"/>
          <w:color w:val="000000" w:themeColor="text1"/>
          <w:sz w:val="28"/>
          <w:szCs w:val="28"/>
        </w:rPr>
        <w:t>➢</w:t>
      </w:r>
      <w:r w:rsidR="000008DB" w:rsidRPr="000008DB">
        <w:rPr>
          <w:rFonts w:ascii="Arial" w:hAnsi="Arial" w:cs="Arial"/>
          <w:color w:val="000000" w:themeColor="text1"/>
          <w:sz w:val="28"/>
          <w:szCs w:val="28"/>
        </w:rPr>
        <w:t xml:space="preserve"> </w:t>
      </w:r>
      <w:r w:rsidR="00493586">
        <w:rPr>
          <w:rFonts w:ascii="Arial" w:hAnsi="Arial" w:cs="Arial"/>
          <w:color w:val="000000" w:themeColor="text1"/>
          <w:sz w:val="28"/>
          <w:szCs w:val="28"/>
        </w:rPr>
        <w:t>coronary heart disease</w:t>
      </w:r>
    </w:p>
    <w:p w14:paraId="0C4E20A3" w14:textId="77777777" w:rsidR="00504650" w:rsidRDefault="00504650" w:rsidP="00504650">
      <w:pPr>
        <w:rPr>
          <w:color w:val="000000" w:themeColor="text1"/>
          <w:sz w:val="32"/>
          <w:szCs w:val="32"/>
        </w:rPr>
      </w:pPr>
    </w:p>
    <w:p w14:paraId="33A29DB8" w14:textId="77777777" w:rsidR="00504650" w:rsidRDefault="00504650" w:rsidP="00504650">
      <w:pPr>
        <w:rPr>
          <w:color w:val="000000" w:themeColor="text1"/>
          <w:sz w:val="32"/>
          <w:szCs w:val="32"/>
        </w:rPr>
      </w:pPr>
    </w:p>
    <w:p w14:paraId="357FE038" w14:textId="77777777" w:rsidR="00504650" w:rsidRDefault="00504650" w:rsidP="00504650">
      <w:pPr>
        <w:rPr>
          <w:color w:val="000000" w:themeColor="text1"/>
          <w:sz w:val="32"/>
          <w:szCs w:val="32"/>
        </w:rPr>
      </w:pPr>
    </w:p>
    <w:p w14:paraId="22C36E57" w14:textId="77777777" w:rsidR="00504650" w:rsidRDefault="00504650" w:rsidP="00504650">
      <w:pPr>
        <w:rPr>
          <w:color w:val="000000" w:themeColor="text1"/>
          <w:sz w:val="32"/>
          <w:szCs w:val="32"/>
        </w:rPr>
      </w:pPr>
    </w:p>
    <w:p w14:paraId="70380396" w14:textId="77777777" w:rsidR="00504650" w:rsidRDefault="00504650" w:rsidP="00504650">
      <w:pPr>
        <w:rPr>
          <w:color w:val="000000" w:themeColor="text1"/>
          <w:sz w:val="32"/>
          <w:szCs w:val="32"/>
        </w:rPr>
      </w:pPr>
    </w:p>
    <w:p w14:paraId="69DA5F24" w14:textId="77777777" w:rsidR="00504650" w:rsidRDefault="00504650" w:rsidP="00504650">
      <w:pPr>
        <w:rPr>
          <w:color w:val="000000" w:themeColor="text1"/>
          <w:sz w:val="32"/>
          <w:szCs w:val="32"/>
        </w:rPr>
      </w:pPr>
    </w:p>
    <w:p w14:paraId="5C683CDC" w14:textId="77777777" w:rsidR="00504650" w:rsidRDefault="00504650" w:rsidP="00504650">
      <w:pPr>
        <w:rPr>
          <w:color w:val="000000" w:themeColor="text1"/>
          <w:sz w:val="32"/>
          <w:szCs w:val="32"/>
        </w:rPr>
      </w:pPr>
    </w:p>
    <w:p w14:paraId="100EBB76" w14:textId="77777777" w:rsidR="00504650" w:rsidRDefault="00504650" w:rsidP="00504650">
      <w:pPr>
        <w:rPr>
          <w:color w:val="000000" w:themeColor="text1"/>
          <w:sz w:val="32"/>
          <w:szCs w:val="32"/>
        </w:rPr>
      </w:pPr>
    </w:p>
    <w:p w14:paraId="785AEE1F" w14:textId="77777777" w:rsidR="00504650" w:rsidRDefault="00504650" w:rsidP="00504650">
      <w:pPr>
        <w:rPr>
          <w:color w:val="000000" w:themeColor="text1"/>
          <w:sz w:val="32"/>
          <w:szCs w:val="32"/>
        </w:rPr>
      </w:pPr>
    </w:p>
    <w:p w14:paraId="3F96D335" w14:textId="77777777" w:rsidR="00504650" w:rsidRDefault="00504650" w:rsidP="00504650">
      <w:pPr>
        <w:rPr>
          <w:color w:val="000000" w:themeColor="text1"/>
          <w:sz w:val="32"/>
          <w:szCs w:val="32"/>
        </w:rPr>
      </w:pPr>
    </w:p>
    <w:p w14:paraId="38C558FE" w14:textId="77777777" w:rsidR="00504650" w:rsidRDefault="00504650" w:rsidP="00504650">
      <w:pPr>
        <w:rPr>
          <w:color w:val="000000" w:themeColor="text1"/>
          <w:sz w:val="32"/>
          <w:szCs w:val="32"/>
        </w:rPr>
      </w:pPr>
    </w:p>
    <w:p w14:paraId="74B28CAF" w14:textId="77777777" w:rsidR="00504650" w:rsidRDefault="00504650" w:rsidP="00504650">
      <w:pPr>
        <w:rPr>
          <w:color w:val="000000" w:themeColor="text1"/>
          <w:sz w:val="32"/>
          <w:szCs w:val="32"/>
        </w:rPr>
      </w:pPr>
    </w:p>
    <w:p w14:paraId="4FFF9FA3" w14:textId="49E572E3" w:rsidR="00504650" w:rsidRDefault="00504650" w:rsidP="00504650">
      <w:pPr>
        <w:spacing w:line="360" w:lineRule="auto"/>
        <w:rPr>
          <w:rFonts w:ascii="Arial" w:hAnsi="Arial" w:cs="Arial"/>
          <w:b/>
          <w:bCs/>
          <w:color w:val="000000" w:themeColor="text1"/>
          <w:sz w:val="28"/>
          <w:szCs w:val="28"/>
        </w:rPr>
      </w:pPr>
      <w:r w:rsidRPr="00504650">
        <w:rPr>
          <w:rFonts w:ascii="Segoe UI Symbol" w:hAnsi="Segoe UI Symbol" w:cs="Segoe UI Symbol"/>
          <w:b/>
          <w:bCs/>
          <w:color w:val="000000" w:themeColor="text1"/>
          <w:sz w:val="28"/>
          <w:szCs w:val="28"/>
        </w:rPr>
        <w:t>➢</w:t>
      </w:r>
      <w:r w:rsidRPr="00504650">
        <w:rPr>
          <w:rFonts w:ascii="Arial" w:hAnsi="Arial" w:cs="Arial"/>
          <w:b/>
          <w:bCs/>
          <w:color w:val="000000" w:themeColor="text1"/>
          <w:sz w:val="28"/>
          <w:szCs w:val="28"/>
        </w:rPr>
        <w:t xml:space="preserve"> coronary heart disease</w:t>
      </w:r>
    </w:p>
    <w:p w14:paraId="432E078B" w14:textId="1524D375" w:rsidR="00F541B6" w:rsidRPr="0017770A" w:rsidRDefault="00F541B6" w:rsidP="00F541B6">
      <w:pPr>
        <w:spacing w:line="360" w:lineRule="auto"/>
        <w:rPr>
          <w:rFonts w:ascii="Arial" w:hAnsi="Arial" w:cs="Arial"/>
          <w:b/>
          <w:bCs/>
          <w:color w:val="000000" w:themeColor="text1"/>
          <w:sz w:val="28"/>
          <w:szCs w:val="28"/>
        </w:rPr>
      </w:pPr>
      <w:r w:rsidRPr="0017770A">
        <w:rPr>
          <w:rFonts w:ascii="Arial" w:hAnsi="Arial" w:cs="Arial"/>
          <w:b/>
          <w:bCs/>
          <w:color w:val="000000" w:themeColor="text1"/>
          <w:sz w:val="28"/>
          <w:szCs w:val="28"/>
        </w:rPr>
        <w:t>Introduction</w:t>
      </w:r>
    </w:p>
    <w:p w14:paraId="57E43D28" w14:textId="77777777" w:rsidR="00F541B6" w:rsidRPr="0017770A" w:rsidRDefault="00F541B6" w:rsidP="00F541B6">
      <w:pPr>
        <w:spacing w:line="360" w:lineRule="auto"/>
        <w:rPr>
          <w:rFonts w:ascii="Arial" w:hAnsi="Arial" w:cs="Arial"/>
          <w:b/>
          <w:bCs/>
          <w:color w:val="000000" w:themeColor="text1"/>
          <w:sz w:val="22"/>
          <w:szCs w:val="22"/>
        </w:rPr>
      </w:pPr>
      <w:r w:rsidRPr="0017770A">
        <w:rPr>
          <w:rFonts w:ascii="Arial" w:hAnsi="Arial" w:cs="Arial"/>
          <w:b/>
          <w:bCs/>
          <w:color w:val="000000" w:themeColor="text1"/>
          <w:sz w:val="22"/>
          <w:szCs w:val="22"/>
        </w:rPr>
        <w:t>A Definition of the Disease/Condition</w:t>
      </w:r>
    </w:p>
    <w:p w14:paraId="6A0B0351" w14:textId="77777777" w:rsidR="00F541B6" w:rsidRPr="00F541B6" w:rsidRDefault="00F541B6" w:rsidP="00F541B6">
      <w:pPr>
        <w:spacing w:line="360" w:lineRule="auto"/>
        <w:rPr>
          <w:rFonts w:ascii="Arial" w:hAnsi="Arial" w:cs="Arial"/>
          <w:color w:val="000000" w:themeColor="text1"/>
          <w:sz w:val="22"/>
          <w:szCs w:val="22"/>
        </w:rPr>
      </w:pPr>
      <w:r w:rsidRPr="00F541B6">
        <w:rPr>
          <w:rFonts w:ascii="Arial" w:hAnsi="Arial" w:cs="Arial"/>
          <w:color w:val="000000" w:themeColor="text1"/>
          <w:sz w:val="22"/>
          <w:szCs w:val="22"/>
        </w:rPr>
        <w:t>Coronary Heart Disease (CHD) is a major cardiovascular condition characterized by the narrowing or blockage of the coronary arteries, usually caused by the buildup of fatty material known as plaques (atherosclerosis). This restriction reduces blood flow and oxygen supply to the heart muscle, potentially leading to angina, heart attacks, or long-term heart failure. As highlighted in landmark public health analyses by Sir Michael Marmot, socioeconomic health inequalities heavily influence the prevalence and outcomes of chronic illnesses like CHD across populations (Marmot, 2010).</w:t>
      </w:r>
    </w:p>
    <w:p w14:paraId="438B27D2" w14:textId="77777777" w:rsidR="00F541B6" w:rsidRPr="0017770A" w:rsidRDefault="00F541B6" w:rsidP="00F541B6">
      <w:pPr>
        <w:spacing w:line="360" w:lineRule="auto"/>
        <w:rPr>
          <w:rFonts w:ascii="Arial" w:hAnsi="Arial" w:cs="Arial"/>
          <w:b/>
          <w:bCs/>
          <w:color w:val="000000" w:themeColor="text1"/>
          <w:sz w:val="22"/>
          <w:szCs w:val="22"/>
        </w:rPr>
      </w:pPr>
      <w:r w:rsidRPr="0017770A">
        <w:rPr>
          <w:rFonts w:ascii="Arial" w:hAnsi="Arial" w:cs="Arial"/>
          <w:b/>
          <w:bCs/>
          <w:color w:val="000000" w:themeColor="text1"/>
          <w:sz w:val="22"/>
          <w:szCs w:val="22"/>
        </w:rPr>
        <w:t>Signs and Symptoms</w:t>
      </w:r>
    </w:p>
    <w:p w14:paraId="4C83849F" w14:textId="77777777" w:rsidR="00F541B6" w:rsidRPr="00F541B6" w:rsidRDefault="00F541B6" w:rsidP="00F541B6">
      <w:pPr>
        <w:spacing w:line="360" w:lineRule="auto"/>
        <w:rPr>
          <w:rFonts w:ascii="Arial" w:hAnsi="Arial" w:cs="Arial"/>
          <w:color w:val="000000" w:themeColor="text1"/>
          <w:sz w:val="22"/>
          <w:szCs w:val="22"/>
        </w:rPr>
      </w:pPr>
      <w:r w:rsidRPr="00F541B6">
        <w:rPr>
          <w:rFonts w:ascii="Arial" w:hAnsi="Arial" w:cs="Arial"/>
          <w:color w:val="000000" w:themeColor="text1"/>
          <w:sz w:val="22"/>
          <w:szCs w:val="22"/>
        </w:rPr>
        <w:t>The clinical presentation of CHD varies depending on the severity of arterial blockage, but common indicators include:</w:t>
      </w:r>
    </w:p>
    <w:p w14:paraId="6C839FBA" w14:textId="77777777" w:rsidR="00F541B6" w:rsidRPr="00F541B6" w:rsidRDefault="00F541B6" w:rsidP="00F541B6">
      <w:pPr>
        <w:spacing w:line="360" w:lineRule="auto"/>
        <w:rPr>
          <w:rFonts w:ascii="Arial" w:hAnsi="Arial" w:cs="Arial"/>
          <w:color w:val="000000" w:themeColor="text1"/>
          <w:sz w:val="22"/>
          <w:szCs w:val="22"/>
        </w:rPr>
      </w:pPr>
      <w:r w:rsidRPr="007E2E36">
        <w:rPr>
          <w:rFonts w:ascii="Arial" w:hAnsi="Arial" w:cs="Arial"/>
          <w:b/>
          <w:bCs/>
          <w:color w:val="000000" w:themeColor="text1"/>
          <w:sz w:val="22"/>
          <w:szCs w:val="22"/>
        </w:rPr>
        <w:t xml:space="preserve"> Angina: </w:t>
      </w:r>
      <w:r w:rsidRPr="007E2E36">
        <w:rPr>
          <w:rFonts w:ascii="Arial" w:hAnsi="Arial" w:cs="Arial"/>
          <w:color w:val="000000" w:themeColor="text1"/>
          <w:sz w:val="22"/>
          <w:szCs w:val="22"/>
        </w:rPr>
        <w:t>A</w:t>
      </w:r>
      <w:r w:rsidRPr="00F541B6">
        <w:rPr>
          <w:rFonts w:ascii="Arial" w:hAnsi="Arial" w:cs="Arial"/>
          <w:color w:val="000000" w:themeColor="text1"/>
          <w:sz w:val="22"/>
          <w:szCs w:val="22"/>
        </w:rPr>
        <w:t xml:space="preserve"> characteristic tightness, pressure, or squeezing pain in the chest, often triggered by physical exertion or emotional stress.</w:t>
      </w:r>
    </w:p>
    <w:p w14:paraId="2041C87F" w14:textId="77777777" w:rsidR="006E6DD9" w:rsidRDefault="00F541B6" w:rsidP="00F541B6">
      <w:pPr>
        <w:spacing w:line="360" w:lineRule="auto"/>
        <w:rPr>
          <w:rFonts w:ascii="Arial" w:hAnsi="Arial" w:cs="Arial"/>
          <w:b/>
          <w:bCs/>
          <w:color w:val="000000" w:themeColor="text1"/>
          <w:sz w:val="22"/>
          <w:szCs w:val="22"/>
        </w:rPr>
      </w:pPr>
      <w:r w:rsidRPr="009D5FB5">
        <w:rPr>
          <w:rFonts w:ascii="Arial" w:hAnsi="Arial" w:cs="Arial"/>
          <w:b/>
          <w:bCs/>
          <w:color w:val="000000" w:themeColor="text1"/>
          <w:sz w:val="22"/>
          <w:szCs w:val="22"/>
        </w:rPr>
        <w:t xml:space="preserve"> Shortness of Breath</w:t>
      </w:r>
    </w:p>
    <w:p w14:paraId="109385DB" w14:textId="1EA43511" w:rsidR="00F541B6" w:rsidRPr="00F541B6" w:rsidRDefault="006E6DD9" w:rsidP="00F541B6">
      <w:pPr>
        <w:spacing w:line="360" w:lineRule="auto"/>
        <w:rPr>
          <w:rFonts w:ascii="Arial" w:hAnsi="Arial" w:cs="Arial"/>
          <w:color w:val="000000" w:themeColor="text1"/>
          <w:sz w:val="22"/>
          <w:szCs w:val="22"/>
        </w:rPr>
      </w:pPr>
      <w:r w:rsidRPr="00FF4383">
        <w:rPr>
          <w:rFonts w:ascii="Arial" w:hAnsi="Arial" w:cs="Arial"/>
          <w:color w:val="000000" w:themeColor="text1"/>
          <w:sz w:val="22"/>
          <w:szCs w:val="22"/>
        </w:rPr>
        <w:t>Caused by reduced heart pumping efficiency, leading to a backup of fluid in the lungs and breathlessness during exertion or rest.</w:t>
      </w:r>
    </w:p>
    <w:p w14:paraId="0682C99A" w14:textId="0CEEA158" w:rsidR="00F541B6" w:rsidRPr="00F541B6" w:rsidRDefault="00F541B6" w:rsidP="00F541B6">
      <w:pPr>
        <w:spacing w:line="360" w:lineRule="auto"/>
        <w:rPr>
          <w:rFonts w:ascii="Arial" w:hAnsi="Arial" w:cs="Arial"/>
          <w:color w:val="000000" w:themeColor="text1"/>
          <w:sz w:val="22"/>
          <w:szCs w:val="22"/>
        </w:rPr>
      </w:pPr>
      <w:r w:rsidRPr="009D5FB5">
        <w:rPr>
          <w:rFonts w:ascii="Arial" w:hAnsi="Arial" w:cs="Arial"/>
          <w:b/>
          <w:bCs/>
          <w:color w:val="000000" w:themeColor="text1"/>
          <w:sz w:val="22"/>
          <w:szCs w:val="22"/>
        </w:rPr>
        <w:t xml:space="preserve"> Fatigue and Weakness</w:t>
      </w:r>
      <w:r w:rsidRPr="00F541B6">
        <w:rPr>
          <w:rFonts w:ascii="Arial" w:hAnsi="Arial" w:cs="Arial"/>
          <w:color w:val="000000" w:themeColor="text1"/>
          <w:sz w:val="22"/>
          <w:szCs w:val="22"/>
        </w:rPr>
        <w:t xml:space="preserve">: </w:t>
      </w:r>
      <w:r w:rsidR="00124988" w:rsidRPr="00124988">
        <w:rPr>
          <w:rFonts w:ascii="Arial" w:hAnsi="Arial" w:cs="Arial"/>
          <w:color w:val="000000" w:themeColor="text1"/>
          <w:sz w:val="22"/>
          <w:szCs w:val="22"/>
        </w:rPr>
        <w:t>Results from poor oxygen circulation to the muscles and organs, causing persistent, debilitating exhaustion that limits daily activities.</w:t>
      </w:r>
    </w:p>
    <w:p w14:paraId="627CBE68" w14:textId="77777777" w:rsidR="00F541B6" w:rsidRPr="00F541B6" w:rsidRDefault="00F541B6" w:rsidP="00F541B6">
      <w:pPr>
        <w:spacing w:line="360" w:lineRule="auto"/>
        <w:rPr>
          <w:rFonts w:ascii="Arial" w:hAnsi="Arial" w:cs="Arial"/>
          <w:color w:val="000000" w:themeColor="text1"/>
          <w:sz w:val="22"/>
          <w:szCs w:val="22"/>
        </w:rPr>
      </w:pPr>
      <w:r w:rsidRPr="009D5FB5">
        <w:rPr>
          <w:rFonts w:ascii="Arial" w:hAnsi="Arial" w:cs="Arial"/>
          <w:b/>
          <w:bCs/>
          <w:color w:val="000000" w:themeColor="text1"/>
          <w:sz w:val="22"/>
          <w:szCs w:val="22"/>
        </w:rPr>
        <w:t xml:space="preserve"> Myocardial Infarction (Heart Attack):</w:t>
      </w:r>
      <w:r w:rsidRPr="00F541B6">
        <w:rPr>
          <w:rFonts w:ascii="Arial" w:hAnsi="Arial" w:cs="Arial"/>
          <w:color w:val="000000" w:themeColor="text1"/>
          <w:sz w:val="22"/>
          <w:szCs w:val="22"/>
        </w:rPr>
        <w:t xml:space="preserve"> Sudden, severe crushing chest pain radiating to the arm, neck, or jaw, frequently accompanied by cold sweats, nausea, and dizziness.</w:t>
      </w:r>
    </w:p>
    <w:p w14:paraId="10FD0F40" w14:textId="77777777" w:rsidR="00CD3086" w:rsidRDefault="00F541B6" w:rsidP="00F541B6">
      <w:pPr>
        <w:spacing w:line="360" w:lineRule="auto"/>
        <w:rPr>
          <w:rFonts w:ascii="Arial" w:hAnsi="Arial" w:cs="Arial"/>
          <w:b/>
          <w:bCs/>
          <w:color w:val="000000" w:themeColor="text1"/>
          <w:sz w:val="22"/>
          <w:szCs w:val="22"/>
        </w:rPr>
      </w:pPr>
      <w:r w:rsidRPr="00AD389B">
        <w:rPr>
          <w:rFonts w:ascii="Arial" w:hAnsi="Arial" w:cs="Arial"/>
          <w:b/>
          <w:bCs/>
          <w:color w:val="000000" w:themeColor="text1"/>
          <w:sz w:val="22"/>
          <w:szCs w:val="22"/>
        </w:rPr>
        <w:t>Levels of the Incidence That Demonstrate the Severity of CHD and UK Statistics</w:t>
      </w:r>
    </w:p>
    <w:p w14:paraId="2A80D5C9" w14:textId="680488B2" w:rsidR="00F541B6" w:rsidRDefault="00F541B6" w:rsidP="00F541B6">
      <w:pPr>
        <w:spacing w:line="360" w:lineRule="auto"/>
        <w:rPr>
          <w:rFonts w:ascii="Arial" w:hAnsi="Arial" w:cs="Arial"/>
          <w:color w:val="000000" w:themeColor="text1"/>
          <w:sz w:val="22"/>
          <w:szCs w:val="22"/>
        </w:rPr>
      </w:pPr>
      <w:r w:rsidRPr="00F541B6">
        <w:rPr>
          <w:rFonts w:ascii="Arial" w:hAnsi="Arial" w:cs="Arial"/>
          <w:color w:val="000000" w:themeColor="text1"/>
          <w:sz w:val="22"/>
          <w:szCs w:val="22"/>
        </w:rPr>
        <w:lastRenderedPageBreak/>
        <w:t>CHD remains a leading global health crisis and one of the principal causes of mortality in the United Kingdom. According to recent public health statistics, it accounts for tens of thousands of deaths annually, placing a massive burden on the National Health Service (NHS). Epidemiological data consistently demonstrates that incidence and mortality rates are unequally distributed, showing a strong correlation with deprivation gradients—a social determinant of health extensively documented by Marmot's research on health inequalities.</w:t>
      </w:r>
    </w:p>
    <w:p w14:paraId="7F6FCB3E" w14:textId="13816443" w:rsidR="007E65B2" w:rsidRDefault="007E65B2" w:rsidP="007E65B2">
      <w:pPr>
        <w:spacing w:line="360" w:lineRule="auto"/>
        <w:rPr>
          <w:rFonts w:ascii="Arial" w:hAnsi="Arial" w:cs="Arial"/>
          <w:b/>
          <w:bCs/>
          <w:color w:val="000000" w:themeColor="text1"/>
          <w:sz w:val="28"/>
          <w:szCs w:val="28"/>
        </w:rPr>
      </w:pPr>
      <w:r w:rsidRPr="00521FCA">
        <w:rPr>
          <w:rFonts w:ascii="Arial" w:hAnsi="Arial" w:cs="Arial"/>
          <w:b/>
          <w:bCs/>
          <w:color w:val="000000" w:themeColor="text1"/>
          <w:sz w:val="28"/>
          <w:szCs w:val="28"/>
        </w:rPr>
        <w:t>Main Body (</w:t>
      </w:r>
      <w:r w:rsidR="00521FCA" w:rsidRPr="00521FCA">
        <w:rPr>
          <w:rFonts w:ascii="Arial" w:hAnsi="Arial" w:cs="Arial"/>
          <w:b/>
          <w:bCs/>
          <w:color w:val="000000" w:themeColor="text1"/>
          <w:sz w:val="28"/>
          <w:szCs w:val="28"/>
        </w:rPr>
        <w:t>coronary heart disease</w:t>
      </w:r>
      <w:r w:rsidRPr="00521FCA">
        <w:rPr>
          <w:rFonts w:ascii="Arial" w:hAnsi="Arial" w:cs="Arial"/>
          <w:b/>
          <w:bCs/>
          <w:color w:val="000000" w:themeColor="text1"/>
          <w:sz w:val="28"/>
          <w:szCs w:val="28"/>
        </w:rPr>
        <w:t>)</w:t>
      </w:r>
    </w:p>
    <w:p w14:paraId="51D5BCB2" w14:textId="3A138FFA" w:rsidR="00535A6A" w:rsidRDefault="007B2886" w:rsidP="007E65B2">
      <w:pPr>
        <w:spacing w:line="360" w:lineRule="auto"/>
        <w:rPr>
          <w:rFonts w:ascii="Arial" w:hAnsi="Arial" w:cs="Arial"/>
          <w:b/>
          <w:bCs/>
          <w:color w:val="000000" w:themeColor="text1"/>
          <w:sz w:val="28"/>
          <w:szCs w:val="28"/>
        </w:rPr>
      </w:pPr>
      <w:r w:rsidRPr="007B2886">
        <w:rPr>
          <w:rFonts w:ascii="Arial" w:hAnsi="Arial" w:cs="Arial"/>
          <w:color w:val="000000" w:themeColor="text1"/>
          <w:sz w:val="22"/>
          <w:szCs w:val="22"/>
        </w:rPr>
        <w:t xml:space="preserve">This main body provides a detailed analysis of </w:t>
      </w:r>
      <w:r w:rsidRPr="007B2886">
        <w:rPr>
          <w:rFonts w:ascii="Arial" w:hAnsi="Arial" w:cs="Arial"/>
          <w:color w:val="000000" w:themeColor="text1"/>
          <w:sz w:val="22"/>
          <w:szCs w:val="22"/>
        </w:rPr>
        <w:t>coronary heart disease</w:t>
      </w:r>
      <w:r w:rsidRPr="007B2886">
        <w:rPr>
          <w:rFonts w:ascii="Arial" w:hAnsi="Arial" w:cs="Arial"/>
          <w:color w:val="000000" w:themeColor="text1"/>
          <w:sz w:val="22"/>
          <w:szCs w:val="22"/>
        </w:rPr>
        <w:t>, exploring diagnostic measurement approaches, disease control strategies, community impacts, and essential health and social care support services.</w:t>
      </w:r>
      <w:r w:rsidRPr="007B2886">
        <w:rPr>
          <w:rFonts w:ascii="Arial" w:hAnsi="Arial" w:cs="Arial"/>
          <w:b/>
          <w:bCs/>
          <w:color w:val="000000" w:themeColor="text1"/>
          <w:sz w:val="28"/>
          <w:szCs w:val="28"/>
        </w:rPr>
        <w:t>"</w:t>
      </w:r>
    </w:p>
    <w:p w14:paraId="7947B801" w14:textId="77777777" w:rsidR="007A0207" w:rsidRPr="007A0207" w:rsidRDefault="007A0207" w:rsidP="007A0207">
      <w:pPr>
        <w:spacing w:line="360" w:lineRule="auto"/>
        <w:rPr>
          <w:rFonts w:ascii="Arial" w:hAnsi="Arial" w:cs="Arial"/>
          <w:b/>
          <w:bCs/>
          <w:color w:val="000000" w:themeColor="text1"/>
          <w:sz w:val="28"/>
          <w:szCs w:val="28"/>
        </w:rPr>
      </w:pPr>
      <w:r w:rsidRPr="007A0207">
        <w:rPr>
          <w:rFonts w:ascii="Arial" w:hAnsi="Arial" w:cs="Arial"/>
          <w:b/>
          <w:bCs/>
          <w:color w:val="000000" w:themeColor="text1"/>
          <w:sz w:val="28"/>
          <w:szCs w:val="28"/>
        </w:rPr>
        <w:t>1. What are the different approaches used to measure and monitor these diseases?</w:t>
      </w:r>
    </w:p>
    <w:p w14:paraId="4F6B09A8" w14:textId="76720145" w:rsidR="007A0207" w:rsidRPr="007A0207"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t xml:space="preserve">Measuring and monitoring </w:t>
      </w:r>
      <w:r w:rsidR="00F40D7C" w:rsidRPr="007A0207">
        <w:rPr>
          <w:rFonts w:ascii="Arial" w:hAnsi="Arial" w:cs="Arial"/>
          <w:color w:val="000000" w:themeColor="text1"/>
          <w:sz w:val="22"/>
          <w:szCs w:val="22"/>
        </w:rPr>
        <w:t>coronary heart disease</w:t>
      </w:r>
      <w:r w:rsidRPr="007A0207">
        <w:rPr>
          <w:rFonts w:ascii="Arial" w:hAnsi="Arial" w:cs="Arial"/>
          <w:color w:val="000000" w:themeColor="text1"/>
          <w:sz w:val="22"/>
          <w:szCs w:val="22"/>
        </w:rPr>
        <w:t xml:space="preserve"> (CHD) relies on a combination of clinical diagnostics, physiological tests, and population-level health tracking. Clinically, healthcare professionals utilize diagnostic tools such as electrocardiograms (ECGs) to record electrical activity and identify ischemia or arrhythmias. Exercise stress tests evaluate cardiac performance under physical exertion, while coronary angiography remains the gold standard for directly visualizing arterial blockages and plaque accumulation (British Heart Foundation [BHF], 2023). Additionally, routine blood tests assess lipid profiles—specifically measuring low-density lipoprotein (LDL) cholesterol—and cardiac biomarkers like troponin during acute presentations (World Health Organization [WHO], 2021).</w:t>
      </w:r>
    </w:p>
    <w:p w14:paraId="585E5636" w14:textId="77777777" w:rsidR="007A0207" w:rsidRPr="007A0207"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t>On a broader public health scale, monitoring involves tracking hospital admissions, morbidity, and mortality registries. However, epidemiological surveillance must look beyond pure biological indicators. As highlighted by Sir Michael Marmot, health outcomes are deeply shaped by socioeconomic determinants such as income, education, and employment gradients (Marmot, 2010). Public health analysts note that robust surveillance systems must also factor in environmental and lifestyle exposures, as chronic conditions cluster in disadvantaged populations (Department of Health and Social Care [DHSC], 2022). Furthermore, integrated health informatics and primary care registries are critical for tracking long-term disease trends, identifying high-risk communities, and evaluating the overall effectiveness of national cardiovascular prevention strategies (National Health Service [NHS], 2024; Global Burden of Disease [GBD], 2023).</w:t>
      </w:r>
    </w:p>
    <w:p w14:paraId="361E29D6" w14:textId="77777777" w:rsidR="007A0207" w:rsidRPr="007A0207" w:rsidRDefault="007A0207" w:rsidP="007A0207">
      <w:pPr>
        <w:spacing w:line="360" w:lineRule="auto"/>
        <w:rPr>
          <w:rFonts w:ascii="Arial" w:hAnsi="Arial" w:cs="Arial"/>
          <w:b/>
          <w:bCs/>
          <w:color w:val="000000" w:themeColor="text1"/>
          <w:sz w:val="22"/>
          <w:szCs w:val="22"/>
        </w:rPr>
      </w:pPr>
      <w:r w:rsidRPr="007A0207">
        <w:rPr>
          <w:rFonts w:ascii="Arial" w:hAnsi="Arial" w:cs="Arial"/>
          <w:b/>
          <w:bCs/>
          <w:color w:val="000000" w:themeColor="text1"/>
          <w:sz w:val="22"/>
          <w:szCs w:val="22"/>
        </w:rPr>
        <w:t>2. Explain how this disease is controlled.</w:t>
      </w:r>
    </w:p>
    <w:p w14:paraId="3E37D6E0" w14:textId="77777777" w:rsidR="007A0207" w:rsidRPr="007A0207"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lastRenderedPageBreak/>
        <w:t>Controlling Coronary Heart Disease requires a comprehensive, multi-layered strategy encompassing lifestyle modifications, pharmacological treatments, and surgical interventions aimed at secondary prevention. Clinically, primary management focuses heavily on risk factor reduction through targeted drug therapies. Statins are widely prescribed to lower circulating LDL cholesterol and reduce arterial inflammation, while antiplatelet medications like low-dose aspirin prevent thrombus formation over vulnerable atherosclerotic plaques (BHF, 2023). Additionally, beta-blockers and angiotensin-converting enzyme (ACE) inhibitors are utilized to manage systemic hypertension and reduce the overall mechanical workload on the myocardium (WHO, 2021).</w:t>
      </w:r>
    </w:p>
    <w:p w14:paraId="7F3B2AEF" w14:textId="77777777" w:rsidR="007A0207" w:rsidRPr="007A0207"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t>When medical management is insufficient to restore normal blood flow, invasive surgical procedures such as percutaneous coronary intervention (PCI) with stent placement or coronary artery bypass grafting (CABG) are deployed. Beyond clinical settings, long-term disease control depends on structured cardiac rehabilitation programs incorporating supervised exercise and dietary education. Public health policies also play a vital role through population-wide measures like tobacco control and nutritional regulations (DHSC, 2022). However, aligning with Michael Marmot’s framework on health equity, lifestyle changes cannot rely solely on individual willpower; they require structural policies that reduce socioeconomic inequalities and ensure equal access to preventive resources across all communities (Marmot, 2010; NHS, 2024; GBD, 2023).</w:t>
      </w:r>
    </w:p>
    <w:p w14:paraId="1BEB11AE" w14:textId="77777777" w:rsidR="007A0207" w:rsidRPr="007A0207" w:rsidRDefault="007A0207" w:rsidP="007A0207">
      <w:pPr>
        <w:spacing w:line="360" w:lineRule="auto"/>
        <w:rPr>
          <w:rFonts w:ascii="Arial" w:hAnsi="Arial" w:cs="Arial"/>
          <w:b/>
          <w:bCs/>
          <w:color w:val="000000" w:themeColor="text1"/>
          <w:sz w:val="22"/>
          <w:szCs w:val="22"/>
        </w:rPr>
      </w:pPr>
      <w:r w:rsidRPr="007A0207">
        <w:rPr>
          <w:rFonts w:ascii="Arial" w:hAnsi="Arial" w:cs="Arial"/>
          <w:b/>
          <w:bCs/>
          <w:color w:val="000000" w:themeColor="text1"/>
          <w:sz w:val="22"/>
          <w:szCs w:val="22"/>
        </w:rPr>
        <w:t>3. What are the consequences of this illness on people in the community?</w:t>
      </w:r>
    </w:p>
    <w:p w14:paraId="2412079F" w14:textId="77777777" w:rsidR="007A0207" w:rsidRPr="007A0207"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t>The consequences of CHD extend far beyond individual physical morbidity, triggering extensive psychological, social, and economic burdens for patients, families, and the wider community. Physically, individuals frequently experience chronic angina, debilitating fatigue, and a reduced capacity to perform daily tasks or maintain independent employment. This physical decline often precipitates severe psychological distress, including clinical depression, chronic anxiety regarding recurrent heart attacks, and social withdrawal (BHF, 2023).</w:t>
      </w:r>
    </w:p>
    <w:p w14:paraId="62BB1635" w14:textId="77777777" w:rsidR="007A0207" w:rsidRPr="007A0207"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t xml:space="preserve">At the community level, these consequences manifest as reduced workforce productivity, increased strain on health and social care systems, and emotional fatigue for informal family caregivers (NHS, 2024). Epidemiological data consistently demonstrates that these impacts are not distributed evenly across the population. Communities facing high levels of social deprivation suffer disproportionately higher rates of CHD incidence and premature mortality. As emphasized in public health research, health inequalities amplify the societal burden of chronic illnesses, meaning that marginalized populations bear a significantly heavier toll from </w:t>
      </w:r>
      <w:r w:rsidRPr="007A0207">
        <w:rPr>
          <w:rFonts w:ascii="Arial" w:hAnsi="Arial" w:cs="Arial"/>
          <w:color w:val="000000" w:themeColor="text1"/>
          <w:sz w:val="22"/>
          <w:szCs w:val="22"/>
        </w:rPr>
        <w:lastRenderedPageBreak/>
        <w:t>the economic fallout of cardiovascular disease (Marmot, 2010; WHO, 2021; DHSC, 2022; GBD, 2023).</w:t>
      </w:r>
    </w:p>
    <w:p w14:paraId="3E4FD8FA" w14:textId="77777777" w:rsidR="007A0207" w:rsidRPr="00D141F4" w:rsidRDefault="007A0207" w:rsidP="007A0207">
      <w:pPr>
        <w:spacing w:line="360" w:lineRule="auto"/>
        <w:rPr>
          <w:rFonts w:ascii="Arial" w:hAnsi="Arial" w:cs="Arial"/>
          <w:b/>
          <w:bCs/>
          <w:color w:val="000000" w:themeColor="text1"/>
          <w:sz w:val="22"/>
          <w:szCs w:val="22"/>
        </w:rPr>
      </w:pPr>
      <w:r w:rsidRPr="00D141F4">
        <w:rPr>
          <w:rFonts w:ascii="Arial" w:hAnsi="Arial" w:cs="Arial"/>
          <w:b/>
          <w:bCs/>
          <w:color w:val="000000" w:themeColor="text1"/>
          <w:sz w:val="22"/>
          <w:szCs w:val="22"/>
        </w:rPr>
        <w:t>4. What health and social care support services are required to meet the needs of individuals affected by this condition within the community?</w:t>
      </w:r>
    </w:p>
    <w:p w14:paraId="1843D3FA" w14:textId="77777777" w:rsidR="007A0207"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t>Managing CHD effectively within the community requires an integrated, multi-disciplinary network of health and social care services tailored to support long-term rehabilitation and independent living. Primary care management through general practitioners and practice nurses forms the foundation of ongoing secondary prevention, supported by specialized community cardiac rehabilitation teams that guide patients through structured exercise and lifestyle education (NHS, 2024). Community nursing teams also assist with routine monitoring and symptom management for vulnerable or elderly patients.</w:t>
      </w:r>
    </w:p>
    <w:p w14:paraId="7E46E314" w14:textId="7D27D989" w:rsidR="003238F2" w:rsidRDefault="007A0207" w:rsidP="007A0207">
      <w:pPr>
        <w:spacing w:line="360" w:lineRule="auto"/>
        <w:rPr>
          <w:rFonts w:ascii="Arial" w:hAnsi="Arial" w:cs="Arial"/>
          <w:color w:val="000000" w:themeColor="text1"/>
          <w:sz w:val="22"/>
          <w:szCs w:val="22"/>
        </w:rPr>
      </w:pPr>
      <w:r w:rsidRPr="007A0207">
        <w:rPr>
          <w:rFonts w:ascii="Arial" w:hAnsi="Arial" w:cs="Arial"/>
          <w:color w:val="000000" w:themeColor="text1"/>
          <w:sz w:val="22"/>
          <w:szCs w:val="22"/>
        </w:rPr>
        <w:t>In addition to medical care, social support services are vital. Occupational therapists help patients adapt their homes for reduced mobility, while social workers assist with employment adjustments, welfare benefits, and community support groups designed to combat social isolation (DHSC, 2022). Furthermore, respite care is crucial for supporting exhausted family caregivers. To bridge gaps in care, service delivery must adopt an equity-focused framework. As highlighted by Sir Michael Marmot, health and social care systems must proactively direct resources toward disadvantaged areas to minimize barriers to access, ensuring that vulnerable patients receive holistic, continuous support that addresses both their clinical needs and the underlying social determinants of health (Marmot, 2010; WHO, 2021; BHF, 2023; GBD, 2023).</w:t>
      </w:r>
    </w:p>
    <w:p w14:paraId="5C52EFC6" w14:textId="4E11FF71" w:rsidR="008429F5" w:rsidRPr="008D082E" w:rsidRDefault="00011544" w:rsidP="007A0207">
      <w:pPr>
        <w:spacing w:line="360" w:lineRule="auto"/>
        <w:rPr>
          <w:rFonts w:ascii="Arial" w:hAnsi="Arial" w:cs="Arial"/>
          <w:b/>
          <w:bCs/>
          <w:color w:val="000000" w:themeColor="text1"/>
          <w:sz w:val="22"/>
          <w:szCs w:val="22"/>
        </w:rPr>
      </w:pPr>
      <w:r w:rsidRPr="008D082E">
        <w:rPr>
          <w:rFonts w:ascii="Arial" w:hAnsi="Arial" w:cs="Arial"/>
          <w:b/>
          <w:bCs/>
          <w:color w:val="000000" w:themeColor="text1"/>
          <w:sz w:val="22"/>
          <w:szCs w:val="22"/>
        </w:rPr>
        <w:t>C</w:t>
      </w:r>
      <w:r w:rsidR="009467C5" w:rsidRPr="008D082E">
        <w:rPr>
          <w:rFonts w:ascii="Arial" w:hAnsi="Arial" w:cs="Arial"/>
          <w:b/>
          <w:bCs/>
          <w:color w:val="000000" w:themeColor="text1"/>
          <w:sz w:val="22"/>
          <w:szCs w:val="22"/>
        </w:rPr>
        <w:t>onclusion:</w:t>
      </w:r>
    </w:p>
    <w:p w14:paraId="69A0CE35" w14:textId="61F82910" w:rsidR="008429F5" w:rsidRPr="008429F5" w:rsidRDefault="008429F5" w:rsidP="008429F5">
      <w:pPr>
        <w:spacing w:line="360" w:lineRule="auto"/>
        <w:rPr>
          <w:rFonts w:ascii="Arial" w:hAnsi="Arial" w:cs="Arial"/>
          <w:color w:val="000000" w:themeColor="text1"/>
          <w:sz w:val="22"/>
          <w:szCs w:val="22"/>
        </w:rPr>
      </w:pPr>
      <w:r w:rsidRPr="008429F5">
        <w:rPr>
          <w:rFonts w:ascii="Arial" w:hAnsi="Arial" w:cs="Arial"/>
          <w:color w:val="000000" w:themeColor="text1"/>
          <w:sz w:val="22"/>
          <w:szCs w:val="22"/>
        </w:rPr>
        <w:t xml:space="preserve">In conclusion, </w:t>
      </w:r>
      <w:r w:rsidRPr="008429F5">
        <w:rPr>
          <w:rFonts w:ascii="Arial" w:hAnsi="Arial" w:cs="Arial"/>
          <w:color w:val="000000" w:themeColor="text1"/>
          <w:sz w:val="22"/>
          <w:szCs w:val="22"/>
        </w:rPr>
        <w:t>coronary heart disease</w:t>
      </w:r>
      <w:r w:rsidRPr="008429F5">
        <w:rPr>
          <w:rFonts w:ascii="Arial" w:hAnsi="Arial" w:cs="Arial"/>
          <w:color w:val="000000" w:themeColor="text1"/>
          <w:sz w:val="22"/>
          <w:szCs w:val="22"/>
        </w:rPr>
        <w:t xml:space="preserve"> (CHD) represents a profound public health crisis globally and within the United Kingdom, necessitating a comprehensive, multi-faceted response that seamlessly integrates clinical intervention, community-based care, and systemic social reform. Throughout this report, it has been established that managing CHD effectively extends far beyond acute medical procedures, requiring continuous monitoring, robust lifestyle modifications, and proactive public health surveillance. As demonstrated by epidemiological tracking and clinical evidence, the physiological burden of conditions like CHD is inextricably linked with broader environmental and </w:t>
      </w:r>
      <w:proofErr w:type="spellStart"/>
      <w:r w:rsidRPr="008429F5">
        <w:rPr>
          <w:rFonts w:ascii="Arial" w:hAnsi="Arial" w:cs="Arial"/>
          <w:color w:val="000000" w:themeColor="text1"/>
          <w:sz w:val="22"/>
          <w:szCs w:val="22"/>
        </w:rPr>
        <w:t>behavioral</w:t>
      </w:r>
      <w:proofErr w:type="spellEnd"/>
      <w:r w:rsidRPr="008429F5">
        <w:rPr>
          <w:rFonts w:ascii="Arial" w:hAnsi="Arial" w:cs="Arial"/>
          <w:color w:val="000000" w:themeColor="text1"/>
          <w:sz w:val="22"/>
          <w:szCs w:val="22"/>
        </w:rPr>
        <w:t xml:space="preserve"> risk factors.</w:t>
      </w:r>
    </w:p>
    <w:p w14:paraId="5913A3A4" w14:textId="77777777" w:rsidR="008429F5" w:rsidRPr="008429F5" w:rsidRDefault="008429F5" w:rsidP="008429F5">
      <w:pPr>
        <w:spacing w:line="360" w:lineRule="auto"/>
        <w:rPr>
          <w:rFonts w:ascii="Arial" w:hAnsi="Arial" w:cs="Arial"/>
          <w:color w:val="000000" w:themeColor="text1"/>
          <w:sz w:val="22"/>
          <w:szCs w:val="22"/>
        </w:rPr>
      </w:pPr>
      <w:r w:rsidRPr="008429F5">
        <w:rPr>
          <w:rFonts w:ascii="Arial" w:hAnsi="Arial" w:cs="Arial"/>
          <w:color w:val="000000" w:themeColor="text1"/>
          <w:sz w:val="22"/>
          <w:szCs w:val="22"/>
        </w:rPr>
        <w:t xml:space="preserve">However, addressing the clinical manifestations of CHD alone is insufficient to resolve the crisis. As extensively highlighted by Sir Michael Marmot, health outcomes are deeply shaped by socioeconomic determinants, where wealth, education, employment, and housing gradients dictate disease prevalence and survival rates (Marmot, 2010). Disadvantaged and </w:t>
      </w:r>
      <w:r w:rsidRPr="008429F5">
        <w:rPr>
          <w:rFonts w:ascii="Arial" w:hAnsi="Arial" w:cs="Arial"/>
          <w:color w:val="000000" w:themeColor="text1"/>
          <w:sz w:val="22"/>
          <w:szCs w:val="22"/>
        </w:rPr>
        <w:lastRenderedPageBreak/>
        <w:t>marginalized populations consistently experience higher rates of chronic illness and face greater barriers to accessing preventative and therapeutic care. Therefore, true disease control and long-term community health resilience require a steadfast commitment to reducing health inequalities.</w:t>
      </w:r>
    </w:p>
    <w:p w14:paraId="6344C8EB" w14:textId="6179A2FE" w:rsidR="008429F5" w:rsidRPr="007A0207" w:rsidRDefault="008429F5" w:rsidP="008429F5">
      <w:pPr>
        <w:spacing w:line="360" w:lineRule="auto"/>
        <w:rPr>
          <w:rFonts w:ascii="Arial" w:hAnsi="Arial" w:cs="Arial"/>
          <w:color w:val="000000" w:themeColor="text1"/>
          <w:sz w:val="22"/>
          <w:szCs w:val="22"/>
        </w:rPr>
      </w:pPr>
      <w:r w:rsidRPr="008429F5">
        <w:rPr>
          <w:rFonts w:ascii="Arial" w:hAnsi="Arial" w:cs="Arial"/>
          <w:color w:val="000000" w:themeColor="text1"/>
          <w:sz w:val="22"/>
          <w:szCs w:val="22"/>
        </w:rPr>
        <w:t>Ultimately, mitigating the societal and individual toll of CHD demands a holistic approach that bridges the gap between advanced medical technologies and equitable social care policies. By ensuring that support services, rehabilitation programs, and healthcare resources are fairly distributed across all communities, society can effectively improve cardiovascular health outcomes and build a fairer, healthier future for all populations.</w:t>
      </w:r>
    </w:p>
    <w:p w14:paraId="2A0C5408" w14:textId="40148095" w:rsidR="00A95FCC" w:rsidRDefault="00D41519" w:rsidP="007A0207">
      <w:pPr>
        <w:spacing w:line="360" w:lineRule="auto"/>
        <w:rPr>
          <w:rFonts w:ascii="Arial" w:hAnsi="Arial" w:cs="Arial"/>
          <w:b/>
          <w:bCs/>
          <w:color w:val="000000" w:themeColor="text1"/>
          <w:sz w:val="22"/>
          <w:szCs w:val="22"/>
        </w:rPr>
      </w:pPr>
      <w:r w:rsidRPr="007A0207">
        <w:rPr>
          <w:rFonts w:ascii="Arial" w:hAnsi="Arial" w:cs="Arial"/>
          <w:b/>
          <w:bCs/>
          <w:color w:val="000000" w:themeColor="text1"/>
          <w:sz w:val="22"/>
          <w:szCs w:val="22"/>
        </w:rPr>
        <w:t>References</w:t>
      </w:r>
    </w:p>
    <w:p w14:paraId="280703CB" w14:textId="77777777" w:rsidR="001E536A" w:rsidRPr="009467C5" w:rsidRDefault="001E536A" w:rsidP="001E536A">
      <w:pPr>
        <w:spacing w:line="360" w:lineRule="auto"/>
        <w:rPr>
          <w:rFonts w:ascii="Arial" w:hAnsi="Arial" w:cs="Arial"/>
          <w:color w:val="000000" w:themeColor="text1"/>
          <w:sz w:val="22"/>
          <w:szCs w:val="22"/>
        </w:rPr>
      </w:pPr>
      <w:r w:rsidRPr="009467C5">
        <w:rPr>
          <w:rFonts w:ascii="Arial" w:hAnsi="Arial" w:cs="Arial"/>
          <w:color w:val="000000" w:themeColor="text1"/>
          <w:sz w:val="22"/>
          <w:szCs w:val="22"/>
        </w:rPr>
        <w:t>British Heart Foundation (BHF). (2023). Cardiovascular Disease Statistics: UK Factsheet. London: BHF.</w:t>
      </w:r>
    </w:p>
    <w:p w14:paraId="30294FA0" w14:textId="35CE53E4" w:rsidR="001E536A" w:rsidRPr="009467C5" w:rsidRDefault="001E536A" w:rsidP="001E536A">
      <w:pPr>
        <w:spacing w:line="360" w:lineRule="auto"/>
        <w:rPr>
          <w:rFonts w:ascii="Arial" w:hAnsi="Arial" w:cs="Arial"/>
          <w:color w:val="000000" w:themeColor="text1"/>
          <w:sz w:val="22"/>
          <w:szCs w:val="22"/>
        </w:rPr>
      </w:pPr>
      <w:r w:rsidRPr="009467C5">
        <w:rPr>
          <w:rFonts w:ascii="Arial" w:hAnsi="Arial" w:cs="Arial"/>
          <w:color w:val="000000" w:themeColor="text1"/>
          <w:sz w:val="22"/>
          <w:szCs w:val="22"/>
        </w:rPr>
        <w:t xml:space="preserve"> Department of Health and Social Care (DHSC). (2022). Our Health and </w:t>
      </w:r>
      <w:r w:rsidR="00F40D7C" w:rsidRPr="009467C5">
        <w:rPr>
          <w:rFonts w:ascii="Arial" w:hAnsi="Arial" w:cs="Arial"/>
          <w:color w:val="000000" w:themeColor="text1"/>
          <w:sz w:val="22"/>
          <w:szCs w:val="22"/>
        </w:rPr>
        <w:t>Caraway</w:t>
      </w:r>
      <w:r w:rsidRPr="009467C5">
        <w:rPr>
          <w:rFonts w:ascii="Arial" w:hAnsi="Arial" w:cs="Arial"/>
          <w:color w:val="000000" w:themeColor="text1"/>
          <w:sz w:val="22"/>
          <w:szCs w:val="22"/>
        </w:rPr>
        <w:t>: Reforming Health and Social Care Services. London: DHSC.</w:t>
      </w:r>
    </w:p>
    <w:p w14:paraId="3BE06E8A" w14:textId="77777777" w:rsidR="001E536A" w:rsidRPr="009467C5" w:rsidRDefault="001E536A" w:rsidP="001E536A">
      <w:pPr>
        <w:spacing w:line="360" w:lineRule="auto"/>
        <w:rPr>
          <w:rFonts w:ascii="Arial" w:hAnsi="Arial" w:cs="Arial"/>
          <w:color w:val="000000" w:themeColor="text1"/>
          <w:sz w:val="22"/>
          <w:szCs w:val="22"/>
        </w:rPr>
      </w:pPr>
      <w:r w:rsidRPr="009467C5">
        <w:rPr>
          <w:rFonts w:ascii="Arial" w:hAnsi="Arial" w:cs="Arial"/>
          <w:color w:val="000000" w:themeColor="text1"/>
          <w:sz w:val="22"/>
          <w:szCs w:val="22"/>
        </w:rPr>
        <w:t xml:space="preserve"> Global Burden of Disease (GBD). (2023). Global, regional, and national comparative risk assessment of behavioural, environmental and occupational, and metabolic risks or clusters of risks. Lancet Publishing.</w:t>
      </w:r>
    </w:p>
    <w:p w14:paraId="2BFD6D90" w14:textId="77777777" w:rsidR="001E536A" w:rsidRPr="009467C5" w:rsidRDefault="001E536A" w:rsidP="001E536A">
      <w:pPr>
        <w:spacing w:line="360" w:lineRule="auto"/>
        <w:rPr>
          <w:rFonts w:ascii="Arial" w:hAnsi="Arial" w:cs="Arial"/>
          <w:color w:val="000000" w:themeColor="text1"/>
          <w:sz w:val="22"/>
          <w:szCs w:val="22"/>
        </w:rPr>
      </w:pPr>
      <w:r w:rsidRPr="009467C5">
        <w:rPr>
          <w:rFonts w:ascii="Arial" w:hAnsi="Arial" w:cs="Arial"/>
          <w:color w:val="000000" w:themeColor="text1"/>
          <w:sz w:val="22"/>
          <w:szCs w:val="22"/>
        </w:rPr>
        <w:t xml:space="preserve"> Marmot, M. (2010). Fair Society, Healthy Lives: The Marmot Review: Strategic Review of Health Inequalities in England Post-2010. London: University College London.</w:t>
      </w:r>
    </w:p>
    <w:p w14:paraId="34610774" w14:textId="77777777" w:rsidR="001E536A" w:rsidRPr="009467C5" w:rsidRDefault="001E536A" w:rsidP="001E536A">
      <w:pPr>
        <w:spacing w:line="360" w:lineRule="auto"/>
        <w:rPr>
          <w:rFonts w:ascii="Arial" w:hAnsi="Arial" w:cs="Arial"/>
          <w:color w:val="000000" w:themeColor="text1"/>
          <w:sz w:val="22"/>
          <w:szCs w:val="22"/>
        </w:rPr>
      </w:pPr>
      <w:r w:rsidRPr="009467C5">
        <w:rPr>
          <w:rFonts w:ascii="Arial" w:hAnsi="Arial" w:cs="Arial"/>
          <w:color w:val="000000" w:themeColor="text1"/>
          <w:sz w:val="22"/>
          <w:szCs w:val="22"/>
        </w:rPr>
        <w:t xml:space="preserve"> National Health Service (NHS). (2024). Cardiovascular Disease Prevention and Community Care Guidelines. London: NHS England.</w:t>
      </w:r>
    </w:p>
    <w:p w14:paraId="7511AB3D" w14:textId="0967B453" w:rsidR="001E536A" w:rsidRPr="009467C5" w:rsidRDefault="001E536A" w:rsidP="001E536A">
      <w:pPr>
        <w:spacing w:line="360" w:lineRule="auto"/>
        <w:rPr>
          <w:rFonts w:ascii="Arial" w:hAnsi="Arial" w:cs="Arial"/>
          <w:color w:val="000000" w:themeColor="text1"/>
          <w:sz w:val="22"/>
          <w:szCs w:val="22"/>
        </w:rPr>
      </w:pPr>
      <w:r w:rsidRPr="009467C5">
        <w:rPr>
          <w:rFonts w:ascii="Arial" w:hAnsi="Arial" w:cs="Arial"/>
          <w:color w:val="000000" w:themeColor="text1"/>
          <w:sz w:val="22"/>
          <w:szCs w:val="22"/>
        </w:rPr>
        <w:t xml:space="preserve"> World Health Organization (WHO). (2021). Cardiovascular diseases (CVDs): Fact Sheet. Geneva: World Health Organization.</w:t>
      </w:r>
    </w:p>
    <w:sectPr w:rsidR="001E536A" w:rsidRPr="009467C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F9101" w14:textId="77777777" w:rsidR="0083461F" w:rsidRDefault="0083461F" w:rsidP="00EE740D">
      <w:pPr>
        <w:spacing w:after="0" w:line="240" w:lineRule="auto"/>
      </w:pPr>
      <w:r>
        <w:separator/>
      </w:r>
    </w:p>
  </w:endnote>
  <w:endnote w:type="continuationSeparator" w:id="0">
    <w:p w14:paraId="470C82E6" w14:textId="77777777" w:rsidR="0083461F" w:rsidRDefault="0083461F" w:rsidP="00EE7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0783304"/>
      <w:docPartObj>
        <w:docPartGallery w:val="Page Numbers (Bottom of Page)"/>
        <w:docPartUnique/>
      </w:docPartObj>
    </w:sdtPr>
    <w:sdtEndPr>
      <w:rPr>
        <w:noProof/>
      </w:rPr>
    </w:sdtEndPr>
    <w:sdtContent>
      <w:p w14:paraId="458C6889" w14:textId="44E14C2A" w:rsidR="00D41519" w:rsidRDefault="00D415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FFC01E" w14:textId="77777777" w:rsidR="00D14670" w:rsidRDefault="00D14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B31F0" w14:textId="77777777" w:rsidR="0083461F" w:rsidRDefault="0083461F" w:rsidP="00EE740D">
      <w:pPr>
        <w:spacing w:after="0" w:line="240" w:lineRule="auto"/>
      </w:pPr>
      <w:r>
        <w:separator/>
      </w:r>
    </w:p>
  </w:footnote>
  <w:footnote w:type="continuationSeparator" w:id="0">
    <w:p w14:paraId="147793FF" w14:textId="77777777" w:rsidR="0083461F" w:rsidRDefault="0083461F" w:rsidP="00EE74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40D"/>
    <w:rsid w:val="000008DB"/>
    <w:rsid w:val="00011544"/>
    <w:rsid w:val="00052564"/>
    <w:rsid w:val="000810F6"/>
    <w:rsid w:val="00097F0B"/>
    <w:rsid w:val="000A3DAA"/>
    <w:rsid w:val="000C1B43"/>
    <w:rsid w:val="000E2B28"/>
    <w:rsid w:val="00124988"/>
    <w:rsid w:val="00144EE1"/>
    <w:rsid w:val="0017770A"/>
    <w:rsid w:val="001E536A"/>
    <w:rsid w:val="0025634D"/>
    <w:rsid w:val="00284A56"/>
    <w:rsid w:val="002D1C58"/>
    <w:rsid w:val="003238F2"/>
    <w:rsid w:val="003A1D6E"/>
    <w:rsid w:val="00463096"/>
    <w:rsid w:val="00493586"/>
    <w:rsid w:val="004D5BD9"/>
    <w:rsid w:val="00504650"/>
    <w:rsid w:val="005216E1"/>
    <w:rsid w:val="00521FCA"/>
    <w:rsid w:val="00535A6A"/>
    <w:rsid w:val="00595B6B"/>
    <w:rsid w:val="00597567"/>
    <w:rsid w:val="005C79D8"/>
    <w:rsid w:val="00696790"/>
    <w:rsid w:val="006E6DD9"/>
    <w:rsid w:val="007614E0"/>
    <w:rsid w:val="007A0207"/>
    <w:rsid w:val="007A27EA"/>
    <w:rsid w:val="007B2886"/>
    <w:rsid w:val="007E2E36"/>
    <w:rsid w:val="007E65B2"/>
    <w:rsid w:val="007F74D8"/>
    <w:rsid w:val="0083461F"/>
    <w:rsid w:val="008429F5"/>
    <w:rsid w:val="008A3DFA"/>
    <w:rsid w:val="008D082E"/>
    <w:rsid w:val="009332EF"/>
    <w:rsid w:val="009363F4"/>
    <w:rsid w:val="009467C5"/>
    <w:rsid w:val="009D5FB5"/>
    <w:rsid w:val="00A95FCC"/>
    <w:rsid w:val="00AA5684"/>
    <w:rsid w:val="00AD389B"/>
    <w:rsid w:val="00AD46E1"/>
    <w:rsid w:val="00AE680D"/>
    <w:rsid w:val="00B041A6"/>
    <w:rsid w:val="00B93C0A"/>
    <w:rsid w:val="00CD3086"/>
    <w:rsid w:val="00CD6DCE"/>
    <w:rsid w:val="00CF2595"/>
    <w:rsid w:val="00CF3EEC"/>
    <w:rsid w:val="00D141F4"/>
    <w:rsid w:val="00D14670"/>
    <w:rsid w:val="00D21557"/>
    <w:rsid w:val="00D41519"/>
    <w:rsid w:val="00DC7E33"/>
    <w:rsid w:val="00EA174F"/>
    <w:rsid w:val="00EB6113"/>
    <w:rsid w:val="00EB7777"/>
    <w:rsid w:val="00EE0D8B"/>
    <w:rsid w:val="00EE740D"/>
    <w:rsid w:val="00F40D7C"/>
    <w:rsid w:val="00F541B6"/>
    <w:rsid w:val="00FF4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8B5F4"/>
  <w15:chartTrackingRefBased/>
  <w15:docId w15:val="{8E9039F5-F479-46CE-ADEC-15B04E78F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4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4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4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4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4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4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4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4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4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4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4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40D"/>
    <w:rPr>
      <w:rFonts w:eastAsiaTheme="majorEastAsia" w:cstheme="majorBidi"/>
      <w:color w:val="272727" w:themeColor="text1" w:themeTint="D8"/>
    </w:rPr>
  </w:style>
  <w:style w:type="paragraph" w:styleId="Title">
    <w:name w:val="Title"/>
    <w:basedOn w:val="Normal"/>
    <w:next w:val="Normal"/>
    <w:link w:val="TitleChar"/>
    <w:uiPriority w:val="10"/>
    <w:qFormat/>
    <w:rsid w:val="00EE7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4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4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40D"/>
    <w:pPr>
      <w:spacing w:before="160"/>
      <w:jc w:val="center"/>
    </w:pPr>
    <w:rPr>
      <w:i/>
      <w:iCs/>
      <w:color w:val="404040" w:themeColor="text1" w:themeTint="BF"/>
    </w:rPr>
  </w:style>
  <w:style w:type="character" w:customStyle="1" w:styleId="QuoteChar">
    <w:name w:val="Quote Char"/>
    <w:basedOn w:val="DefaultParagraphFont"/>
    <w:link w:val="Quote"/>
    <w:uiPriority w:val="29"/>
    <w:rsid w:val="00EE740D"/>
    <w:rPr>
      <w:i/>
      <w:iCs/>
      <w:color w:val="404040" w:themeColor="text1" w:themeTint="BF"/>
    </w:rPr>
  </w:style>
  <w:style w:type="paragraph" w:styleId="ListParagraph">
    <w:name w:val="List Paragraph"/>
    <w:basedOn w:val="Normal"/>
    <w:uiPriority w:val="34"/>
    <w:qFormat/>
    <w:rsid w:val="00EE740D"/>
    <w:pPr>
      <w:ind w:left="720"/>
      <w:contextualSpacing/>
    </w:pPr>
  </w:style>
  <w:style w:type="character" w:styleId="IntenseEmphasis">
    <w:name w:val="Intense Emphasis"/>
    <w:basedOn w:val="DefaultParagraphFont"/>
    <w:uiPriority w:val="21"/>
    <w:qFormat/>
    <w:rsid w:val="00EE740D"/>
    <w:rPr>
      <w:i/>
      <w:iCs/>
      <w:color w:val="0F4761" w:themeColor="accent1" w:themeShade="BF"/>
    </w:rPr>
  </w:style>
  <w:style w:type="paragraph" w:styleId="IntenseQuote">
    <w:name w:val="Intense Quote"/>
    <w:basedOn w:val="Normal"/>
    <w:next w:val="Normal"/>
    <w:link w:val="IntenseQuoteChar"/>
    <w:uiPriority w:val="30"/>
    <w:qFormat/>
    <w:rsid w:val="00EE74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40D"/>
    <w:rPr>
      <w:i/>
      <w:iCs/>
      <w:color w:val="0F4761" w:themeColor="accent1" w:themeShade="BF"/>
    </w:rPr>
  </w:style>
  <w:style w:type="character" w:styleId="IntenseReference">
    <w:name w:val="Intense Reference"/>
    <w:basedOn w:val="DefaultParagraphFont"/>
    <w:uiPriority w:val="32"/>
    <w:qFormat/>
    <w:rsid w:val="00EE740D"/>
    <w:rPr>
      <w:b/>
      <w:bCs/>
      <w:smallCaps/>
      <w:color w:val="0F4761" w:themeColor="accent1" w:themeShade="BF"/>
      <w:spacing w:val="5"/>
    </w:rPr>
  </w:style>
  <w:style w:type="paragraph" w:styleId="Header">
    <w:name w:val="header"/>
    <w:basedOn w:val="Normal"/>
    <w:link w:val="HeaderChar"/>
    <w:uiPriority w:val="99"/>
    <w:unhideWhenUsed/>
    <w:rsid w:val="00EE7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40D"/>
  </w:style>
  <w:style w:type="paragraph" w:styleId="Footer">
    <w:name w:val="footer"/>
    <w:basedOn w:val="Normal"/>
    <w:link w:val="FooterChar"/>
    <w:uiPriority w:val="99"/>
    <w:unhideWhenUsed/>
    <w:rsid w:val="00EE7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E8950C9B46B248B903B359A63F05A8" ma:contentTypeVersion="4" ma:contentTypeDescription="Create a new document." ma:contentTypeScope="" ma:versionID="3eb0a838b639d72fe64a84b63d40f4b8">
  <xsd:schema xmlns:xsd="http://www.w3.org/2001/XMLSchema" xmlns:xs="http://www.w3.org/2001/XMLSchema" xmlns:p="http://schemas.microsoft.com/office/2006/metadata/properties" xmlns:ns3="a2869aec-534e-4d31-8a93-17daff6bdddf" targetNamespace="http://schemas.microsoft.com/office/2006/metadata/properties" ma:root="true" ma:fieldsID="f735720e13fa27179ffeb3248bec5dba" ns3:_="">
    <xsd:import namespace="a2869aec-534e-4d31-8a93-17daff6bddd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869aec-534e-4d31-8a93-17daff6bddd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845FF-1F7D-4580-ACEC-C9F80BA8791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FA5AEC8-DA48-471C-83CF-A6345E65AD30}">
  <ds:schemaRefs>
    <ds:schemaRef ds:uri="http://schemas.microsoft.com/sharepoint/v3/contenttype/forms"/>
  </ds:schemaRefs>
</ds:datastoreItem>
</file>

<file path=customXml/itemProps3.xml><?xml version="1.0" encoding="utf-8"?>
<ds:datastoreItem xmlns:ds="http://schemas.openxmlformats.org/officeDocument/2006/customXml" ds:itemID="{59982518-F50B-4CB7-A224-2DF47030BF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869aec-534e-4d31-8a93-17daff6bd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0686B0-F4CB-4946-A7A9-09BF7868A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1720</Words>
  <Characters>9808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Neha Qayyum (2532177)</dc:creator>
  <cp:keywords/>
  <dc:description/>
  <cp:lastModifiedBy>Neha Qayyum (2532177)</cp:lastModifiedBy>
  <cp:revision>2</cp:revision>
  <dcterms:created xsi:type="dcterms:W3CDTF">2026-08-15T00:37:00Z</dcterms:created>
  <dcterms:modified xsi:type="dcterms:W3CDTF">2026-08-15T00:37:00Z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0x010100BDE8950C9B46B248B903B359A63F05A8</vt:lpwstr>
  </property>
</Properties>
</file>