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BD6DE80"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6430C7">
              <w:rPr>
                <w:b/>
                <w:color w:val="auto"/>
                <w:sz w:val="32"/>
              </w:rPr>
              <w:t>Anna CHAD NIXON</w:t>
            </w:r>
          </w:p>
          <w:p w14:paraId="44290483" w14:textId="77777777" w:rsidR="00FF6BE0" w:rsidRDefault="00FF6BE0" w:rsidP="00340E9A">
            <w:pPr>
              <w:overflowPunct/>
              <w:autoSpaceDE/>
              <w:autoSpaceDN/>
              <w:adjustRightInd/>
              <w:ind w:right="237"/>
              <w:textAlignment w:val="auto"/>
              <w:rPr>
                <w:b/>
                <w:color w:val="auto"/>
                <w:sz w:val="32"/>
              </w:rPr>
            </w:pPr>
          </w:p>
          <w:p w14:paraId="4A4B1989" w14:textId="6AB8E16F"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6430C7">
              <w:rPr>
                <w:b/>
                <w:color w:val="auto"/>
                <w:sz w:val="32"/>
              </w:rPr>
              <w:t xml:space="preserve"> 1910653</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3C6235">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71E154F" w14:textId="36ACF1A4" w:rsidR="31856DE5" w:rsidRDefault="007B6E7F"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31856DE5">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1856DE5">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31856DE5">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7432EB90" w:rsidR="00446F80" w:rsidRPr="001E7592" w:rsidRDefault="31856DE5" w:rsidP="31856DE5">
            <w:pPr>
              <w:ind w:right="237"/>
              <w:jc w:val="both"/>
              <w:rPr>
                <w:rFonts w:eastAsia="Arial"/>
                <w:b/>
                <w:bCs/>
                <w:color w:val="auto"/>
                <w:sz w:val="24"/>
                <w:szCs w:val="24"/>
              </w:rPr>
            </w:pPr>
            <w:r w:rsidRPr="31856DE5">
              <w:rPr>
                <w:rFonts w:eastAsia="Arial"/>
                <w:b/>
                <w:bCs/>
                <w:color w:val="auto"/>
                <w:sz w:val="24"/>
                <w:szCs w:val="24"/>
              </w:rPr>
              <w:t>1200</w:t>
            </w:r>
          </w:p>
        </w:tc>
      </w:tr>
      <w:tr w:rsidR="00446F80" w:rsidRPr="00270EEB" w14:paraId="6953A260" w14:textId="25AAFF4B" w:rsidTr="31856DE5">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1DED8B75" w:rsidR="00446F80" w:rsidRPr="001E7592" w:rsidRDefault="31856DE5" w:rsidP="31856DE5">
            <w:pPr>
              <w:ind w:right="237"/>
              <w:jc w:val="both"/>
              <w:rPr>
                <w:rFonts w:eastAsia="Arial"/>
                <w:b/>
                <w:bCs/>
                <w:sz w:val="24"/>
                <w:szCs w:val="24"/>
              </w:rPr>
            </w:pPr>
            <w:r w:rsidRPr="31856DE5">
              <w:rPr>
                <w:rFonts w:eastAsia="Arial"/>
                <w:b/>
                <w:bCs/>
                <w:sz w:val="24"/>
                <w:szCs w:val="24"/>
              </w:rPr>
              <w:t>1400</w:t>
            </w:r>
          </w:p>
        </w:tc>
      </w:tr>
      <w:tr w:rsidR="00446F80" w:rsidRPr="00270EEB" w14:paraId="0E09B7AB" w14:textId="15055A9A" w:rsidTr="31856DE5">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4C93C9B9" w:rsidR="00446F80" w:rsidRPr="001E7592" w:rsidRDefault="31856DE5" w:rsidP="31856DE5">
            <w:pPr>
              <w:ind w:right="237"/>
              <w:jc w:val="both"/>
              <w:rPr>
                <w:rFonts w:eastAsia="Arial"/>
                <w:b/>
                <w:bCs/>
                <w:sz w:val="24"/>
                <w:szCs w:val="24"/>
              </w:rPr>
            </w:pPr>
            <w:r w:rsidRPr="31856DE5">
              <w:rPr>
                <w:rFonts w:eastAsia="Arial"/>
                <w:b/>
                <w:bCs/>
                <w:sz w:val="24"/>
                <w:szCs w:val="24"/>
              </w:rPr>
              <w:t>1250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31856DE5">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402A7CE8" w:rsidR="00446F80" w:rsidRPr="00F40CB5" w:rsidRDefault="31856DE5" w:rsidP="31856DE5">
            <w:pPr>
              <w:spacing w:line="360" w:lineRule="auto"/>
              <w:ind w:right="237"/>
              <w:jc w:val="both"/>
              <w:rPr>
                <w:rFonts w:eastAsia="Arial"/>
                <w:b/>
                <w:bCs/>
                <w:sz w:val="24"/>
                <w:szCs w:val="24"/>
              </w:rPr>
            </w:pPr>
            <w:r w:rsidRPr="31856DE5">
              <w:rPr>
                <w:rFonts w:eastAsia="Arial"/>
                <w:b/>
                <w:bCs/>
                <w:sz w:val="24"/>
                <w:szCs w:val="24"/>
              </w:rPr>
              <w:t>1250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31856DE5">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46C6D26F" w:rsidR="00AA666E" w:rsidRDefault="00025650" w:rsidP="00340E9A">
      <w:pPr>
        <w:ind w:right="237"/>
        <w:jc w:val="both"/>
        <w:rPr>
          <w:b/>
          <w:sz w:val="24"/>
          <w:szCs w:val="24"/>
        </w:rPr>
      </w:pPr>
      <w:r w:rsidRPr="00025650">
        <w:rPr>
          <w:b/>
          <w:sz w:val="24"/>
          <w:szCs w:val="24"/>
        </w:rPr>
        <w:t>ANSWER:</w:t>
      </w:r>
    </w:p>
    <w:p w14:paraId="5483CACF" w14:textId="44317616" w:rsidR="00B4319F" w:rsidRDefault="00B4319F" w:rsidP="00340E9A">
      <w:pPr>
        <w:ind w:right="237"/>
        <w:jc w:val="both"/>
        <w:rPr>
          <w:b/>
          <w:sz w:val="24"/>
          <w:szCs w:val="24"/>
        </w:rPr>
      </w:pPr>
    </w:p>
    <w:p w14:paraId="164781F3" w14:textId="77777777" w:rsidR="00722432" w:rsidRPr="00722432" w:rsidRDefault="00722432" w:rsidP="00722432">
      <w:pPr>
        <w:spacing w:line="360" w:lineRule="auto"/>
        <w:ind w:right="237"/>
        <w:jc w:val="both"/>
        <w:rPr>
          <w:sz w:val="24"/>
          <w:szCs w:val="24"/>
        </w:rPr>
      </w:pPr>
      <w:r w:rsidRPr="00722432">
        <w:rPr>
          <w:sz w:val="24"/>
          <w:szCs w:val="24"/>
        </w:rPr>
        <w:t xml:space="preserve">This essay will explore the meaning of organisational justice and outline how I believe this impacts on me personally in my role as a police officer. This will be done by discussing various research and also taking into consideration my own personal experiences. Finally, it will also explore how South Wales Police as an organisation manages and encourages ethical standards within the force. </w:t>
      </w:r>
    </w:p>
    <w:p w14:paraId="505114D4" w14:textId="77777777" w:rsidR="00722432" w:rsidRPr="00722432" w:rsidRDefault="00722432" w:rsidP="00722432">
      <w:pPr>
        <w:spacing w:line="360" w:lineRule="auto"/>
        <w:ind w:right="237"/>
        <w:jc w:val="both"/>
        <w:rPr>
          <w:sz w:val="24"/>
          <w:szCs w:val="24"/>
        </w:rPr>
      </w:pPr>
    </w:p>
    <w:p w14:paraId="5198E2C7" w14:textId="77777777" w:rsidR="00722432" w:rsidRPr="00722432" w:rsidRDefault="00722432" w:rsidP="00722432">
      <w:pPr>
        <w:spacing w:line="360" w:lineRule="auto"/>
        <w:ind w:right="237"/>
        <w:jc w:val="both"/>
        <w:rPr>
          <w:sz w:val="24"/>
          <w:szCs w:val="24"/>
        </w:rPr>
      </w:pPr>
      <w:r w:rsidRPr="00722432">
        <w:rPr>
          <w:sz w:val="24"/>
          <w:szCs w:val="24"/>
        </w:rPr>
        <w:t xml:space="preserve">A person’s behaviour and attitude towards something can often be influenced by how fair or well they feel they are treated. This can also be applied to a workplace scenario. If an employee feels that their organisation has fair and equal policies and procedures and treats all employees fairly and equally, then there are less likely to be damaging consequences for that organisation. </w:t>
      </w:r>
    </w:p>
    <w:p w14:paraId="7140DD5B" w14:textId="77777777" w:rsidR="00722432" w:rsidRPr="00722432" w:rsidRDefault="00722432" w:rsidP="00722432">
      <w:pPr>
        <w:spacing w:line="360" w:lineRule="auto"/>
        <w:ind w:right="237"/>
        <w:jc w:val="both"/>
        <w:rPr>
          <w:sz w:val="24"/>
          <w:szCs w:val="24"/>
        </w:rPr>
      </w:pPr>
    </w:p>
    <w:p w14:paraId="5433A75D" w14:textId="77777777" w:rsidR="00B96531" w:rsidRDefault="00722432" w:rsidP="00722432">
      <w:pPr>
        <w:spacing w:line="360" w:lineRule="auto"/>
        <w:ind w:right="237"/>
        <w:jc w:val="both"/>
        <w:rPr>
          <w:sz w:val="24"/>
          <w:szCs w:val="24"/>
        </w:rPr>
      </w:pPr>
      <w:r w:rsidRPr="00722432">
        <w:rPr>
          <w:sz w:val="24"/>
          <w:szCs w:val="24"/>
        </w:rPr>
        <w:t>Organisational justice relates to employee perceptions of fairness in their organisation’s policies, procedures and actions and. An employee’s attitude and behaviour can be influenced by these perceptions, which can consequently affect employee performance and the success of the organisation. Depending on how injustices are interpreted by employees, the effect on the organisation could be damaging or beneficial. A typical example of what employees of an organisation may consider an injustice is male and female employees who do the same job but one gender being paid more than the other. (Baldwin, 2006)</w:t>
      </w:r>
    </w:p>
    <w:p w14:paraId="6078EFEE" w14:textId="60B9D52A" w:rsidR="00722432" w:rsidRPr="00722432" w:rsidRDefault="00722432" w:rsidP="00722432">
      <w:pPr>
        <w:spacing w:line="360" w:lineRule="auto"/>
        <w:ind w:right="237"/>
        <w:jc w:val="both"/>
        <w:rPr>
          <w:sz w:val="24"/>
          <w:szCs w:val="24"/>
        </w:rPr>
      </w:pPr>
      <w:r w:rsidRPr="00722432">
        <w:rPr>
          <w:sz w:val="24"/>
          <w:szCs w:val="24"/>
        </w:rPr>
        <w:lastRenderedPageBreak/>
        <w:t xml:space="preserve"> Thankfully, this is not something that I feel affects me as regardless of age, gender or any other characteristics all police officers in South Wales Police are paid the same salary and progress through the pay scales yearly. In this context, this is a positive aspect of organisational justice in South Wales Police.</w:t>
      </w:r>
    </w:p>
    <w:p w14:paraId="1A9971AD" w14:textId="77777777" w:rsidR="00722432" w:rsidRPr="00722432" w:rsidRDefault="00722432" w:rsidP="00722432">
      <w:pPr>
        <w:spacing w:line="360" w:lineRule="auto"/>
        <w:ind w:right="237"/>
        <w:jc w:val="both"/>
        <w:rPr>
          <w:sz w:val="24"/>
          <w:szCs w:val="24"/>
        </w:rPr>
      </w:pPr>
    </w:p>
    <w:p w14:paraId="0BAAC920" w14:textId="77777777" w:rsidR="00722432" w:rsidRPr="00722432" w:rsidRDefault="00722432" w:rsidP="00722432">
      <w:pPr>
        <w:spacing w:line="360" w:lineRule="auto"/>
        <w:ind w:right="237"/>
        <w:jc w:val="both"/>
        <w:rPr>
          <w:sz w:val="24"/>
          <w:szCs w:val="24"/>
        </w:rPr>
      </w:pPr>
      <w:r w:rsidRPr="00722432">
        <w:rPr>
          <w:sz w:val="24"/>
          <w:szCs w:val="24"/>
        </w:rPr>
        <w:t>However, reflecting on my role as a police officer throughout the Covid 19 pandemic, I do feel that I was affected by organisational justice in a negative way. I feel that we were expected to put not only ourselves at risk but also the public, due to the lack of consistent policies provided by the force. I often felt we weren’t provided with appropriate Personal Protective Equipment (PPE) and expected to risk our own health when engaging with members of the public due to this. This made me feel like we weren’t particularly valued or care about by the organisation, which definitely effected my attitude and motivation towards South Wales Police. We were also made aware of possible investigations and disciplinary action by the force if we were to fall ill with Covid 19. This often felt unfair due to the fact that we often didn’t have a choice but to work in close proximity with our colleagues and members of the public with inappropriate PPE. I remember a particular incident were I was expected to enter a property were the occupants were Covid positive and I hadn’t been re-issued a new fit test mask after using and deposing of the only one I was allocated during a similar incident. I did not feel safe and felt I was putting my own health at risk and also my family’s health at risk by being exposed to this situation. I raised this with my supervisors who were in agreement with my feelings about the situation. However, despite multiple requests for me to be re-issued with an appropriate mask, it never materialised.</w:t>
      </w:r>
    </w:p>
    <w:p w14:paraId="31F28AD8" w14:textId="77777777" w:rsidR="00722432" w:rsidRPr="00722432" w:rsidRDefault="00722432" w:rsidP="00722432">
      <w:pPr>
        <w:spacing w:line="360" w:lineRule="auto"/>
        <w:ind w:right="237"/>
        <w:jc w:val="both"/>
        <w:rPr>
          <w:sz w:val="24"/>
          <w:szCs w:val="24"/>
        </w:rPr>
      </w:pPr>
    </w:p>
    <w:p w14:paraId="40C55F7A" w14:textId="77777777" w:rsidR="00722432" w:rsidRPr="00722432" w:rsidRDefault="00722432" w:rsidP="00722432">
      <w:pPr>
        <w:spacing w:line="360" w:lineRule="auto"/>
        <w:ind w:right="237"/>
        <w:jc w:val="both"/>
        <w:rPr>
          <w:sz w:val="24"/>
          <w:szCs w:val="24"/>
        </w:rPr>
      </w:pPr>
      <w:r w:rsidRPr="00722432">
        <w:rPr>
          <w:sz w:val="24"/>
          <w:szCs w:val="24"/>
        </w:rPr>
        <w:t>It is important for an organisation to be aware of how organisational justice can affect their employees, as it also impacts on employee’s support and trust towards them. As already mentioned perceived injustices can affect behaviour and this may lead to employees working or behaving in an unethical manner and in a way that does not abide by the Code of Ethics. (College of Policing, (COP) 2014)</w:t>
      </w:r>
    </w:p>
    <w:p w14:paraId="6EECB172" w14:textId="77777777" w:rsidR="00722432" w:rsidRPr="00722432" w:rsidRDefault="00722432" w:rsidP="00722432">
      <w:pPr>
        <w:spacing w:line="360" w:lineRule="auto"/>
        <w:ind w:right="237"/>
        <w:jc w:val="both"/>
        <w:rPr>
          <w:sz w:val="24"/>
          <w:szCs w:val="24"/>
        </w:rPr>
      </w:pPr>
    </w:p>
    <w:p w14:paraId="0960525C" w14:textId="77777777" w:rsidR="00722432" w:rsidRPr="00722432" w:rsidRDefault="00722432" w:rsidP="00722432">
      <w:pPr>
        <w:spacing w:line="360" w:lineRule="auto"/>
        <w:ind w:right="237"/>
        <w:jc w:val="both"/>
        <w:rPr>
          <w:sz w:val="24"/>
          <w:szCs w:val="24"/>
        </w:rPr>
      </w:pPr>
      <w:r w:rsidRPr="00722432">
        <w:rPr>
          <w:sz w:val="24"/>
          <w:szCs w:val="24"/>
        </w:rPr>
        <w:t xml:space="preserve">Beckley (2014) highlights the importance of a good standard of organisational justice as not only does it affect the health and wellbeing of the employees, it can </w:t>
      </w:r>
      <w:r w:rsidRPr="00722432">
        <w:rPr>
          <w:sz w:val="24"/>
          <w:szCs w:val="24"/>
        </w:rPr>
        <w:lastRenderedPageBreak/>
        <w:t>also have an impact on commitment and dedication of the workforce, subsequently affecting the organisation as a whole.</w:t>
      </w:r>
    </w:p>
    <w:p w14:paraId="4F445549" w14:textId="77777777" w:rsidR="00722432" w:rsidRPr="00722432" w:rsidRDefault="00722432" w:rsidP="00722432">
      <w:pPr>
        <w:spacing w:line="360" w:lineRule="auto"/>
        <w:ind w:right="237"/>
        <w:jc w:val="both"/>
        <w:rPr>
          <w:sz w:val="24"/>
          <w:szCs w:val="24"/>
        </w:rPr>
      </w:pPr>
    </w:p>
    <w:p w14:paraId="0B889E66" w14:textId="77777777" w:rsidR="00722432" w:rsidRPr="00722432" w:rsidRDefault="00722432" w:rsidP="00722432">
      <w:pPr>
        <w:spacing w:line="360" w:lineRule="auto"/>
        <w:ind w:right="237"/>
        <w:jc w:val="both"/>
        <w:rPr>
          <w:sz w:val="24"/>
          <w:szCs w:val="24"/>
        </w:rPr>
      </w:pPr>
      <w:r w:rsidRPr="00722432">
        <w:rPr>
          <w:sz w:val="24"/>
          <w:szCs w:val="24"/>
        </w:rPr>
        <w:t xml:space="preserve">Organisational justice can also impact on how officers may deal with the public, which can subsequently effect the relationship between them. Moral levels of organisational justice influence effective operational policies, procedures and practices, impartiality and regard for human rights. This is an important consideration when officers engage with members of the public, as if officers are influenced by poor levels of organisational justice they may reflect this in their behaviour and attitude towards the public. (Beckley, 2014) </w:t>
      </w:r>
    </w:p>
    <w:p w14:paraId="13317078" w14:textId="77777777" w:rsidR="00722432" w:rsidRPr="00722432" w:rsidRDefault="00722432" w:rsidP="00722432">
      <w:pPr>
        <w:spacing w:line="360" w:lineRule="auto"/>
        <w:ind w:right="237"/>
        <w:jc w:val="both"/>
        <w:rPr>
          <w:sz w:val="24"/>
          <w:szCs w:val="24"/>
        </w:rPr>
      </w:pPr>
    </w:p>
    <w:p w14:paraId="6AB47505" w14:textId="77777777" w:rsidR="00722432" w:rsidRPr="00722432" w:rsidRDefault="00722432" w:rsidP="00722432">
      <w:pPr>
        <w:spacing w:line="360" w:lineRule="auto"/>
        <w:ind w:right="237"/>
        <w:jc w:val="both"/>
        <w:rPr>
          <w:sz w:val="24"/>
          <w:szCs w:val="24"/>
        </w:rPr>
      </w:pPr>
      <w:r w:rsidRPr="00722432">
        <w:rPr>
          <w:sz w:val="24"/>
          <w:szCs w:val="24"/>
        </w:rPr>
        <w:t xml:space="preserve">In order to encourage ethical behaviour and standards in the police, the Code of Ethics was introduced. This outlines the core principles of policing and the professional standards of behaviour expected of police and police staff. (COP, 2014). Some of the professional standards of behaviour in the Code of Ethics include: honesty and integrity, authority, respect and courtesy, equality and diversity. Police officers are also expected to give and carry out lawful orders and instructions. However, it could be questioned how employees are expected to carry out these standards of behaviour if they feel they are not portrayed or practiced by their employer themselves. </w:t>
      </w:r>
    </w:p>
    <w:p w14:paraId="27FA4152" w14:textId="77777777" w:rsidR="00722432" w:rsidRPr="00722432" w:rsidRDefault="00722432" w:rsidP="00722432">
      <w:pPr>
        <w:spacing w:line="360" w:lineRule="auto"/>
        <w:ind w:right="237"/>
        <w:jc w:val="both"/>
        <w:rPr>
          <w:sz w:val="24"/>
          <w:szCs w:val="24"/>
        </w:rPr>
      </w:pPr>
    </w:p>
    <w:p w14:paraId="46A8ADF9" w14:textId="77777777" w:rsidR="00722432" w:rsidRPr="00722432" w:rsidRDefault="00722432" w:rsidP="00722432">
      <w:pPr>
        <w:spacing w:line="360" w:lineRule="auto"/>
        <w:ind w:right="237"/>
        <w:jc w:val="both"/>
        <w:rPr>
          <w:sz w:val="24"/>
          <w:szCs w:val="24"/>
        </w:rPr>
      </w:pPr>
      <w:r w:rsidRPr="00722432">
        <w:rPr>
          <w:sz w:val="24"/>
          <w:szCs w:val="24"/>
        </w:rPr>
        <w:t>In order to raise and encourage ethical standards, police forces have Professional Standards Departments (PSD). PSDs monitor the conduct of police officers and police staff and investigate complaints made against them. (Harfield, 2013, p241) Having PSDs also promotes and encourages a culture for officers to record, report and challenge the behaviour of those whose standards fall below the required standards of behaviour. (Bryant and Bryant, 2019, p85) This encourages a culture of honesty and integrity in line with the Code of Ethics. (COP, 2014)</w:t>
      </w:r>
    </w:p>
    <w:p w14:paraId="5026F25D" w14:textId="77777777" w:rsidR="00722432" w:rsidRPr="00722432" w:rsidRDefault="00722432" w:rsidP="00722432">
      <w:pPr>
        <w:spacing w:line="360" w:lineRule="auto"/>
        <w:ind w:right="237"/>
        <w:jc w:val="both"/>
        <w:rPr>
          <w:sz w:val="24"/>
          <w:szCs w:val="24"/>
        </w:rPr>
      </w:pPr>
    </w:p>
    <w:p w14:paraId="012CA983" w14:textId="77777777" w:rsidR="00722432" w:rsidRPr="00722432" w:rsidRDefault="00722432" w:rsidP="00722432">
      <w:pPr>
        <w:spacing w:line="360" w:lineRule="auto"/>
        <w:ind w:right="237"/>
        <w:jc w:val="both"/>
        <w:rPr>
          <w:sz w:val="24"/>
          <w:szCs w:val="24"/>
        </w:rPr>
      </w:pPr>
      <w:r w:rsidRPr="00722432">
        <w:rPr>
          <w:sz w:val="24"/>
          <w:szCs w:val="24"/>
        </w:rPr>
        <w:t xml:space="preserve">PSDs also play an important role in maintaining public confidence, by monitoring standards of professional behaviour by police and police staff. The notion of policing by consent is based on the public's trust and confidence in the police force. PSDs can play a key role in preserving such trust and confidence. Failure to adequately </w:t>
      </w:r>
      <w:r w:rsidRPr="00722432">
        <w:rPr>
          <w:sz w:val="24"/>
          <w:szCs w:val="24"/>
        </w:rPr>
        <w:lastRenderedPageBreak/>
        <w:t>assess and manage misconduct and complaints, as well as investigate anti-corruption initiatives, can erode the public’s trust and confidence in the police, subsequently impacting on police legitimacy. (COP, 2015)</w:t>
      </w:r>
    </w:p>
    <w:p w14:paraId="296FC442" w14:textId="77777777" w:rsidR="00722432" w:rsidRPr="00722432" w:rsidRDefault="00722432" w:rsidP="00722432">
      <w:pPr>
        <w:spacing w:line="360" w:lineRule="auto"/>
        <w:ind w:right="237"/>
        <w:jc w:val="both"/>
        <w:rPr>
          <w:sz w:val="24"/>
          <w:szCs w:val="24"/>
        </w:rPr>
      </w:pPr>
    </w:p>
    <w:p w14:paraId="3FC8DE43" w14:textId="77777777" w:rsidR="00722432" w:rsidRPr="00722432" w:rsidRDefault="00722432" w:rsidP="00722432">
      <w:pPr>
        <w:spacing w:line="360" w:lineRule="auto"/>
        <w:ind w:right="237"/>
        <w:jc w:val="both"/>
        <w:rPr>
          <w:sz w:val="24"/>
          <w:szCs w:val="24"/>
        </w:rPr>
      </w:pPr>
      <w:r w:rsidRPr="00722432">
        <w:rPr>
          <w:sz w:val="24"/>
          <w:szCs w:val="24"/>
        </w:rPr>
        <w:t>To conclude, organisational justice is clearly a very important element for organisations to consider. In the context of policing, employees’ perceptions of fairness of an organisations policies, procedures and behaviour are vital as not only does it affect the employees’ wellbeing, motivation and trust towards the organisation itself, but more importantly it can impact of the public and the communities in which we police. Considering that police legitimacy is based on the public’s trust and confidence in the police this is some that police forces cannot risk ignoring.</w:t>
      </w:r>
    </w:p>
    <w:p w14:paraId="18037DDB" w14:textId="77777777" w:rsidR="00722432" w:rsidRPr="00722432" w:rsidRDefault="00722432" w:rsidP="00722432">
      <w:pPr>
        <w:spacing w:line="360" w:lineRule="auto"/>
        <w:ind w:right="237"/>
        <w:jc w:val="both"/>
        <w:rPr>
          <w:sz w:val="24"/>
          <w:szCs w:val="24"/>
        </w:rPr>
      </w:pPr>
    </w:p>
    <w:p w14:paraId="616003F9" w14:textId="58FFFDB1" w:rsidR="00FF7784" w:rsidRPr="00270EEB" w:rsidRDefault="00722432" w:rsidP="00722432">
      <w:pPr>
        <w:spacing w:line="360" w:lineRule="auto"/>
        <w:ind w:right="237"/>
        <w:jc w:val="both"/>
        <w:rPr>
          <w:sz w:val="24"/>
          <w:szCs w:val="24"/>
        </w:rPr>
      </w:pPr>
      <w:r w:rsidRPr="00722432">
        <w:rPr>
          <w:sz w:val="24"/>
          <w:szCs w:val="24"/>
        </w:rPr>
        <w:t>Word count 1088</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BA36FC">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FD84E4E">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38DFB01F" w:rsidR="008171E4" w:rsidRPr="00270EEB" w:rsidRDefault="31856DE5" w:rsidP="31856DE5">
            <w:pPr>
              <w:ind w:right="237"/>
              <w:jc w:val="both"/>
              <w:rPr>
                <w:sz w:val="24"/>
                <w:szCs w:val="24"/>
              </w:rPr>
            </w:pPr>
            <w:r w:rsidRPr="31856DE5">
              <w:rPr>
                <w:sz w:val="24"/>
                <w:szCs w:val="24"/>
              </w:rPr>
              <w:t xml:space="preserve">1200 words </w:t>
            </w:r>
            <w:r w:rsidRPr="31856DE5">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05256AFD" w:rsidR="00450C83" w:rsidRDefault="00450C83" w:rsidP="00340E9A">
      <w:pPr>
        <w:ind w:right="237"/>
        <w:jc w:val="both"/>
        <w:rPr>
          <w:b/>
          <w:sz w:val="24"/>
          <w:szCs w:val="24"/>
        </w:rPr>
      </w:pPr>
      <w:r w:rsidRPr="00450C83">
        <w:rPr>
          <w:b/>
          <w:sz w:val="24"/>
          <w:szCs w:val="24"/>
        </w:rPr>
        <w:t>ANSWER:</w:t>
      </w:r>
    </w:p>
    <w:p w14:paraId="07861CD8" w14:textId="6441EA95" w:rsidR="004268C2" w:rsidRDefault="004268C2" w:rsidP="00340E9A">
      <w:pPr>
        <w:ind w:right="237"/>
        <w:jc w:val="both"/>
        <w:rPr>
          <w:b/>
          <w:sz w:val="24"/>
          <w:szCs w:val="24"/>
        </w:rPr>
      </w:pPr>
    </w:p>
    <w:p w14:paraId="6B784CB1" w14:textId="77777777" w:rsidR="004268C2" w:rsidRPr="004268C2" w:rsidRDefault="004268C2" w:rsidP="004268C2">
      <w:pPr>
        <w:spacing w:line="360" w:lineRule="auto"/>
        <w:ind w:right="237"/>
        <w:jc w:val="both"/>
        <w:rPr>
          <w:sz w:val="24"/>
          <w:szCs w:val="24"/>
        </w:rPr>
      </w:pPr>
      <w:r w:rsidRPr="004268C2">
        <w:rPr>
          <w:sz w:val="24"/>
          <w:szCs w:val="24"/>
        </w:rPr>
        <w:t>In this essay, I will discuss an incident of child cruelty in which I played a significant role, with both the offender and victims. I will discuss how and why it required a partnership approach and how I went about doing so. I will also outline why my intervention was justified and the potential consequences involved as a result of my involvement.</w:t>
      </w:r>
    </w:p>
    <w:p w14:paraId="01232102" w14:textId="77777777" w:rsidR="004268C2" w:rsidRPr="004268C2" w:rsidRDefault="004268C2" w:rsidP="004268C2">
      <w:pPr>
        <w:spacing w:line="360" w:lineRule="auto"/>
        <w:ind w:right="237"/>
        <w:jc w:val="both"/>
        <w:rPr>
          <w:sz w:val="24"/>
          <w:szCs w:val="24"/>
        </w:rPr>
      </w:pPr>
    </w:p>
    <w:p w14:paraId="3BB60332" w14:textId="77777777" w:rsidR="004268C2" w:rsidRPr="004268C2" w:rsidRDefault="004268C2" w:rsidP="004268C2">
      <w:pPr>
        <w:spacing w:line="360" w:lineRule="auto"/>
        <w:ind w:right="237"/>
        <w:jc w:val="both"/>
        <w:rPr>
          <w:sz w:val="24"/>
          <w:szCs w:val="24"/>
        </w:rPr>
      </w:pPr>
      <w:r w:rsidRPr="004268C2">
        <w:rPr>
          <w:sz w:val="24"/>
          <w:szCs w:val="24"/>
        </w:rPr>
        <w:t>I attended an emergency call in relation to a female lying in the road in the early hours of the morning. On arrival, the reporting person (RP) pointed us in the direction of the female who was by then sat on the pavement. The RP and stated he had to swerve to avoid her whilst driving along the road.</w:t>
      </w:r>
    </w:p>
    <w:p w14:paraId="50A57B38" w14:textId="77777777" w:rsidR="004268C2" w:rsidRPr="004268C2" w:rsidRDefault="004268C2" w:rsidP="004268C2">
      <w:pPr>
        <w:spacing w:line="360" w:lineRule="auto"/>
        <w:ind w:right="237"/>
        <w:jc w:val="both"/>
        <w:rPr>
          <w:sz w:val="24"/>
          <w:szCs w:val="24"/>
        </w:rPr>
      </w:pPr>
    </w:p>
    <w:p w14:paraId="7774E16A" w14:textId="77777777" w:rsidR="004268C2" w:rsidRPr="004268C2" w:rsidRDefault="004268C2" w:rsidP="004268C2">
      <w:pPr>
        <w:spacing w:line="360" w:lineRule="auto"/>
        <w:ind w:right="237"/>
        <w:jc w:val="both"/>
        <w:rPr>
          <w:sz w:val="24"/>
          <w:szCs w:val="24"/>
        </w:rPr>
      </w:pPr>
      <w:r w:rsidRPr="004268C2">
        <w:rPr>
          <w:sz w:val="24"/>
          <w:szCs w:val="24"/>
        </w:rPr>
        <w:t xml:space="preserve">When engaging with the female she stated she was lying in the road hoping that a car would smash her head open. It was very apparent that she was highly intoxicated and she confirmed she was under the influence of drugs. Through further conversation with her, we were able to establish that her 23 year old son was at </w:t>
      </w:r>
      <w:r w:rsidRPr="004268C2">
        <w:rPr>
          <w:sz w:val="24"/>
          <w:szCs w:val="24"/>
        </w:rPr>
        <w:lastRenderedPageBreak/>
        <w:t xml:space="preserve">home and decided the most appropriate course of action was to take her home and leave her in the care of her son. On arrival at her home address, I searched the property to try and find the son. However, it soon became apparent that he was not there and I was astounded to find two young children home alone in bed. My presence had woken them and through engaging with them, they informed me their older brother didn’t live there, hadn’t been there overnight and that they had been home alone all night. </w:t>
      </w:r>
    </w:p>
    <w:p w14:paraId="59F8AA0D" w14:textId="77777777" w:rsidR="004268C2" w:rsidRPr="004268C2" w:rsidRDefault="004268C2" w:rsidP="004268C2">
      <w:pPr>
        <w:spacing w:line="360" w:lineRule="auto"/>
        <w:ind w:right="237"/>
        <w:jc w:val="both"/>
        <w:rPr>
          <w:sz w:val="24"/>
          <w:szCs w:val="24"/>
        </w:rPr>
      </w:pPr>
    </w:p>
    <w:p w14:paraId="33A08905" w14:textId="120B257E" w:rsidR="004268C2" w:rsidRDefault="004268C2" w:rsidP="004268C2">
      <w:pPr>
        <w:spacing w:line="360" w:lineRule="auto"/>
        <w:ind w:right="237"/>
        <w:jc w:val="both"/>
        <w:rPr>
          <w:sz w:val="24"/>
          <w:szCs w:val="24"/>
        </w:rPr>
      </w:pPr>
      <w:r w:rsidRPr="004268C2">
        <w:rPr>
          <w:sz w:val="24"/>
          <w:szCs w:val="24"/>
        </w:rPr>
        <w:t xml:space="preserve">Consequently, measures to safeguard the children were made, the female was arrested for child neglect, and this began a criminal investigation requiring a multi-agency approach. </w:t>
      </w:r>
    </w:p>
    <w:p w14:paraId="50AA008E" w14:textId="77777777" w:rsidR="004268C2" w:rsidRPr="004268C2" w:rsidRDefault="004268C2" w:rsidP="004268C2">
      <w:pPr>
        <w:spacing w:line="360" w:lineRule="auto"/>
        <w:ind w:right="237"/>
        <w:jc w:val="both"/>
        <w:rPr>
          <w:sz w:val="24"/>
          <w:szCs w:val="24"/>
        </w:rPr>
      </w:pPr>
    </w:p>
    <w:p w14:paraId="30B5458E" w14:textId="37DC547A" w:rsidR="004268C2" w:rsidRDefault="004268C2" w:rsidP="004268C2">
      <w:pPr>
        <w:spacing w:line="360" w:lineRule="auto"/>
        <w:ind w:right="237"/>
        <w:jc w:val="both"/>
        <w:rPr>
          <w:sz w:val="24"/>
          <w:szCs w:val="24"/>
        </w:rPr>
      </w:pPr>
      <w:r w:rsidRPr="004268C2">
        <w:rPr>
          <w:sz w:val="24"/>
          <w:szCs w:val="24"/>
        </w:rPr>
        <w:t>There are many social and legislative contexts in relation to this incident. The female was a single mother with a low income, suffering from drug and alcohol issues with no family support network. She was also a high domestic violence victim of her ex-partner. It came to light that she was already involved with Social Services and she had expressed her mistrust towards them as she felt they weren’t supporting her and she does not get on with her Social Worker.</w:t>
      </w:r>
    </w:p>
    <w:p w14:paraId="1AA1AF4E" w14:textId="77777777" w:rsidR="004268C2" w:rsidRPr="004268C2" w:rsidRDefault="004268C2" w:rsidP="004268C2">
      <w:pPr>
        <w:spacing w:line="360" w:lineRule="auto"/>
        <w:ind w:right="237"/>
        <w:jc w:val="both"/>
        <w:rPr>
          <w:sz w:val="24"/>
          <w:szCs w:val="24"/>
        </w:rPr>
      </w:pPr>
    </w:p>
    <w:p w14:paraId="353A3007" w14:textId="2689A68E" w:rsidR="004268C2" w:rsidRDefault="004268C2" w:rsidP="004268C2">
      <w:pPr>
        <w:spacing w:line="360" w:lineRule="auto"/>
        <w:ind w:right="237"/>
        <w:jc w:val="both"/>
        <w:rPr>
          <w:sz w:val="24"/>
          <w:szCs w:val="24"/>
        </w:rPr>
      </w:pPr>
      <w:r w:rsidRPr="004268C2">
        <w:rPr>
          <w:sz w:val="24"/>
          <w:szCs w:val="24"/>
        </w:rPr>
        <w:t>A number of relevant authorities are required by the Crime and Disorder Act (1998) to cooperate together to minimise crime and disorder. These authorities include the police, local council authorities, health boards, fire and rescue services and the probation service.</w:t>
      </w:r>
    </w:p>
    <w:p w14:paraId="09C75D72" w14:textId="77777777" w:rsidR="004268C2" w:rsidRPr="004268C2" w:rsidRDefault="004268C2" w:rsidP="004268C2">
      <w:pPr>
        <w:spacing w:line="360" w:lineRule="auto"/>
        <w:ind w:right="237"/>
        <w:jc w:val="both"/>
        <w:rPr>
          <w:sz w:val="24"/>
          <w:szCs w:val="24"/>
        </w:rPr>
      </w:pPr>
    </w:p>
    <w:p w14:paraId="14515569" w14:textId="7DFA7D03" w:rsidR="004268C2" w:rsidRDefault="004268C2" w:rsidP="004268C2">
      <w:pPr>
        <w:spacing w:line="360" w:lineRule="auto"/>
        <w:ind w:right="237"/>
        <w:jc w:val="both"/>
        <w:rPr>
          <w:sz w:val="24"/>
          <w:szCs w:val="24"/>
        </w:rPr>
      </w:pPr>
      <w:r w:rsidRPr="004268C2">
        <w:rPr>
          <w:sz w:val="24"/>
          <w:szCs w:val="24"/>
        </w:rPr>
        <w:t>My first thought when considering a multi-agency approach was to safeguard the children. I recognised the threat posed to them by their mother and the fact that she had also committed a criminal offence of child cruelty under Section 1 of Child and Young Persons Act (1933). I was also aware I had police powers to remove the children due to my concerns. Under section 46 of the Children Act (1989), a constable may remove a child to suitable accommodation, if they believe a child would otherwise come to significant harm.</w:t>
      </w:r>
    </w:p>
    <w:p w14:paraId="0D9AD8EC" w14:textId="77777777" w:rsidR="004268C2" w:rsidRPr="004268C2" w:rsidRDefault="004268C2" w:rsidP="004268C2">
      <w:pPr>
        <w:spacing w:line="360" w:lineRule="auto"/>
        <w:ind w:right="237"/>
        <w:jc w:val="both"/>
        <w:rPr>
          <w:sz w:val="24"/>
          <w:szCs w:val="24"/>
        </w:rPr>
      </w:pPr>
    </w:p>
    <w:p w14:paraId="0F4660F5" w14:textId="2BB5DE71" w:rsidR="004268C2" w:rsidRDefault="004268C2" w:rsidP="004268C2">
      <w:pPr>
        <w:spacing w:line="360" w:lineRule="auto"/>
        <w:ind w:right="237"/>
        <w:jc w:val="both"/>
        <w:rPr>
          <w:sz w:val="24"/>
          <w:szCs w:val="24"/>
        </w:rPr>
      </w:pPr>
      <w:r w:rsidRPr="004268C2">
        <w:rPr>
          <w:sz w:val="24"/>
          <w:szCs w:val="24"/>
        </w:rPr>
        <w:lastRenderedPageBreak/>
        <w:t>However, after carrying out some checks on police systems, it revealed that the female had also been arrested a few months prior to this incident for the same offence of child neglect. Therefore, I was aware that the family may well be known to Social Services, so decided it was more appropriate to seek advice from the emergency duty team first, who advised me that they family were already involved with Social Services, and that they would make arrangements to accommodate the children with family as they had during the previous incident.</w:t>
      </w:r>
    </w:p>
    <w:p w14:paraId="7B2363B9" w14:textId="77777777" w:rsidR="004268C2" w:rsidRPr="004268C2" w:rsidRDefault="004268C2" w:rsidP="004268C2">
      <w:pPr>
        <w:spacing w:line="360" w:lineRule="auto"/>
        <w:ind w:right="237"/>
        <w:jc w:val="both"/>
        <w:rPr>
          <w:sz w:val="24"/>
          <w:szCs w:val="24"/>
        </w:rPr>
      </w:pPr>
    </w:p>
    <w:p w14:paraId="1A02593E" w14:textId="2865AFCB" w:rsidR="004268C2" w:rsidRDefault="004268C2" w:rsidP="004268C2">
      <w:pPr>
        <w:spacing w:line="360" w:lineRule="auto"/>
        <w:ind w:right="237"/>
        <w:jc w:val="both"/>
        <w:rPr>
          <w:sz w:val="24"/>
          <w:szCs w:val="24"/>
        </w:rPr>
      </w:pPr>
      <w:r w:rsidRPr="004268C2">
        <w:rPr>
          <w:sz w:val="24"/>
          <w:szCs w:val="24"/>
        </w:rPr>
        <w:t xml:space="preserve">Knowing that this was the second incident of child neglect within a matter of months increased the severity of the situation. It was apparent to me that a much wider multi-agency approach was necessary not just to support the children (the victims in this case) but also the suspect. As this was a repeat incident it was clear that the suspect required more support and would need to engage with other agencies such as drug and alcohol services and mental health services too. Therefore, I took this into consideration when considering my relevant safeguarding methods such as a Public Protection Notice for her as well as the children. </w:t>
      </w:r>
    </w:p>
    <w:p w14:paraId="6015B524" w14:textId="77777777" w:rsidR="004268C2" w:rsidRPr="004268C2" w:rsidRDefault="004268C2" w:rsidP="004268C2">
      <w:pPr>
        <w:spacing w:line="360" w:lineRule="auto"/>
        <w:ind w:right="237"/>
        <w:jc w:val="both"/>
        <w:rPr>
          <w:sz w:val="24"/>
          <w:szCs w:val="24"/>
        </w:rPr>
      </w:pPr>
    </w:p>
    <w:p w14:paraId="672668E0" w14:textId="753A38EB" w:rsidR="004268C2" w:rsidRDefault="004268C2" w:rsidP="004268C2">
      <w:pPr>
        <w:spacing w:line="360" w:lineRule="auto"/>
        <w:ind w:right="237"/>
        <w:jc w:val="both"/>
        <w:rPr>
          <w:sz w:val="24"/>
          <w:szCs w:val="24"/>
        </w:rPr>
      </w:pPr>
      <w:r w:rsidRPr="004268C2">
        <w:rPr>
          <w:sz w:val="24"/>
          <w:szCs w:val="24"/>
        </w:rPr>
        <w:t>I was aware that the Criminal Prosecution Service (CPS) would be another agency that would be involved. Therefore, whilst in attendance at the incident I ensured I captured as much evidence as possible for example utilising by body worn camera to capture the demeanour of the suspect and children, the accounts from the children and the condition of the address.</w:t>
      </w:r>
    </w:p>
    <w:p w14:paraId="55A67858" w14:textId="77777777" w:rsidR="004268C2" w:rsidRPr="004268C2" w:rsidRDefault="004268C2" w:rsidP="004268C2">
      <w:pPr>
        <w:spacing w:line="360" w:lineRule="auto"/>
        <w:ind w:right="237"/>
        <w:jc w:val="both"/>
        <w:rPr>
          <w:sz w:val="24"/>
          <w:szCs w:val="24"/>
        </w:rPr>
      </w:pPr>
    </w:p>
    <w:p w14:paraId="479252E9" w14:textId="211B0510" w:rsidR="004268C2" w:rsidRDefault="004268C2" w:rsidP="004268C2">
      <w:pPr>
        <w:spacing w:line="360" w:lineRule="auto"/>
        <w:ind w:right="237"/>
        <w:jc w:val="both"/>
        <w:rPr>
          <w:sz w:val="24"/>
          <w:szCs w:val="24"/>
        </w:rPr>
      </w:pPr>
      <w:r w:rsidRPr="004268C2">
        <w:rPr>
          <w:sz w:val="24"/>
          <w:szCs w:val="24"/>
        </w:rPr>
        <w:t>I felt the most appropriate course of action was to arrest the female. I did consider contacting the crisis team in relation to the suicidal ideation she had expressed. However, from further conversation with her I felt this was due to her intoxication. I was aware that she was in no fit state to be in the care and control of her children and felt that arresting her was also the best method of safeguarding her. By arresting her she would be safeguarded in custody and if necessary she could receive a mental health assessment there.</w:t>
      </w:r>
    </w:p>
    <w:p w14:paraId="249E0258" w14:textId="77777777" w:rsidR="004268C2" w:rsidRPr="004268C2" w:rsidRDefault="004268C2" w:rsidP="004268C2">
      <w:pPr>
        <w:spacing w:line="360" w:lineRule="auto"/>
        <w:ind w:right="237"/>
        <w:jc w:val="both"/>
        <w:rPr>
          <w:sz w:val="24"/>
          <w:szCs w:val="24"/>
        </w:rPr>
      </w:pPr>
    </w:p>
    <w:p w14:paraId="53837FF2" w14:textId="0B9F0F6B" w:rsidR="004268C2" w:rsidRDefault="004268C2" w:rsidP="004268C2">
      <w:pPr>
        <w:spacing w:line="360" w:lineRule="auto"/>
        <w:ind w:right="237"/>
        <w:jc w:val="both"/>
        <w:rPr>
          <w:sz w:val="24"/>
          <w:szCs w:val="24"/>
        </w:rPr>
      </w:pPr>
      <w:r w:rsidRPr="004268C2">
        <w:rPr>
          <w:sz w:val="24"/>
          <w:szCs w:val="24"/>
        </w:rPr>
        <w:t xml:space="preserve">After I interviewed the female she was placed on police bail while further enquiries were carried out, such as liaison with Social Services in relation to their </w:t>
      </w:r>
      <w:r w:rsidRPr="004268C2">
        <w:rPr>
          <w:sz w:val="24"/>
          <w:szCs w:val="24"/>
        </w:rPr>
        <w:lastRenderedPageBreak/>
        <w:t xml:space="preserve">investigations. After gathering and collating all the evidence in this case, I produced a case file with was submitted to CPS for a charging decision. </w:t>
      </w:r>
    </w:p>
    <w:p w14:paraId="701F3C28" w14:textId="77777777" w:rsidR="004268C2" w:rsidRPr="004268C2" w:rsidRDefault="004268C2" w:rsidP="004268C2">
      <w:pPr>
        <w:spacing w:line="360" w:lineRule="auto"/>
        <w:ind w:right="237"/>
        <w:jc w:val="both"/>
        <w:rPr>
          <w:sz w:val="24"/>
          <w:szCs w:val="24"/>
        </w:rPr>
      </w:pPr>
    </w:p>
    <w:p w14:paraId="76D055CE" w14:textId="7268B78C" w:rsidR="004268C2" w:rsidRDefault="004268C2" w:rsidP="004268C2">
      <w:pPr>
        <w:spacing w:line="360" w:lineRule="auto"/>
        <w:ind w:right="237"/>
        <w:jc w:val="both"/>
        <w:rPr>
          <w:sz w:val="24"/>
          <w:szCs w:val="24"/>
        </w:rPr>
      </w:pPr>
      <w:r w:rsidRPr="004268C2">
        <w:rPr>
          <w:sz w:val="24"/>
          <w:szCs w:val="24"/>
        </w:rPr>
        <w:t xml:space="preserve">My intervention in this incident was vital. The initial call was a concern for the female’s safety as she was lying in the road. She was also posing a threat to the public and my intervention was necessary to prevent any harm or injury coming to herself or the public. My intervention to safeguard the children was also essential. The children had already spent the night at risk of harm from being home alone and it was clear that the female in her intoxicated state posed even more of a threat to them, especially as this was a repeat incident within a matter of months. </w:t>
      </w:r>
    </w:p>
    <w:p w14:paraId="365669ED" w14:textId="77777777" w:rsidR="004268C2" w:rsidRPr="004268C2" w:rsidRDefault="004268C2" w:rsidP="004268C2">
      <w:pPr>
        <w:spacing w:line="360" w:lineRule="auto"/>
        <w:ind w:right="237"/>
        <w:jc w:val="both"/>
        <w:rPr>
          <w:sz w:val="24"/>
          <w:szCs w:val="24"/>
        </w:rPr>
      </w:pPr>
    </w:p>
    <w:p w14:paraId="3178B972" w14:textId="3D4E1A29" w:rsidR="004268C2" w:rsidRDefault="004268C2" w:rsidP="004268C2">
      <w:pPr>
        <w:spacing w:line="360" w:lineRule="auto"/>
        <w:ind w:right="237"/>
        <w:jc w:val="both"/>
        <w:rPr>
          <w:sz w:val="24"/>
          <w:szCs w:val="24"/>
        </w:rPr>
      </w:pPr>
      <w:r w:rsidRPr="004268C2">
        <w:rPr>
          <w:sz w:val="24"/>
          <w:szCs w:val="24"/>
        </w:rPr>
        <w:t>I was also conscious of the impact the social issues involved with this family could have on the children. Traumatic and stressful incidents that children experience during childhood are known Adverse Childhood Experiences (ACES). These include: sexual, physical and verbal abuse, parental separation, mental health, drug use, alcohol abuse, parental incarceration and domestic violence. Research has shown that when children are exposed to these experiences that they can have lifelong damaging effects on a child’s health and wellbeing. Research also suggests that they can also go on to adopt these behaviours later on in life too. (Public Health Wales, 2015)</w:t>
      </w:r>
    </w:p>
    <w:p w14:paraId="784E7A8C" w14:textId="77777777" w:rsidR="004268C2" w:rsidRPr="004268C2" w:rsidRDefault="004268C2" w:rsidP="004268C2">
      <w:pPr>
        <w:spacing w:line="360" w:lineRule="auto"/>
        <w:ind w:right="237"/>
        <w:jc w:val="both"/>
        <w:rPr>
          <w:sz w:val="24"/>
          <w:szCs w:val="24"/>
        </w:rPr>
      </w:pPr>
    </w:p>
    <w:p w14:paraId="7F6F1CC2" w14:textId="47964F5D" w:rsidR="004268C2" w:rsidRDefault="004268C2" w:rsidP="004268C2">
      <w:pPr>
        <w:spacing w:line="360" w:lineRule="auto"/>
        <w:ind w:right="237"/>
        <w:jc w:val="both"/>
        <w:rPr>
          <w:sz w:val="24"/>
          <w:szCs w:val="24"/>
        </w:rPr>
      </w:pPr>
      <w:r w:rsidRPr="004268C2">
        <w:rPr>
          <w:sz w:val="24"/>
          <w:szCs w:val="24"/>
        </w:rPr>
        <w:t xml:space="preserve">I was aware that my intervention also had potential consequences. I was conscious that having the children removed would affect their wellbeing as despite the circumstances they were found in they did express their love for their mother and that they didn’t want to leave their home. I was also aware that </w:t>
      </w:r>
      <w:r>
        <w:rPr>
          <w:sz w:val="24"/>
          <w:szCs w:val="24"/>
        </w:rPr>
        <w:t xml:space="preserve">this was a negative experience with the police for the family, which may affect their perception of the police in the future. </w:t>
      </w:r>
      <w:r w:rsidRPr="004268C2">
        <w:rPr>
          <w:sz w:val="24"/>
          <w:szCs w:val="24"/>
        </w:rPr>
        <w:t>However, my duty to safeguard all members of the family took priority and even though it maybe wasn’t the most desirable course of action, I definitely feel upon reflection that it was the most appropriate.</w:t>
      </w:r>
    </w:p>
    <w:p w14:paraId="6C6F6F22" w14:textId="77777777" w:rsidR="004268C2" w:rsidRPr="004268C2" w:rsidRDefault="004268C2" w:rsidP="004268C2">
      <w:pPr>
        <w:spacing w:line="360" w:lineRule="auto"/>
        <w:ind w:right="237"/>
        <w:jc w:val="both"/>
        <w:rPr>
          <w:sz w:val="24"/>
          <w:szCs w:val="24"/>
        </w:rPr>
      </w:pPr>
    </w:p>
    <w:p w14:paraId="64AF3037" w14:textId="33C0F99F" w:rsidR="004268C2" w:rsidRPr="004268C2" w:rsidRDefault="004268C2" w:rsidP="004268C2">
      <w:pPr>
        <w:spacing w:line="360" w:lineRule="auto"/>
        <w:ind w:right="237"/>
        <w:jc w:val="both"/>
        <w:rPr>
          <w:sz w:val="24"/>
          <w:szCs w:val="24"/>
        </w:rPr>
      </w:pPr>
      <w:r w:rsidRPr="004268C2">
        <w:rPr>
          <w:sz w:val="24"/>
          <w:szCs w:val="24"/>
        </w:rPr>
        <w:t xml:space="preserve">In conclusion, this incident ended in breaking up a family unit. It did not feel particularly good to do so, however I felt reassured knowing that my intervention not only safeguarded the victims, but safeguarded the suspect too. As a result of the </w:t>
      </w:r>
      <w:r w:rsidRPr="004268C2">
        <w:rPr>
          <w:sz w:val="24"/>
          <w:szCs w:val="24"/>
        </w:rPr>
        <w:lastRenderedPageBreak/>
        <w:t>multi-agency approach, I was able to get a charge of child cruelty against the subject and was able to get the family the addition intervention they needed.</w:t>
      </w:r>
    </w:p>
    <w:p w14:paraId="0D352946" w14:textId="77777777" w:rsidR="004268C2" w:rsidRPr="004268C2" w:rsidRDefault="004268C2" w:rsidP="004268C2">
      <w:pPr>
        <w:spacing w:line="360" w:lineRule="auto"/>
        <w:ind w:right="237"/>
        <w:jc w:val="both"/>
        <w:rPr>
          <w:sz w:val="24"/>
          <w:szCs w:val="24"/>
        </w:rPr>
      </w:pPr>
    </w:p>
    <w:p w14:paraId="4FD153EF" w14:textId="5F181B85" w:rsidR="004268C2" w:rsidRPr="004268C2" w:rsidRDefault="004268C2" w:rsidP="004268C2">
      <w:pPr>
        <w:spacing w:line="360" w:lineRule="auto"/>
        <w:ind w:right="237"/>
        <w:jc w:val="both"/>
        <w:rPr>
          <w:sz w:val="24"/>
          <w:szCs w:val="24"/>
        </w:rPr>
      </w:pPr>
      <w:r>
        <w:rPr>
          <w:sz w:val="24"/>
          <w:szCs w:val="24"/>
        </w:rPr>
        <w:t>Word count 1303</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7738AA66" w14:textId="77777777" w:rsidR="005A0693" w:rsidRPr="005A0693" w:rsidRDefault="005A0693" w:rsidP="0063519E">
      <w:pPr>
        <w:ind w:right="237"/>
        <w:jc w:val="both"/>
        <w:rPr>
          <w:color w:val="00B050"/>
          <w:sz w:val="24"/>
          <w:szCs w:val="24"/>
        </w:rPr>
      </w:pPr>
    </w:p>
    <w:p w14:paraId="6FA308E4" w14:textId="77777777" w:rsidR="00E12096" w:rsidRDefault="00E12096" w:rsidP="0063519E">
      <w:pPr>
        <w:ind w:right="237"/>
        <w:jc w:val="both"/>
        <w:rPr>
          <w:sz w:val="24"/>
          <w:szCs w:val="24"/>
        </w:rPr>
      </w:pPr>
    </w:p>
    <w:p w14:paraId="229CB2F6" w14:textId="77777777" w:rsidR="00E12096" w:rsidRDefault="00E12096" w:rsidP="0063519E">
      <w:pPr>
        <w:ind w:right="237"/>
        <w:jc w:val="both"/>
        <w:rPr>
          <w:sz w:val="24"/>
          <w:szCs w:val="24"/>
        </w:rPr>
      </w:pPr>
    </w:p>
    <w:p w14:paraId="264E9EAD" w14:textId="77777777" w:rsidR="004268C2" w:rsidRDefault="004268C2" w:rsidP="5B63D80E">
      <w:pPr>
        <w:ind w:right="237"/>
        <w:jc w:val="center"/>
        <w:rPr>
          <w:sz w:val="24"/>
          <w:szCs w:val="24"/>
        </w:rPr>
      </w:pPr>
    </w:p>
    <w:p w14:paraId="31FC429E" w14:textId="77777777" w:rsidR="004268C2" w:rsidRDefault="004268C2" w:rsidP="5B63D80E">
      <w:pPr>
        <w:ind w:right="237"/>
        <w:jc w:val="center"/>
        <w:rPr>
          <w:sz w:val="24"/>
          <w:szCs w:val="24"/>
        </w:rPr>
      </w:pPr>
    </w:p>
    <w:p w14:paraId="5410FC87" w14:textId="77777777" w:rsidR="004268C2" w:rsidRDefault="004268C2" w:rsidP="5B63D80E">
      <w:pPr>
        <w:ind w:right="237"/>
        <w:jc w:val="center"/>
        <w:rPr>
          <w:sz w:val="24"/>
          <w:szCs w:val="24"/>
        </w:rPr>
      </w:pPr>
    </w:p>
    <w:p w14:paraId="2110B6EB" w14:textId="77777777" w:rsidR="004268C2" w:rsidRDefault="004268C2" w:rsidP="5B63D80E">
      <w:pPr>
        <w:ind w:right="237"/>
        <w:jc w:val="center"/>
        <w:rPr>
          <w:sz w:val="24"/>
          <w:szCs w:val="24"/>
        </w:rPr>
      </w:pPr>
    </w:p>
    <w:p w14:paraId="0C6D411C" w14:textId="77777777" w:rsidR="004268C2" w:rsidRDefault="004268C2" w:rsidP="5B63D80E">
      <w:pPr>
        <w:ind w:right="237"/>
        <w:jc w:val="center"/>
        <w:rPr>
          <w:sz w:val="24"/>
          <w:szCs w:val="24"/>
        </w:rPr>
      </w:pPr>
    </w:p>
    <w:p w14:paraId="3D6CF524" w14:textId="77777777" w:rsidR="004268C2" w:rsidRDefault="004268C2" w:rsidP="5B63D80E">
      <w:pPr>
        <w:ind w:right="237"/>
        <w:jc w:val="center"/>
        <w:rPr>
          <w:sz w:val="24"/>
          <w:szCs w:val="24"/>
        </w:rPr>
      </w:pPr>
    </w:p>
    <w:p w14:paraId="3E070796" w14:textId="77777777" w:rsidR="004268C2" w:rsidRDefault="004268C2" w:rsidP="5B63D80E">
      <w:pPr>
        <w:ind w:right="237"/>
        <w:jc w:val="center"/>
        <w:rPr>
          <w:sz w:val="24"/>
          <w:szCs w:val="24"/>
        </w:rPr>
      </w:pPr>
    </w:p>
    <w:p w14:paraId="78352B77" w14:textId="49DBC5AD" w:rsidR="004268C2" w:rsidRDefault="004268C2" w:rsidP="5B63D80E">
      <w:pPr>
        <w:ind w:right="237"/>
        <w:jc w:val="center"/>
        <w:rPr>
          <w:sz w:val="24"/>
          <w:szCs w:val="24"/>
        </w:rPr>
      </w:pPr>
    </w:p>
    <w:p w14:paraId="0F3B62DB" w14:textId="556327EF" w:rsidR="004268C2" w:rsidRDefault="004268C2" w:rsidP="5B63D80E">
      <w:pPr>
        <w:ind w:right="237"/>
        <w:jc w:val="center"/>
        <w:rPr>
          <w:sz w:val="24"/>
          <w:szCs w:val="24"/>
        </w:rPr>
      </w:pPr>
    </w:p>
    <w:p w14:paraId="57FFCF98" w14:textId="15E4548B" w:rsidR="004268C2" w:rsidRDefault="004268C2" w:rsidP="5B63D80E">
      <w:pPr>
        <w:ind w:right="237"/>
        <w:jc w:val="center"/>
        <w:rPr>
          <w:sz w:val="24"/>
          <w:szCs w:val="24"/>
        </w:rPr>
      </w:pPr>
    </w:p>
    <w:p w14:paraId="738C13FD" w14:textId="51162DCA" w:rsidR="004268C2" w:rsidRDefault="004268C2" w:rsidP="5B63D80E">
      <w:pPr>
        <w:ind w:right="237"/>
        <w:jc w:val="center"/>
        <w:rPr>
          <w:sz w:val="24"/>
          <w:szCs w:val="24"/>
        </w:rPr>
      </w:pPr>
    </w:p>
    <w:p w14:paraId="5AE78B54" w14:textId="4BEB3C7A" w:rsidR="004268C2" w:rsidRDefault="004268C2" w:rsidP="5B63D80E">
      <w:pPr>
        <w:ind w:right="237"/>
        <w:jc w:val="center"/>
        <w:rPr>
          <w:sz w:val="24"/>
          <w:szCs w:val="24"/>
        </w:rPr>
      </w:pPr>
    </w:p>
    <w:p w14:paraId="1A7BE399" w14:textId="6D7D57A9" w:rsidR="004268C2" w:rsidRDefault="004268C2" w:rsidP="5B63D80E">
      <w:pPr>
        <w:ind w:right="237"/>
        <w:jc w:val="center"/>
        <w:rPr>
          <w:sz w:val="24"/>
          <w:szCs w:val="24"/>
        </w:rPr>
      </w:pPr>
    </w:p>
    <w:p w14:paraId="7C98DEDC" w14:textId="46110B52" w:rsidR="004268C2" w:rsidRDefault="004268C2" w:rsidP="5B63D80E">
      <w:pPr>
        <w:ind w:right="237"/>
        <w:jc w:val="center"/>
        <w:rPr>
          <w:sz w:val="24"/>
          <w:szCs w:val="24"/>
        </w:rPr>
      </w:pPr>
    </w:p>
    <w:p w14:paraId="16EC173E" w14:textId="133C0D0E" w:rsidR="004268C2" w:rsidRDefault="004268C2" w:rsidP="5B63D80E">
      <w:pPr>
        <w:ind w:right="237"/>
        <w:jc w:val="center"/>
        <w:rPr>
          <w:sz w:val="24"/>
          <w:szCs w:val="24"/>
        </w:rPr>
      </w:pPr>
    </w:p>
    <w:p w14:paraId="01CD8FC2" w14:textId="319621EB" w:rsidR="004268C2" w:rsidRDefault="004268C2" w:rsidP="5B63D80E">
      <w:pPr>
        <w:ind w:right="237"/>
        <w:jc w:val="center"/>
        <w:rPr>
          <w:sz w:val="24"/>
          <w:szCs w:val="24"/>
        </w:rPr>
      </w:pPr>
    </w:p>
    <w:p w14:paraId="67A004C4" w14:textId="66A4566A" w:rsidR="004268C2" w:rsidRDefault="004268C2" w:rsidP="5B63D80E">
      <w:pPr>
        <w:ind w:right="237"/>
        <w:jc w:val="center"/>
        <w:rPr>
          <w:sz w:val="24"/>
          <w:szCs w:val="24"/>
        </w:rPr>
      </w:pPr>
    </w:p>
    <w:p w14:paraId="4993FD45" w14:textId="441390AD" w:rsidR="004268C2" w:rsidRDefault="004268C2" w:rsidP="5B63D80E">
      <w:pPr>
        <w:ind w:right="237"/>
        <w:jc w:val="center"/>
        <w:rPr>
          <w:sz w:val="24"/>
          <w:szCs w:val="24"/>
        </w:rPr>
      </w:pPr>
    </w:p>
    <w:p w14:paraId="3DA20395" w14:textId="5EE7B433" w:rsidR="004268C2" w:rsidRDefault="004268C2" w:rsidP="5B63D80E">
      <w:pPr>
        <w:ind w:right="237"/>
        <w:jc w:val="center"/>
        <w:rPr>
          <w:sz w:val="24"/>
          <w:szCs w:val="24"/>
        </w:rPr>
      </w:pPr>
    </w:p>
    <w:p w14:paraId="79F904C1" w14:textId="41116334" w:rsidR="004268C2" w:rsidRDefault="004268C2" w:rsidP="5B63D80E">
      <w:pPr>
        <w:ind w:right="237"/>
        <w:jc w:val="center"/>
        <w:rPr>
          <w:sz w:val="24"/>
          <w:szCs w:val="24"/>
        </w:rPr>
      </w:pPr>
    </w:p>
    <w:p w14:paraId="5317A851" w14:textId="7C006E3D" w:rsidR="004268C2" w:rsidRDefault="004268C2" w:rsidP="5B63D80E">
      <w:pPr>
        <w:ind w:right="237"/>
        <w:jc w:val="center"/>
        <w:rPr>
          <w:sz w:val="24"/>
          <w:szCs w:val="24"/>
        </w:rPr>
      </w:pPr>
    </w:p>
    <w:p w14:paraId="379214BE" w14:textId="128DB992" w:rsidR="004268C2" w:rsidRDefault="004268C2" w:rsidP="5B63D80E">
      <w:pPr>
        <w:ind w:right="237"/>
        <w:jc w:val="center"/>
        <w:rPr>
          <w:sz w:val="24"/>
          <w:szCs w:val="24"/>
        </w:rPr>
      </w:pPr>
    </w:p>
    <w:p w14:paraId="6214C95D" w14:textId="66E56842" w:rsidR="004268C2" w:rsidRDefault="004268C2" w:rsidP="5B63D80E">
      <w:pPr>
        <w:ind w:right="237"/>
        <w:jc w:val="center"/>
        <w:rPr>
          <w:sz w:val="24"/>
          <w:szCs w:val="24"/>
        </w:rPr>
      </w:pPr>
    </w:p>
    <w:p w14:paraId="09DD8A8A" w14:textId="0CD3A44A" w:rsidR="004268C2" w:rsidRDefault="004268C2" w:rsidP="5B63D80E">
      <w:pPr>
        <w:ind w:right="237"/>
        <w:jc w:val="center"/>
        <w:rPr>
          <w:sz w:val="24"/>
          <w:szCs w:val="24"/>
        </w:rPr>
      </w:pPr>
    </w:p>
    <w:p w14:paraId="2E5267A7" w14:textId="61C8128C" w:rsidR="004268C2" w:rsidRDefault="004268C2" w:rsidP="5B63D80E">
      <w:pPr>
        <w:ind w:right="237"/>
        <w:jc w:val="center"/>
        <w:rPr>
          <w:sz w:val="24"/>
          <w:szCs w:val="24"/>
        </w:rPr>
      </w:pPr>
    </w:p>
    <w:p w14:paraId="537C6F55" w14:textId="1668D9C5" w:rsidR="004268C2" w:rsidRDefault="004268C2" w:rsidP="5B63D80E">
      <w:pPr>
        <w:ind w:right="237"/>
        <w:jc w:val="center"/>
        <w:rPr>
          <w:sz w:val="24"/>
          <w:szCs w:val="24"/>
        </w:rPr>
      </w:pPr>
    </w:p>
    <w:p w14:paraId="4F770DAB" w14:textId="1B466869" w:rsidR="004268C2" w:rsidRDefault="004268C2" w:rsidP="5B63D80E">
      <w:pPr>
        <w:ind w:right="237"/>
        <w:jc w:val="center"/>
        <w:rPr>
          <w:sz w:val="24"/>
          <w:szCs w:val="24"/>
        </w:rPr>
      </w:pPr>
    </w:p>
    <w:p w14:paraId="77204721" w14:textId="45BEE8A5" w:rsidR="004268C2" w:rsidRDefault="004268C2" w:rsidP="5B63D80E">
      <w:pPr>
        <w:ind w:right="237"/>
        <w:jc w:val="center"/>
        <w:rPr>
          <w:sz w:val="24"/>
          <w:szCs w:val="24"/>
        </w:rPr>
      </w:pPr>
    </w:p>
    <w:p w14:paraId="47EFE61F" w14:textId="4CE15E53" w:rsidR="004268C2" w:rsidRDefault="004268C2" w:rsidP="5B63D80E">
      <w:pPr>
        <w:ind w:right="237"/>
        <w:jc w:val="center"/>
        <w:rPr>
          <w:sz w:val="24"/>
          <w:szCs w:val="24"/>
        </w:rPr>
      </w:pPr>
    </w:p>
    <w:p w14:paraId="7CEC73F6" w14:textId="439A5566" w:rsidR="004268C2" w:rsidRDefault="004268C2" w:rsidP="5B63D80E">
      <w:pPr>
        <w:ind w:right="237"/>
        <w:jc w:val="center"/>
        <w:rPr>
          <w:sz w:val="24"/>
          <w:szCs w:val="24"/>
        </w:rPr>
      </w:pPr>
    </w:p>
    <w:p w14:paraId="12CAF79C" w14:textId="434DDF5A" w:rsidR="004268C2" w:rsidRDefault="004268C2" w:rsidP="5B63D80E">
      <w:pPr>
        <w:ind w:right="237"/>
        <w:jc w:val="center"/>
        <w:rPr>
          <w:sz w:val="24"/>
          <w:szCs w:val="24"/>
        </w:rPr>
      </w:pPr>
    </w:p>
    <w:p w14:paraId="1D7E6048" w14:textId="2F1E6E4A" w:rsidR="004268C2" w:rsidRDefault="004268C2" w:rsidP="5B63D80E">
      <w:pPr>
        <w:ind w:right="237"/>
        <w:jc w:val="center"/>
        <w:rPr>
          <w:sz w:val="24"/>
          <w:szCs w:val="24"/>
        </w:rPr>
      </w:pPr>
    </w:p>
    <w:p w14:paraId="3D79E06E" w14:textId="7535BD12" w:rsidR="004268C2" w:rsidRDefault="004268C2" w:rsidP="5B63D80E">
      <w:pPr>
        <w:ind w:right="237"/>
        <w:jc w:val="center"/>
        <w:rPr>
          <w:sz w:val="24"/>
          <w:szCs w:val="24"/>
        </w:rPr>
      </w:pPr>
    </w:p>
    <w:p w14:paraId="29A35334" w14:textId="26862807" w:rsidR="004268C2" w:rsidRDefault="004268C2" w:rsidP="5B63D80E">
      <w:pPr>
        <w:ind w:right="237"/>
        <w:jc w:val="center"/>
        <w:rPr>
          <w:sz w:val="24"/>
          <w:szCs w:val="24"/>
        </w:rPr>
      </w:pPr>
    </w:p>
    <w:p w14:paraId="03BA63AC" w14:textId="1363CE69" w:rsidR="004268C2" w:rsidRDefault="004268C2" w:rsidP="5B63D80E">
      <w:pPr>
        <w:ind w:right="237"/>
        <w:jc w:val="center"/>
        <w:rPr>
          <w:sz w:val="24"/>
          <w:szCs w:val="24"/>
        </w:rPr>
      </w:pPr>
    </w:p>
    <w:p w14:paraId="76F25BF2" w14:textId="5B536920" w:rsidR="004268C2" w:rsidRDefault="004268C2" w:rsidP="5B63D80E">
      <w:pPr>
        <w:ind w:right="237"/>
        <w:jc w:val="center"/>
        <w:rPr>
          <w:sz w:val="24"/>
          <w:szCs w:val="24"/>
        </w:rPr>
      </w:pPr>
    </w:p>
    <w:p w14:paraId="5BFF1C06" w14:textId="23B1EA15" w:rsidR="004268C2" w:rsidRDefault="004268C2" w:rsidP="5B63D80E">
      <w:pPr>
        <w:ind w:right="237"/>
        <w:jc w:val="center"/>
        <w:rPr>
          <w:sz w:val="24"/>
          <w:szCs w:val="24"/>
        </w:rPr>
      </w:pPr>
    </w:p>
    <w:p w14:paraId="7B6DF840" w14:textId="77777777" w:rsidR="004268C2" w:rsidRDefault="004268C2" w:rsidP="5B63D80E">
      <w:pPr>
        <w:ind w:right="237"/>
        <w:jc w:val="center"/>
        <w:rPr>
          <w:sz w:val="24"/>
          <w:szCs w:val="24"/>
        </w:rPr>
      </w:pPr>
    </w:p>
    <w:p w14:paraId="5DB5DA3D" w14:textId="04D84755" w:rsidR="5B63D80E" w:rsidRDefault="5B63D80E" w:rsidP="5B63D80E">
      <w:pPr>
        <w:ind w:right="237"/>
        <w:jc w:val="center"/>
        <w:rPr>
          <w:b/>
          <w:bCs/>
          <w:sz w:val="24"/>
          <w:szCs w:val="24"/>
        </w:rPr>
      </w:pP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00820B00">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CF79D55" w:rsidR="00820B00" w:rsidRDefault="00820B00" w:rsidP="00820B00">
            <w:pPr>
              <w:ind w:right="237"/>
              <w:jc w:val="both"/>
              <w:rPr>
                <w:rFonts w:eastAsia="Arial"/>
                <w:b/>
                <w:bCs/>
                <w:color w:val="000000" w:themeColor="text1"/>
                <w:sz w:val="24"/>
                <w:szCs w:val="24"/>
              </w:rPr>
            </w:pPr>
            <w:r w:rsidRPr="31856DE5">
              <w:rPr>
                <w:sz w:val="24"/>
                <w:szCs w:val="24"/>
              </w:rPr>
              <w:t xml:space="preserve">1400 words </w:t>
            </w:r>
            <w:r w:rsidRPr="31856DE5">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77777777" w:rsidR="5B63D80E" w:rsidRDefault="5B63D80E" w:rsidP="5B63D80E">
      <w:pPr>
        <w:ind w:right="237"/>
        <w:jc w:val="both"/>
        <w:rPr>
          <w:sz w:val="24"/>
          <w:szCs w:val="24"/>
        </w:rPr>
      </w:pPr>
    </w:p>
    <w:p w14:paraId="3EBB05A3" w14:textId="1CFAFC86" w:rsidR="004268C2" w:rsidRDefault="004268C2" w:rsidP="00977D56">
      <w:pPr>
        <w:spacing w:line="360" w:lineRule="auto"/>
        <w:ind w:right="237"/>
        <w:rPr>
          <w:sz w:val="24"/>
          <w:szCs w:val="24"/>
        </w:rPr>
      </w:pPr>
      <w:r w:rsidRPr="004268C2">
        <w:rPr>
          <w:sz w:val="24"/>
          <w:szCs w:val="24"/>
        </w:rPr>
        <w:t xml:space="preserve">I attended a third party report of a domestic assault. The victim had contacted her employer and sent them photos of a bloody nose that she stated was the result of her ex-partner assaulting her but had left the address. </w:t>
      </w:r>
    </w:p>
    <w:p w14:paraId="63B66B15" w14:textId="77777777" w:rsidR="004268C2" w:rsidRPr="004268C2" w:rsidRDefault="004268C2" w:rsidP="00977D56">
      <w:pPr>
        <w:spacing w:line="360" w:lineRule="auto"/>
        <w:ind w:right="237"/>
        <w:rPr>
          <w:sz w:val="24"/>
          <w:szCs w:val="24"/>
        </w:rPr>
      </w:pPr>
    </w:p>
    <w:p w14:paraId="2386B9F5" w14:textId="77777777" w:rsidR="004268C2" w:rsidRDefault="004268C2" w:rsidP="00977D56">
      <w:pPr>
        <w:spacing w:line="360" w:lineRule="auto"/>
        <w:ind w:right="237"/>
        <w:rPr>
          <w:sz w:val="24"/>
          <w:szCs w:val="24"/>
        </w:rPr>
      </w:pPr>
      <w:r w:rsidRPr="004268C2">
        <w:rPr>
          <w:sz w:val="24"/>
          <w:szCs w:val="24"/>
        </w:rPr>
        <w:t>On attendance, the female answered the door and I immediately noticed that her nose was swollen and had dry blood around her nose and on her face. She allowed us into her flat where there was further evidence of an assault including a face mask soaked in blood and bloody tissues on the coffee table. I explained our reason for attending, and the victim immediately stated that she didn’t want any trouble. She stated she stated that she didn’t realise that her employer would call the police.</w:t>
      </w:r>
    </w:p>
    <w:p w14:paraId="3CF1F042" w14:textId="77777777" w:rsidR="004268C2" w:rsidRDefault="004268C2" w:rsidP="00977D56">
      <w:pPr>
        <w:spacing w:line="360" w:lineRule="auto"/>
        <w:ind w:right="237"/>
        <w:rPr>
          <w:sz w:val="24"/>
          <w:szCs w:val="24"/>
        </w:rPr>
      </w:pPr>
    </w:p>
    <w:p w14:paraId="27D40267" w14:textId="7D487BBB" w:rsidR="004268C2" w:rsidRDefault="004268C2" w:rsidP="00977D56">
      <w:pPr>
        <w:spacing w:line="360" w:lineRule="auto"/>
        <w:ind w:right="237"/>
        <w:rPr>
          <w:sz w:val="24"/>
          <w:szCs w:val="24"/>
        </w:rPr>
      </w:pPr>
      <w:r w:rsidRPr="004268C2">
        <w:rPr>
          <w:sz w:val="24"/>
          <w:szCs w:val="24"/>
        </w:rPr>
        <w:t xml:space="preserve">I was aware of the female’s body language. The whole time we were speaking with her, she was sat on the sofa in a hunched position as almost looked like she was cowering. She had her jacket wrapped around her and her arms across her body and presented as very vulnerable and scared. I also noticed when she reached out to pick something up off the coffee table that her hands were shaking and throughout our encounter she was very tearful and expressed she was </w:t>
      </w:r>
      <w:r w:rsidRPr="004268C2">
        <w:rPr>
          <w:sz w:val="24"/>
          <w:szCs w:val="24"/>
        </w:rPr>
        <w:lastRenderedPageBreak/>
        <w:t>suffering with her mental health as a result of her ongoing situation. According to Cambridgeshire Police (2021), these are some indications of a domestic abuse victim.</w:t>
      </w:r>
    </w:p>
    <w:p w14:paraId="60BF9E6E" w14:textId="77777777" w:rsidR="004268C2" w:rsidRPr="004268C2" w:rsidRDefault="004268C2" w:rsidP="00977D56">
      <w:pPr>
        <w:spacing w:line="360" w:lineRule="auto"/>
        <w:ind w:right="237"/>
        <w:rPr>
          <w:sz w:val="24"/>
          <w:szCs w:val="24"/>
        </w:rPr>
      </w:pPr>
    </w:p>
    <w:p w14:paraId="0B6CE823" w14:textId="30367655" w:rsidR="004268C2" w:rsidRPr="004268C2" w:rsidRDefault="004268C2" w:rsidP="00977D56">
      <w:pPr>
        <w:spacing w:line="360" w:lineRule="auto"/>
        <w:ind w:right="237"/>
        <w:rPr>
          <w:sz w:val="24"/>
          <w:szCs w:val="24"/>
        </w:rPr>
      </w:pPr>
      <w:r w:rsidRPr="004268C2">
        <w:rPr>
          <w:sz w:val="24"/>
          <w:szCs w:val="24"/>
        </w:rPr>
        <w:t>The female was reluctant to provide us with any information in relation to the assault and kept saying that she just wanted peace. I asked her directly if it was her partner that had caused her the injury and she replied “yes" but then again said she didn’t want any trouble.</w:t>
      </w:r>
    </w:p>
    <w:p w14:paraId="6C123B76" w14:textId="3334519E" w:rsidR="004268C2" w:rsidRDefault="004268C2" w:rsidP="00977D56">
      <w:pPr>
        <w:spacing w:line="360" w:lineRule="auto"/>
        <w:ind w:right="237"/>
        <w:rPr>
          <w:sz w:val="24"/>
          <w:szCs w:val="24"/>
        </w:rPr>
      </w:pPr>
      <w:r w:rsidRPr="004268C2">
        <w:rPr>
          <w:sz w:val="24"/>
          <w:szCs w:val="24"/>
        </w:rPr>
        <w:t>She stated that her and her partner had broken up a few months however the previous evening he had turned up at her address. An argument had ensued and this had escalated resulting in her being assaulted by her ex-partner. Despite telling us details of what had happened, she was reluctant to disclose the name of her partner.</w:t>
      </w:r>
    </w:p>
    <w:p w14:paraId="792BEE9D" w14:textId="77777777" w:rsidR="004268C2" w:rsidRPr="004268C2" w:rsidRDefault="004268C2" w:rsidP="00977D56">
      <w:pPr>
        <w:spacing w:line="360" w:lineRule="auto"/>
        <w:ind w:right="237"/>
        <w:rPr>
          <w:sz w:val="24"/>
          <w:szCs w:val="24"/>
        </w:rPr>
      </w:pPr>
    </w:p>
    <w:p w14:paraId="12801947" w14:textId="7CA293BA" w:rsidR="004268C2" w:rsidRDefault="004268C2" w:rsidP="00977D56">
      <w:pPr>
        <w:spacing w:line="360" w:lineRule="auto"/>
        <w:ind w:right="237"/>
        <w:rPr>
          <w:sz w:val="24"/>
          <w:szCs w:val="24"/>
        </w:rPr>
      </w:pPr>
      <w:r w:rsidRPr="004268C2">
        <w:rPr>
          <w:sz w:val="24"/>
          <w:szCs w:val="24"/>
        </w:rPr>
        <w:t>The female mentioned a previous assault and that she was aware her ex-partner would be attending court in relation to this. Due to the mention of this I searched previous occurrences and found a male linked to multiple previous assaults. I out right asked her if the male responsible for this current assault was this male and she became very evasive and stated she did not want to say anything. She also went on to say that she had been abused her whole life and in comparison to what she had previously been through that this was “a walk in the park.” This remark really stood out to me because it seemed like she was condoning his behaviour and that she deserved it. She also kept saying that he is not a bad person and that he has a family and business and didn’t want to cause him any trouble.</w:t>
      </w:r>
    </w:p>
    <w:p w14:paraId="040A3132" w14:textId="77777777" w:rsidR="004268C2" w:rsidRPr="004268C2" w:rsidRDefault="004268C2" w:rsidP="00977D56">
      <w:pPr>
        <w:spacing w:line="360" w:lineRule="auto"/>
        <w:ind w:right="237"/>
        <w:rPr>
          <w:sz w:val="24"/>
          <w:szCs w:val="24"/>
        </w:rPr>
      </w:pPr>
    </w:p>
    <w:p w14:paraId="57567290" w14:textId="5B2D240C" w:rsidR="004268C2" w:rsidRDefault="004268C2" w:rsidP="00977D56">
      <w:pPr>
        <w:spacing w:line="360" w:lineRule="auto"/>
        <w:ind w:right="237"/>
        <w:rPr>
          <w:sz w:val="24"/>
          <w:szCs w:val="24"/>
        </w:rPr>
      </w:pPr>
      <w:r w:rsidRPr="004268C2">
        <w:rPr>
          <w:sz w:val="24"/>
          <w:szCs w:val="24"/>
        </w:rPr>
        <w:t>I felt some of her comments related to possible barriers to her seeking help. Baldry and Sebire (2016), suggest that some barriers to reporting domestic violence include: the victim not perceiving the abuse as serious, lack of knowledge of how to seek support, shame, fear of the consequences of reporting and lack of confidence and trust to report.</w:t>
      </w:r>
    </w:p>
    <w:p w14:paraId="6DCCD698" w14:textId="77777777" w:rsidR="004268C2" w:rsidRPr="004268C2" w:rsidRDefault="004268C2" w:rsidP="00977D56">
      <w:pPr>
        <w:spacing w:line="360" w:lineRule="auto"/>
        <w:ind w:right="237"/>
        <w:rPr>
          <w:sz w:val="24"/>
          <w:szCs w:val="24"/>
        </w:rPr>
      </w:pPr>
    </w:p>
    <w:p w14:paraId="2A75D9E0" w14:textId="77C7E44F" w:rsidR="004268C2" w:rsidRDefault="004268C2" w:rsidP="00977D56">
      <w:pPr>
        <w:spacing w:line="360" w:lineRule="auto"/>
        <w:ind w:right="237"/>
        <w:rPr>
          <w:sz w:val="24"/>
          <w:szCs w:val="24"/>
        </w:rPr>
      </w:pPr>
      <w:r w:rsidRPr="004268C2">
        <w:rPr>
          <w:sz w:val="24"/>
          <w:szCs w:val="24"/>
        </w:rPr>
        <w:t>When I asked the victim the Public Protection Notice</w:t>
      </w:r>
      <w:r>
        <w:rPr>
          <w:sz w:val="24"/>
          <w:szCs w:val="24"/>
        </w:rPr>
        <w:t xml:space="preserve"> (PPN)</w:t>
      </w:r>
      <w:r w:rsidRPr="004268C2">
        <w:rPr>
          <w:sz w:val="24"/>
          <w:szCs w:val="24"/>
        </w:rPr>
        <w:t xml:space="preserve"> questions, she went on to say she was disclosing too much information and appeared fearful and </w:t>
      </w:r>
      <w:r w:rsidRPr="004268C2">
        <w:rPr>
          <w:sz w:val="24"/>
          <w:szCs w:val="24"/>
        </w:rPr>
        <w:lastRenderedPageBreak/>
        <w:t xml:space="preserve">became panicked about this. She kept stating that she was not at all scared of her ex-partner however this did not match her presentation. </w:t>
      </w:r>
    </w:p>
    <w:p w14:paraId="5F03BDE1" w14:textId="77777777" w:rsidR="004268C2" w:rsidRPr="004268C2" w:rsidRDefault="004268C2" w:rsidP="00977D56">
      <w:pPr>
        <w:spacing w:line="360" w:lineRule="auto"/>
        <w:ind w:right="237"/>
        <w:rPr>
          <w:sz w:val="24"/>
          <w:szCs w:val="24"/>
        </w:rPr>
      </w:pPr>
    </w:p>
    <w:p w14:paraId="06343EDF" w14:textId="2438F273" w:rsidR="004268C2" w:rsidRDefault="004268C2" w:rsidP="00977D56">
      <w:pPr>
        <w:spacing w:line="360" w:lineRule="auto"/>
        <w:ind w:right="237"/>
        <w:rPr>
          <w:sz w:val="24"/>
          <w:szCs w:val="24"/>
        </w:rPr>
      </w:pPr>
      <w:r w:rsidRPr="004268C2">
        <w:rPr>
          <w:sz w:val="24"/>
          <w:szCs w:val="24"/>
        </w:rPr>
        <w:t>Whilst going through the PPN questions the female also disclosed that when they had been in a relationship that he had prevented her from seeing her friends and tried to stop her going to work. She also answered yes to some of the high risk questions which also really raised concerns. However, even after a lot of encouragement the female was adamant that she did not want to provide any form of complaint or statement. As it was the early hours of the morning, I informed that victim that I would arrange for officers to attend later in the day so that she could have some rest and think about changing her mind in relation to providing a statement.</w:t>
      </w:r>
    </w:p>
    <w:p w14:paraId="37B9EA56" w14:textId="77777777" w:rsidR="004268C2" w:rsidRPr="004268C2" w:rsidRDefault="004268C2" w:rsidP="00977D56">
      <w:pPr>
        <w:spacing w:line="360" w:lineRule="auto"/>
        <w:ind w:right="237"/>
        <w:rPr>
          <w:sz w:val="24"/>
          <w:szCs w:val="24"/>
        </w:rPr>
      </w:pPr>
    </w:p>
    <w:p w14:paraId="1D5C91FC" w14:textId="65AC58EA" w:rsidR="004268C2" w:rsidRDefault="004268C2" w:rsidP="00977D56">
      <w:pPr>
        <w:spacing w:line="360" w:lineRule="auto"/>
        <w:ind w:right="237"/>
        <w:rPr>
          <w:sz w:val="24"/>
          <w:szCs w:val="24"/>
        </w:rPr>
      </w:pPr>
      <w:r w:rsidRPr="004268C2">
        <w:rPr>
          <w:sz w:val="24"/>
          <w:szCs w:val="24"/>
        </w:rPr>
        <w:t>This female was clearly a repeat victim to her most recent ex-partner and from discussion with her it appeared that this wasn’t her first abusive relationship. As a result, being a repeat victim of domestic violence made her incredibly vulnerable. I felt that maybe she wouldn’t engage with myself due to the fact I was a police officer, even though I tried my best to show her empathy. Therefore, I thought it may be more appropriate for an Independent Domestic Violence Advisor (IDVA) to attempt to engage with the female in an attempt to get her provide a statement. An IDVA is a professional who specialises in supporting victims of domestic violence. They are specially trained to build trusting, supportive relationships with victims, implementing safety plans and delivering, signposting and providing support to meet a victim’s individual needs. (Safelives, n.d)</w:t>
      </w:r>
    </w:p>
    <w:p w14:paraId="1FDBF1E9" w14:textId="77777777" w:rsidR="004D4EC5" w:rsidRPr="004268C2" w:rsidRDefault="004D4EC5" w:rsidP="00977D56">
      <w:pPr>
        <w:spacing w:line="360" w:lineRule="auto"/>
        <w:ind w:right="237"/>
        <w:rPr>
          <w:sz w:val="24"/>
          <w:szCs w:val="24"/>
        </w:rPr>
      </w:pPr>
    </w:p>
    <w:p w14:paraId="03592108" w14:textId="7E973410" w:rsidR="004268C2" w:rsidRDefault="004268C2" w:rsidP="00977D56">
      <w:pPr>
        <w:spacing w:line="360" w:lineRule="auto"/>
        <w:ind w:right="237"/>
        <w:rPr>
          <w:sz w:val="24"/>
          <w:szCs w:val="24"/>
        </w:rPr>
      </w:pPr>
      <w:r w:rsidRPr="004268C2">
        <w:rPr>
          <w:sz w:val="24"/>
          <w:szCs w:val="24"/>
        </w:rPr>
        <w:t>Research has indicated that when domestic abuse victims work with an IDVA, their safety improves significantly. It can also lead to a de-escalation and decrease in the intensity of abuse, as well as a reduction or in some case complete ceasing of repeat occurrences of abuse for the victim. (Safelives, 2010)</w:t>
      </w:r>
    </w:p>
    <w:p w14:paraId="09B5332A" w14:textId="77777777" w:rsidR="004268C2" w:rsidRPr="004268C2" w:rsidRDefault="004268C2" w:rsidP="00977D56">
      <w:pPr>
        <w:spacing w:line="360" w:lineRule="auto"/>
        <w:ind w:right="237"/>
        <w:rPr>
          <w:sz w:val="24"/>
          <w:szCs w:val="24"/>
        </w:rPr>
      </w:pPr>
    </w:p>
    <w:p w14:paraId="0D54D107" w14:textId="0AEB8A4D" w:rsidR="004268C2" w:rsidRDefault="004268C2" w:rsidP="00977D56">
      <w:pPr>
        <w:spacing w:line="360" w:lineRule="auto"/>
        <w:ind w:right="237"/>
        <w:rPr>
          <w:sz w:val="24"/>
          <w:szCs w:val="24"/>
        </w:rPr>
      </w:pPr>
      <w:r w:rsidRPr="004268C2">
        <w:rPr>
          <w:sz w:val="24"/>
          <w:szCs w:val="24"/>
        </w:rPr>
        <w:t xml:space="preserve">As per South Wales Police policy, submitting a high risk PPN was appropriate in order to share information about the victim with internal police units and external support agencies in order to try and provide the victim with support to ensure her </w:t>
      </w:r>
      <w:r w:rsidRPr="004268C2">
        <w:rPr>
          <w:sz w:val="24"/>
          <w:szCs w:val="24"/>
        </w:rPr>
        <w:lastRenderedPageBreak/>
        <w:t>safety and possible work to help her understand the impact of abusive relationships and how to keep herself safe.</w:t>
      </w:r>
    </w:p>
    <w:p w14:paraId="092575C8" w14:textId="77777777" w:rsidR="004268C2" w:rsidRPr="004268C2" w:rsidRDefault="004268C2" w:rsidP="00977D56">
      <w:pPr>
        <w:spacing w:line="360" w:lineRule="auto"/>
        <w:ind w:right="237"/>
        <w:rPr>
          <w:sz w:val="24"/>
          <w:szCs w:val="24"/>
        </w:rPr>
      </w:pPr>
    </w:p>
    <w:p w14:paraId="09E3B7F6" w14:textId="12156EB9" w:rsidR="004268C2" w:rsidRDefault="004268C2" w:rsidP="00977D56">
      <w:pPr>
        <w:spacing w:line="360" w:lineRule="auto"/>
        <w:ind w:right="237"/>
        <w:rPr>
          <w:sz w:val="24"/>
          <w:szCs w:val="24"/>
        </w:rPr>
      </w:pPr>
      <w:r w:rsidRPr="004268C2">
        <w:rPr>
          <w:sz w:val="24"/>
          <w:szCs w:val="24"/>
        </w:rPr>
        <w:t xml:space="preserve">Police officers are often a victim’s first point of contact in an emergency whether or not there are any offences involved. For example, officers will often attend calls relating to people in a mental health crisis. This can be beneficial in that police have a duty to safeguard and safeguarding measures put in place by officers could be considered early intervention. However, it is concerning that police involvement may be the first indication that a person needs intervention; usually when police are called it is because there has been no intervention by more appropriate agencies and the issues that have led to police attendance. </w:t>
      </w:r>
    </w:p>
    <w:p w14:paraId="5B455D49" w14:textId="77777777" w:rsidR="004268C2" w:rsidRPr="004268C2" w:rsidRDefault="004268C2" w:rsidP="00977D56">
      <w:pPr>
        <w:spacing w:line="360" w:lineRule="auto"/>
        <w:ind w:right="237"/>
        <w:rPr>
          <w:sz w:val="24"/>
          <w:szCs w:val="24"/>
        </w:rPr>
      </w:pPr>
    </w:p>
    <w:p w14:paraId="0015179C" w14:textId="2205A2A6" w:rsidR="004268C2" w:rsidRDefault="004268C2" w:rsidP="00977D56">
      <w:pPr>
        <w:spacing w:line="360" w:lineRule="auto"/>
        <w:ind w:right="237"/>
        <w:rPr>
          <w:sz w:val="24"/>
          <w:szCs w:val="24"/>
        </w:rPr>
      </w:pPr>
      <w:r w:rsidRPr="004268C2">
        <w:rPr>
          <w:sz w:val="24"/>
          <w:szCs w:val="24"/>
        </w:rPr>
        <w:t xml:space="preserve">Sometimes police are not the most appropriate agency to be dealing with certain incidents. Again using an example of someone in a mental health crisis. I personally feel that we do not have the appropriate level of training to always provide these vulnerable persons with the approach they require. Mind (2103), report that victims of domestic violence and/or individuals suffering with mental health issues, often find a police response can exacerbates their distress. This can prevent them wanting to contact or engage with the police in the future. </w:t>
      </w:r>
    </w:p>
    <w:p w14:paraId="4D3D75CC" w14:textId="77777777" w:rsidR="004268C2" w:rsidRPr="004268C2" w:rsidRDefault="004268C2" w:rsidP="00977D56">
      <w:pPr>
        <w:spacing w:line="360" w:lineRule="auto"/>
        <w:ind w:right="237"/>
        <w:rPr>
          <w:sz w:val="24"/>
          <w:szCs w:val="24"/>
        </w:rPr>
      </w:pPr>
    </w:p>
    <w:p w14:paraId="44377AD6" w14:textId="70C50625" w:rsidR="004268C2" w:rsidRDefault="004268C2" w:rsidP="00977D56">
      <w:pPr>
        <w:spacing w:line="360" w:lineRule="auto"/>
        <w:ind w:right="237"/>
        <w:rPr>
          <w:sz w:val="24"/>
          <w:szCs w:val="24"/>
        </w:rPr>
      </w:pPr>
      <w:r w:rsidRPr="004268C2">
        <w:rPr>
          <w:sz w:val="24"/>
          <w:szCs w:val="24"/>
        </w:rPr>
        <w:t>In order to try and manage this issue, the National Police Chief’s Council (2020) develop a National Vulnerability Action Plan (NVAP). The NVAP encourages forces to implement a holistic approach when dealing with vulnerable persons. Resulting in a more effective response and effectively reducing risk of harm. One of the seven main principles is ‘Early Intervention and Prevention’. It suggests that early identification of a vulnerability can effectively result in earlier intervention, which in turn should reduce the risk of harm to vulnerable persons and the escalation of problems that may arise from these vulnerabilities.</w:t>
      </w:r>
    </w:p>
    <w:p w14:paraId="5189A749" w14:textId="77777777" w:rsidR="004268C2" w:rsidRPr="004268C2" w:rsidRDefault="004268C2" w:rsidP="00977D56">
      <w:pPr>
        <w:spacing w:line="360" w:lineRule="auto"/>
        <w:ind w:right="237"/>
        <w:rPr>
          <w:sz w:val="24"/>
          <w:szCs w:val="24"/>
        </w:rPr>
      </w:pPr>
    </w:p>
    <w:p w14:paraId="1F70424E" w14:textId="62AFCE3F" w:rsidR="004268C2" w:rsidRDefault="004268C2" w:rsidP="00977D56">
      <w:pPr>
        <w:spacing w:line="360" w:lineRule="auto"/>
        <w:ind w:right="237"/>
        <w:rPr>
          <w:sz w:val="24"/>
          <w:szCs w:val="24"/>
        </w:rPr>
      </w:pPr>
      <w:r w:rsidRPr="004268C2">
        <w:rPr>
          <w:sz w:val="24"/>
          <w:szCs w:val="24"/>
        </w:rPr>
        <w:t xml:space="preserve">An example of what could have been considered an aspect of early intervention in this case could have been a Domestic Violence Disclosure Scheme (DVDS), also more commonly known as Clare’s Law. This is a scheme which police can use to disclose information to individuals that may be at risk due to their partner’s </w:t>
      </w:r>
      <w:r w:rsidRPr="004268C2">
        <w:rPr>
          <w:sz w:val="24"/>
          <w:szCs w:val="24"/>
        </w:rPr>
        <w:lastRenderedPageBreak/>
        <w:t>previous history of abusive or violent behaviour or convictions, in an attempt to safeguard them from potentially falling victim to this kind of criminality. (Home Office, 2016)</w:t>
      </w:r>
    </w:p>
    <w:p w14:paraId="0D882F7D" w14:textId="77777777" w:rsidR="004268C2" w:rsidRPr="004268C2" w:rsidRDefault="004268C2" w:rsidP="00977D56">
      <w:pPr>
        <w:spacing w:line="360" w:lineRule="auto"/>
        <w:ind w:right="237"/>
        <w:rPr>
          <w:sz w:val="24"/>
          <w:szCs w:val="24"/>
        </w:rPr>
      </w:pPr>
    </w:p>
    <w:p w14:paraId="30AC744B" w14:textId="15F3695C" w:rsidR="004268C2" w:rsidRDefault="004268C2" w:rsidP="00977D56">
      <w:pPr>
        <w:spacing w:line="360" w:lineRule="auto"/>
        <w:ind w:right="237"/>
        <w:rPr>
          <w:sz w:val="24"/>
          <w:szCs w:val="24"/>
        </w:rPr>
      </w:pPr>
      <w:r w:rsidRPr="004268C2">
        <w:rPr>
          <w:sz w:val="24"/>
          <w:szCs w:val="24"/>
        </w:rPr>
        <w:t>If the victim had been aware of her ex-partners previous convictions relating to domestic violence, this may have allowed her to be more aware of and able to identify the signs sooner and she could have sought advice and support before the situation escalated. In turn had she been able to seek support, this may have enabled her to build resilience and awareness of this behaviour allowing her to move away from such offenders.</w:t>
      </w:r>
    </w:p>
    <w:p w14:paraId="361D9AB5" w14:textId="77777777" w:rsidR="004268C2" w:rsidRPr="004268C2" w:rsidRDefault="004268C2" w:rsidP="00977D56">
      <w:pPr>
        <w:spacing w:line="360" w:lineRule="auto"/>
        <w:ind w:right="237"/>
        <w:rPr>
          <w:sz w:val="24"/>
          <w:szCs w:val="24"/>
        </w:rPr>
      </w:pPr>
    </w:p>
    <w:p w14:paraId="62F61F6F" w14:textId="77777777" w:rsidR="004268C2" w:rsidRPr="004268C2" w:rsidRDefault="004268C2" w:rsidP="00977D56">
      <w:pPr>
        <w:spacing w:line="360" w:lineRule="auto"/>
        <w:ind w:right="237"/>
        <w:rPr>
          <w:sz w:val="24"/>
          <w:szCs w:val="24"/>
        </w:rPr>
      </w:pPr>
      <w:r w:rsidRPr="004268C2">
        <w:rPr>
          <w:sz w:val="24"/>
          <w:szCs w:val="24"/>
        </w:rPr>
        <w:t>In conclusion, it is clear that officers need to be provided with more suitable training to be aware of and be able to identify the vulnerabilities of repeat victims. Also, an awareness and better understanding of potential barriers to repeat victims seeking help, may assist officers in considering their approach when engaging with vulnerable repeat victims. This could effectively result in officers being more successful in encouraging and enabling repeat victims to seek or engage in appropriate support.</w:t>
      </w:r>
    </w:p>
    <w:p w14:paraId="7D3C7B8B" w14:textId="77777777" w:rsidR="00977D56" w:rsidRDefault="00977D56" w:rsidP="00977D56">
      <w:pPr>
        <w:spacing w:line="360" w:lineRule="auto"/>
        <w:ind w:right="237"/>
        <w:rPr>
          <w:sz w:val="24"/>
          <w:szCs w:val="24"/>
        </w:rPr>
      </w:pPr>
    </w:p>
    <w:p w14:paraId="3BBDE61A" w14:textId="49B4BB3A" w:rsidR="5B63D80E" w:rsidRPr="00F900F2" w:rsidRDefault="00977D56" w:rsidP="00977D56">
      <w:pPr>
        <w:spacing w:line="360" w:lineRule="auto"/>
        <w:ind w:right="237"/>
        <w:rPr>
          <w:sz w:val="24"/>
          <w:szCs w:val="24"/>
        </w:rPr>
      </w:pPr>
      <w:r>
        <w:rPr>
          <w:sz w:val="24"/>
          <w:szCs w:val="24"/>
        </w:rPr>
        <w:t>Word count 1496</w:t>
      </w:r>
    </w:p>
    <w:p w14:paraId="28EE387E" w14:textId="61E5883A" w:rsidR="00F900F2" w:rsidRPr="00F900F2" w:rsidRDefault="00F900F2" w:rsidP="00F900F2">
      <w:pPr>
        <w:pStyle w:val="ListParagraph"/>
        <w:rPr>
          <w:sz w:val="24"/>
          <w:szCs w:val="24"/>
        </w:rPr>
      </w:pPr>
    </w:p>
    <w:p w14:paraId="6A8AA445" w14:textId="2C17D25E" w:rsidR="5B63D80E" w:rsidRDefault="5B63D80E" w:rsidP="00F900F2">
      <w:pPr>
        <w:pStyle w:val="ListParagraph"/>
        <w:numPr>
          <w:ilvl w:val="0"/>
          <w:numId w:val="7"/>
        </w:numPr>
      </w:pPr>
      <w: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FD84E4E">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512F05BD"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1250 words </w:t>
            </w:r>
            <w:r w:rsidRPr="7FD84E4E">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09F7312E" w14:textId="1E52C62E" w:rsidR="00977D56" w:rsidRDefault="00977D56" w:rsidP="00977D56">
      <w:pPr>
        <w:spacing w:line="360" w:lineRule="auto"/>
        <w:ind w:right="237"/>
        <w:jc w:val="both"/>
        <w:rPr>
          <w:sz w:val="24"/>
          <w:szCs w:val="24"/>
        </w:rPr>
      </w:pPr>
      <w:r w:rsidRPr="00977D56">
        <w:rPr>
          <w:sz w:val="24"/>
          <w:szCs w:val="24"/>
        </w:rPr>
        <w:t>In this essay, I will discuss a serious incident that I attended and in which I played a significant role with the victim and witnesses by being one of the first responding officers. I will explain how I obtained, managed and developed information and intelligence relating to the incident and consider how I applied learning and experiences from previous investigations.</w:t>
      </w:r>
    </w:p>
    <w:p w14:paraId="04CD12A2" w14:textId="77777777" w:rsidR="00977D56" w:rsidRPr="00977D56" w:rsidRDefault="00977D56" w:rsidP="00977D56">
      <w:pPr>
        <w:spacing w:line="360" w:lineRule="auto"/>
        <w:ind w:right="237"/>
        <w:jc w:val="both"/>
        <w:rPr>
          <w:sz w:val="24"/>
          <w:szCs w:val="24"/>
        </w:rPr>
      </w:pPr>
    </w:p>
    <w:p w14:paraId="6B267080" w14:textId="30EBD38F" w:rsidR="00977D56" w:rsidRDefault="00977D56" w:rsidP="00977D56">
      <w:pPr>
        <w:spacing w:line="360" w:lineRule="auto"/>
        <w:ind w:right="237"/>
        <w:jc w:val="both"/>
        <w:rPr>
          <w:sz w:val="24"/>
          <w:szCs w:val="24"/>
        </w:rPr>
      </w:pPr>
      <w:r w:rsidRPr="00977D56">
        <w:rPr>
          <w:sz w:val="24"/>
          <w:szCs w:val="24"/>
        </w:rPr>
        <w:t>I attended an emergency response call in relation to a stabbing. On arrival the victim was located in an address with two witnesses. The general report from those at scene was that an unknown male had entered the property and a disturbance had ensued. This resulted in the victim being stabbed and items of property being stolen before the suspect fled the scene. As a result, the victim was attended to medically and witness statements were taken from all in attendance at the address. A scene was secured and protected in order to preserve and protect all evidence.</w:t>
      </w:r>
    </w:p>
    <w:p w14:paraId="621FD4F0" w14:textId="77777777" w:rsidR="00977D56" w:rsidRPr="00977D56" w:rsidRDefault="00977D56" w:rsidP="00977D56">
      <w:pPr>
        <w:spacing w:line="360" w:lineRule="auto"/>
        <w:ind w:right="237"/>
        <w:jc w:val="both"/>
        <w:rPr>
          <w:sz w:val="24"/>
          <w:szCs w:val="24"/>
        </w:rPr>
      </w:pPr>
    </w:p>
    <w:p w14:paraId="3CB6C095" w14:textId="600ADAA6" w:rsidR="00977D56" w:rsidRDefault="00977D56" w:rsidP="00977D56">
      <w:pPr>
        <w:spacing w:line="360" w:lineRule="auto"/>
        <w:ind w:right="237"/>
        <w:jc w:val="both"/>
        <w:rPr>
          <w:sz w:val="24"/>
          <w:szCs w:val="24"/>
        </w:rPr>
      </w:pPr>
      <w:r w:rsidRPr="00977D56">
        <w:rPr>
          <w:sz w:val="24"/>
          <w:szCs w:val="24"/>
        </w:rPr>
        <w:t>My attendance at this incident was the beginning of what could be considered a serious and complex investigation. According to Section 22 of the Criminal Procedure and Investigations Act (CPIA, 1996), a criminal investigation is considered to be: ‘an investigation conducted by police officers with the view to it being ascertained whether a person should be charged with an offence, or whether a person charged with an offence is guilty of it.’ However, at this point we had no idea who the suspect was and as a result an investigation was necessary in an attempt to identify the suspect and bring them to justice.</w:t>
      </w:r>
    </w:p>
    <w:p w14:paraId="1B72FD28" w14:textId="77777777" w:rsidR="00977D56" w:rsidRPr="00977D56" w:rsidRDefault="00977D56" w:rsidP="00977D56">
      <w:pPr>
        <w:spacing w:line="360" w:lineRule="auto"/>
        <w:ind w:right="237"/>
        <w:jc w:val="both"/>
        <w:rPr>
          <w:sz w:val="24"/>
          <w:szCs w:val="24"/>
        </w:rPr>
      </w:pPr>
    </w:p>
    <w:p w14:paraId="4A06E520" w14:textId="77777777" w:rsidR="00977D56" w:rsidRPr="00977D56" w:rsidRDefault="00977D56" w:rsidP="00977D56">
      <w:pPr>
        <w:spacing w:line="360" w:lineRule="auto"/>
        <w:ind w:right="237"/>
        <w:jc w:val="both"/>
        <w:rPr>
          <w:sz w:val="24"/>
          <w:szCs w:val="24"/>
        </w:rPr>
      </w:pPr>
      <w:r w:rsidRPr="00977D56">
        <w:rPr>
          <w:sz w:val="24"/>
          <w:szCs w:val="24"/>
        </w:rPr>
        <w:t>The College of Policing (COP, 2013) sets out key principles for investigations which include investigators taking an honest, integral and lawful approach. Legal powers must be used ethically and in proportion with the investigation, the investigation must be as unambiguous as possible by ensuring that all involved in the investigation, including suspects are kept up to date with the progression of the investigation and the confidentiality of all should be considered as far as practicable.</w:t>
      </w:r>
    </w:p>
    <w:p w14:paraId="0590E408" w14:textId="6A9EEB15" w:rsidR="00977D56" w:rsidRDefault="00977D56" w:rsidP="00977D56">
      <w:pPr>
        <w:spacing w:line="360" w:lineRule="auto"/>
        <w:ind w:right="237"/>
        <w:jc w:val="both"/>
        <w:rPr>
          <w:sz w:val="24"/>
          <w:szCs w:val="24"/>
        </w:rPr>
      </w:pPr>
      <w:r w:rsidRPr="00977D56">
        <w:rPr>
          <w:sz w:val="24"/>
          <w:szCs w:val="24"/>
        </w:rPr>
        <w:t>As cited by COP (2013), in order to comply with the provisions of the Equality Act 2010, officers should also take logical steps in considering individuals specific needs and any protected characteristics. Another key principle is that investigators should be mindful of vulnerable individuals including children when managing an investigation. By taking all these principles into consideration, effectively this should ensure that investigations are carried out in the most fair and ethical manner in line with the Code of Ethics. (COP, 2014)</w:t>
      </w:r>
    </w:p>
    <w:p w14:paraId="6DAD7997" w14:textId="77777777" w:rsidR="00977D56" w:rsidRPr="00977D56" w:rsidRDefault="00977D56" w:rsidP="00977D56">
      <w:pPr>
        <w:spacing w:line="360" w:lineRule="auto"/>
        <w:ind w:right="237"/>
        <w:jc w:val="both"/>
        <w:rPr>
          <w:sz w:val="24"/>
          <w:szCs w:val="24"/>
        </w:rPr>
      </w:pPr>
    </w:p>
    <w:p w14:paraId="2288AD7F" w14:textId="77777777" w:rsidR="00977D56" w:rsidRPr="00977D56" w:rsidRDefault="00977D56" w:rsidP="00977D56">
      <w:pPr>
        <w:spacing w:line="360" w:lineRule="auto"/>
        <w:ind w:right="237"/>
        <w:jc w:val="both"/>
        <w:rPr>
          <w:sz w:val="24"/>
          <w:szCs w:val="24"/>
        </w:rPr>
      </w:pPr>
      <w:r w:rsidRPr="00977D56">
        <w:rPr>
          <w:sz w:val="24"/>
          <w:szCs w:val="24"/>
        </w:rPr>
        <w:t xml:space="preserve">I understood this would lead to a serious investigation and there were many investigative aspects I had to consider and I was conscious that I approached this incident with an investigative mind set. My first thought was to consider ‘Golden Hour’. This is considered to be the immediate time period after an incident has happened to preserve and protect a scene in order to gather as much evidence before it becomes contaminated and to identify as many lines of enquiry as possible. (Bryant R and Bryant S, 2019). I also applied learning from a previous experience in a criminal investigation to the importance of ‘Golden Hour.’ During a previous incident, I seized clothing from the scene but as I didn’t have any evidence bags the </w:t>
      </w:r>
      <w:r w:rsidRPr="00977D56">
        <w:rPr>
          <w:sz w:val="24"/>
          <w:szCs w:val="24"/>
        </w:rPr>
        <w:lastRenderedPageBreak/>
        <w:t>clothing was only bagged on my return to the police station. As a result, this meant that it could not be considered for forensic examination due to the contamination of the evidence from being removed from the scene and transported to the police station with no protection from contamination.</w:t>
      </w:r>
    </w:p>
    <w:p w14:paraId="7074A984" w14:textId="77777777" w:rsidR="00977D56" w:rsidRPr="00977D56" w:rsidRDefault="00977D56" w:rsidP="00977D56">
      <w:pPr>
        <w:spacing w:line="360" w:lineRule="auto"/>
        <w:ind w:right="237"/>
        <w:jc w:val="both"/>
        <w:rPr>
          <w:sz w:val="24"/>
          <w:szCs w:val="24"/>
        </w:rPr>
      </w:pPr>
    </w:p>
    <w:p w14:paraId="469818A0" w14:textId="54ECB6A7" w:rsidR="00977D56" w:rsidRDefault="00977D56" w:rsidP="00977D56">
      <w:pPr>
        <w:spacing w:line="360" w:lineRule="auto"/>
        <w:ind w:right="237"/>
        <w:jc w:val="both"/>
        <w:rPr>
          <w:sz w:val="24"/>
          <w:szCs w:val="24"/>
        </w:rPr>
      </w:pPr>
      <w:r w:rsidRPr="00977D56">
        <w:rPr>
          <w:sz w:val="24"/>
          <w:szCs w:val="24"/>
        </w:rPr>
        <w:t xml:space="preserve">The first source of information and intelligence was the information we received about the call from the control room. This included warning markers about the property and warning markers for the individuals linked to that property. This enabled us to plan an appropriate and safe initial response. The next source of intelligence was the victim and witnesses first accounts as well as what I saw when attending the incident. </w:t>
      </w:r>
    </w:p>
    <w:p w14:paraId="1828191C" w14:textId="77777777" w:rsidR="00977D56" w:rsidRPr="00977D56" w:rsidRDefault="00977D56" w:rsidP="00977D56">
      <w:pPr>
        <w:spacing w:line="360" w:lineRule="auto"/>
        <w:ind w:right="237"/>
        <w:jc w:val="both"/>
        <w:rPr>
          <w:sz w:val="24"/>
          <w:szCs w:val="24"/>
        </w:rPr>
      </w:pPr>
    </w:p>
    <w:p w14:paraId="53F58CB6" w14:textId="0B1327DA" w:rsidR="00977D56" w:rsidRDefault="00977D56" w:rsidP="00977D56">
      <w:pPr>
        <w:spacing w:line="360" w:lineRule="auto"/>
        <w:ind w:right="237"/>
        <w:jc w:val="both"/>
        <w:rPr>
          <w:sz w:val="24"/>
          <w:szCs w:val="24"/>
        </w:rPr>
      </w:pPr>
      <w:r w:rsidRPr="00977D56">
        <w:rPr>
          <w:sz w:val="24"/>
          <w:szCs w:val="24"/>
        </w:rPr>
        <w:t>It became immediately apparent that there were forensic opportunities from the information obtained and from what I observed. Therefore, I took into consideration the integrity of this evidence by being forensically aware and wearing appropriate protective equipment when photographing and seizing the evidence. Forensic evidence can be considered significant when trying to identify an offender. Obtaining forensic evidence can assist in piecing together the picture of how an offence took place and who was involved. Reliable forensic evidence can often lead to court proceedings to identify and bring the offender to justice, so forensic opportunities are a vital consideration in this kind of serious investigation.</w:t>
      </w:r>
    </w:p>
    <w:p w14:paraId="78EC8ACB" w14:textId="77777777" w:rsidR="004D4EC5" w:rsidRPr="00977D56" w:rsidRDefault="004D4EC5" w:rsidP="00977D56">
      <w:pPr>
        <w:spacing w:line="360" w:lineRule="auto"/>
        <w:ind w:right="237"/>
        <w:jc w:val="both"/>
        <w:rPr>
          <w:sz w:val="24"/>
          <w:szCs w:val="24"/>
        </w:rPr>
      </w:pPr>
    </w:p>
    <w:p w14:paraId="0E24131D" w14:textId="1F73D972" w:rsidR="00977D56" w:rsidRDefault="00977D56" w:rsidP="00977D56">
      <w:pPr>
        <w:spacing w:line="360" w:lineRule="auto"/>
        <w:ind w:right="237"/>
        <w:jc w:val="both"/>
        <w:rPr>
          <w:sz w:val="24"/>
          <w:szCs w:val="24"/>
        </w:rPr>
      </w:pPr>
      <w:r w:rsidRPr="00977D56">
        <w:rPr>
          <w:sz w:val="24"/>
          <w:szCs w:val="24"/>
        </w:rPr>
        <w:t>Gathering prompt initial witness account can be crucial to an investigation. According to Gabbert et al., (2015) delays in eyewitness accounts can increases the risk of memory contamination, therefore effecting the quality of initial accounts.</w:t>
      </w:r>
    </w:p>
    <w:p w14:paraId="3A69A78E" w14:textId="77777777" w:rsidR="00977D56" w:rsidRPr="00977D56" w:rsidRDefault="00977D56" w:rsidP="00977D56">
      <w:pPr>
        <w:spacing w:line="360" w:lineRule="auto"/>
        <w:ind w:right="237"/>
        <w:jc w:val="both"/>
        <w:rPr>
          <w:sz w:val="24"/>
          <w:szCs w:val="24"/>
        </w:rPr>
      </w:pPr>
    </w:p>
    <w:p w14:paraId="18FDEFB7" w14:textId="71FB249C" w:rsidR="00977D56" w:rsidRDefault="00977D56" w:rsidP="00977D56">
      <w:pPr>
        <w:spacing w:line="360" w:lineRule="auto"/>
        <w:ind w:right="237"/>
        <w:jc w:val="both"/>
        <w:rPr>
          <w:sz w:val="24"/>
          <w:szCs w:val="24"/>
        </w:rPr>
      </w:pPr>
      <w:r w:rsidRPr="00977D56">
        <w:rPr>
          <w:sz w:val="24"/>
          <w:szCs w:val="24"/>
        </w:rPr>
        <w:t xml:space="preserve">Victim and witness first accounts were captured on body worn camera. This was important as further searches carried out on the victim and witnesses revealed that they all had a criminal history. This is something I took into consideration as from previous experience, I find that individuals with previous convictions are often reluctant to support any police investigation. Therefore, I considered the importance of capturing their first accounts on body worn camera in case later on they were reluctant to provide a statement. </w:t>
      </w:r>
    </w:p>
    <w:p w14:paraId="4AB860DE" w14:textId="77777777" w:rsidR="00977D56" w:rsidRPr="00977D56" w:rsidRDefault="00977D56" w:rsidP="00977D56">
      <w:pPr>
        <w:spacing w:line="360" w:lineRule="auto"/>
        <w:ind w:right="237"/>
        <w:jc w:val="both"/>
        <w:rPr>
          <w:sz w:val="24"/>
          <w:szCs w:val="24"/>
        </w:rPr>
      </w:pPr>
    </w:p>
    <w:p w14:paraId="60E21173" w14:textId="5A427365" w:rsidR="00977D56" w:rsidRDefault="00977D56" w:rsidP="00977D56">
      <w:pPr>
        <w:spacing w:line="360" w:lineRule="auto"/>
        <w:ind w:right="237"/>
        <w:jc w:val="both"/>
        <w:rPr>
          <w:sz w:val="24"/>
          <w:szCs w:val="24"/>
        </w:rPr>
      </w:pPr>
      <w:r w:rsidRPr="00977D56">
        <w:rPr>
          <w:sz w:val="24"/>
          <w:szCs w:val="24"/>
        </w:rPr>
        <w:t>In this case, initial information obtained from witnesses also supported the tasking and co-ordinating process in the implementation of searches of other premises being carried out, leading to the discovery of further evidence.</w:t>
      </w:r>
    </w:p>
    <w:p w14:paraId="4251BD50" w14:textId="77777777" w:rsidR="00977D56" w:rsidRPr="00977D56" w:rsidRDefault="00977D56" w:rsidP="00977D56">
      <w:pPr>
        <w:spacing w:line="360" w:lineRule="auto"/>
        <w:ind w:right="237"/>
        <w:jc w:val="both"/>
        <w:rPr>
          <w:sz w:val="24"/>
          <w:szCs w:val="24"/>
        </w:rPr>
      </w:pPr>
    </w:p>
    <w:p w14:paraId="5BC45E0A" w14:textId="540492D3" w:rsidR="00977D56" w:rsidRDefault="00977D56" w:rsidP="00977D56">
      <w:pPr>
        <w:spacing w:line="360" w:lineRule="auto"/>
        <w:ind w:right="237"/>
        <w:jc w:val="both"/>
        <w:rPr>
          <w:sz w:val="24"/>
          <w:szCs w:val="24"/>
        </w:rPr>
      </w:pPr>
      <w:r w:rsidRPr="00977D56">
        <w:rPr>
          <w:sz w:val="24"/>
          <w:szCs w:val="24"/>
        </w:rPr>
        <w:t>I then considered how I could obtain further sources of information and intelligence. From carrying out house to house enquiries I identified multiple witnesses, who informed me that he had seen the possible suspects flee in a vehicle and their direction of travel. Therefore, I took a description of this vehicle and passed it over the air for urgent observations. This type of intelligence was also crucial for further developing intelligence in relation to the incident and providing further lines of enquiry. After carrying out house to house and obtaining witness statements I then carried out CCTV enquiries to build on the intelligence of the vehicle. We did not have a registration plate but just a description of the vehicle. I was aware that there were multiple shops and a petrol station on the route that the vehicle had reportedly taken, so I made a note of these to pass onto the Criminal Investigation Department (CID) who by then had been tasked to take ownership of the incident due to its seriousness. They would then be able to carry out further CCTV enquiries with the information I provided them which could lead to further lines of enquiry.</w:t>
      </w:r>
    </w:p>
    <w:p w14:paraId="4E81917A" w14:textId="77777777" w:rsidR="00977D56" w:rsidRPr="00977D56" w:rsidRDefault="00977D56" w:rsidP="00977D56">
      <w:pPr>
        <w:spacing w:line="360" w:lineRule="auto"/>
        <w:ind w:right="237"/>
        <w:jc w:val="both"/>
        <w:rPr>
          <w:sz w:val="24"/>
          <w:szCs w:val="24"/>
        </w:rPr>
      </w:pPr>
    </w:p>
    <w:p w14:paraId="175889BD" w14:textId="74779B47" w:rsidR="00977D56" w:rsidRDefault="00977D56" w:rsidP="00977D56">
      <w:pPr>
        <w:spacing w:line="360" w:lineRule="auto"/>
        <w:ind w:right="237"/>
        <w:jc w:val="both"/>
        <w:rPr>
          <w:sz w:val="24"/>
          <w:szCs w:val="24"/>
        </w:rPr>
      </w:pPr>
      <w:r w:rsidRPr="00977D56">
        <w:rPr>
          <w:sz w:val="24"/>
          <w:szCs w:val="24"/>
        </w:rPr>
        <w:t xml:space="preserve">In conclusion, the importance of ‘Golden Hour’ enquiries is crucial when responding to incidents that are likely to require serious or complex investigations. Forensic considerations are an important aspect to consider as they may place the suspect at the scene. However, the importance of forensic awareness is also vital to prevent contamination of evidence, as I have previously learnt in the experience mentioned above. </w:t>
      </w:r>
    </w:p>
    <w:p w14:paraId="2B8CF3BF" w14:textId="77777777" w:rsidR="00977D56" w:rsidRPr="00977D56" w:rsidRDefault="00977D56" w:rsidP="00977D56">
      <w:pPr>
        <w:spacing w:line="360" w:lineRule="auto"/>
        <w:ind w:right="237"/>
        <w:jc w:val="both"/>
        <w:rPr>
          <w:sz w:val="24"/>
          <w:szCs w:val="24"/>
        </w:rPr>
      </w:pPr>
    </w:p>
    <w:p w14:paraId="0BCB39AF" w14:textId="3AA8E4E9" w:rsidR="00F93E96" w:rsidRDefault="00977D56" w:rsidP="00977D56">
      <w:pPr>
        <w:spacing w:line="360" w:lineRule="auto"/>
        <w:ind w:right="237"/>
        <w:jc w:val="both"/>
        <w:rPr>
          <w:sz w:val="24"/>
          <w:szCs w:val="24"/>
        </w:rPr>
      </w:pPr>
      <w:r w:rsidRPr="00977D56">
        <w:rPr>
          <w:sz w:val="24"/>
          <w:szCs w:val="24"/>
        </w:rPr>
        <w:t>Word count 1179</w:t>
      </w:r>
    </w:p>
    <w:p w14:paraId="0BC13469" w14:textId="77777777" w:rsidR="00F93E96" w:rsidRPr="00F93E96" w:rsidRDefault="00F93E96" w:rsidP="00F93E96">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4F9F6761" w14:textId="77777777" w:rsidR="00977D56" w:rsidRDefault="00977D56" w:rsidP="00977D56">
      <w:pPr>
        <w:ind w:right="237"/>
        <w:rPr>
          <w:sz w:val="24"/>
          <w:szCs w:val="24"/>
        </w:rPr>
      </w:pPr>
    </w:p>
    <w:p w14:paraId="6B0989EF" w14:textId="125B116F" w:rsidR="00025650" w:rsidRDefault="5B63D80E" w:rsidP="00977D56">
      <w:pPr>
        <w:ind w:right="237"/>
        <w:jc w:val="center"/>
        <w:rPr>
          <w:b/>
          <w:bCs/>
          <w:sz w:val="24"/>
          <w:szCs w:val="24"/>
        </w:rPr>
      </w:pPr>
      <w:r w:rsidRPr="5B63D80E">
        <w:rPr>
          <w:b/>
          <w:bCs/>
          <w:sz w:val="24"/>
          <w:szCs w:val="24"/>
        </w:rPr>
        <w:t>Task 5</w:t>
      </w:r>
    </w:p>
    <w:p w14:paraId="4AB89143" w14:textId="77777777" w:rsidR="00977D56" w:rsidRPr="00977D56" w:rsidRDefault="00977D56" w:rsidP="00977D56">
      <w:pPr>
        <w:ind w:right="237"/>
        <w:jc w:val="cente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B63D80E">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882F5C5" w:rsidR="003C458C" w:rsidRPr="00C34A61" w:rsidRDefault="5B63D80E" w:rsidP="5B63D80E">
            <w:pPr>
              <w:ind w:right="237"/>
              <w:jc w:val="both"/>
              <w:rPr>
                <w:sz w:val="24"/>
                <w:szCs w:val="24"/>
              </w:rPr>
            </w:pPr>
            <w:r w:rsidRPr="00C34A61">
              <w:rPr>
                <w:rFonts w:eastAsia="Arial"/>
                <w:color w:val="000000" w:themeColor="text1"/>
                <w:sz w:val="24"/>
                <w:szCs w:val="24"/>
              </w:rPr>
              <w:t xml:space="preserve">1250 </w:t>
            </w:r>
            <w:r w:rsidRPr="00C34A61">
              <w:rPr>
                <w:sz w:val="24"/>
                <w:szCs w:val="24"/>
              </w:rPr>
              <w:t xml:space="preserve">words </w:t>
            </w:r>
            <w:r w:rsidRPr="00C34A61">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6932ED1F" w14:textId="77777777" w:rsidR="00977D56" w:rsidRPr="00977D56" w:rsidRDefault="00977D56" w:rsidP="00977D56">
      <w:pPr>
        <w:overflowPunct/>
        <w:autoSpaceDE/>
        <w:autoSpaceDN/>
        <w:adjustRightInd/>
        <w:spacing w:line="360" w:lineRule="auto"/>
        <w:ind w:right="237"/>
        <w:jc w:val="both"/>
        <w:textAlignment w:val="auto"/>
        <w:rPr>
          <w:rFonts w:eastAsia="Arial"/>
          <w:color w:val="FF9900"/>
          <w:sz w:val="24"/>
          <w:szCs w:val="24"/>
        </w:rPr>
      </w:pPr>
      <w:r w:rsidRPr="00977D56">
        <w:rPr>
          <w:rFonts w:eastAsia="Arial"/>
          <w:sz w:val="24"/>
          <w:szCs w:val="24"/>
        </w:rPr>
        <w:t>In this essay I will describe how I responded to an incident relating to a crime committed with the use of digital technology. I will reflect on the actions I took in order to reduce the negative impact on the victim as a result of the incident and explore reasons why this victim may be more vulnerable to falling victim to such crimes than others.</w:t>
      </w:r>
    </w:p>
    <w:p w14:paraId="61BFAC41" w14:textId="77777777" w:rsidR="00977D56" w:rsidRPr="00977D56" w:rsidRDefault="00977D56" w:rsidP="00977D56">
      <w:pPr>
        <w:overflowPunct/>
        <w:autoSpaceDE/>
        <w:autoSpaceDN/>
        <w:adjustRightInd/>
        <w:spacing w:line="360" w:lineRule="auto"/>
        <w:ind w:right="237"/>
        <w:jc w:val="both"/>
        <w:textAlignment w:val="auto"/>
        <w:rPr>
          <w:rFonts w:eastAsia="Arial"/>
          <w:color w:val="FF9900"/>
          <w:sz w:val="24"/>
          <w:szCs w:val="24"/>
        </w:rPr>
      </w:pPr>
    </w:p>
    <w:p w14:paraId="11402C55" w14:textId="77777777" w:rsidR="00977D56" w:rsidRPr="00977D56" w:rsidRDefault="00977D56" w:rsidP="00977D56">
      <w:pPr>
        <w:overflowPunct/>
        <w:autoSpaceDE/>
        <w:autoSpaceDN/>
        <w:adjustRightInd/>
        <w:spacing w:line="360" w:lineRule="auto"/>
        <w:ind w:right="237"/>
        <w:jc w:val="both"/>
        <w:textAlignment w:val="auto"/>
        <w:rPr>
          <w:rFonts w:eastAsia="Arial"/>
          <w:sz w:val="24"/>
          <w:szCs w:val="24"/>
        </w:rPr>
      </w:pPr>
      <w:r w:rsidRPr="00977D56">
        <w:rPr>
          <w:rFonts w:eastAsia="Arial"/>
          <w:sz w:val="24"/>
          <w:szCs w:val="24"/>
        </w:rPr>
        <w:t>As outlined by Action Fraud (2019), Cyber Crime is considered any criminal offence that committed through the means of digital technologies, for example over the internet. It can be committed against both individuals and organisations and businesses. It is estimated that the fraud costs the United Kingdom around £130 billion and £190 billion a year. (Crowe, 2019)</w:t>
      </w:r>
    </w:p>
    <w:p w14:paraId="65F16FE0" w14:textId="77777777" w:rsidR="00977D56" w:rsidRPr="00977D56" w:rsidRDefault="00977D56" w:rsidP="00977D56">
      <w:pPr>
        <w:overflowPunct/>
        <w:autoSpaceDE/>
        <w:autoSpaceDN/>
        <w:adjustRightInd/>
        <w:spacing w:line="360" w:lineRule="auto"/>
        <w:ind w:right="237"/>
        <w:jc w:val="both"/>
        <w:textAlignment w:val="auto"/>
        <w:rPr>
          <w:rFonts w:eastAsia="Arial"/>
          <w:sz w:val="24"/>
          <w:szCs w:val="24"/>
        </w:rPr>
      </w:pPr>
    </w:p>
    <w:p w14:paraId="7A5DCAA6" w14:textId="77777777" w:rsidR="00977D56" w:rsidRPr="00977D56" w:rsidRDefault="00977D56" w:rsidP="00977D56">
      <w:pPr>
        <w:overflowPunct/>
        <w:autoSpaceDE/>
        <w:autoSpaceDN/>
        <w:adjustRightInd/>
        <w:spacing w:line="360" w:lineRule="auto"/>
        <w:ind w:right="237"/>
        <w:jc w:val="both"/>
        <w:textAlignment w:val="auto"/>
        <w:rPr>
          <w:rFonts w:eastAsia="Arial"/>
          <w:sz w:val="24"/>
          <w:szCs w:val="24"/>
        </w:rPr>
      </w:pPr>
      <w:r w:rsidRPr="00977D56">
        <w:rPr>
          <w:rFonts w:eastAsia="Arial"/>
          <w:sz w:val="24"/>
          <w:szCs w:val="24"/>
        </w:rPr>
        <w:t xml:space="preserve">I responded to a call in relation to an offence of Sextortion. According to Europol (2017), Sextortion is considered a type of online blackmail. It is where the victim is coerced or blackmailed into sending sexual material such as sexual images or videos to the perpetrator. The perpetrator then makes demands of money or more images and threaten to share the material to family, friends and the public over social media and the internet if the demands are not met. </w:t>
      </w:r>
    </w:p>
    <w:p w14:paraId="7B34402E" w14:textId="77777777" w:rsidR="00977D56" w:rsidRPr="00977D56" w:rsidRDefault="00977D56" w:rsidP="00977D56">
      <w:pPr>
        <w:overflowPunct/>
        <w:autoSpaceDE/>
        <w:autoSpaceDN/>
        <w:adjustRightInd/>
        <w:spacing w:line="360" w:lineRule="auto"/>
        <w:ind w:right="237"/>
        <w:jc w:val="both"/>
        <w:textAlignment w:val="auto"/>
        <w:rPr>
          <w:rFonts w:eastAsia="Arial"/>
          <w:sz w:val="24"/>
          <w:szCs w:val="24"/>
        </w:rPr>
      </w:pPr>
    </w:p>
    <w:p w14:paraId="1E8F2AE9" w14:textId="77777777" w:rsidR="00977D56" w:rsidRPr="00977D56" w:rsidRDefault="00977D56" w:rsidP="00977D56">
      <w:pPr>
        <w:overflowPunct/>
        <w:autoSpaceDE/>
        <w:autoSpaceDN/>
        <w:adjustRightInd/>
        <w:spacing w:line="360" w:lineRule="auto"/>
        <w:ind w:right="237"/>
        <w:jc w:val="both"/>
        <w:textAlignment w:val="auto"/>
        <w:rPr>
          <w:rFonts w:eastAsia="Arial"/>
          <w:sz w:val="24"/>
          <w:szCs w:val="24"/>
        </w:rPr>
      </w:pPr>
      <w:r w:rsidRPr="00977D56">
        <w:rPr>
          <w:rFonts w:eastAsia="Arial"/>
          <w:sz w:val="24"/>
          <w:szCs w:val="24"/>
        </w:rPr>
        <w:t xml:space="preserve">The victim in this incident was a nineteen year old male university student with the added vulnerability of being deaf. He lived away from home at university and had </w:t>
      </w:r>
      <w:r w:rsidRPr="00977D56">
        <w:rPr>
          <w:rFonts w:eastAsia="Arial"/>
          <w:sz w:val="24"/>
          <w:szCs w:val="24"/>
        </w:rPr>
        <w:lastRenderedPageBreak/>
        <w:t xml:space="preserve">been befriended by a female that he didn’t know online via Facebook. He explained that he had been talking to the female for a few days via Facebook messenger and their conversations had turned flirty. The female encouraged the victim to engage in a video call where they made sexual requests of each other and the victim disclosed that he had masturbated on the video call. He reported that at the end of the encounter the female informed him that she had recorded the encounter, which he hadn’t been aware of. The female then began to make threats that if he didn’t send her £2300 then she would send the video that she had recorded to his family and friends and publish it on the internet. </w:t>
      </w:r>
    </w:p>
    <w:p w14:paraId="756DEC68" w14:textId="77777777" w:rsidR="00977D56" w:rsidRPr="00977D56" w:rsidRDefault="00977D56" w:rsidP="00977D56">
      <w:pPr>
        <w:overflowPunct/>
        <w:autoSpaceDE/>
        <w:autoSpaceDN/>
        <w:adjustRightInd/>
        <w:spacing w:line="360" w:lineRule="auto"/>
        <w:ind w:right="237"/>
        <w:jc w:val="both"/>
        <w:textAlignment w:val="auto"/>
        <w:rPr>
          <w:rFonts w:eastAsia="Arial"/>
          <w:sz w:val="24"/>
          <w:szCs w:val="24"/>
        </w:rPr>
      </w:pPr>
    </w:p>
    <w:p w14:paraId="151341BA" w14:textId="77777777" w:rsidR="00977D56" w:rsidRPr="00977D56" w:rsidRDefault="00977D56" w:rsidP="00977D56">
      <w:pPr>
        <w:overflowPunct/>
        <w:autoSpaceDE/>
        <w:autoSpaceDN/>
        <w:adjustRightInd/>
        <w:spacing w:line="360" w:lineRule="auto"/>
        <w:ind w:right="237"/>
        <w:jc w:val="both"/>
        <w:textAlignment w:val="auto"/>
        <w:rPr>
          <w:rFonts w:eastAsia="Arial"/>
          <w:sz w:val="24"/>
          <w:szCs w:val="24"/>
        </w:rPr>
      </w:pPr>
      <w:r w:rsidRPr="00977D56">
        <w:rPr>
          <w:rFonts w:eastAsia="Arial"/>
          <w:sz w:val="24"/>
          <w:szCs w:val="24"/>
        </w:rPr>
        <w:t xml:space="preserve">The male didn’t think much of this at first and tried to persuade the female no to. However, her threats increased and she continued to demand money. The victim began to panic, worrying how drastically it would affect his mental health and future employment opportunities if the video was sent to his family and friends or over the internet. He made a payment of £500 via Paypal but she continued to send messages demanding the full amount. As the victim did not have any more money to pay the female, he contacted his parents who collected him from university and brought him home to speak to the police which is where my involvement began. </w:t>
      </w:r>
    </w:p>
    <w:p w14:paraId="1ECD3E6F" w14:textId="77777777" w:rsidR="00977D56" w:rsidRPr="00977D56" w:rsidRDefault="00977D56" w:rsidP="00977D56">
      <w:pPr>
        <w:overflowPunct/>
        <w:autoSpaceDE/>
        <w:autoSpaceDN/>
        <w:adjustRightInd/>
        <w:spacing w:line="360" w:lineRule="auto"/>
        <w:ind w:right="237"/>
        <w:jc w:val="both"/>
        <w:textAlignment w:val="auto"/>
        <w:rPr>
          <w:rFonts w:eastAsia="Arial"/>
          <w:sz w:val="24"/>
          <w:szCs w:val="24"/>
        </w:rPr>
      </w:pPr>
    </w:p>
    <w:p w14:paraId="42E0F533" w14:textId="77777777" w:rsidR="00977D56" w:rsidRPr="00977D56" w:rsidRDefault="00977D56" w:rsidP="00977D56">
      <w:pPr>
        <w:overflowPunct/>
        <w:autoSpaceDE/>
        <w:autoSpaceDN/>
        <w:adjustRightInd/>
        <w:spacing w:line="360" w:lineRule="auto"/>
        <w:ind w:right="237"/>
        <w:jc w:val="both"/>
        <w:textAlignment w:val="auto"/>
        <w:rPr>
          <w:rFonts w:eastAsia="Arial"/>
          <w:sz w:val="24"/>
          <w:szCs w:val="24"/>
        </w:rPr>
      </w:pPr>
      <w:r w:rsidRPr="00977D56">
        <w:rPr>
          <w:rFonts w:eastAsia="Arial"/>
          <w:sz w:val="24"/>
          <w:szCs w:val="24"/>
        </w:rPr>
        <w:t>Being a victim of sextortion can have catastrophic consequences. The Independent (2018) report that in the United Kingdom at least five men are known to have taken their own life after falling victim to sextortion.</w:t>
      </w:r>
    </w:p>
    <w:p w14:paraId="4B2B8D4D" w14:textId="77777777" w:rsidR="00977D56" w:rsidRPr="00977D56" w:rsidRDefault="00977D56" w:rsidP="00977D56">
      <w:pPr>
        <w:overflowPunct/>
        <w:autoSpaceDE/>
        <w:autoSpaceDN/>
        <w:adjustRightInd/>
        <w:spacing w:line="360" w:lineRule="auto"/>
        <w:ind w:right="237"/>
        <w:jc w:val="both"/>
        <w:textAlignment w:val="auto"/>
        <w:rPr>
          <w:rFonts w:eastAsia="Arial"/>
          <w:color w:val="00B050"/>
          <w:sz w:val="24"/>
          <w:szCs w:val="24"/>
        </w:rPr>
      </w:pPr>
    </w:p>
    <w:p w14:paraId="60D8B2C4" w14:textId="77777777" w:rsidR="00977D56" w:rsidRPr="00977D56" w:rsidRDefault="00977D56" w:rsidP="00977D56">
      <w:pPr>
        <w:overflowPunct/>
        <w:autoSpaceDE/>
        <w:autoSpaceDN/>
        <w:adjustRightInd/>
        <w:spacing w:line="360" w:lineRule="auto"/>
        <w:ind w:right="237"/>
        <w:jc w:val="both"/>
        <w:textAlignment w:val="auto"/>
        <w:rPr>
          <w:rFonts w:eastAsia="Arial"/>
          <w:sz w:val="24"/>
          <w:szCs w:val="24"/>
        </w:rPr>
      </w:pPr>
      <w:r w:rsidRPr="00977D56">
        <w:rPr>
          <w:rFonts w:eastAsia="Arial"/>
          <w:sz w:val="24"/>
          <w:szCs w:val="24"/>
        </w:rPr>
        <w:t>The call wasn’t graded as an emergency response and graded for a response within an hour. However, the call text stated that the victim was understandably in a state of distress and I was concerned about the impact on his mental wellbeing being a young student.</w:t>
      </w:r>
    </w:p>
    <w:p w14:paraId="744EE357" w14:textId="77777777" w:rsidR="00977D56" w:rsidRPr="00977D56" w:rsidRDefault="00977D56" w:rsidP="00977D56">
      <w:pPr>
        <w:overflowPunct/>
        <w:autoSpaceDE/>
        <w:autoSpaceDN/>
        <w:adjustRightInd/>
        <w:spacing w:line="360" w:lineRule="auto"/>
        <w:ind w:right="237"/>
        <w:jc w:val="both"/>
        <w:textAlignment w:val="auto"/>
        <w:rPr>
          <w:rFonts w:eastAsia="Arial"/>
          <w:sz w:val="24"/>
          <w:szCs w:val="24"/>
        </w:rPr>
      </w:pPr>
    </w:p>
    <w:p w14:paraId="11746E27" w14:textId="4966E78C" w:rsidR="00977D56" w:rsidRPr="00977D56" w:rsidRDefault="00977D56" w:rsidP="00977D56">
      <w:pPr>
        <w:overflowPunct/>
        <w:autoSpaceDE/>
        <w:autoSpaceDN/>
        <w:adjustRightInd/>
        <w:spacing w:line="360" w:lineRule="auto"/>
        <w:ind w:right="237"/>
        <w:jc w:val="both"/>
        <w:textAlignment w:val="auto"/>
        <w:rPr>
          <w:rFonts w:eastAsia="Arial"/>
          <w:sz w:val="24"/>
          <w:szCs w:val="24"/>
        </w:rPr>
      </w:pPr>
      <w:r w:rsidRPr="00977D56">
        <w:rPr>
          <w:rFonts w:eastAsia="Arial"/>
          <w:sz w:val="24"/>
          <w:szCs w:val="24"/>
        </w:rPr>
        <w:t xml:space="preserve">Consequently, I decided to make contact over the phone prior to my attendance to provide some initial advice and reassurance to the victim in an attempt to reduce the risk of harm caused to him. By doing this it gave me the opportunity to provide some sort of reassurance to the victim that I would be attending and make him feel like he was being taken seriously in what was an embarrassing situation for him. As </w:t>
      </w:r>
      <w:r w:rsidRPr="00977D56">
        <w:rPr>
          <w:rFonts w:eastAsia="Arial"/>
          <w:sz w:val="24"/>
          <w:szCs w:val="24"/>
        </w:rPr>
        <w:lastRenderedPageBreak/>
        <w:t>suggested by the National Crime Agency</w:t>
      </w:r>
      <w:r w:rsidR="007B6E7F">
        <w:rPr>
          <w:rFonts w:eastAsia="Arial"/>
          <w:sz w:val="24"/>
          <w:szCs w:val="24"/>
        </w:rPr>
        <w:t xml:space="preserve"> (NCA, 2021</w:t>
      </w:r>
      <w:r w:rsidRPr="00977D56">
        <w:rPr>
          <w:rFonts w:eastAsia="Arial"/>
          <w:sz w:val="24"/>
          <w:szCs w:val="24"/>
        </w:rPr>
        <w:t>), I advised the victim to immediately cease all contact with the suspect and not to make any further payments regardless of the demands. I also advised that he took screenshots of conversations in order to preserve evidence and reduce the risk of this being lost and the risk of harm as a result being increased due to lack of evidence.</w:t>
      </w:r>
    </w:p>
    <w:p w14:paraId="3AB29739" w14:textId="77777777" w:rsidR="00977D56" w:rsidRPr="00977D56" w:rsidRDefault="00977D56" w:rsidP="00977D56">
      <w:pPr>
        <w:overflowPunct/>
        <w:autoSpaceDE/>
        <w:autoSpaceDN/>
        <w:adjustRightInd/>
        <w:spacing w:line="360" w:lineRule="auto"/>
        <w:ind w:right="237"/>
        <w:jc w:val="both"/>
        <w:textAlignment w:val="auto"/>
        <w:rPr>
          <w:rFonts w:eastAsia="Arial"/>
          <w:sz w:val="24"/>
          <w:szCs w:val="24"/>
        </w:rPr>
      </w:pPr>
    </w:p>
    <w:p w14:paraId="7060435D" w14:textId="77777777" w:rsidR="00977D56" w:rsidRPr="00977D56" w:rsidRDefault="00977D56" w:rsidP="00977D56">
      <w:pPr>
        <w:overflowPunct/>
        <w:autoSpaceDE/>
        <w:autoSpaceDN/>
        <w:adjustRightInd/>
        <w:spacing w:line="360" w:lineRule="auto"/>
        <w:ind w:right="237"/>
        <w:jc w:val="both"/>
        <w:textAlignment w:val="auto"/>
        <w:rPr>
          <w:rFonts w:eastAsia="Arial"/>
          <w:sz w:val="24"/>
          <w:szCs w:val="24"/>
        </w:rPr>
      </w:pPr>
      <w:r w:rsidRPr="00977D56">
        <w:rPr>
          <w:rFonts w:eastAsia="Arial"/>
          <w:sz w:val="24"/>
          <w:szCs w:val="24"/>
        </w:rPr>
        <w:t>On attendance, I obtained a full account from the male so that I had a full understanding of the circumstances and so I could decide on the most appropriate action to be taken. The male explained in depth what had happened and I gathered all relevant information and evidence. I took a statement of complaint from the victim and also a Victim Personal Statement. I had to manage the expectations of the victim and explained to him that it might not be possible to trace the suspect due to the perpetrators being well practised in this type of offence and clued up as to how not to be traced but reassured him that we could at least try. I also had to inform him that in reality there was a chance that the suspect may still post the videos and as a result advised him that he should maybe make family and friends aware not to open anything from any unknown person. I also reassured him that he is not the only person to have fallen victim to this crime and it is becoming more common for individuals in his age category.</w:t>
      </w:r>
    </w:p>
    <w:p w14:paraId="380548F0" w14:textId="77777777" w:rsidR="00977D56" w:rsidRPr="00977D56" w:rsidRDefault="00977D56" w:rsidP="00977D56">
      <w:pPr>
        <w:overflowPunct/>
        <w:autoSpaceDE/>
        <w:autoSpaceDN/>
        <w:adjustRightInd/>
        <w:spacing w:line="360" w:lineRule="auto"/>
        <w:ind w:right="237"/>
        <w:jc w:val="both"/>
        <w:textAlignment w:val="auto"/>
        <w:rPr>
          <w:rFonts w:eastAsia="Arial"/>
          <w:sz w:val="24"/>
          <w:szCs w:val="24"/>
        </w:rPr>
      </w:pPr>
    </w:p>
    <w:p w14:paraId="3DCBE64B" w14:textId="77777777" w:rsidR="00977D56" w:rsidRPr="00977D56" w:rsidRDefault="00977D56" w:rsidP="00977D56">
      <w:pPr>
        <w:overflowPunct/>
        <w:autoSpaceDE/>
        <w:autoSpaceDN/>
        <w:adjustRightInd/>
        <w:spacing w:line="360" w:lineRule="auto"/>
        <w:ind w:right="237"/>
        <w:jc w:val="both"/>
        <w:textAlignment w:val="auto"/>
        <w:rPr>
          <w:rFonts w:eastAsia="Arial"/>
          <w:sz w:val="24"/>
          <w:szCs w:val="24"/>
        </w:rPr>
      </w:pPr>
      <w:bookmarkStart w:id="6" w:name="_heading=h.gjdgxs" w:colFirst="0" w:colLast="0"/>
      <w:bookmarkEnd w:id="6"/>
      <w:r w:rsidRPr="00977D56">
        <w:rPr>
          <w:rFonts w:eastAsia="Arial"/>
          <w:sz w:val="24"/>
          <w:szCs w:val="24"/>
        </w:rPr>
        <w:t>Whilst in attendance, I also completed a form with information about the incident and sent it to the Anti Kidnap and Extortion Unit which is then sent to the NCA as per South Wales Police policy. This is a specialist unit who deal with such incidents and making them aware of the incident was another measure to reduce the risk of harm to the victim. (NCA, nd)</w:t>
      </w:r>
    </w:p>
    <w:p w14:paraId="524EB38C" w14:textId="77777777" w:rsidR="00977D56" w:rsidRPr="00977D56" w:rsidRDefault="00977D56" w:rsidP="00977D56">
      <w:pPr>
        <w:overflowPunct/>
        <w:autoSpaceDE/>
        <w:autoSpaceDN/>
        <w:adjustRightInd/>
        <w:spacing w:line="360" w:lineRule="auto"/>
        <w:ind w:right="237"/>
        <w:jc w:val="both"/>
        <w:textAlignment w:val="auto"/>
        <w:rPr>
          <w:rFonts w:eastAsia="Arial"/>
          <w:sz w:val="24"/>
          <w:szCs w:val="24"/>
        </w:rPr>
      </w:pPr>
    </w:p>
    <w:p w14:paraId="304AD5B5" w14:textId="5E895B35" w:rsidR="00977D56" w:rsidRPr="00977D56" w:rsidRDefault="00977D56" w:rsidP="00977D56">
      <w:pPr>
        <w:overflowPunct/>
        <w:autoSpaceDE/>
        <w:autoSpaceDN/>
        <w:adjustRightInd/>
        <w:spacing w:line="360" w:lineRule="auto"/>
        <w:ind w:right="237"/>
        <w:jc w:val="both"/>
        <w:textAlignment w:val="auto"/>
        <w:rPr>
          <w:rFonts w:eastAsia="Arial"/>
          <w:sz w:val="24"/>
          <w:szCs w:val="24"/>
        </w:rPr>
      </w:pPr>
      <w:r w:rsidRPr="00977D56">
        <w:rPr>
          <w:rFonts w:eastAsia="Arial"/>
          <w:sz w:val="24"/>
          <w:szCs w:val="24"/>
        </w:rPr>
        <w:t>Another strategy implemented was to provide advice and support to the victim to prevent him falling victim to such crimes again. I advised him that in future to consider his safety online and not to put himself in a vulnerable position by communicating with individuals he does not know, and more importantly not</w:t>
      </w:r>
      <w:r w:rsidR="007B6E7F">
        <w:rPr>
          <w:rFonts w:eastAsia="Arial"/>
          <w:sz w:val="24"/>
          <w:szCs w:val="24"/>
        </w:rPr>
        <w:t xml:space="preserve"> to</w:t>
      </w:r>
      <w:r w:rsidRPr="00977D56">
        <w:rPr>
          <w:rFonts w:eastAsia="Arial"/>
          <w:sz w:val="24"/>
          <w:szCs w:val="24"/>
        </w:rPr>
        <w:t xml:space="preserve"> engage</w:t>
      </w:r>
      <w:r w:rsidR="007B6E7F">
        <w:rPr>
          <w:rFonts w:eastAsia="Arial"/>
          <w:sz w:val="24"/>
          <w:szCs w:val="24"/>
        </w:rPr>
        <w:t xml:space="preserve"> in</w:t>
      </w:r>
      <w:r w:rsidRPr="00977D56">
        <w:rPr>
          <w:rFonts w:eastAsia="Arial"/>
          <w:sz w:val="24"/>
          <w:szCs w:val="24"/>
        </w:rPr>
        <w:t xml:space="preserve"> sexual acts online again. However, I was also showed him empathy by expressing that I understood his embarrassment about the whole incident. I informed him that I was aware of both the financial and emotional impact this </w:t>
      </w:r>
      <w:r w:rsidRPr="00977D56">
        <w:rPr>
          <w:rFonts w:eastAsia="Arial"/>
          <w:sz w:val="24"/>
          <w:szCs w:val="24"/>
        </w:rPr>
        <w:lastRenderedPageBreak/>
        <w:t>incident could have on him and encouraged him to seek support. I also completed a safeguarding report in the form of a Public Protection Notification as per force policy. I explained to the victim that this was a safeguarding measure an information sharing process and if he gave consent then partner agencies could be in contact with him to offer him appropriate support. Encouraging him to seek support was also an additional measure to reduce the risk and impact of harm to him.</w:t>
      </w:r>
    </w:p>
    <w:p w14:paraId="41F53E0C" w14:textId="77777777" w:rsidR="00977D56" w:rsidRPr="00977D56" w:rsidRDefault="00977D56" w:rsidP="00977D56">
      <w:pPr>
        <w:overflowPunct/>
        <w:autoSpaceDE/>
        <w:autoSpaceDN/>
        <w:adjustRightInd/>
        <w:spacing w:line="360" w:lineRule="auto"/>
        <w:ind w:right="237"/>
        <w:jc w:val="both"/>
        <w:textAlignment w:val="auto"/>
        <w:rPr>
          <w:rFonts w:eastAsia="Arial"/>
          <w:sz w:val="24"/>
          <w:szCs w:val="24"/>
        </w:rPr>
      </w:pPr>
    </w:p>
    <w:p w14:paraId="785A1C29" w14:textId="77777777" w:rsidR="00977D56" w:rsidRPr="00977D56" w:rsidRDefault="00977D56" w:rsidP="00977D56">
      <w:pPr>
        <w:overflowPunct/>
        <w:autoSpaceDE/>
        <w:autoSpaceDN/>
        <w:adjustRightInd/>
        <w:spacing w:line="360" w:lineRule="auto"/>
        <w:ind w:right="237"/>
        <w:jc w:val="both"/>
        <w:textAlignment w:val="auto"/>
        <w:rPr>
          <w:rFonts w:eastAsia="Arial"/>
          <w:sz w:val="24"/>
          <w:szCs w:val="24"/>
        </w:rPr>
      </w:pPr>
      <w:r w:rsidRPr="00977D56">
        <w:rPr>
          <w:rFonts w:eastAsia="Arial"/>
          <w:sz w:val="24"/>
          <w:szCs w:val="24"/>
        </w:rPr>
        <w:t>The College of Policing (2018), define a vulnerable person as:</w:t>
      </w:r>
    </w:p>
    <w:p w14:paraId="33F74DE0" w14:textId="77777777" w:rsidR="00977D56" w:rsidRPr="00977D56" w:rsidRDefault="00977D56" w:rsidP="00977D56">
      <w:pPr>
        <w:overflowPunct/>
        <w:autoSpaceDE/>
        <w:autoSpaceDN/>
        <w:adjustRightInd/>
        <w:spacing w:line="360" w:lineRule="auto"/>
        <w:ind w:right="237"/>
        <w:jc w:val="both"/>
        <w:textAlignment w:val="auto"/>
        <w:rPr>
          <w:rFonts w:eastAsia="Arial"/>
          <w:sz w:val="24"/>
          <w:szCs w:val="24"/>
        </w:rPr>
      </w:pPr>
    </w:p>
    <w:p w14:paraId="31736351" w14:textId="77777777" w:rsidR="00977D56" w:rsidRPr="00977D56" w:rsidRDefault="00977D56" w:rsidP="00977D56">
      <w:pPr>
        <w:overflowPunct/>
        <w:autoSpaceDE/>
        <w:autoSpaceDN/>
        <w:adjustRightInd/>
        <w:spacing w:line="360" w:lineRule="auto"/>
        <w:ind w:right="237"/>
        <w:jc w:val="both"/>
        <w:textAlignment w:val="auto"/>
        <w:rPr>
          <w:rFonts w:eastAsia="Arial"/>
          <w:sz w:val="24"/>
          <w:szCs w:val="24"/>
        </w:rPr>
      </w:pPr>
      <w:r w:rsidRPr="00977D56">
        <w:rPr>
          <w:rFonts w:eastAsia="Arial"/>
          <w:sz w:val="24"/>
          <w:szCs w:val="24"/>
        </w:rPr>
        <w:t>‘A person is vulnerable if, as a result of their situation or circumstances, they are unable to take care of or, protect themselves or others, from harm or exploitation.’</w:t>
      </w:r>
    </w:p>
    <w:p w14:paraId="32B5E535" w14:textId="77777777" w:rsidR="00977D56" w:rsidRPr="00977D56" w:rsidRDefault="00977D56" w:rsidP="00977D56">
      <w:pPr>
        <w:overflowPunct/>
        <w:autoSpaceDE/>
        <w:autoSpaceDN/>
        <w:adjustRightInd/>
        <w:spacing w:line="360" w:lineRule="auto"/>
        <w:ind w:right="237"/>
        <w:jc w:val="both"/>
        <w:textAlignment w:val="auto"/>
        <w:rPr>
          <w:rFonts w:eastAsia="Arial"/>
          <w:sz w:val="24"/>
          <w:szCs w:val="24"/>
        </w:rPr>
      </w:pPr>
    </w:p>
    <w:p w14:paraId="0726E060" w14:textId="77777777" w:rsidR="00977D56" w:rsidRPr="00977D56" w:rsidRDefault="00977D56" w:rsidP="00977D56">
      <w:pPr>
        <w:overflowPunct/>
        <w:autoSpaceDE/>
        <w:autoSpaceDN/>
        <w:adjustRightInd/>
        <w:spacing w:line="360" w:lineRule="auto"/>
        <w:ind w:right="237"/>
        <w:jc w:val="both"/>
        <w:textAlignment w:val="auto"/>
        <w:rPr>
          <w:rFonts w:eastAsia="Arial"/>
          <w:sz w:val="24"/>
          <w:szCs w:val="24"/>
        </w:rPr>
      </w:pPr>
      <w:r w:rsidRPr="00977D56">
        <w:rPr>
          <w:rFonts w:eastAsia="Arial"/>
          <w:sz w:val="24"/>
          <w:szCs w:val="24"/>
        </w:rPr>
        <w:t>This definition suggests that in fact any individual can become vulnerable and it is not necessarily always a specific category of people. This male may have been more vulnerable to this type of incident for various reasons. Firstly, he was deaf and had some difficulties with communication. He states that the suspect was aware of this and this may have been used at an advantage to the suspect. Secondly, his age is another vulnerability due to lacking life experience.</w:t>
      </w:r>
    </w:p>
    <w:p w14:paraId="797A663D" w14:textId="77777777" w:rsidR="00977D56" w:rsidRPr="00977D56" w:rsidRDefault="00977D56" w:rsidP="00977D56">
      <w:pPr>
        <w:overflowPunct/>
        <w:autoSpaceDE/>
        <w:autoSpaceDN/>
        <w:adjustRightInd/>
        <w:spacing w:line="360" w:lineRule="auto"/>
        <w:ind w:right="237"/>
        <w:jc w:val="both"/>
        <w:textAlignment w:val="auto"/>
        <w:rPr>
          <w:rFonts w:eastAsia="Arial"/>
          <w:sz w:val="24"/>
          <w:szCs w:val="24"/>
        </w:rPr>
      </w:pPr>
    </w:p>
    <w:p w14:paraId="67B1282C" w14:textId="77777777" w:rsidR="00977D56" w:rsidRPr="00977D56" w:rsidRDefault="00977D56" w:rsidP="00977D56">
      <w:pPr>
        <w:overflowPunct/>
        <w:autoSpaceDE/>
        <w:autoSpaceDN/>
        <w:adjustRightInd/>
        <w:spacing w:line="360" w:lineRule="auto"/>
        <w:ind w:right="237"/>
        <w:jc w:val="both"/>
        <w:textAlignment w:val="auto"/>
        <w:rPr>
          <w:rFonts w:eastAsia="Arial"/>
          <w:sz w:val="24"/>
          <w:szCs w:val="24"/>
        </w:rPr>
      </w:pPr>
      <w:r w:rsidRPr="00977D56">
        <w:rPr>
          <w:rFonts w:eastAsia="Arial"/>
          <w:sz w:val="24"/>
          <w:szCs w:val="24"/>
        </w:rPr>
        <w:t>The victim stated that he spends a lot of time on social media which is also where he was targeted. His use of social media could have added to the risk of him falling victim to this type of crime as the perpetrators are known to target their victims. It is reported that 40% of sextortion victims meet their perpetrator online. (Thorn, 2015)</w:t>
      </w:r>
    </w:p>
    <w:p w14:paraId="125EFD20" w14:textId="77777777" w:rsidR="00977D56" w:rsidRPr="00977D56" w:rsidRDefault="00977D56" w:rsidP="00977D56">
      <w:pPr>
        <w:overflowPunct/>
        <w:autoSpaceDE/>
        <w:autoSpaceDN/>
        <w:adjustRightInd/>
        <w:spacing w:line="360" w:lineRule="auto"/>
        <w:ind w:right="237"/>
        <w:jc w:val="both"/>
        <w:textAlignment w:val="auto"/>
        <w:rPr>
          <w:rFonts w:eastAsia="Arial"/>
          <w:color w:val="auto"/>
          <w:sz w:val="24"/>
          <w:szCs w:val="24"/>
        </w:rPr>
      </w:pPr>
      <w:bookmarkStart w:id="7" w:name="_heading=h.ulk1kkjac61q" w:colFirst="0" w:colLast="0"/>
      <w:bookmarkEnd w:id="7"/>
    </w:p>
    <w:p w14:paraId="61215FA2" w14:textId="77777777" w:rsidR="00977D56" w:rsidRPr="00977D56" w:rsidRDefault="00977D56" w:rsidP="00977D56">
      <w:pPr>
        <w:overflowPunct/>
        <w:autoSpaceDE/>
        <w:autoSpaceDN/>
        <w:adjustRightInd/>
        <w:spacing w:line="360" w:lineRule="auto"/>
        <w:ind w:right="237"/>
        <w:jc w:val="both"/>
        <w:textAlignment w:val="auto"/>
        <w:rPr>
          <w:rFonts w:eastAsia="Arial"/>
          <w:sz w:val="24"/>
          <w:szCs w:val="24"/>
        </w:rPr>
      </w:pPr>
      <w:bookmarkStart w:id="8" w:name="_heading=h.39m0cw87wpw" w:colFirst="0" w:colLast="0"/>
      <w:bookmarkStart w:id="9" w:name="_heading=h.ebonqv6dznnw" w:colFirst="0" w:colLast="0"/>
      <w:bookmarkEnd w:id="8"/>
      <w:bookmarkEnd w:id="9"/>
      <w:r w:rsidRPr="00977D56">
        <w:rPr>
          <w:rFonts w:eastAsia="Arial"/>
          <w:sz w:val="24"/>
          <w:szCs w:val="24"/>
        </w:rPr>
        <w:t xml:space="preserve">In conclusion, I feel that the immediate actions I took helped reduce the risk of harm caused to the victim in this incident. My initial action to make contact and reassure him, helped his worry and embarrassment surrounding the whole situation. By considering his vulnerabilities it allowed me to provide a more personal and empathetic approach to the victim too. </w:t>
      </w:r>
    </w:p>
    <w:p w14:paraId="585EADBB" w14:textId="77777777" w:rsidR="00977D56" w:rsidRPr="00977D56" w:rsidRDefault="00977D56" w:rsidP="00977D56">
      <w:pPr>
        <w:overflowPunct/>
        <w:autoSpaceDE/>
        <w:autoSpaceDN/>
        <w:adjustRightInd/>
        <w:spacing w:line="360" w:lineRule="auto"/>
        <w:ind w:right="237"/>
        <w:jc w:val="both"/>
        <w:textAlignment w:val="auto"/>
        <w:rPr>
          <w:rFonts w:eastAsia="Arial"/>
          <w:sz w:val="24"/>
          <w:szCs w:val="24"/>
        </w:rPr>
      </w:pPr>
    </w:p>
    <w:p w14:paraId="433BBDA5" w14:textId="2B7D209A" w:rsidR="00977D56" w:rsidRPr="00977D56" w:rsidRDefault="007B6E7F" w:rsidP="00977D56">
      <w:pPr>
        <w:overflowPunct/>
        <w:autoSpaceDE/>
        <w:autoSpaceDN/>
        <w:adjustRightInd/>
        <w:spacing w:line="360" w:lineRule="auto"/>
        <w:ind w:right="237"/>
        <w:jc w:val="both"/>
        <w:textAlignment w:val="auto"/>
        <w:rPr>
          <w:rFonts w:eastAsia="Arial"/>
          <w:sz w:val="24"/>
          <w:szCs w:val="24"/>
        </w:rPr>
      </w:pPr>
      <w:r>
        <w:rPr>
          <w:rFonts w:eastAsia="Arial"/>
          <w:sz w:val="24"/>
          <w:szCs w:val="24"/>
        </w:rPr>
        <w:t>Word count 1372</w:t>
      </w:r>
    </w:p>
    <w:p w14:paraId="592CAEBA" w14:textId="21CA1F12" w:rsidR="000F7ECD" w:rsidRPr="00270EEB" w:rsidRDefault="000F7ECD" w:rsidP="5B63D80E">
      <w:pPr>
        <w:ind w:right="237"/>
        <w:jc w:val="both"/>
        <w:rPr>
          <w:sz w:val="24"/>
          <w:szCs w:val="24"/>
        </w:rPr>
        <w:sectPr w:rsidR="000F7ECD" w:rsidRPr="00270EEB" w:rsidSect="00BA36FC">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165394F6"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9F6FEFE" w14:textId="77777777" w:rsidR="007B6E7F" w:rsidRPr="007B6E7F" w:rsidRDefault="007B6E7F" w:rsidP="007B6E7F">
      <w:pPr>
        <w:widowControl w:val="0"/>
        <w:overflowPunct/>
        <w:spacing w:after="240" w:line="360" w:lineRule="auto"/>
        <w:textAlignment w:val="auto"/>
        <w:rPr>
          <w:color w:val="auto"/>
          <w:sz w:val="24"/>
          <w:szCs w:val="24"/>
          <w:lang w:val="en-US"/>
        </w:rPr>
      </w:pPr>
      <w:r w:rsidRPr="007B6E7F">
        <w:rPr>
          <w:color w:val="auto"/>
          <w:sz w:val="24"/>
          <w:szCs w:val="24"/>
          <w:lang w:val="en-US"/>
        </w:rPr>
        <w:t xml:space="preserve">Action Fraud (2019). </w:t>
      </w:r>
      <w:r w:rsidRPr="007B6E7F">
        <w:rPr>
          <w:i/>
          <w:iCs/>
          <w:color w:val="auto"/>
          <w:sz w:val="24"/>
          <w:szCs w:val="24"/>
          <w:lang w:val="en-US"/>
        </w:rPr>
        <w:t>What Is Fraud and Cybe</w:t>
      </w:r>
      <w:bookmarkStart w:id="16" w:name="_GoBack"/>
      <w:bookmarkEnd w:id="16"/>
      <w:r w:rsidRPr="007B6E7F">
        <w:rPr>
          <w:i/>
          <w:iCs/>
          <w:color w:val="auto"/>
          <w:sz w:val="24"/>
          <w:szCs w:val="24"/>
          <w:lang w:val="en-US"/>
        </w:rPr>
        <w:t>r crime?</w:t>
      </w:r>
      <w:r w:rsidRPr="007B6E7F">
        <w:rPr>
          <w:color w:val="auto"/>
          <w:sz w:val="24"/>
          <w:szCs w:val="24"/>
          <w:lang w:val="en-US"/>
        </w:rPr>
        <w:t xml:space="preserve"> [online] Action Fraud. Available at: </w:t>
      </w:r>
      <w:hyperlink r:id="rId26" w:history="1">
        <w:r w:rsidRPr="007B6E7F">
          <w:rPr>
            <w:color w:val="auto"/>
            <w:sz w:val="24"/>
            <w:szCs w:val="24"/>
            <w:lang w:val="en-US"/>
          </w:rPr>
          <w:t>https://www.actionfraud.police.uk/what-is-fraud</w:t>
        </w:r>
      </w:hyperlink>
      <w:r w:rsidRPr="007B6E7F">
        <w:rPr>
          <w:color w:val="auto"/>
          <w:sz w:val="24"/>
          <w:szCs w:val="24"/>
          <w:lang w:val="en-US"/>
        </w:rPr>
        <w:t>.</w:t>
      </w:r>
    </w:p>
    <w:p w14:paraId="43A1520E" w14:textId="77777777" w:rsidR="007B6E7F" w:rsidRPr="007B6E7F" w:rsidRDefault="007B6E7F" w:rsidP="007B6E7F">
      <w:pPr>
        <w:widowControl w:val="0"/>
        <w:overflowPunct/>
        <w:spacing w:after="240" w:line="360" w:lineRule="auto"/>
        <w:textAlignment w:val="auto"/>
        <w:rPr>
          <w:color w:val="auto"/>
          <w:sz w:val="24"/>
          <w:szCs w:val="24"/>
          <w:lang w:val="en-US"/>
        </w:rPr>
      </w:pPr>
      <w:r w:rsidRPr="007B6E7F">
        <w:rPr>
          <w:color w:val="auto"/>
          <w:sz w:val="24"/>
          <w:szCs w:val="24"/>
          <w:lang w:val="en-US"/>
        </w:rPr>
        <w:t xml:space="preserve">Baldry, A.C. and Sebire, J. (2016). Policing and Domestic Abuse: Challenges and Ways to Go. </w:t>
      </w:r>
      <w:r w:rsidRPr="007B6E7F">
        <w:rPr>
          <w:i/>
          <w:iCs/>
          <w:color w:val="auto"/>
          <w:sz w:val="24"/>
          <w:szCs w:val="24"/>
          <w:lang w:val="en-US"/>
        </w:rPr>
        <w:t>Policing</w:t>
      </w:r>
      <w:r w:rsidRPr="007B6E7F">
        <w:rPr>
          <w:color w:val="auto"/>
          <w:sz w:val="24"/>
          <w:szCs w:val="24"/>
          <w:lang w:val="en-US"/>
        </w:rPr>
        <w:t xml:space="preserve">, [online] 10(4), pp.323–327. Available at: </w:t>
      </w:r>
      <w:hyperlink r:id="rId27" w:history="1">
        <w:r w:rsidRPr="007B6E7F">
          <w:rPr>
            <w:color w:val="auto"/>
            <w:sz w:val="24"/>
            <w:szCs w:val="24"/>
            <w:lang w:val="en-US"/>
          </w:rPr>
          <w:t>https://academic.oup.com/policing/article/10/4/323/2742983?login=true</w:t>
        </w:r>
      </w:hyperlink>
      <w:r w:rsidRPr="007B6E7F">
        <w:rPr>
          <w:color w:val="auto"/>
          <w:sz w:val="24"/>
          <w:szCs w:val="24"/>
          <w:lang w:val="en-US"/>
        </w:rPr>
        <w:t xml:space="preserve"> [Accessed 14 May 2019].</w:t>
      </w:r>
    </w:p>
    <w:p w14:paraId="1ED5BFA0" w14:textId="77777777" w:rsidR="007B6E7F" w:rsidRPr="007B6E7F" w:rsidRDefault="007B6E7F" w:rsidP="007B6E7F">
      <w:pPr>
        <w:widowControl w:val="0"/>
        <w:overflowPunct/>
        <w:spacing w:after="240" w:line="360" w:lineRule="auto"/>
        <w:textAlignment w:val="auto"/>
        <w:rPr>
          <w:color w:val="auto"/>
          <w:sz w:val="24"/>
          <w:szCs w:val="24"/>
          <w:lang w:val="en-US"/>
        </w:rPr>
      </w:pPr>
      <w:r w:rsidRPr="007B6E7F">
        <w:rPr>
          <w:color w:val="auto"/>
          <w:sz w:val="24"/>
          <w:szCs w:val="24"/>
          <w:lang w:val="en-US"/>
        </w:rPr>
        <w:t xml:space="preserve">Baldwin, S. (2006). </w:t>
      </w:r>
      <w:r w:rsidRPr="007B6E7F">
        <w:rPr>
          <w:i/>
          <w:iCs/>
          <w:color w:val="auto"/>
          <w:sz w:val="24"/>
          <w:szCs w:val="24"/>
          <w:lang w:val="en-US"/>
        </w:rPr>
        <w:t>Organisational Justice</w:t>
      </w:r>
      <w:r w:rsidRPr="007B6E7F">
        <w:rPr>
          <w:color w:val="auto"/>
          <w:sz w:val="24"/>
          <w:szCs w:val="24"/>
          <w:lang w:val="en-US"/>
        </w:rPr>
        <w:t xml:space="preserve">. [online] . Available at: </w:t>
      </w:r>
      <w:hyperlink r:id="rId28" w:history="1">
        <w:r w:rsidRPr="007B6E7F">
          <w:rPr>
            <w:color w:val="auto"/>
            <w:sz w:val="24"/>
            <w:szCs w:val="24"/>
            <w:lang w:val="en-US"/>
          </w:rPr>
          <w:t>https://www.employment-studies.co.uk/system/files/resources/files/mp73.pdf</w:t>
        </w:r>
      </w:hyperlink>
      <w:r w:rsidRPr="007B6E7F">
        <w:rPr>
          <w:color w:val="auto"/>
          <w:sz w:val="24"/>
          <w:szCs w:val="24"/>
          <w:lang w:val="en-US"/>
        </w:rPr>
        <w:t xml:space="preserve"> [Accessed 23 May 2021].</w:t>
      </w:r>
    </w:p>
    <w:p w14:paraId="09251D1E" w14:textId="77777777" w:rsidR="007B6E7F" w:rsidRPr="007B6E7F" w:rsidRDefault="007B6E7F" w:rsidP="007B6E7F">
      <w:pPr>
        <w:widowControl w:val="0"/>
        <w:overflowPunct/>
        <w:spacing w:after="240" w:line="360" w:lineRule="auto"/>
        <w:textAlignment w:val="auto"/>
        <w:rPr>
          <w:color w:val="auto"/>
          <w:sz w:val="24"/>
          <w:szCs w:val="24"/>
          <w:lang w:val="en-US"/>
        </w:rPr>
      </w:pPr>
      <w:r w:rsidRPr="007B6E7F">
        <w:rPr>
          <w:color w:val="auto"/>
          <w:sz w:val="24"/>
          <w:szCs w:val="24"/>
          <w:lang w:val="en-US"/>
        </w:rPr>
        <w:t xml:space="preserve">Beckley, A. (2014). Organisational justice: is the police service ready for it? </w:t>
      </w:r>
      <w:r w:rsidRPr="007B6E7F">
        <w:rPr>
          <w:i/>
          <w:iCs/>
          <w:color w:val="auto"/>
          <w:sz w:val="24"/>
          <w:szCs w:val="24"/>
          <w:lang w:val="en-US"/>
        </w:rPr>
        <w:t>Journal of Policing, Intelligence and Counter Terrorism</w:t>
      </w:r>
      <w:r w:rsidRPr="007B6E7F">
        <w:rPr>
          <w:color w:val="auto"/>
          <w:sz w:val="24"/>
          <w:szCs w:val="24"/>
          <w:lang w:val="en-US"/>
        </w:rPr>
        <w:t xml:space="preserve">, [online] 9(2), pp.176–190. Available at: </w:t>
      </w:r>
      <w:hyperlink r:id="rId29" w:history="1">
        <w:r w:rsidRPr="007B6E7F">
          <w:rPr>
            <w:color w:val="auto"/>
            <w:sz w:val="24"/>
            <w:szCs w:val="24"/>
            <w:lang w:val="en-US"/>
          </w:rPr>
          <w:t>https://www.researchgate.net/profile/Alan-Beckley/publication/265297930_Organisational_justice_is_the_police_service_ready_for_it/links/5699805a08ae748dfaff7785/Organisational-justice-is-the-police-service-ready-for-it.pdf</w:t>
        </w:r>
      </w:hyperlink>
      <w:r w:rsidRPr="007B6E7F">
        <w:rPr>
          <w:color w:val="auto"/>
          <w:sz w:val="24"/>
          <w:szCs w:val="24"/>
          <w:lang w:val="en-US"/>
        </w:rPr>
        <w:t xml:space="preserve"> [Accessed 31 May 2021].</w:t>
      </w:r>
    </w:p>
    <w:p w14:paraId="6FDAC004" w14:textId="77777777" w:rsidR="007B6E7F" w:rsidRPr="007B6E7F" w:rsidRDefault="007B6E7F" w:rsidP="007B6E7F">
      <w:pPr>
        <w:widowControl w:val="0"/>
        <w:overflowPunct/>
        <w:spacing w:after="240" w:line="360" w:lineRule="auto"/>
        <w:textAlignment w:val="auto"/>
        <w:rPr>
          <w:color w:val="auto"/>
          <w:sz w:val="24"/>
          <w:szCs w:val="24"/>
          <w:lang w:val="en-US"/>
        </w:rPr>
      </w:pPr>
      <w:r w:rsidRPr="007B6E7F">
        <w:rPr>
          <w:color w:val="auto"/>
          <w:sz w:val="24"/>
          <w:szCs w:val="24"/>
          <w:lang w:val="en-US"/>
        </w:rPr>
        <w:t xml:space="preserve">Bryant, R. and Bryant, S. (2019). </w:t>
      </w:r>
      <w:r w:rsidRPr="007B6E7F">
        <w:rPr>
          <w:i/>
          <w:iCs/>
          <w:color w:val="auto"/>
          <w:sz w:val="24"/>
          <w:szCs w:val="24"/>
          <w:lang w:val="en-US"/>
        </w:rPr>
        <w:t>Blackstone’s handbook for policing students 2020</w:t>
      </w:r>
      <w:r w:rsidRPr="007B6E7F">
        <w:rPr>
          <w:color w:val="auto"/>
          <w:sz w:val="24"/>
          <w:szCs w:val="24"/>
          <w:lang w:val="en-US"/>
        </w:rPr>
        <w:t>. 14th ed. Oxford: Oxford University Press, pp.85–241.</w:t>
      </w:r>
    </w:p>
    <w:p w14:paraId="36055B88" w14:textId="77777777" w:rsidR="007B6E7F" w:rsidRPr="007B6E7F" w:rsidRDefault="007B6E7F" w:rsidP="007B6E7F">
      <w:pPr>
        <w:widowControl w:val="0"/>
        <w:overflowPunct/>
        <w:spacing w:after="240" w:line="360" w:lineRule="auto"/>
        <w:textAlignment w:val="auto"/>
        <w:rPr>
          <w:color w:val="auto"/>
          <w:sz w:val="24"/>
          <w:szCs w:val="24"/>
          <w:lang w:val="en-US"/>
        </w:rPr>
      </w:pPr>
      <w:r w:rsidRPr="007B6E7F">
        <w:rPr>
          <w:color w:val="auto"/>
          <w:sz w:val="24"/>
          <w:szCs w:val="24"/>
          <w:lang w:val="en-US"/>
        </w:rPr>
        <w:t xml:space="preserve">Cambridgeshire Police (2021). </w:t>
      </w:r>
      <w:r w:rsidRPr="007B6E7F">
        <w:rPr>
          <w:i/>
          <w:iCs/>
          <w:color w:val="auto"/>
          <w:sz w:val="24"/>
          <w:szCs w:val="24"/>
          <w:lang w:val="en-US"/>
        </w:rPr>
        <w:t>Signs of domestic abuse</w:t>
      </w:r>
      <w:r w:rsidRPr="007B6E7F">
        <w:rPr>
          <w:color w:val="auto"/>
          <w:sz w:val="24"/>
          <w:szCs w:val="24"/>
          <w:lang w:val="en-US"/>
        </w:rPr>
        <w:t xml:space="preserve">. [online] . Available at: </w:t>
      </w:r>
      <w:hyperlink r:id="rId30" w:history="1">
        <w:r w:rsidRPr="007B6E7F">
          <w:rPr>
            <w:color w:val="auto"/>
            <w:sz w:val="24"/>
            <w:szCs w:val="24"/>
            <w:lang w:val="en-US"/>
          </w:rPr>
          <w:t>https://www.cambs.police.uk/information-and-services/Domestic-abuse/Domestic-abuse-signs</w:t>
        </w:r>
      </w:hyperlink>
      <w:r w:rsidRPr="007B6E7F">
        <w:rPr>
          <w:color w:val="auto"/>
          <w:sz w:val="24"/>
          <w:szCs w:val="24"/>
          <w:lang w:val="en-US"/>
        </w:rPr>
        <w:t xml:space="preserve"> [Accessed 31 May 2021].</w:t>
      </w:r>
    </w:p>
    <w:p w14:paraId="06953079" w14:textId="77777777" w:rsidR="007B6E7F" w:rsidRPr="007B6E7F" w:rsidRDefault="007B6E7F" w:rsidP="007B6E7F">
      <w:pPr>
        <w:widowControl w:val="0"/>
        <w:overflowPunct/>
        <w:spacing w:after="240" w:line="360" w:lineRule="auto"/>
        <w:textAlignment w:val="auto"/>
        <w:rPr>
          <w:color w:val="auto"/>
          <w:sz w:val="24"/>
          <w:szCs w:val="24"/>
          <w:lang w:val="en-US"/>
        </w:rPr>
      </w:pPr>
      <w:r w:rsidRPr="007B6E7F">
        <w:rPr>
          <w:i/>
          <w:iCs/>
          <w:color w:val="auto"/>
          <w:sz w:val="24"/>
          <w:szCs w:val="24"/>
          <w:lang w:val="en-US"/>
        </w:rPr>
        <w:t>Child and Young Persons Act  1933</w:t>
      </w:r>
      <w:r w:rsidRPr="007B6E7F">
        <w:rPr>
          <w:color w:val="auto"/>
          <w:sz w:val="24"/>
          <w:szCs w:val="24"/>
          <w:lang w:val="en-US"/>
        </w:rPr>
        <w:t xml:space="preserve">.1 [online] Available at: </w:t>
      </w:r>
      <w:hyperlink r:id="rId31" w:history="1">
        <w:r w:rsidRPr="007B6E7F">
          <w:rPr>
            <w:color w:val="auto"/>
            <w:sz w:val="24"/>
            <w:szCs w:val="24"/>
            <w:lang w:val="en-US"/>
          </w:rPr>
          <w:t>https://www.legislation.gov.uk/ukpga/Geo5/23-24/12/section/1</w:t>
        </w:r>
      </w:hyperlink>
      <w:r w:rsidRPr="007B6E7F">
        <w:rPr>
          <w:color w:val="auto"/>
          <w:sz w:val="24"/>
          <w:szCs w:val="24"/>
          <w:lang w:val="en-US"/>
        </w:rPr>
        <w:t xml:space="preserve"> [Accessed 31 May 2021].</w:t>
      </w:r>
    </w:p>
    <w:p w14:paraId="2471510C" w14:textId="77777777" w:rsidR="007B6E7F" w:rsidRPr="007B6E7F" w:rsidRDefault="007B6E7F" w:rsidP="007B6E7F">
      <w:pPr>
        <w:widowControl w:val="0"/>
        <w:overflowPunct/>
        <w:spacing w:after="240" w:line="360" w:lineRule="auto"/>
        <w:textAlignment w:val="auto"/>
        <w:rPr>
          <w:color w:val="auto"/>
          <w:sz w:val="24"/>
          <w:szCs w:val="24"/>
          <w:lang w:val="en-US"/>
        </w:rPr>
      </w:pPr>
      <w:r w:rsidRPr="007B6E7F">
        <w:rPr>
          <w:i/>
          <w:iCs/>
          <w:color w:val="auto"/>
          <w:sz w:val="24"/>
          <w:szCs w:val="24"/>
          <w:lang w:val="en-US"/>
        </w:rPr>
        <w:lastRenderedPageBreak/>
        <w:t>Children Act 1989</w:t>
      </w:r>
      <w:r w:rsidRPr="007B6E7F">
        <w:rPr>
          <w:color w:val="auto"/>
          <w:sz w:val="24"/>
          <w:szCs w:val="24"/>
          <w:lang w:val="en-US"/>
        </w:rPr>
        <w:t xml:space="preserve">.46. Legislation.gov.uk. [online] Available at: </w:t>
      </w:r>
      <w:hyperlink r:id="rId32" w:history="1">
        <w:r w:rsidRPr="007B6E7F">
          <w:rPr>
            <w:color w:val="auto"/>
            <w:sz w:val="24"/>
            <w:szCs w:val="24"/>
            <w:lang w:val="en-US"/>
          </w:rPr>
          <w:t>https://www.legislation.gov.uk/ukpga/1989/41/section/46</w:t>
        </w:r>
      </w:hyperlink>
      <w:r w:rsidRPr="007B6E7F">
        <w:rPr>
          <w:color w:val="auto"/>
          <w:sz w:val="24"/>
          <w:szCs w:val="24"/>
          <w:lang w:val="en-US"/>
        </w:rPr>
        <w:t xml:space="preserve"> [Accessed 31 May 2021].</w:t>
      </w:r>
    </w:p>
    <w:p w14:paraId="2A3F10F4" w14:textId="77777777" w:rsidR="007B6E7F" w:rsidRPr="007B6E7F" w:rsidRDefault="007B6E7F" w:rsidP="007B6E7F">
      <w:pPr>
        <w:widowControl w:val="0"/>
        <w:overflowPunct/>
        <w:spacing w:after="240" w:line="360" w:lineRule="auto"/>
        <w:textAlignment w:val="auto"/>
        <w:rPr>
          <w:color w:val="auto"/>
          <w:sz w:val="24"/>
          <w:szCs w:val="24"/>
          <w:lang w:val="en-US"/>
        </w:rPr>
      </w:pPr>
      <w:r w:rsidRPr="007B6E7F">
        <w:rPr>
          <w:i/>
          <w:iCs/>
          <w:color w:val="auto"/>
          <w:sz w:val="24"/>
          <w:szCs w:val="24"/>
          <w:lang w:val="en-US"/>
        </w:rPr>
        <w:t>Children’s Act 2004</w:t>
      </w:r>
      <w:r w:rsidRPr="007B6E7F">
        <w:rPr>
          <w:color w:val="auto"/>
          <w:sz w:val="24"/>
          <w:szCs w:val="24"/>
          <w:lang w:val="en-US"/>
        </w:rPr>
        <w:t xml:space="preserve">.c.31 [online] Available at: </w:t>
      </w:r>
      <w:hyperlink r:id="rId33" w:history="1">
        <w:r w:rsidRPr="007B6E7F">
          <w:rPr>
            <w:color w:val="auto"/>
            <w:sz w:val="24"/>
            <w:szCs w:val="24"/>
            <w:lang w:val="en-US"/>
          </w:rPr>
          <w:t>https://www.legislation.gov.uk/ukpga/2004/31/pdfs/ukpga_20040031_en.pdf</w:t>
        </w:r>
      </w:hyperlink>
      <w:r w:rsidRPr="007B6E7F">
        <w:rPr>
          <w:color w:val="auto"/>
          <w:sz w:val="24"/>
          <w:szCs w:val="24"/>
          <w:lang w:val="en-US"/>
        </w:rPr>
        <w:t xml:space="preserve"> [Accessed 22 May 2021].</w:t>
      </w:r>
    </w:p>
    <w:p w14:paraId="507A2114" w14:textId="77777777" w:rsidR="007B6E7F" w:rsidRPr="007B6E7F" w:rsidRDefault="007B6E7F" w:rsidP="007B6E7F">
      <w:pPr>
        <w:widowControl w:val="0"/>
        <w:overflowPunct/>
        <w:spacing w:after="240" w:line="360" w:lineRule="auto"/>
        <w:textAlignment w:val="auto"/>
        <w:rPr>
          <w:color w:val="auto"/>
          <w:sz w:val="24"/>
          <w:szCs w:val="24"/>
          <w:lang w:val="en-US"/>
        </w:rPr>
      </w:pPr>
      <w:r w:rsidRPr="007B6E7F">
        <w:rPr>
          <w:color w:val="auto"/>
          <w:sz w:val="24"/>
          <w:szCs w:val="24"/>
          <w:lang w:val="en-US"/>
        </w:rPr>
        <w:t xml:space="preserve">College of Policing (2013). </w:t>
      </w:r>
      <w:r w:rsidRPr="007B6E7F">
        <w:rPr>
          <w:i/>
          <w:iCs/>
          <w:color w:val="auto"/>
          <w:sz w:val="24"/>
          <w:szCs w:val="24"/>
          <w:lang w:val="en-US"/>
        </w:rPr>
        <w:t>Investigation</w:t>
      </w:r>
      <w:r w:rsidRPr="007B6E7F">
        <w:rPr>
          <w:color w:val="auto"/>
          <w:sz w:val="24"/>
          <w:szCs w:val="24"/>
          <w:lang w:val="en-US"/>
        </w:rPr>
        <w:t xml:space="preserve">. [online] . Available at: </w:t>
      </w:r>
      <w:hyperlink r:id="rId34" w:history="1">
        <w:r w:rsidRPr="007B6E7F">
          <w:rPr>
            <w:color w:val="auto"/>
            <w:sz w:val="24"/>
            <w:szCs w:val="24"/>
            <w:lang w:val="en-US"/>
          </w:rPr>
          <w:t>https://www.app.college.police.uk/app-content/investigations/introduction/</w:t>
        </w:r>
      </w:hyperlink>
      <w:r w:rsidRPr="007B6E7F">
        <w:rPr>
          <w:color w:val="auto"/>
          <w:sz w:val="24"/>
          <w:szCs w:val="24"/>
          <w:lang w:val="en-US"/>
        </w:rPr>
        <w:t xml:space="preserve"> [Accessed 26 May 2021].</w:t>
      </w:r>
    </w:p>
    <w:p w14:paraId="7853DE32" w14:textId="77777777" w:rsidR="007B6E7F" w:rsidRPr="007B6E7F" w:rsidRDefault="007B6E7F" w:rsidP="007B6E7F">
      <w:pPr>
        <w:widowControl w:val="0"/>
        <w:overflowPunct/>
        <w:spacing w:after="240" w:line="360" w:lineRule="auto"/>
        <w:textAlignment w:val="auto"/>
        <w:rPr>
          <w:color w:val="auto"/>
          <w:sz w:val="24"/>
          <w:szCs w:val="24"/>
          <w:lang w:val="en-US"/>
        </w:rPr>
      </w:pPr>
      <w:r w:rsidRPr="007B6E7F">
        <w:rPr>
          <w:color w:val="auto"/>
          <w:sz w:val="24"/>
          <w:szCs w:val="24"/>
          <w:lang w:val="en-US"/>
        </w:rPr>
        <w:t xml:space="preserve">College Of Policing (2014). </w:t>
      </w:r>
      <w:r w:rsidRPr="007B6E7F">
        <w:rPr>
          <w:i/>
          <w:iCs/>
          <w:color w:val="auto"/>
          <w:sz w:val="24"/>
          <w:szCs w:val="24"/>
          <w:lang w:val="en-US"/>
        </w:rPr>
        <w:t>Code of Ethics</w:t>
      </w:r>
      <w:r w:rsidRPr="007B6E7F">
        <w:rPr>
          <w:color w:val="auto"/>
          <w:sz w:val="24"/>
          <w:szCs w:val="24"/>
          <w:lang w:val="en-US"/>
        </w:rPr>
        <w:t xml:space="preserve">. [online] . Available at: </w:t>
      </w:r>
      <w:hyperlink r:id="rId35" w:history="1">
        <w:r w:rsidRPr="007B6E7F">
          <w:rPr>
            <w:color w:val="auto"/>
            <w:sz w:val="24"/>
            <w:szCs w:val="24"/>
            <w:lang w:val="en-US"/>
          </w:rPr>
          <w:t>https://www.college.police.uk/ethics/code-of-ethics</w:t>
        </w:r>
      </w:hyperlink>
      <w:r w:rsidRPr="007B6E7F">
        <w:rPr>
          <w:color w:val="auto"/>
          <w:sz w:val="24"/>
          <w:szCs w:val="24"/>
          <w:lang w:val="en-US"/>
        </w:rPr>
        <w:t xml:space="preserve"> [Accessed 31 May 2021].</w:t>
      </w:r>
    </w:p>
    <w:p w14:paraId="44800D83" w14:textId="77777777" w:rsidR="007B6E7F" w:rsidRPr="007B6E7F" w:rsidRDefault="007B6E7F" w:rsidP="007B6E7F">
      <w:pPr>
        <w:widowControl w:val="0"/>
        <w:overflowPunct/>
        <w:spacing w:after="240" w:line="360" w:lineRule="auto"/>
        <w:textAlignment w:val="auto"/>
        <w:rPr>
          <w:color w:val="auto"/>
          <w:sz w:val="24"/>
          <w:szCs w:val="24"/>
          <w:lang w:val="en-US"/>
        </w:rPr>
      </w:pPr>
      <w:r w:rsidRPr="007B6E7F">
        <w:rPr>
          <w:color w:val="auto"/>
          <w:sz w:val="24"/>
          <w:szCs w:val="24"/>
          <w:lang w:val="en-US"/>
        </w:rPr>
        <w:t xml:space="preserve">College of Policing (2015). </w:t>
      </w:r>
      <w:r w:rsidRPr="007B6E7F">
        <w:rPr>
          <w:i/>
          <w:iCs/>
          <w:color w:val="auto"/>
          <w:sz w:val="24"/>
          <w:szCs w:val="24"/>
          <w:lang w:val="en-US"/>
        </w:rPr>
        <w:t>Professional standards</w:t>
      </w:r>
      <w:r w:rsidRPr="007B6E7F">
        <w:rPr>
          <w:color w:val="auto"/>
          <w:sz w:val="24"/>
          <w:szCs w:val="24"/>
          <w:lang w:val="en-US"/>
        </w:rPr>
        <w:t xml:space="preserve">. [online] . Available at: </w:t>
      </w:r>
      <w:hyperlink r:id="rId36" w:history="1">
        <w:r w:rsidRPr="007B6E7F">
          <w:rPr>
            <w:color w:val="auto"/>
            <w:sz w:val="24"/>
            <w:szCs w:val="24"/>
            <w:lang w:val="en-US"/>
          </w:rPr>
          <w:t>https://www.app.college.police.uk/app-content/professional-standards/</w:t>
        </w:r>
      </w:hyperlink>
      <w:r w:rsidRPr="007B6E7F">
        <w:rPr>
          <w:color w:val="auto"/>
          <w:sz w:val="24"/>
          <w:szCs w:val="24"/>
          <w:lang w:val="en-US"/>
        </w:rPr>
        <w:t xml:space="preserve"> [Accessed 31 May 2021].</w:t>
      </w:r>
    </w:p>
    <w:p w14:paraId="7F934369" w14:textId="77777777" w:rsidR="007B6E7F" w:rsidRPr="007B6E7F" w:rsidRDefault="007B6E7F" w:rsidP="007B6E7F">
      <w:pPr>
        <w:widowControl w:val="0"/>
        <w:overflowPunct/>
        <w:spacing w:after="240" w:line="360" w:lineRule="auto"/>
        <w:textAlignment w:val="auto"/>
        <w:rPr>
          <w:color w:val="auto"/>
          <w:sz w:val="24"/>
          <w:szCs w:val="24"/>
          <w:lang w:val="en-US"/>
        </w:rPr>
      </w:pPr>
      <w:r w:rsidRPr="007B6E7F">
        <w:rPr>
          <w:color w:val="auto"/>
          <w:sz w:val="24"/>
          <w:szCs w:val="24"/>
          <w:lang w:val="en-US"/>
        </w:rPr>
        <w:t xml:space="preserve">College of Policing (2018). </w:t>
      </w:r>
      <w:r w:rsidRPr="007B6E7F">
        <w:rPr>
          <w:i/>
          <w:iCs/>
          <w:color w:val="auto"/>
          <w:sz w:val="24"/>
          <w:szCs w:val="24"/>
          <w:lang w:val="en-US"/>
        </w:rPr>
        <w:t>Evaluation of Vulnerability Training for Frontline Police Officers and Staff</w:t>
      </w:r>
      <w:r w:rsidRPr="007B6E7F">
        <w:rPr>
          <w:color w:val="auto"/>
          <w:sz w:val="24"/>
          <w:szCs w:val="24"/>
          <w:lang w:val="en-US"/>
        </w:rPr>
        <w:t xml:space="preserve">. [online] . Available at: </w:t>
      </w:r>
      <w:hyperlink r:id="rId37" w:history="1">
        <w:r w:rsidRPr="007B6E7F">
          <w:rPr>
            <w:color w:val="auto"/>
            <w:sz w:val="24"/>
            <w:szCs w:val="24"/>
            <w:lang w:val="en-US"/>
          </w:rPr>
          <w:t>https://whatworks.college.police.uk/Research/Documents/Vulnerability_training_eval.pdf</w:t>
        </w:r>
      </w:hyperlink>
      <w:r w:rsidRPr="007B6E7F">
        <w:rPr>
          <w:color w:val="auto"/>
          <w:sz w:val="24"/>
          <w:szCs w:val="24"/>
          <w:lang w:val="en-US"/>
        </w:rPr>
        <w:t xml:space="preserve"> [Accessed 26 May 2021].</w:t>
      </w:r>
    </w:p>
    <w:p w14:paraId="4F8E17C4" w14:textId="77777777" w:rsidR="007B6E7F" w:rsidRPr="007B6E7F" w:rsidRDefault="007B6E7F" w:rsidP="007B6E7F">
      <w:pPr>
        <w:widowControl w:val="0"/>
        <w:overflowPunct/>
        <w:spacing w:after="240" w:line="360" w:lineRule="auto"/>
        <w:textAlignment w:val="auto"/>
        <w:rPr>
          <w:color w:val="auto"/>
          <w:sz w:val="24"/>
          <w:szCs w:val="24"/>
          <w:lang w:val="en-US"/>
        </w:rPr>
      </w:pPr>
      <w:r w:rsidRPr="007B6E7F">
        <w:rPr>
          <w:i/>
          <w:iCs/>
          <w:color w:val="auto"/>
          <w:sz w:val="24"/>
          <w:szCs w:val="24"/>
          <w:lang w:val="en-US"/>
        </w:rPr>
        <w:t>Crime and Disorder Act 1998</w:t>
      </w:r>
      <w:r w:rsidRPr="007B6E7F">
        <w:rPr>
          <w:color w:val="auto"/>
          <w:sz w:val="24"/>
          <w:szCs w:val="24"/>
          <w:lang w:val="en-US"/>
        </w:rPr>
        <w:t xml:space="preserve">. [online] Available at: </w:t>
      </w:r>
      <w:hyperlink r:id="rId38" w:history="1">
        <w:r w:rsidRPr="007B6E7F">
          <w:rPr>
            <w:color w:val="auto"/>
            <w:sz w:val="24"/>
            <w:szCs w:val="24"/>
            <w:lang w:val="en-US"/>
          </w:rPr>
          <w:t>https://www.legislation.gov.uk/ukpga/1998/37/section/5</w:t>
        </w:r>
      </w:hyperlink>
      <w:r w:rsidRPr="007B6E7F">
        <w:rPr>
          <w:color w:val="auto"/>
          <w:sz w:val="24"/>
          <w:szCs w:val="24"/>
          <w:lang w:val="en-US"/>
        </w:rPr>
        <w:t xml:space="preserve"> [Accessed 31 May 2021].</w:t>
      </w:r>
    </w:p>
    <w:p w14:paraId="1932A787" w14:textId="77777777" w:rsidR="007B6E7F" w:rsidRPr="007B6E7F" w:rsidRDefault="007B6E7F" w:rsidP="007B6E7F">
      <w:pPr>
        <w:widowControl w:val="0"/>
        <w:overflowPunct/>
        <w:spacing w:after="240" w:line="360" w:lineRule="auto"/>
        <w:textAlignment w:val="auto"/>
        <w:rPr>
          <w:color w:val="auto"/>
          <w:sz w:val="24"/>
          <w:szCs w:val="24"/>
          <w:lang w:val="en-US"/>
        </w:rPr>
      </w:pPr>
      <w:r w:rsidRPr="007B6E7F">
        <w:rPr>
          <w:i/>
          <w:iCs/>
          <w:color w:val="auto"/>
          <w:sz w:val="24"/>
          <w:szCs w:val="24"/>
          <w:lang w:val="en-US"/>
        </w:rPr>
        <w:t>Criminal Procedure and Investigations Act 1996</w:t>
      </w:r>
      <w:r w:rsidRPr="007B6E7F">
        <w:rPr>
          <w:color w:val="auto"/>
          <w:sz w:val="24"/>
          <w:szCs w:val="24"/>
          <w:lang w:val="en-US"/>
        </w:rPr>
        <w:t xml:space="preserve">.22. Legislation.gov.uk. [online] Available at: </w:t>
      </w:r>
      <w:hyperlink r:id="rId39" w:history="1">
        <w:r w:rsidRPr="007B6E7F">
          <w:rPr>
            <w:color w:val="auto"/>
            <w:sz w:val="24"/>
            <w:szCs w:val="24"/>
            <w:lang w:val="en-US"/>
          </w:rPr>
          <w:t>https://www.legislation.gov.uk/ukpga/1996/25/section/22</w:t>
        </w:r>
      </w:hyperlink>
      <w:r w:rsidRPr="007B6E7F">
        <w:rPr>
          <w:color w:val="auto"/>
          <w:sz w:val="24"/>
          <w:szCs w:val="24"/>
          <w:lang w:val="en-US"/>
        </w:rPr>
        <w:t xml:space="preserve"> [Accessed 26 May 2021].</w:t>
      </w:r>
    </w:p>
    <w:p w14:paraId="47519A0B" w14:textId="77777777" w:rsidR="007B6E7F" w:rsidRPr="007B6E7F" w:rsidRDefault="007B6E7F" w:rsidP="007B6E7F">
      <w:pPr>
        <w:widowControl w:val="0"/>
        <w:overflowPunct/>
        <w:spacing w:after="240" w:line="360" w:lineRule="auto"/>
        <w:textAlignment w:val="auto"/>
        <w:rPr>
          <w:color w:val="auto"/>
          <w:sz w:val="24"/>
          <w:szCs w:val="24"/>
          <w:lang w:val="en-US"/>
        </w:rPr>
      </w:pPr>
      <w:r w:rsidRPr="007B6E7F">
        <w:rPr>
          <w:color w:val="auto"/>
          <w:sz w:val="24"/>
          <w:szCs w:val="24"/>
          <w:lang w:val="en-US"/>
        </w:rPr>
        <w:t xml:space="preserve">Crowe (2019). </w:t>
      </w:r>
      <w:r w:rsidRPr="007B6E7F">
        <w:rPr>
          <w:i/>
          <w:iCs/>
          <w:color w:val="auto"/>
          <w:sz w:val="24"/>
          <w:szCs w:val="24"/>
          <w:lang w:val="en-US"/>
        </w:rPr>
        <w:t>The Financial Cost of Fraud 2019</w:t>
      </w:r>
      <w:r w:rsidRPr="007B6E7F">
        <w:rPr>
          <w:color w:val="auto"/>
          <w:sz w:val="24"/>
          <w:szCs w:val="24"/>
          <w:lang w:val="en-US"/>
        </w:rPr>
        <w:t xml:space="preserve">. [online] Available at: </w:t>
      </w:r>
      <w:hyperlink r:id="rId40" w:history="1">
        <w:r w:rsidRPr="007B6E7F">
          <w:rPr>
            <w:color w:val="auto"/>
            <w:sz w:val="24"/>
            <w:szCs w:val="24"/>
            <w:lang w:val="en-US"/>
          </w:rPr>
          <w:t>https://www.crowe.com/uk/croweuk/-/media/Crowe/Firms/Europe/uk/CroweUK/PDF-publications/The-Financial-Cost-of-Fraud-2019.pdf?la=en-GB&amp;modified=20190711123330&amp;hash=AF17B852C4ACFB31258C39F0703D60A8400CCB92</w:t>
        </w:r>
      </w:hyperlink>
      <w:r w:rsidRPr="007B6E7F">
        <w:rPr>
          <w:color w:val="auto"/>
          <w:sz w:val="24"/>
          <w:szCs w:val="24"/>
          <w:lang w:val="en-US"/>
        </w:rPr>
        <w:t xml:space="preserve"> [Accessed 26 May 2021].</w:t>
      </w:r>
    </w:p>
    <w:p w14:paraId="208F7416" w14:textId="77777777" w:rsidR="007B6E7F" w:rsidRPr="007B6E7F" w:rsidRDefault="007B6E7F" w:rsidP="007B6E7F">
      <w:pPr>
        <w:widowControl w:val="0"/>
        <w:overflowPunct/>
        <w:spacing w:after="240" w:line="360" w:lineRule="auto"/>
        <w:textAlignment w:val="auto"/>
        <w:rPr>
          <w:color w:val="auto"/>
          <w:sz w:val="24"/>
          <w:szCs w:val="24"/>
          <w:lang w:val="en-US"/>
        </w:rPr>
      </w:pPr>
      <w:r w:rsidRPr="007B6E7F">
        <w:rPr>
          <w:color w:val="auto"/>
          <w:sz w:val="24"/>
          <w:szCs w:val="24"/>
          <w:lang w:val="en-US"/>
        </w:rPr>
        <w:t xml:space="preserve">Europol (2017). </w:t>
      </w:r>
      <w:r w:rsidRPr="007B6E7F">
        <w:rPr>
          <w:i/>
          <w:iCs/>
          <w:color w:val="auto"/>
          <w:sz w:val="24"/>
          <w:szCs w:val="24"/>
          <w:lang w:val="en-US"/>
        </w:rPr>
        <w:t xml:space="preserve">Police across Europe issue warning about the online coercion and </w:t>
      </w:r>
      <w:r w:rsidRPr="007B6E7F">
        <w:rPr>
          <w:i/>
          <w:iCs/>
          <w:color w:val="auto"/>
          <w:sz w:val="24"/>
          <w:szCs w:val="24"/>
          <w:lang w:val="en-US"/>
        </w:rPr>
        <w:lastRenderedPageBreak/>
        <w:t>extortion of children</w:t>
      </w:r>
      <w:r w:rsidRPr="007B6E7F">
        <w:rPr>
          <w:color w:val="auto"/>
          <w:sz w:val="24"/>
          <w:szCs w:val="24"/>
          <w:lang w:val="en-US"/>
        </w:rPr>
        <w:t xml:space="preserve">. [online] Europol. Available at: </w:t>
      </w:r>
      <w:hyperlink r:id="rId41" w:history="1">
        <w:r w:rsidRPr="007B6E7F">
          <w:rPr>
            <w:color w:val="auto"/>
            <w:sz w:val="24"/>
            <w:szCs w:val="24"/>
            <w:lang w:val="en-US"/>
          </w:rPr>
          <w:t>https://www.europol.europa.eu/newsroom/news/police-across-europe-issue-warning-about-online-coercion-and-extortion-of-children</w:t>
        </w:r>
      </w:hyperlink>
      <w:r w:rsidRPr="007B6E7F">
        <w:rPr>
          <w:color w:val="auto"/>
          <w:sz w:val="24"/>
          <w:szCs w:val="24"/>
          <w:lang w:val="en-US"/>
        </w:rPr>
        <w:t xml:space="preserve"> [Accessed 25 May 2021].</w:t>
      </w:r>
    </w:p>
    <w:p w14:paraId="3A652C89" w14:textId="77777777" w:rsidR="007B6E7F" w:rsidRPr="007B6E7F" w:rsidRDefault="007B6E7F" w:rsidP="007B6E7F">
      <w:pPr>
        <w:widowControl w:val="0"/>
        <w:overflowPunct/>
        <w:spacing w:after="240" w:line="360" w:lineRule="auto"/>
        <w:textAlignment w:val="auto"/>
        <w:rPr>
          <w:color w:val="auto"/>
          <w:sz w:val="24"/>
          <w:szCs w:val="24"/>
          <w:lang w:val="en-US"/>
        </w:rPr>
      </w:pPr>
      <w:r w:rsidRPr="007B6E7F">
        <w:rPr>
          <w:color w:val="auto"/>
          <w:sz w:val="24"/>
          <w:szCs w:val="24"/>
          <w:lang w:val="en-US"/>
        </w:rPr>
        <w:t xml:space="preserve">Gabbert, F., Hope, L., Carter, E., Boon, R. and Fisher, R. (2015). The Role of Initial Witness Accounts within an Investigative Process. In: G. Oxburgh, T. Myklebust, T. Grant and R. Milne, eds., </w:t>
      </w:r>
      <w:r w:rsidRPr="007B6E7F">
        <w:rPr>
          <w:i/>
          <w:iCs/>
          <w:color w:val="auto"/>
          <w:sz w:val="24"/>
          <w:szCs w:val="24"/>
          <w:lang w:val="en-US"/>
        </w:rPr>
        <w:t>Communication in Investigative and Legal Contexts</w:t>
      </w:r>
      <w:r w:rsidRPr="007B6E7F">
        <w:rPr>
          <w:color w:val="auto"/>
          <w:sz w:val="24"/>
          <w:szCs w:val="24"/>
          <w:lang w:val="en-US"/>
        </w:rPr>
        <w:t xml:space="preserve">. [online] United States: WILEY Blackwell. Available at: </w:t>
      </w:r>
      <w:hyperlink r:id="rId42" w:history="1">
        <w:r w:rsidRPr="007B6E7F">
          <w:rPr>
            <w:color w:val="auto"/>
            <w:sz w:val="24"/>
            <w:szCs w:val="24"/>
            <w:lang w:val="en-US"/>
          </w:rPr>
          <w:t>https://core.ac.uk/download/pdf/334800988.pdf</w:t>
        </w:r>
      </w:hyperlink>
      <w:r w:rsidRPr="007B6E7F">
        <w:rPr>
          <w:color w:val="auto"/>
          <w:sz w:val="24"/>
          <w:szCs w:val="24"/>
          <w:lang w:val="en-US"/>
        </w:rPr>
        <w:t xml:space="preserve"> [Accessed 31 May 2021].</w:t>
      </w:r>
    </w:p>
    <w:p w14:paraId="566A549E" w14:textId="77777777" w:rsidR="007B6E7F" w:rsidRPr="007B6E7F" w:rsidRDefault="007B6E7F" w:rsidP="007B6E7F">
      <w:pPr>
        <w:widowControl w:val="0"/>
        <w:overflowPunct/>
        <w:spacing w:after="240" w:line="360" w:lineRule="auto"/>
        <w:textAlignment w:val="auto"/>
        <w:rPr>
          <w:color w:val="auto"/>
          <w:sz w:val="24"/>
          <w:szCs w:val="24"/>
          <w:lang w:val="en-US"/>
        </w:rPr>
      </w:pPr>
      <w:r w:rsidRPr="007B6E7F">
        <w:rPr>
          <w:color w:val="auto"/>
          <w:sz w:val="24"/>
          <w:szCs w:val="24"/>
          <w:lang w:val="en-US"/>
        </w:rPr>
        <w:t xml:space="preserve">Harfield, C. ed., (2013). </w:t>
      </w:r>
      <w:r w:rsidRPr="007B6E7F">
        <w:rPr>
          <w:i/>
          <w:iCs/>
          <w:color w:val="auto"/>
          <w:sz w:val="24"/>
          <w:szCs w:val="24"/>
          <w:lang w:val="en-US"/>
        </w:rPr>
        <w:t>Blackstone’s police operational handbook : practice and procedure</w:t>
      </w:r>
      <w:r w:rsidRPr="007B6E7F">
        <w:rPr>
          <w:color w:val="auto"/>
          <w:sz w:val="24"/>
          <w:szCs w:val="24"/>
          <w:lang w:val="en-US"/>
        </w:rPr>
        <w:t xml:space="preserve">. 2nd ed. [online] Oxford, England: Oxford University Press. Available at: </w:t>
      </w:r>
      <w:hyperlink r:id="rId43" w:history="1">
        <w:r w:rsidRPr="007B6E7F">
          <w:rPr>
            <w:color w:val="auto"/>
            <w:sz w:val="24"/>
            <w:szCs w:val="24"/>
            <w:lang w:val="en-US"/>
          </w:rPr>
          <w:t>https://web-a-ebscohost-com.ezproxy.uwtsd.ac.uk/ehost/ebookviewer/ebook/bmxlYmtfXzIxMjYzMjFfX0FO0?sid=4cd5c8db-8393-465c-bdfe-37b1f37e9280@sessionmgr4007&amp;vid=1&amp;format=EB&amp;rid=1</w:t>
        </w:r>
      </w:hyperlink>
      <w:r w:rsidRPr="007B6E7F">
        <w:rPr>
          <w:color w:val="auto"/>
          <w:sz w:val="24"/>
          <w:szCs w:val="24"/>
          <w:lang w:val="en-US"/>
        </w:rPr>
        <w:t xml:space="preserve"> [Accessed 5 Apr. 2021].</w:t>
      </w:r>
    </w:p>
    <w:p w14:paraId="483D0ADD" w14:textId="77777777" w:rsidR="007B6E7F" w:rsidRPr="007B6E7F" w:rsidRDefault="007B6E7F" w:rsidP="007B6E7F">
      <w:pPr>
        <w:widowControl w:val="0"/>
        <w:overflowPunct/>
        <w:spacing w:after="240" w:line="360" w:lineRule="auto"/>
        <w:textAlignment w:val="auto"/>
        <w:rPr>
          <w:color w:val="auto"/>
          <w:sz w:val="24"/>
          <w:szCs w:val="24"/>
          <w:lang w:val="en-US"/>
        </w:rPr>
      </w:pPr>
      <w:r w:rsidRPr="007B6E7F">
        <w:rPr>
          <w:color w:val="auto"/>
          <w:sz w:val="24"/>
          <w:szCs w:val="24"/>
          <w:lang w:val="en-US"/>
        </w:rPr>
        <w:t xml:space="preserve">HM Government (2018). </w:t>
      </w:r>
      <w:r w:rsidRPr="007B6E7F">
        <w:rPr>
          <w:i/>
          <w:iCs/>
          <w:color w:val="auto"/>
          <w:sz w:val="24"/>
          <w:szCs w:val="24"/>
          <w:lang w:val="en-US"/>
        </w:rPr>
        <w:t>Working Together to Safeguard Children</w:t>
      </w:r>
      <w:r w:rsidRPr="007B6E7F">
        <w:rPr>
          <w:color w:val="auto"/>
          <w:sz w:val="24"/>
          <w:szCs w:val="24"/>
          <w:lang w:val="en-US"/>
        </w:rPr>
        <w:t xml:space="preserve">. [online] . HM Government. Available at: </w:t>
      </w:r>
      <w:hyperlink r:id="rId44" w:history="1">
        <w:r w:rsidRPr="007B6E7F">
          <w:rPr>
            <w:color w:val="auto"/>
            <w:sz w:val="24"/>
            <w:szCs w:val="24"/>
            <w:lang w:val="en-US"/>
          </w:rPr>
          <w:t>https://assets.publishing.service.gov.uk/government/uploads/system/uploads/attachment_data/file/942454/Working_together_to_safeguard_children_inter_agency_guidance.pdf</w:t>
        </w:r>
      </w:hyperlink>
      <w:r w:rsidRPr="007B6E7F">
        <w:rPr>
          <w:color w:val="auto"/>
          <w:sz w:val="24"/>
          <w:szCs w:val="24"/>
          <w:lang w:val="en-US"/>
        </w:rPr>
        <w:t xml:space="preserve"> [Accessed 21 May 2021].</w:t>
      </w:r>
    </w:p>
    <w:p w14:paraId="68D6957A" w14:textId="77777777" w:rsidR="007B6E7F" w:rsidRPr="007B6E7F" w:rsidRDefault="007B6E7F" w:rsidP="007B6E7F">
      <w:pPr>
        <w:widowControl w:val="0"/>
        <w:overflowPunct/>
        <w:spacing w:after="240" w:line="360" w:lineRule="auto"/>
        <w:textAlignment w:val="auto"/>
        <w:rPr>
          <w:color w:val="auto"/>
          <w:sz w:val="24"/>
          <w:szCs w:val="24"/>
          <w:lang w:val="en-US"/>
        </w:rPr>
      </w:pPr>
      <w:r w:rsidRPr="007B6E7F">
        <w:rPr>
          <w:color w:val="auto"/>
          <w:sz w:val="24"/>
          <w:szCs w:val="24"/>
          <w:lang w:val="en-US"/>
        </w:rPr>
        <w:t xml:space="preserve">Home Office (2016). </w:t>
      </w:r>
      <w:r w:rsidRPr="007B6E7F">
        <w:rPr>
          <w:i/>
          <w:iCs/>
          <w:color w:val="auto"/>
          <w:sz w:val="24"/>
          <w:szCs w:val="24"/>
          <w:lang w:val="en-US"/>
        </w:rPr>
        <w:t>Domestic Violence Disclosure Scheme (DVDS) Guidance</w:t>
      </w:r>
      <w:r w:rsidRPr="007B6E7F">
        <w:rPr>
          <w:color w:val="auto"/>
          <w:sz w:val="24"/>
          <w:szCs w:val="24"/>
          <w:lang w:val="en-US"/>
        </w:rPr>
        <w:t xml:space="preserve">. [online] Available at: </w:t>
      </w:r>
      <w:hyperlink r:id="rId45" w:history="1">
        <w:r w:rsidRPr="007B6E7F">
          <w:rPr>
            <w:color w:val="auto"/>
            <w:sz w:val="24"/>
            <w:szCs w:val="24"/>
            <w:lang w:val="en-US"/>
          </w:rPr>
          <w:t>https://assets.publishing.service.gov.uk/government/uploads/system/uploads/attachment_data/file/575361/DVDS_guidance_FINAL_v3.pdf</w:t>
        </w:r>
      </w:hyperlink>
      <w:r w:rsidRPr="007B6E7F">
        <w:rPr>
          <w:color w:val="auto"/>
          <w:sz w:val="24"/>
          <w:szCs w:val="24"/>
          <w:lang w:val="en-US"/>
        </w:rPr>
        <w:t xml:space="preserve"> [Accessed 31 May 2021].</w:t>
      </w:r>
    </w:p>
    <w:p w14:paraId="0B315752" w14:textId="77777777" w:rsidR="007B6E7F" w:rsidRPr="007B6E7F" w:rsidRDefault="007B6E7F" w:rsidP="007B6E7F">
      <w:pPr>
        <w:widowControl w:val="0"/>
        <w:overflowPunct/>
        <w:spacing w:after="240" w:line="360" w:lineRule="auto"/>
        <w:textAlignment w:val="auto"/>
        <w:rPr>
          <w:color w:val="auto"/>
          <w:sz w:val="24"/>
          <w:szCs w:val="24"/>
          <w:lang w:val="en-US"/>
        </w:rPr>
      </w:pPr>
      <w:r w:rsidRPr="007B6E7F">
        <w:rPr>
          <w:color w:val="auto"/>
          <w:sz w:val="24"/>
          <w:szCs w:val="24"/>
          <w:lang w:val="en-US"/>
        </w:rPr>
        <w:t xml:space="preserve">Mind (2013). </w:t>
      </w:r>
      <w:r w:rsidRPr="007B6E7F">
        <w:rPr>
          <w:i/>
          <w:iCs/>
          <w:color w:val="auto"/>
          <w:sz w:val="24"/>
          <w:szCs w:val="24"/>
          <w:lang w:val="en-US"/>
        </w:rPr>
        <w:t>Police and Mental Health: How to Get It Right Locally</w:t>
      </w:r>
      <w:r w:rsidRPr="007B6E7F">
        <w:rPr>
          <w:color w:val="auto"/>
          <w:sz w:val="24"/>
          <w:szCs w:val="24"/>
          <w:lang w:val="en-US"/>
        </w:rPr>
        <w:t xml:space="preserve">. [online] Available at: </w:t>
      </w:r>
      <w:hyperlink r:id="rId46" w:history="1">
        <w:r w:rsidRPr="007B6E7F">
          <w:rPr>
            <w:color w:val="auto"/>
            <w:sz w:val="24"/>
            <w:szCs w:val="24"/>
            <w:lang w:val="en-US"/>
          </w:rPr>
          <w:t>https://www.mind.org.uk/media-a/4356/2013-12-03-mind_police_final_web.pdf</w:t>
        </w:r>
      </w:hyperlink>
      <w:r w:rsidRPr="007B6E7F">
        <w:rPr>
          <w:color w:val="auto"/>
          <w:sz w:val="24"/>
          <w:szCs w:val="24"/>
          <w:lang w:val="en-US"/>
        </w:rPr>
        <w:t xml:space="preserve"> [Accessed 31 May 2021].</w:t>
      </w:r>
    </w:p>
    <w:p w14:paraId="7EEF8AC6" w14:textId="77777777" w:rsidR="007B6E7F" w:rsidRPr="007B6E7F" w:rsidRDefault="007B6E7F" w:rsidP="007B6E7F">
      <w:pPr>
        <w:widowControl w:val="0"/>
        <w:overflowPunct/>
        <w:spacing w:after="240" w:line="360" w:lineRule="auto"/>
        <w:textAlignment w:val="auto"/>
        <w:rPr>
          <w:color w:val="auto"/>
          <w:sz w:val="24"/>
          <w:szCs w:val="24"/>
          <w:lang w:val="en-US"/>
        </w:rPr>
      </w:pPr>
      <w:r w:rsidRPr="007B6E7F">
        <w:rPr>
          <w:color w:val="auto"/>
          <w:sz w:val="24"/>
          <w:szCs w:val="24"/>
          <w:lang w:val="en-US"/>
        </w:rPr>
        <w:t xml:space="preserve">National Crime Agency (2021). </w:t>
      </w:r>
      <w:r w:rsidRPr="007B6E7F">
        <w:rPr>
          <w:i/>
          <w:iCs/>
          <w:color w:val="auto"/>
          <w:sz w:val="24"/>
          <w:szCs w:val="24"/>
          <w:lang w:val="en-US"/>
        </w:rPr>
        <w:t>Sextortion (webcam blackmail)</w:t>
      </w:r>
      <w:r w:rsidRPr="007B6E7F">
        <w:rPr>
          <w:color w:val="auto"/>
          <w:sz w:val="24"/>
          <w:szCs w:val="24"/>
          <w:lang w:val="en-US"/>
        </w:rPr>
        <w:t xml:space="preserve">. [online] . Available at: </w:t>
      </w:r>
      <w:hyperlink r:id="rId47" w:history="1">
        <w:r w:rsidRPr="007B6E7F">
          <w:rPr>
            <w:color w:val="auto"/>
            <w:sz w:val="24"/>
            <w:szCs w:val="24"/>
            <w:lang w:val="en-US"/>
          </w:rPr>
          <w:t>https://www.nationalcrimeagency.gov.uk/what-we-do/crime-threats/kidnap-and-extortion/sextortion-webcam-blackmail</w:t>
        </w:r>
      </w:hyperlink>
      <w:r w:rsidRPr="007B6E7F">
        <w:rPr>
          <w:color w:val="auto"/>
          <w:sz w:val="24"/>
          <w:szCs w:val="24"/>
          <w:lang w:val="en-US"/>
        </w:rPr>
        <w:t xml:space="preserve"> [Accessed 31 May 2021].</w:t>
      </w:r>
    </w:p>
    <w:p w14:paraId="46ABD1A7" w14:textId="77777777" w:rsidR="007B6E7F" w:rsidRPr="007B6E7F" w:rsidRDefault="007B6E7F" w:rsidP="007B6E7F">
      <w:pPr>
        <w:widowControl w:val="0"/>
        <w:overflowPunct/>
        <w:spacing w:after="240" w:line="360" w:lineRule="auto"/>
        <w:textAlignment w:val="auto"/>
        <w:rPr>
          <w:color w:val="auto"/>
          <w:sz w:val="24"/>
          <w:szCs w:val="24"/>
          <w:lang w:val="en-US"/>
        </w:rPr>
      </w:pPr>
      <w:r w:rsidRPr="007B6E7F">
        <w:rPr>
          <w:color w:val="auto"/>
          <w:sz w:val="24"/>
          <w:szCs w:val="24"/>
          <w:lang w:val="en-US"/>
        </w:rPr>
        <w:lastRenderedPageBreak/>
        <w:t xml:space="preserve">National Crime Agency (n.d.). </w:t>
      </w:r>
      <w:r w:rsidRPr="007B6E7F">
        <w:rPr>
          <w:i/>
          <w:iCs/>
          <w:color w:val="auto"/>
          <w:sz w:val="24"/>
          <w:szCs w:val="24"/>
          <w:lang w:val="en-US"/>
        </w:rPr>
        <w:t>Kidnap and Extortion</w:t>
      </w:r>
      <w:r w:rsidRPr="007B6E7F">
        <w:rPr>
          <w:color w:val="auto"/>
          <w:sz w:val="24"/>
          <w:szCs w:val="24"/>
          <w:lang w:val="en-US"/>
        </w:rPr>
        <w:t xml:space="preserve">. [online] . Available at: </w:t>
      </w:r>
      <w:hyperlink r:id="rId48" w:history="1">
        <w:r w:rsidRPr="007B6E7F">
          <w:rPr>
            <w:color w:val="auto"/>
            <w:sz w:val="24"/>
            <w:szCs w:val="24"/>
            <w:lang w:val="en-US"/>
          </w:rPr>
          <w:t>https://nationalcrimeagency.gov.uk/what-we-do/crime-threats/kidnap-and-extortion</w:t>
        </w:r>
      </w:hyperlink>
      <w:r w:rsidRPr="007B6E7F">
        <w:rPr>
          <w:color w:val="auto"/>
          <w:sz w:val="24"/>
          <w:szCs w:val="24"/>
          <w:lang w:val="en-US"/>
        </w:rPr>
        <w:t xml:space="preserve"> [Accessed 31 May 2021].</w:t>
      </w:r>
    </w:p>
    <w:p w14:paraId="4896DA18" w14:textId="77777777" w:rsidR="007B6E7F" w:rsidRPr="007B6E7F" w:rsidRDefault="007B6E7F" w:rsidP="007B6E7F">
      <w:pPr>
        <w:widowControl w:val="0"/>
        <w:overflowPunct/>
        <w:spacing w:after="240" w:line="360" w:lineRule="auto"/>
        <w:textAlignment w:val="auto"/>
        <w:rPr>
          <w:color w:val="auto"/>
          <w:sz w:val="24"/>
          <w:szCs w:val="24"/>
          <w:lang w:val="en-US"/>
        </w:rPr>
      </w:pPr>
      <w:r w:rsidRPr="007B6E7F">
        <w:rPr>
          <w:color w:val="auto"/>
          <w:sz w:val="24"/>
          <w:szCs w:val="24"/>
          <w:lang w:val="en-US"/>
        </w:rPr>
        <w:t xml:space="preserve">National Police Chiefs Council (2020). </w:t>
      </w:r>
      <w:r w:rsidRPr="007B6E7F">
        <w:rPr>
          <w:i/>
          <w:iCs/>
          <w:color w:val="auto"/>
          <w:sz w:val="24"/>
          <w:szCs w:val="24"/>
          <w:lang w:val="en-US"/>
        </w:rPr>
        <w:t>National Vulnerability Action Plan</w:t>
      </w:r>
      <w:r w:rsidRPr="007B6E7F">
        <w:rPr>
          <w:color w:val="auto"/>
          <w:sz w:val="24"/>
          <w:szCs w:val="24"/>
          <w:lang w:val="en-US"/>
        </w:rPr>
        <w:t xml:space="preserve">. [online] Available at: </w:t>
      </w:r>
      <w:hyperlink r:id="rId49" w:history="1">
        <w:r w:rsidRPr="007B6E7F">
          <w:rPr>
            <w:color w:val="auto"/>
            <w:sz w:val="24"/>
            <w:szCs w:val="24"/>
            <w:lang w:val="en-US"/>
          </w:rPr>
          <w:t>https://www.npcc.police.uk/Crime%20Ops%20Committee/NVAP.pdf</w:t>
        </w:r>
      </w:hyperlink>
      <w:r w:rsidRPr="007B6E7F">
        <w:rPr>
          <w:color w:val="auto"/>
          <w:sz w:val="24"/>
          <w:szCs w:val="24"/>
          <w:lang w:val="en-US"/>
        </w:rPr>
        <w:t xml:space="preserve"> [Accessed 31 May 2021].</w:t>
      </w:r>
    </w:p>
    <w:p w14:paraId="5E39B02C" w14:textId="77777777" w:rsidR="007B6E7F" w:rsidRPr="007B6E7F" w:rsidRDefault="007B6E7F" w:rsidP="007B6E7F">
      <w:pPr>
        <w:widowControl w:val="0"/>
        <w:overflowPunct/>
        <w:spacing w:after="240" w:line="360" w:lineRule="auto"/>
        <w:textAlignment w:val="auto"/>
        <w:rPr>
          <w:color w:val="auto"/>
          <w:sz w:val="24"/>
          <w:szCs w:val="24"/>
          <w:lang w:val="en-US"/>
        </w:rPr>
      </w:pPr>
      <w:r w:rsidRPr="007B6E7F">
        <w:rPr>
          <w:color w:val="auto"/>
          <w:sz w:val="24"/>
          <w:szCs w:val="24"/>
          <w:lang w:val="en-US"/>
        </w:rPr>
        <w:t xml:space="preserve">Public Health Wales (2015). </w:t>
      </w:r>
      <w:r w:rsidRPr="007B6E7F">
        <w:rPr>
          <w:i/>
          <w:iCs/>
          <w:color w:val="auto"/>
          <w:sz w:val="24"/>
          <w:szCs w:val="24"/>
          <w:lang w:val="en-US"/>
        </w:rPr>
        <w:t>Adverse Childhood Experiences and Their Impact on Health-Harming Behaviours in the Welsh Adult Population : Alcohol Use, Drug Use, Violence, Sexual Behaviour, Incarceration, Smoking and Poor Diet</w:t>
      </w:r>
      <w:r w:rsidRPr="007B6E7F">
        <w:rPr>
          <w:color w:val="auto"/>
          <w:sz w:val="24"/>
          <w:szCs w:val="24"/>
          <w:lang w:val="en-US"/>
        </w:rPr>
        <w:t>. Cardiff: Public Health Wales.</w:t>
      </w:r>
    </w:p>
    <w:p w14:paraId="66285F93" w14:textId="77777777" w:rsidR="007B6E7F" w:rsidRPr="007B6E7F" w:rsidRDefault="007B6E7F" w:rsidP="007B6E7F">
      <w:pPr>
        <w:widowControl w:val="0"/>
        <w:overflowPunct/>
        <w:spacing w:after="240" w:line="360" w:lineRule="auto"/>
        <w:textAlignment w:val="auto"/>
        <w:rPr>
          <w:color w:val="auto"/>
          <w:sz w:val="24"/>
          <w:szCs w:val="24"/>
          <w:lang w:val="en-US"/>
        </w:rPr>
      </w:pPr>
      <w:r w:rsidRPr="007B6E7F">
        <w:rPr>
          <w:color w:val="auto"/>
          <w:sz w:val="24"/>
          <w:szCs w:val="24"/>
          <w:lang w:val="en-US"/>
        </w:rPr>
        <w:t xml:space="preserve">Safelives (2010). </w:t>
      </w:r>
      <w:r w:rsidRPr="007B6E7F">
        <w:rPr>
          <w:i/>
          <w:iCs/>
          <w:color w:val="auto"/>
          <w:sz w:val="24"/>
          <w:szCs w:val="24"/>
          <w:lang w:val="en-US"/>
        </w:rPr>
        <w:t>Safety in Numbers</w:t>
      </w:r>
      <w:r w:rsidRPr="007B6E7F">
        <w:rPr>
          <w:color w:val="auto"/>
          <w:sz w:val="24"/>
          <w:szCs w:val="24"/>
          <w:lang w:val="en-US"/>
        </w:rPr>
        <w:t xml:space="preserve">. [online] . Available at: </w:t>
      </w:r>
      <w:hyperlink r:id="rId50" w:history="1">
        <w:r w:rsidRPr="007B6E7F">
          <w:rPr>
            <w:color w:val="auto"/>
            <w:sz w:val="24"/>
            <w:szCs w:val="24"/>
            <w:lang w:val="en-US"/>
          </w:rPr>
          <w:t>https://safelives.org.uk/sites/default/files/resources/Safety%20In%20Numbers%202pp%20October%202010.pdf</w:t>
        </w:r>
      </w:hyperlink>
      <w:r w:rsidRPr="007B6E7F">
        <w:rPr>
          <w:color w:val="auto"/>
          <w:sz w:val="24"/>
          <w:szCs w:val="24"/>
          <w:lang w:val="en-US"/>
        </w:rPr>
        <w:t xml:space="preserve"> [Accessed 26 May 2021].</w:t>
      </w:r>
    </w:p>
    <w:p w14:paraId="35E77134" w14:textId="77777777" w:rsidR="007B6E7F" w:rsidRPr="007B6E7F" w:rsidRDefault="007B6E7F" w:rsidP="007B6E7F">
      <w:pPr>
        <w:widowControl w:val="0"/>
        <w:overflowPunct/>
        <w:spacing w:after="240" w:line="360" w:lineRule="auto"/>
        <w:textAlignment w:val="auto"/>
        <w:rPr>
          <w:color w:val="auto"/>
          <w:sz w:val="24"/>
          <w:szCs w:val="24"/>
          <w:lang w:val="en-US"/>
        </w:rPr>
      </w:pPr>
      <w:r w:rsidRPr="007B6E7F">
        <w:rPr>
          <w:color w:val="auto"/>
          <w:sz w:val="24"/>
          <w:szCs w:val="24"/>
          <w:lang w:val="en-US"/>
        </w:rPr>
        <w:t xml:space="preserve">Safelives (n.d.). </w:t>
      </w:r>
      <w:r w:rsidRPr="007B6E7F">
        <w:rPr>
          <w:i/>
          <w:iCs/>
          <w:color w:val="auto"/>
          <w:sz w:val="24"/>
          <w:szCs w:val="24"/>
          <w:lang w:val="en-US"/>
        </w:rPr>
        <w:t>What Is an IDVA?</w:t>
      </w:r>
      <w:r w:rsidRPr="007B6E7F">
        <w:rPr>
          <w:color w:val="auto"/>
          <w:sz w:val="24"/>
          <w:szCs w:val="24"/>
          <w:lang w:val="en-US"/>
        </w:rPr>
        <w:t xml:space="preserve"> [online] . Available at: </w:t>
      </w:r>
      <w:hyperlink r:id="rId51" w:history="1">
        <w:r w:rsidRPr="007B6E7F">
          <w:rPr>
            <w:color w:val="auto"/>
            <w:sz w:val="24"/>
            <w:szCs w:val="24"/>
            <w:lang w:val="en-US"/>
          </w:rPr>
          <w:t>https://safelives.org.uk/what-is-an-idva</w:t>
        </w:r>
      </w:hyperlink>
      <w:r w:rsidRPr="007B6E7F">
        <w:rPr>
          <w:color w:val="auto"/>
          <w:sz w:val="24"/>
          <w:szCs w:val="24"/>
          <w:lang w:val="en-US"/>
        </w:rPr>
        <w:t xml:space="preserve"> [Accessed 26 May 2021].</w:t>
      </w:r>
    </w:p>
    <w:p w14:paraId="0AEEB9D3" w14:textId="77777777" w:rsidR="007B6E7F" w:rsidRPr="007B6E7F" w:rsidRDefault="007B6E7F" w:rsidP="007B6E7F">
      <w:pPr>
        <w:widowControl w:val="0"/>
        <w:overflowPunct/>
        <w:spacing w:after="240" w:line="360" w:lineRule="auto"/>
        <w:textAlignment w:val="auto"/>
        <w:rPr>
          <w:color w:val="auto"/>
          <w:sz w:val="24"/>
          <w:szCs w:val="24"/>
          <w:lang w:val="en-US"/>
        </w:rPr>
      </w:pPr>
      <w:r w:rsidRPr="007B6E7F">
        <w:rPr>
          <w:color w:val="auto"/>
          <w:sz w:val="24"/>
          <w:szCs w:val="24"/>
          <w:lang w:val="en-US"/>
        </w:rPr>
        <w:t xml:space="preserve">The Independent (2018). Five British Men Have Killed Themselves after Falling Victim to Online “sextortion”, Police Reveal. . [online] 4 May. Available at: </w:t>
      </w:r>
      <w:hyperlink r:id="rId52" w:history="1">
        <w:r w:rsidRPr="007B6E7F">
          <w:rPr>
            <w:color w:val="auto"/>
            <w:sz w:val="24"/>
            <w:szCs w:val="24"/>
            <w:lang w:val="en-US"/>
          </w:rPr>
          <w:t>https://www.independent.co.uk/news/uk/crime/blackmail-online-sextortion-suicides-videos-photos-sexual-police-advice-a8337016.html</w:t>
        </w:r>
      </w:hyperlink>
      <w:r w:rsidRPr="007B6E7F">
        <w:rPr>
          <w:color w:val="auto"/>
          <w:sz w:val="24"/>
          <w:szCs w:val="24"/>
          <w:lang w:val="en-US"/>
        </w:rPr>
        <w:t xml:space="preserve"> [Accessed 26 May 2021].</w:t>
      </w:r>
    </w:p>
    <w:p w14:paraId="035B96A4" w14:textId="77777777" w:rsidR="007B6E7F" w:rsidRPr="007B6E7F" w:rsidRDefault="007B6E7F" w:rsidP="007B6E7F">
      <w:pPr>
        <w:widowControl w:val="0"/>
        <w:overflowPunct/>
        <w:spacing w:after="240" w:line="360" w:lineRule="auto"/>
        <w:textAlignment w:val="auto"/>
        <w:rPr>
          <w:color w:val="auto"/>
          <w:sz w:val="24"/>
          <w:szCs w:val="24"/>
          <w:lang w:val="en-US"/>
        </w:rPr>
      </w:pPr>
      <w:r w:rsidRPr="007B6E7F">
        <w:rPr>
          <w:color w:val="auto"/>
          <w:sz w:val="24"/>
          <w:szCs w:val="24"/>
          <w:lang w:val="en-US"/>
        </w:rPr>
        <w:t xml:space="preserve">Thorn (2015). </w:t>
      </w:r>
      <w:r w:rsidRPr="007B6E7F">
        <w:rPr>
          <w:i/>
          <w:iCs/>
          <w:color w:val="auto"/>
          <w:sz w:val="24"/>
          <w:szCs w:val="24"/>
          <w:lang w:val="en-US"/>
        </w:rPr>
        <w:t>Sextortion Research and Insights</w:t>
      </w:r>
      <w:r w:rsidRPr="007B6E7F">
        <w:rPr>
          <w:color w:val="auto"/>
          <w:sz w:val="24"/>
          <w:szCs w:val="24"/>
          <w:lang w:val="en-US"/>
        </w:rPr>
        <w:t xml:space="preserve">. [online] Thorn. Available at: </w:t>
      </w:r>
      <w:hyperlink r:id="rId53" w:history="1">
        <w:r w:rsidRPr="007B6E7F">
          <w:rPr>
            <w:color w:val="auto"/>
            <w:sz w:val="24"/>
            <w:szCs w:val="24"/>
            <w:lang w:val="en-US"/>
          </w:rPr>
          <w:t>https://www.thorn.org/sextortion/</w:t>
        </w:r>
      </w:hyperlink>
      <w:r w:rsidRPr="007B6E7F">
        <w:rPr>
          <w:color w:val="auto"/>
          <w:sz w:val="24"/>
          <w:szCs w:val="24"/>
          <w:lang w:val="en-US"/>
        </w:rPr>
        <w:t xml:space="preserve"> [Accessed 26 May 2021].</w:t>
      </w:r>
    </w:p>
    <w:p w14:paraId="1F865FC9" w14:textId="77777777" w:rsidR="007B6E7F" w:rsidRPr="00270EEB" w:rsidRDefault="007B6E7F" w:rsidP="00340E9A">
      <w:pPr>
        <w:keepNext/>
        <w:spacing w:before="240" w:after="60"/>
        <w:ind w:right="237"/>
        <w:jc w:val="both"/>
        <w:rPr>
          <w:b/>
          <w:sz w:val="24"/>
          <w:szCs w:val="24"/>
        </w:rPr>
      </w:pPr>
    </w:p>
    <w:p w14:paraId="6706116D" w14:textId="77777777" w:rsidR="00390074" w:rsidRPr="00270EEB" w:rsidRDefault="00390074" w:rsidP="00340E9A">
      <w:pPr>
        <w:ind w:right="237"/>
        <w:jc w:val="both"/>
        <w:rPr>
          <w:b/>
          <w:sz w:val="24"/>
          <w:szCs w:val="24"/>
        </w:rPr>
      </w:pPr>
    </w:p>
    <w:p w14:paraId="62165D1A" w14:textId="07CFF7FC" w:rsidR="6E85A413" w:rsidRPr="00DD7FFD" w:rsidRDefault="6E85A413" w:rsidP="00DD7FFD">
      <w:pPr>
        <w:keepNext/>
        <w:ind w:right="237"/>
        <w:rPr>
          <w:b/>
          <w:sz w:val="24"/>
          <w:szCs w:val="24"/>
          <w:highlight w:val="yellow"/>
        </w:rPr>
      </w:pPr>
    </w:p>
    <w:sectPr w:rsidR="6E85A413" w:rsidRPr="00DD7FFD" w:rsidSect="00BA36FC">
      <w:headerReference w:type="even" r:id="rId54"/>
      <w:headerReference w:type="default" r:id="rId55"/>
      <w:footerReference w:type="even" r:id="rId56"/>
      <w:footerReference w:type="default" r:id="rId57"/>
      <w:headerReference w:type="first" r:id="rId58"/>
      <w:footerReference w:type="first" r:id="rId59"/>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AC4121D" w14:textId="77777777" w:rsidR="00D10419" w:rsidRDefault="00D10419">
      <w:r>
        <w:separator/>
      </w:r>
    </w:p>
  </w:endnote>
  <w:endnote w:type="continuationSeparator" w:id="0">
    <w:p w14:paraId="3C56B659" w14:textId="77777777" w:rsidR="00D10419" w:rsidRDefault="00D104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6BAAD1" w14:textId="0A5CF395" w:rsidR="00BA36FC" w:rsidRDefault="007B6E7F" w:rsidP="007B6E7F">
    <w:pPr>
      <w:pStyle w:val="Footer"/>
      <w:rPr>
        <w:sz w:val="17"/>
      </w:rPr>
    </w:pPr>
    <w:bookmarkStart w:id="2" w:name="TITUS1FooterEvenPages"/>
    <w:r>
      <w:rPr>
        <w:sz w:val="17"/>
      </w:rPr>
      <w:t> </w:t>
    </w:r>
  </w:p>
  <w:bookmarkEnd w:id="2"/>
  <w:p w14:paraId="636D687B" w14:textId="5E452B14" w:rsidR="00BA36FC" w:rsidRDefault="00BA36FC" w:rsidP="00BA36FC">
    <w:pPr>
      <w:pStyle w:val="Footer"/>
      <w:jc w:val="right"/>
    </w:pPr>
    <w:r>
      <w:fldChar w:fldCharType="begin"/>
    </w:r>
    <w:r>
      <w:instrText xml:space="preserve"> PAGE   \* MERGEFORMAT </w:instrText>
    </w:r>
    <w:r>
      <w:fldChar w:fldCharType="separate"/>
    </w:r>
    <w:r w:rsidR="007B6E7F">
      <w:rPr>
        <w:noProof/>
      </w:rPr>
      <w:t>2</w:t>
    </w:r>
    <w:r>
      <w:rPr>
        <w:noProof/>
      </w:rPr>
      <w:fldChar w:fldCharType="end"/>
    </w:r>
  </w:p>
  <w:p w14:paraId="774E1624" w14:textId="77777777" w:rsidR="00BA36FC" w:rsidRPr="00BB5EAA" w:rsidRDefault="00BA36FC" w:rsidP="00BA36FC">
    <w:pPr>
      <w:pStyle w:val="Footer"/>
      <w:ind w:right="360"/>
      <w:jc w:val="center"/>
    </w:pPr>
  </w:p>
  <w:p w14:paraId="3DDF19BB" w14:textId="77777777" w:rsidR="00BA36FC" w:rsidRDefault="00BA36F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CC4AFE" w14:textId="36030A2C" w:rsidR="00BA36FC" w:rsidRDefault="007B6E7F" w:rsidP="007B6E7F">
    <w:pPr>
      <w:pStyle w:val="Footer"/>
      <w:rPr>
        <w:sz w:val="17"/>
      </w:rPr>
    </w:pPr>
    <w:bookmarkStart w:id="3" w:name="TITUS1FooterPrimary"/>
    <w:r>
      <w:rPr>
        <w:sz w:val="17"/>
      </w:rPr>
      <w:t> </w:t>
    </w:r>
  </w:p>
  <w:bookmarkEnd w:id="3"/>
  <w:p w14:paraId="50521BFA" w14:textId="7843C55E" w:rsidR="00F6513F" w:rsidRDefault="00F6513F">
    <w:pPr>
      <w:pStyle w:val="Footer"/>
      <w:jc w:val="right"/>
    </w:pPr>
    <w:r>
      <w:fldChar w:fldCharType="begin"/>
    </w:r>
    <w:r>
      <w:instrText xml:space="preserve"> PAGE   \* MERGEFORMAT </w:instrText>
    </w:r>
    <w:r>
      <w:fldChar w:fldCharType="separate"/>
    </w:r>
    <w:r w:rsidR="007B6E7F">
      <w:rPr>
        <w:noProof/>
      </w:rPr>
      <w:t>3</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F8662F" w14:textId="0FD9F816" w:rsidR="00BA36FC" w:rsidRDefault="007B6E7F" w:rsidP="007B6E7F">
    <w:pPr>
      <w:pStyle w:val="Footer"/>
      <w:rPr>
        <w:sz w:val="17"/>
      </w:rPr>
    </w:pPr>
    <w:bookmarkStart w:id="5" w:name="TITUS1FooterFirstPage"/>
    <w:r>
      <w:rPr>
        <w:sz w:val="17"/>
      </w:rPr>
      <w:t> </w:t>
    </w:r>
  </w:p>
  <w:bookmarkEnd w:id="5"/>
  <w:p w14:paraId="33FEA016" w14:textId="6A1C9C0A" w:rsidR="00BA36FC" w:rsidRDefault="00BA36FC" w:rsidP="00BA36FC">
    <w:pPr>
      <w:pStyle w:val="Footer"/>
      <w:jc w:val="right"/>
    </w:pPr>
    <w:r>
      <w:fldChar w:fldCharType="begin"/>
    </w:r>
    <w:r>
      <w:instrText xml:space="preserve"> PAGE   \* MERGEFORMAT </w:instrText>
    </w:r>
    <w:r>
      <w:fldChar w:fldCharType="separate"/>
    </w:r>
    <w:r w:rsidR="007B6E7F">
      <w:rPr>
        <w:noProof/>
      </w:rPr>
      <w:t>1</w:t>
    </w:r>
    <w:r>
      <w:rPr>
        <w:noProof/>
      </w:rPr>
      <w:fldChar w:fldCharType="end"/>
    </w:r>
  </w:p>
  <w:p w14:paraId="4A5028E9" w14:textId="77777777" w:rsidR="00BA36FC" w:rsidRPr="00BB5EAA" w:rsidRDefault="00BA36FC" w:rsidP="00BA36FC">
    <w:pPr>
      <w:pStyle w:val="Footer"/>
      <w:ind w:right="360"/>
      <w:jc w:val="center"/>
    </w:pPr>
  </w:p>
  <w:p w14:paraId="457D98E8" w14:textId="77777777" w:rsidR="00BA36FC" w:rsidRDefault="00BA36F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59CD71" w14:textId="69D8C2BC" w:rsidR="00BA36FC" w:rsidRDefault="007B6E7F" w:rsidP="007B6E7F">
    <w:pPr>
      <w:pStyle w:val="Footer"/>
      <w:rPr>
        <w:sz w:val="17"/>
      </w:rPr>
    </w:pPr>
    <w:bookmarkStart w:id="12" w:name="TITUS2FooterEvenPages"/>
    <w:r>
      <w:rPr>
        <w:sz w:val="17"/>
      </w:rPr>
      <w:t> </w:t>
    </w:r>
  </w:p>
  <w:bookmarkEnd w:id="12"/>
  <w:p w14:paraId="3B1BDCBB" w14:textId="77777777" w:rsidR="00BA36FC" w:rsidRDefault="00BA36FC" w:rsidP="00BA36FC">
    <w:pPr>
      <w:pStyle w:val="Footer"/>
      <w:jc w:val="right"/>
    </w:pPr>
  </w:p>
  <w:p w14:paraId="432B5A9E" w14:textId="5841662A" w:rsidR="00BA36FC" w:rsidRDefault="00BA36FC" w:rsidP="00BA36FC">
    <w:pPr>
      <w:pStyle w:val="Footer"/>
      <w:jc w:val="right"/>
    </w:pPr>
    <w:r>
      <w:fldChar w:fldCharType="begin"/>
    </w:r>
    <w:r>
      <w:instrText xml:space="preserve"> PAGE   \* MERGEFORMAT </w:instrText>
    </w:r>
    <w:r>
      <w:fldChar w:fldCharType="separate"/>
    </w:r>
    <w:r w:rsidR="007B6E7F">
      <w:rPr>
        <w:noProof/>
      </w:rPr>
      <w:t>12</w:t>
    </w:r>
    <w:r>
      <w:rPr>
        <w:noProof/>
      </w:rPr>
      <w:fldChar w:fldCharType="end"/>
    </w:r>
  </w:p>
  <w:p w14:paraId="71402ED2" w14:textId="77777777" w:rsidR="00BA36FC" w:rsidRPr="00BB5EAA" w:rsidRDefault="00BA36FC" w:rsidP="00BA36FC">
    <w:pPr>
      <w:pStyle w:val="Footer"/>
      <w:ind w:right="360"/>
      <w:jc w:val="center"/>
    </w:pPr>
  </w:p>
  <w:p w14:paraId="46511CCF" w14:textId="77777777" w:rsidR="00BA36FC" w:rsidRDefault="00BA36FC">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04A265" w14:textId="4A62443B" w:rsidR="00BA36FC" w:rsidRDefault="007B6E7F" w:rsidP="007B6E7F">
    <w:pPr>
      <w:pStyle w:val="Footer"/>
      <w:rPr>
        <w:sz w:val="17"/>
      </w:rPr>
    </w:pPr>
    <w:bookmarkStart w:id="13" w:name="TITUS2FooterPrimary"/>
    <w:r>
      <w:rPr>
        <w:sz w:val="17"/>
      </w:rPr>
      <w:t> </w:t>
    </w:r>
  </w:p>
  <w:bookmarkEnd w:id="13"/>
  <w:p w14:paraId="522C4467" w14:textId="77777777" w:rsidR="00BA36FC" w:rsidRDefault="00BA36FC">
    <w:pPr>
      <w:pStyle w:val="Footer"/>
      <w:jc w:val="right"/>
    </w:pPr>
  </w:p>
  <w:p w14:paraId="06D6ACB0" w14:textId="5085FA73" w:rsidR="00BA36FC" w:rsidRDefault="00BA36FC">
    <w:pPr>
      <w:pStyle w:val="Footer"/>
      <w:jc w:val="right"/>
    </w:pPr>
    <w:r>
      <w:fldChar w:fldCharType="begin"/>
    </w:r>
    <w:r>
      <w:instrText xml:space="preserve"> PAGE   \* MERGEFORMAT </w:instrText>
    </w:r>
    <w:r>
      <w:fldChar w:fldCharType="separate"/>
    </w:r>
    <w:r w:rsidR="007B6E7F">
      <w:rPr>
        <w:noProof/>
      </w:rPr>
      <w:t>11</w:t>
    </w:r>
    <w:r>
      <w:rPr>
        <w:noProof/>
      </w:rPr>
      <w:fldChar w:fldCharType="end"/>
    </w:r>
  </w:p>
  <w:p w14:paraId="74AB894E" w14:textId="77777777" w:rsidR="00BA36FC" w:rsidRPr="00BB5EAA" w:rsidRDefault="00BA36FC"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8DBDCE" w14:textId="12255E3E" w:rsidR="00BA36FC" w:rsidRDefault="007B6E7F" w:rsidP="007B6E7F">
    <w:pPr>
      <w:pStyle w:val="Footer"/>
      <w:rPr>
        <w:sz w:val="17"/>
      </w:rPr>
    </w:pPr>
    <w:bookmarkStart w:id="15" w:name="TITUS2FooterFirstPage"/>
    <w:r>
      <w:rPr>
        <w:sz w:val="17"/>
      </w:rPr>
      <w:t> </w:t>
    </w:r>
  </w:p>
  <w:bookmarkEnd w:id="15"/>
  <w:p w14:paraId="26865255" w14:textId="77777777" w:rsidR="00BA36FC" w:rsidRDefault="00BA36FC" w:rsidP="00BA36FC">
    <w:pPr>
      <w:pStyle w:val="Footer"/>
      <w:jc w:val="right"/>
    </w:pPr>
  </w:p>
  <w:p w14:paraId="48B754DD" w14:textId="140177D2" w:rsidR="00BA36FC" w:rsidRDefault="00BA36FC" w:rsidP="00BA36FC">
    <w:pPr>
      <w:pStyle w:val="Footer"/>
      <w:jc w:val="right"/>
    </w:pPr>
    <w:r>
      <w:fldChar w:fldCharType="begin"/>
    </w:r>
    <w:r>
      <w:instrText xml:space="preserve"> PAGE   \* MERGEFORMAT </w:instrText>
    </w:r>
    <w:r>
      <w:fldChar w:fldCharType="separate"/>
    </w:r>
    <w:r w:rsidR="007B6E7F">
      <w:rPr>
        <w:noProof/>
      </w:rPr>
      <w:t>10</w:t>
    </w:r>
    <w:r>
      <w:rPr>
        <w:noProof/>
      </w:rPr>
      <w:fldChar w:fldCharType="end"/>
    </w:r>
  </w:p>
  <w:p w14:paraId="3C3F71A3" w14:textId="77777777" w:rsidR="00BA36FC" w:rsidRPr="00BB5EAA" w:rsidRDefault="00BA36FC" w:rsidP="00BA36FC">
    <w:pPr>
      <w:pStyle w:val="Footer"/>
      <w:ind w:right="360"/>
      <w:jc w:val="center"/>
    </w:pPr>
  </w:p>
  <w:p w14:paraId="7953CA09" w14:textId="77777777" w:rsidR="00BA36FC" w:rsidRDefault="00BA36FC">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79F461" w14:textId="3D5AC856" w:rsidR="00BA36FC" w:rsidRDefault="007B6E7F" w:rsidP="007B6E7F">
    <w:pPr>
      <w:pStyle w:val="Footer"/>
      <w:rPr>
        <w:sz w:val="17"/>
      </w:rPr>
    </w:pPr>
    <w:bookmarkStart w:id="19" w:name="TITUS3FooterEvenPages"/>
    <w:r>
      <w:rPr>
        <w:sz w:val="17"/>
      </w:rPr>
      <w:t> </w:t>
    </w:r>
  </w:p>
  <w:bookmarkEnd w:id="19"/>
  <w:p w14:paraId="6FC271FA" w14:textId="77777777" w:rsidR="00BA36FC" w:rsidRDefault="00BA36FC" w:rsidP="00BA36FC">
    <w:pPr>
      <w:pStyle w:val="Footer"/>
      <w:jc w:val="right"/>
    </w:pPr>
  </w:p>
  <w:p w14:paraId="6FA11982" w14:textId="3BC92175" w:rsidR="00BA36FC" w:rsidRDefault="00BA36FC" w:rsidP="00BA36FC">
    <w:pPr>
      <w:pStyle w:val="Footer"/>
      <w:jc w:val="right"/>
    </w:pPr>
    <w:r>
      <w:fldChar w:fldCharType="begin"/>
    </w:r>
    <w:r>
      <w:instrText xml:space="preserve"> PAGE   \* MERGEFORMAT </w:instrText>
    </w:r>
    <w:r>
      <w:fldChar w:fldCharType="separate"/>
    </w:r>
    <w:r w:rsidR="007B6E7F">
      <w:rPr>
        <w:noProof/>
      </w:rPr>
      <w:t>30</w:t>
    </w:r>
    <w:r>
      <w:rPr>
        <w:noProof/>
      </w:rPr>
      <w:fldChar w:fldCharType="end"/>
    </w:r>
  </w:p>
  <w:p w14:paraId="125C7C20" w14:textId="77777777" w:rsidR="00BA36FC" w:rsidRPr="00BB5EAA" w:rsidRDefault="00BA36FC" w:rsidP="00BA36FC">
    <w:pPr>
      <w:pStyle w:val="Footer"/>
      <w:ind w:right="360"/>
      <w:jc w:val="center"/>
    </w:pPr>
  </w:p>
  <w:p w14:paraId="0112A0AF" w14:textId="77777777" w:rsidR="00BA36FC" w:rsidRDefault="00BA36FC">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E7DF93" w14:textId="2B67EA3E" w:rsidR="00BA36FC" w:rsidRDefault="007B6E7F" w:rsidP="007B6E7F">
    <w:pPr>
      <w:pStyle w:val="Footer"/>
      <w:rPr>
        <w:sz w:val="17"/>
      </w:rPr>
    </w:pPr>
    <w:bookmarkStart w:id="20" w:name="TITUS3FooterPrimary"/>
    <w:r>
      <w:rPr>
        <w:sz w:val="17"/>
      </w:rPr>
      <w:t> </w:t>
    </w:r>
  </w:p>
  <w:bookmarkEnd w:id="20"/>
  <w:p w14:paraId="51F8F4DA" w14:textId="77777777" w:rsidR="00BA36FC" w:rsidRDefault="00BA36FC">
    <w:pPr>
      <w:pStyle w:val="Footer"/>
      <w:jc w:val="right"/>
    </w:pPr>
  </w:p>
  <w:p w14:paraId="4678E13F" w14:textId="753F2D62" w:rsidR="00BA36FC" w:rsidRDefault="00BA36FC">
    <w:pPr>
      <w:pStyle w:val="Footer"/>
      <w:jc w:val="right"/>
    </w:pPr>
    <w:r>
      <w:fldChar w:fldCharType="begin"/>
    </w:r>
    <w:r>
      <w:instrText xml:space="preserve"> PAGE   \* MERGEFORMAT </w:instrText>
    </w:r>
    <w:r>
      <w:fldChar w:fldCharType="separate"/>
    </w:r>
    <w:r w:rsidR="007B6E7F">
      <w:rPr>
        <w:noProof/>
      </w:rPr>
      <w:t>29</w:t>
    </w:r>
    <w:r>
      <w:rPr>
        <w:noProof/>
      </w:rPr>
      <w:fldChar w:fldCharType="end"/>
    </w:r>
  </w:p>
  <w:p w14:paraId="2665F55F" w14:textId="77777777" w:rsidR="00BA36FC" w:rsidRPr="00BB5EAA" w:rsidRDefault="00BA36FC"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C0F9A0" w14:textId="1089D344" w:rsidR="00BA36FC" w:rsidRDefault="007B6E7F" w:rsidP="007B6E7F">
    <w:pPr>
      <w:pStyle w:val="Footer"/>
      <w:rPr>
        <w:sz w:val="17"/>
      </w:rPr>
    </w:pPr>
    <w:bookmarkStart w:id="22" w:name="TITUS3FooterFirstPage"/>
    <w:r>
      <w:rPr>
        <w:sz w:val="17"/>
      </w:rPr>
      <w:t> </w:t>
    </w:r>
  </w:p>
  <w:bookmarkEnd w:id="22"/>
  <w:p w14:paraId="117321FD" w14:textId="77777777" w:rsidR="00BA36FC" w:rsidRDefault="00BA36FC" w:rsidP="00BA36FC">
    <w:pPr>
      <w:pStyle w:val="Footer"/>
      <w:jc w:val="right"/>
    </w:pPr>
  </w:p>
  <w:p w14:paraId="32352ED1" w14:textId="60E87CE7" w:rsidR="00BA36FC" w:rsidRDefault="00BA36FC" w:rsidP="00BA36FC">
    <w:pPr>
      <w:pStyle w:val="Footer"/>
      <w:jc w:val="right"/>
    </w:pPr>
    <w:r>
      <w:fldChar w:fldCharType="begin"/>
    </w:r>
    <w:r>
      <w:instrText xml:space="preserve"> PAGE   \* MERGEFORMAT </w:instrText>
    </w:r>
    <w:r>
      <w:fldChar w:fldCharType="separate"/>
    </w:r>
    <w:r w:rsidR="007B6E7F">
      <w:rPr>
        <w:noProof/>
      </w:rPr>
      <w:t>28</w:t>
    </w:r>
    <w:r>
      <w:rPr>
        <w:noProof/>
      </w:rPr>
      <w:fldChar w:fldCharType="end"/>
    </w:r>
  </w:p>
  <w:p w14:paraId="3D51CA8A" w14:textId="77777777" w:rsidR="00BA36FC" w:rsidRPr="00BB5EAA" w:rsidRDefault="00BA36FC" w:rsidP="00BA36FC">
    <w:pPr>
      <w:pStyle w:val="Footer"/>
      <w:ind w:right="360"/>
      <w:jc w:val="center"/>
    </w:pPr>
  </w:p>
  <w:p w14:paraId="7E7061FF" w14:textId="77777777" w:rsidR="00BA36FC" w:rsidRDefault="00BA36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80EED7" w14:textId="77777777" w:rsidR="00D10419" w:rsidRDefault="00D10419">
      <w:r>
        <w:separator/>
      </w:r>
    </w:p>
  </w:footnote>
  <w:footnote w:type="continuationSeparator" w:id="0">
    <w:p w14:paraId="58F5E15C" w14:textId="77777777" w:rsidR="00D10419" w:rsidRDefault="00D1041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F3EF5D" w14:textId="33FDE785" w:rsidR="00C2159D" w:rsidRDefault="007B6E7F" w:rsidP="007B6E7F">
    <w:pPr>
      <w:pStyle w:val="Header"/>
      <w:rPr>
        <w:sz w:val="17"/>
      </w:rPr>
    </w:pPr>
    <w:bookmarkStart w:id="0" w:name="TITUS1HeaderEvenPages"/>
    <w:r>
      <w:rPr>
        <w:sz w:val="17"/>
      </w:rPr>
      <w:t> </w:t>
    </w:r>
  </w:p>
  <w:bookmarkEnd w:id="0"/>
  <w:p w14:paraId="7AAF860C" w14:textId="77777777" w:rsidR="00C2159D" w:rsidRDefault="00C2159D" w:rsidP="00C2159D">
    <w:pPr>
      <w:pStyle w:val="Header"/>
    </w:pPr>
  </w:p>
  <w:p w14:paraId="134F3D35" w14:textId="77777777" w:rsidR="00BA36FC" w:rsidRDefault="00BA36F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302398" w14:textId="2A9ED56B" w:rsidR="00BA36FC" w:rsidRDefault="007B6E7F" w:rsidP="007B6E7F">
    <w:pPr>
      <w:pStyle w:val="Header"/>
      <w:rPr>
        <w:sz w:val="17"/>
      </w:rPr>
    </w:pPr>
    <w:bookmarkStart w:id="1" w:name="TITUS1HeaderPrimary"/>
    <w:r>
      <w:rPr>
        <w:sz w:val="17"/>
      </w:rPr>
      <w:t> </w:t>
    </w:r>
  </w:p>
  <w:bookmarkEnd w:id="1"/>
  <w:p w14:paraId="1E207815" w14:textId="77777777" w:rsidR="00BA36FC" w:rsidRDefault="00BA36F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EAF405" w14:textId="554140A5" w:rsidR="00BA36FC" w:rsidRDefault="007B6E7F" w:rsidP="007B6E7F">
    <w:pPr>
      <w:pStyle w:val="Header"/>
      <w:rPr>
        <w:sz w:val="17"/>
      </w:rPr>
    </w:pPr>
    <w:bookmarkStart w:id="4" w:name="TITUS1HeaderFirstPage"/>
    <w:r>
      <w:rPr>
        <w:sz w:val="17"/>
      </w:rPr>
      <w:t> </w:t>
    </w:r>
  </w:p>
  <w:bookmarkEnd w:id="4"/>
  <w:p w14:paraId="0F3A6A96" w14:textId="77777777" w:rsidR="00BA36FC" w:rsidRDefault="00BA36F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887AE5" w14:textId="276CD39F" w:rsidR="00BA36FC" w:rsidRDefault="007B6E7F" w:rsidP="007B6E7F">
    <w:pPr>
      <w:pStyle w:val="Header"/>
      <w:rPr>
        <w:sz w:val="17"/>
      </w:rPr>
    </w:pPr>
    <w:bookmarkStart w:id="10" w:name="TITUS2HeaderEvenPages"/>
    <w:r>
      <w:rPr>
        <w:sz w:val="17"/>
      </w:rPr>
      <w:t> </w:t>
    </w:r>
  </w:p>
  <w:bookmarkEnd w:id="10"/>
  <w:p w14:paraId="12FAC9A6" w14:textId="77777777" w:rsidR="00BA36FC" w:rsidRDefault="00BA36FC" w:rsidP="00BA36FC">
    <w:pPr>
      <w:pStyle w:val="Header"/>
    </w:pPr>
  </w:p>
  <w:p w14:paraId="05BD648B" w14:textId="77777777" w:rsidR="00BA36FC" w:rsidRDefault="00BA36FC">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6FCF55" w14:textId="642D5E15" w:rsidR="00BA36FC" w:rsidRDefault="007B6E7F" w:rsidP="007B6E7F">
    <w:pPr>
      <w:pStyle w:val="Header"/>
      <w:rPr>
        <w:sz w:val="17"/>
      </w:rPr>
    </w:pPr>
    <w:bookmarkStart w:id="11" w:name="TITUS2HeaderPrimary"/>
    <w:r>
      <w:rPr>
        <w:sz w:val="17"/>
      </w:rPr>
      <w:t> </w:t>
    </w:r>
  </w:p>
  <w:bookmarkEnd w:id="11"/>
  <w:p w14:paraId="38827382" w14:textId="77777777" w:rsidR="00BA36FC" w:rsidRDefault="00BA36FC">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53F573" w14:textId="04FE4625" w:rsidR="00BA36FC" w:rsidRDefault="007B6E7F" w:rsidP="007B6E7F">
    <w:pPr>
      <w:pStyle w:val="Header"/>
      <w:rPr>
        <w:sz w:val="17"/>
      </w:rPr>
    </w:pPr>
    <w:bookmarkStart w:id="14" w:name="TITUS2HeaderFirstPage"/>
    <w:r>
      <w:rPr>
        <w:sz w:val="17"/>
      </w:rPr>
      <w:t> </w:t>
    </w:r>
  </w:p>
  <w:bookmarkEnd w:id="14"/>
  <w:p w14:paraId="125FC644" w14:textId="77777777" w:rsidR="00BA36FC" w:rsidRDefault="00BA36FC" w:rsidP="00BA36FC">
    <w:pPr>
      <w:pStyle w:val="Header"/>
    </w:pPr>
  </w:p>
  <w:p w14:paraId="3701654B" w14:textId="77777777" w:rsidR="00BA36FC" w:rsidRDefault="00BA36FC">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D703A5" w14:textId="65ABFD2A" w:rsidR="00BA36FC" w:rsidRDefault="007B6E7F" w:rsidP="007B6E7F">
    <w:pPr>
      <w:pStyle w:val="Header"/>
      <w:rPr>
        <w:sz w:val="17"/>
      </w:rPr>
    </w:pPr>
    <w:bookmarkStart w:id="17" w:name="TITUS3HeaderEvenPages"/>
    <w:r>
      <w:rPr>
        <w:sz w:val="17"/>
      </w:rPr>
      <w:t> </w:t>
    </w:r>
  </w:p>
  <w:bookmarkEnd w:id="17"/>
  <w:p w14:paraId="37B316CD" w14:textId="77777777" w:rsidR="00BA36FC" w:rsidRDefault="00BA36FC" w:rsidP="00BA36FC">
    <w:pPr>
      <w:pStyle w:val="Header"/>
    </w:pPr>
  </w:p>
  <w:p w14:paraId="4DB39760" w14:textId="77777777" w:rsidR="00BA36FC" w:rsidRDefault="00BA36FC">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58E276" w14:textId="4CC02AA0" w:rsidR="00BA36FC" w:rsidRDefault="007B6E7F" w:rsidP="007B6E7F">
    <w:pPr>
      <w:pStyle w:val="Header"/>
      <w:rPr>
        <w:sz w:val="17"/>
      </w:rPr>
    </w:pPr>
    <w:bookmarkStart w:id="18" w:name="TITUS3HeaderPrimary"/>
    <w:r>
      <w:rPr>
        <w:sz w:val="17"/>
      </w:rPr>
      <w:t> </w:t>
    </w:r>
  </w:p>
  <w:bookmarkEnd w:id="18"/>
  <w:p w14:paraId="441DD94B" w14:textId="77777777" w:rsidR="00BA36FC" w:rsidRDefault="00BA36FC">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B51C70" w14:textId="37FBFC9D" w:rsidR="00BA36FC" w:rsidRDefault="007B6E7F" w:rsidP="007B6E7F">
    <w:pPr>
      <w:pStyle w:val="Header"/>
      <w:rPr>
        <w:sz w:val="17"/>
      </w:rPr>
    </w:pPr>
    <w:bookmarkStart w:id="21" w:name="TITUS3HeaderFirstPage"/>
    <w:r>
      <w:rPr>
        <w:sz w:val="17"/>
      </w:rPr>
      <w:t> </w:t>
    </w:r>
  </w:p>
  <w:bookmarkEnd w:id="21"/>
  <w:p w14:paraId="4D596B68" w14:textId="77777777" w:rsidR="00BA36FC" w:rsidRDefault="00BA36FC" w:rsidP="00BA36FC">
    <w:pPr>
      <w:pStyle w:val="Header"/>
    </w:pPr>
  </w:p>
  <w:p w14:paraId="51486804" w14:textId="77777777" w:rsidR="00BA36FC" w:rsidRDefault="00BA36F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2A7762AE"/>
    <w:multiLevelType w:val="hybridMultilevel"/>
    <w:tmpl w:val="EE1E72FE"/>
    <w:lvl w:ilvl="0" w:tplc="125215DC">
      <w:start w:val="1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3" w15:restartNumberingAfterBreak="0">
    <w:nsid w:val="4E2350EE"/>
    <w:multiLevelType w:val="hybridMultilevel"/>
    <w:tmpl w:val="ECDAF7F2"/>
    <w:lvl w:ilvl="0" w:tplc="125215DC">
      <w:start w:val="1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5"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6" w15:restartNumberingAfterBreak="0">
    <w:nsid w:val="762821A9"/>
    <w:multiLevelType w:val="hybridMultilevel"/>
    <w:tmpl w:val="08781F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4"/>
  </w:num>
  <w:num w:numId="4">
    <w:abstractNumId w:val="2"/>
  </w:num>
  <w:num w:numId="5">
    <w:abstractNumId w:val="7"/>
  </w:num>
  <w:num w:numId="6">
    <w:abstractNumId w:val="6"/>
  </w:num>
  <w:num w:numId="7">
    <w:abstractNumId w:val="1"/>
  </w:num>
  <w:num w:numId="8">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44"/>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457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1F17"/>
    <w:rsid w:val="000325D9"/>
    <w:rsid w:val="000372B2"/>
    <w:rsid w:val="0004079F"/>
    <w:rsid w:val="00045413"/>
    <w:rsid w:val="00045B87"/>
    <w:rsid w:val="00045C07"/>
    <w:rsid w:val="00055D43"/>
    <w:rsid w:val="00056FAC"/>
    <w:rsid w:val="00057751"/>
    <w:rsid w:val="00062E39"/>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B6936"/>
    <w:rsid w:val="000C378F"/>
    <w:rsid w:val="000C6892"/>
    <w:rsid w:val="000C6E28"/>
    <w:rsid w:val="000C6FFE"/>
    <w:rsid w:val="000D0BB6"/>
    <w:rsid w:val="000E26B0"/>
    <w:rsid w:val="000F1599"/>
    <w:rsid w:val="000F1769"/>
    <w:rsid w:val="000F6196"/>
    <w:rsid w:val="000F7ECD"/>
    <w:rsid w:val="00101DE4"/>
    <w:rsid w:val="00102E64"/>
    <w:rsid w:val="0010312C"/>
    <w:rsid w:val="00106DC7"/>
    <w:rsid w:val="00112391"/>
    <w:rsid w:val="00114F52"/>
    <w:rsid w:val="0012135C"/>
    <w:rsid w:val="00131663"/>
    <w:rsid w:val="001347F8"/>
    <w:rsid w:val="00137BB5"/>
    <w:rsid w:val="00137E05"/>
    <w:rsid w:val="001447F6"/>
    <w:rsid w:val="00147DE3"/>
    <w:rsid w:val="00150794"/>
    <w:rsid w:val="001608C4"/>
    <w:rsid w:val="00171418"/>
    <w:rsid w:val="001858B9"/>
    <w:rsid w:val="00190913"/>
    <w:rsid w:val="001961CF"/>
    <w:rsid w:val="001A59BB"/>
    <w:rsid w:val="001A6A51"/>
    <w:rsid w:val="001A79C4"/>
    <w:rsid w:val="001B331A"/>
    <w:rsid w:val="001C0E74"/>
    <w:rsid w:val="001C321F"/>
    <w:rsid w:val="001C6CEC"/>
    <w:rsid w:val="001D229F"/>
    <w:rsid w:val="001D6162"/>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47C6"/>
    <w:rsid w:val="00286B54"/>
    <w:rsid w:val="00291ADD"/>
    <w:rsid w:val="00294868"/>
    <w:rsid w:val="00295CA1"/>
    <w:rsid w:val="002A291A"/>
    <w:rsid w:val="002A5604"/>
    <w:rsid w:val="002B1701"/>
    <w:rsid w:val="002B1736"/>
    <w:rsid w:val="002B23C3"/>
    <w:rsid w:val="002B443A"/>
    <w:rsid w:val="002B5B35"/>
    <w:rsid w:val="002C18A0"/>
    <w:rsid w:val="002C256A"/>
    <w:rsid w:val="002C496D"/>
    <w:rsid w:val="002C6302"/>
    <w:rsid w:val="002D05EB"/>
    <w:rsid w:val="002D2F29"/>
    <w:rsid w:val="002D2FD3"/>
    <w:rsid w:val="002D3CB5"/>
    <w:rsid w:val="002E3387"/>
    <w:rsid w:val="002E3F6C"/>
    <w:rsid w:val="002E7017"/>
    <w:rsid w:val="002F4F6E"/>
    <w:rsid w:val="003015C3"/>
    <w:rsid w:val="0030698D"/>
    <w:rsid w:val="0031350A"/>
    <w:rsid w:val="0031569E"/>
    <w:rsid w:val="00316815"/>
    <w:rsid w:val="003168CA"/>
    <w:rsid w:val="00321255"/>
    <w:rsid w:val="0032230D"/>
    <w:rsid w:val="00322A0B"/>
    <w:rsid w:val="00334215"/>
    <w:rsid w:val="00335FC5"/>
    <w:rsid w:val="00340E9A"/>
    <w:rsid w:val="003516C0"/>
    <w:rsid w:val="00352E59"/>
    <w:rsid w:val="00354DBE"/>
    <w:rsid w:val="00355210"/>
    <w:rsid w:val="00365284"/>
    <w:rsid w:val="00365DF9"/>
    <w:rsid w:val="0036668D"/>
    <w:rsid w:val="00372DB4"/>
    <w:rsid w:val="0037490C"/>
    <w:rsid w:val="00375AF5"/>
    <w:rsid w:val="003761BD"/>
    <w:rsid w:val="003769F6"/>
    <w:rsid w:val="00381F94"/>
    <w:rsid w:val="00385414"/>
    <w:rsid w:val="00390074"/>
    <w:rsid w:val="0039762B"/>
    <w:rsid w:val="003A0C37"/>
    <w:rsid w:val="003A1B6B"/>
    <w:rsid w:val="003A2F82"/>
    <w:rsid w:val="003A46C0"/>
    <w:rsid w:val="003A600E"/>
    <w:rsid w:val="003A6513"/>
    <w:rsid w:val="003A7F84"/>
    <w:rsid w:val="003B16C7"/>
    <w:rsid w:val="003C19F1"/>
    <w:rsid w:val="003C4186"/>
    <w:rsid w:val="003C458C"/>
    <w:rsid w:val="003C6185"/>
    <w:rsid w:val="003D0D2D"/>
    <w:rsid w:val="003D34AC"/>
    <w:rsid w:val="003D4710"/>
    <w:rsid w:val="003E16D7"/>
    <w:rsid w:val="003E197E"/>
    <w:rsid w:val="003E4DF4"/>
    <w:rsid w:val="004046F0"/>
    <w:rsid w:val="0040668F"/>
    <w:rsid w:val="00412677"/>
    <w:rsid w:val="00417925"/>
    <w:rsid w:val="004268C2"/>
    <w:rsid w:val="00433121"/>
    <w:rsid w:val="004348AE"/>
    <w:rsid w:val="004376C0"/>
    <w:rsid w:val="0044115F"/>
    <w:rsid w:val="0044223A"/>
    <w:rsid w:val="00446792"/>
    <w:rsid w:val="00446F80"/>
    <w:rsid w:val="00450C83"/>
    <w:rsid w:val="00451851"/>
    <w:rsid w:val="00453343"/>
    <w:rsid w:val="004572F0"/>
    <w:rsid w:val="004608B9"/>
    <w:rsid w:val="00460ADB"/>
    <w:rsid w:val="00465947"/>
    <w:rsid w:val="00470BB1"/>
    <w:rsid w:val="004718F7"/>
    <w:rsid w:val="00472A53"/>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1251"/>
    <w:rsid w:val="004C2D3A"/>
    <w:rsid w:val="004D03C4"/>
    <w:rsid w:val="004D0BF1"/>
    <w:rsid w:val="004D24D2"/>
    <w:rsid w:val="004D35A4"/>
    <w:rsid w:val="004D445F"/>
    <w:rsid w:val="004D4EC5"/>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0693"/>
    <w:rsid w:val="005A1B4C"/>
    <w:rsid w:val="005A1BA3"/>
    <w:rsid w:val="005A545C"/>
    <w:rsid w:val="005B1CF8"/>
    <w:rsid w:val="005C1567"/>
    <w:rsid w:val="005C6CE5"/>
    <w:rsid w:val="005D1743"/>
    <w:rsid w:val="005D2A9A"/>
    <w:rsid w:val="005D3F07"/>
    <w:rsid w:val="005D583E"/>
    <w:rsid w:val="005E13EA"/>
    <w:rsid w:val="005E53BD"/>
    <w:rsid w:val="00606E27"/>
    <w:rsid w:val="006108C9"/>
    <w:rsid w:val="00615C7E"/>
    <w:rsid w:val="0062158D"/>
    <w:rsid w:val="006218FE"/>
    <w:rsid w:val="00630F39"/>
    <w:rsid w:val="006326D1"/>
    <w:rsid w:val="00632E0A"/>
    <w:rsid w:val="00633165"/>
    <w:rsid w:val="0063519E"/>
    <w:rsid w:val="00636B6C"/>
    <w:rsid w:val="00640D6B"/>
    <w:rsid w:val="006430C7"/>
    <w:rsid w:val="006447DE"/>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4649"/>
    <w:rsid w:val="006A7A6D"/>
    <w:rsid w:val="006B5E67"/>
    <w:rsid w:val="006C2EB5"/>
    <w:rsid w:val="006C3261"/>
    <w:rsid w:val="006D18A3"/>
    <w:rsid w:val="006D5970"/>
    <w:rsid w:val="006E007C"/>
    <w:rsid w:val="006E481E"/>
    <w:rsid w:val="006E795F"/>
    <w:rsid w:val="00700249"/>
    <w:rsid w:val="0070604C"/>
    <w:rsid w:val="007069CD"/>
    <w:rsid w:val="007110E6"/>
    <w:rsid w:val="00711A70"/>
    <w:rsid w:val="00712E6F"/>
    <w:rsid w:val="00712E90"/>
    <w:rsid w:val="00713B7E"/>
    <w:rsid w:val="007204AE"/>
    <w:rsid w:val="00722432"/>
    <w:rsid w:val="00723E29"/>
    <w:rsid w:val="0072678F"/>
    <w:rsid w:val="00727C4C"/>
    <w:rsid w:val="00733908"/>
    <w:rsid w:val="00734809"/>
    <w:rsid w:val="007406E1"/>
    <w:rsid w:val="00743E40"/>
    <w:rsid w:val="00751263"/>
    <w:rsid w:val="00753DFF"/>
    <w:rsid w:val="0075704F"/>
    <w:rsid w:val="00763B2D"/>
    <w:rsid w:val="00772924"/>
    <w:rsid w:val="00784EC4"/>
    <w:rsid w:val="007872F2"/>
    <w:rsid w:val="007874BC"/>
    <w:rsid w:val="007908E0"/>
    <w:rsid w:val="00793EB3"/>
    <w:rsid w:val="00794205"/>
    <w:rsid w:val="00797012"/>
    <w:rsid w:val="007A1F6A"/>
    <w:rsid w:val="007A3BC4"/>
    <w:rsid w:val="007B0DE3"/>
    <w:rsid w:val="007B491F"/>
    <w:rsid w:val="007B5CB2"/>
    <w:rsid w:val="007B6E7F"/>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668"/>
    <w:rsid w:val="008031F3"/>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47257"/>
    <w:rsid w:val="0085230E"/>
    <w:rsid w:val="0085355E"/>
    <w:rsid w:val="008550A1"/>
    <w:rsid w:val="00855D1D"/>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1F54"/>
    <w:rsid w:val="008A21B4"/>
    <w:rsid w:val="008A4576"/>
    <w:rsid w:val="008B07DE"/>
    <w:rsid w:val="008B28E7"/>
    <w:rsid w:val="008C14C7"/>
    <w:rsid w:val="008C2264"/>
    <w:rsid w:val="008C2FFB"/>
    <w:rsid w:val="008C6EEA"/>
    <w:rsid w:val="008D1C76"/>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106E"/>
    <w:rsid w:val="00964CC6"/>
    <w:rsid w:val="00977D56"/>
    <w:rsid w:val="00987EFE"/>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3D53"/>
    <w:rsid w:val="009E4D2C"/>
    <w:rsid w:val="009F0978"/>
    <w:rsid w:val="009F0A44"/>
    <w:rsid w:val="009F3AEC"/>
    <w:rsid w:val="009F773F"/>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3599"/>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0587"/>
    <w:rsid w:val="00AF61C2"/>
    <w:rsid w:val="00AF6CC6"/>
    <w:rsid w:val="00B011CD"/>
    <w:rsid w:val="00B0296A"/>
    <w:rsid w:val="00B12295"/>
    <w:rsid w:val="00B137BE"/>
    <w:rsid w:val="00B17FA0"/>
    <w:rsid w:val="00B24344"/>
    <w:rsid w:val="00B26769"/>
    <w:rsid w:val="00B31C91"/>
    <w:rsid w:val="00B3747F"/>
    <w:rsid w:val="00B43194"/>
    <w:rsid w:val="00B4319F"/>
    <w:rsid w:val="00B47734"/>
    <w:rsid w:val="00B50FBA"/>
    <w:rsid w:val="00B558EB"/>
    <w:rsid w:val="00B577D3"/>
    <w:rsid w:val="00B60466"/>
    <w:rsid w:val="00B6548F"/>
    <w:rsid w:val="00B7502A"/>
    <w:rsid w:val="00B77305"/>
    <w:rsid w:val="00B82CC2"/>
    <w:rsid w:val="00B84A89"/>
    <w:rsid w:val="00B92BEF"/>
    <w:rsid w:val="00B96531"/>
    <w:rsid w:val="00B9689A"/>
    <w:rsid w:val="00BA1FFA"/>
    <w:rsid w:val="00BA358B"/>
    <w:rsid w:val="00BA36FC"/>
    <w:rsid w:val="00BA4BCA"/>
    <w:rsid w:val="00BA7FF1"/>
    <w:rsid w:val="00BB06CB"/>
    <w:rsid w:val="00BB261F"/>
    <w:rsid w:val="00BB2887"/>
    <w:rsid w:val="00BB5EAA"/>
    <w:rsid w:val="00BB5F11"/>
    <w:rsid w:val="00BC0401"/>
    <w:rsid w:val="00BC04FA"/>
    <w:rsid w:val="00BC1C22"/>
    <w:rsid w:val="00BC31B1"/>
    <w:rsid w:val="00BC460B"/>
    <w:rsid w:val="00BC5725"/>
    <w:rsid w:val="00BD30B1"/>
    <w:rsid w:val="00BE0F7B"/>
    <w:rsid w:val="00BE10C2"/>
    <w:rsid w:val="00BE4E31"/>
    <w:rsid w:val="00C01D14"/>
    <w:rsid w:val="00C025B4"/>
    <w:rsid w:val="00C11F61"/>
    <w:rsid w:val="00C161FD"/>
    <w:rsid w:val="00C2159D"/>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21E"/>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0419"/>
    <w:rsid w:val="00D11C62"/>
    <w:rsid w:val="00D22C8F"/>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519C"/>
    <w:rsid w:val="00D8652C"/>
    <w:rsid w:val="00D876E6"/>
    <w:rsid w:val="00DA1025"/>
    <w:rsid w:val="00DA22EC"/>
    <w:rsid w:val="00DA5787"/>
    <w:rsid w:val="00DA5860"/>
    <w:rsid w:val="00DB2767"/>
    <w:rsid w:val="00DC4729"/>
    <w:rsid w:val="00DD7FFD"/>
    <w:rsid w:val="00DE556F"/>
    <w:rsid w:val="00DF4CF5"/>
    <w:rsid w:val="00E03B6D"/>
    <w:rsid w:val="00E12096"/>
    <w:rsid w:val="00E17160"/>
    <w:rsid w:val="00E27E98"/>
    <w:rsid w:val="00E34061"/>
    <w:rsid w:val="00E35BEC"/>
    <w:rsid w:val="00E413CE"/>
    <w:rsid w:val="00E50821"/>
    <w:rsid w:val="00E50EF8"/>
    <w:rsid w:val="00E50F95"/>
    <w:rsid w:val="00E51F91"/>
    <w:rsid w:val="00E57B0A"/>
    <w:rsid w:val="00E7086E"/>
    <w:rsid w:val="00E71839"/>
    <w:rsid w:val="00E7374A"/>
    <w:rsid w:val="00E73C41"/>
    <w:rsid w:val="00E7598F"/>
    <w:rsid w:val="00E75D5D"/>
    <w:rsid w:val="00E76F60"/>
    <w:rsid w:val="00E83D90"/>
    <w:rsid w:val="00E83F28"/>
    <w:rsid w:val="00E83F91"/>
    <w:rsid w:val="00E9107A"/>
    <w:rsid w:val="00E91F62"/>
    <w:rsid w:val="00E929FD"/>
    <w:rsid w:val="00E93240"/>
    <w:rsid w:val="00E9479B"/>
    <w:rsid w:val="00EA4D48"/>
    <w:rsid w:val="00EB069C"/>
    <w:rsid w:val="00EB2173"/>
    <w:rsid w:val="00EB28DC"/>
    <w:rsid w:val="00EB3E2F"/>
    <w:rsid w:val="00EB470F"/>
    <w:rsid w:val="00EB62E6"/>
    <w:rsid w:val="00ED1B30"/>
    <w:rsid w:val="00ED250E"/>
    <w:rsid w:val="00ED6535"/>
    <w:rsid w:val="00EE1AC1"/>
    <w:rsid w:val="00EE39D6"/>
    <w:rsid w:val="00EE413C"/>
    <w:rsid w:val="00EE52AD"/>
    <w:rsid w:val="00F01F92"/>
    <w:rsid w:val="00F10A08"/>
    <w:rsid w:val="00F139CF"/>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6513F"/>
    <w:rsid w:val="00F66272"/>
    <w:rsid w:val="00F709C0"/>
    <w:rsid w:val="00F900F2"/>
    <w:rsid w:val="00F927A1"/>
    <w:rsid w:val="00F92E4D"/>
    <w:rsid w:val="00F93E96"/>
    <w:rsid w:val="00FA2E24"/>
    <w:rsid w:val="00FA3764"/>
    <w:rsid w:val="00FA56ED"/>
    <w:rsid w:val="00FB5FA6"/>
    <w:rsid w:val="00FC1310"/>
    <w:rsid w:val="00FC2FF3"/>
    <w:rsid w:val="00FC3263"/>
    <w:rsid w:val="00FC51F9"/>
    <w:rsid w:val="00FC5B40"/>
    <w:rsid w:val="00FC5FF8"/>
    <w:rsid w:val="00FC624B"/>
    <w:rsid w:val="00FC702B"/>
    <w:rsid w:val="00FD3D7C"/>
    <w:rsid w:val="00FD4A56"/>
    <w:rsid w:val="00FD4F8F"/>
    <w:rsid w:val="00FE0C16"/>
    <w:rsid w:val="00FE14AD"/>
    <w:rsid w:val="00FE14B1"/>
    <w:rsid w:val="00FE1F6A"/>
    <w:rsid w:val="00FF0070"/>
    <w:rsid w:val="00FF2200"/>
    <w:rsid w:val="00FF31EC"/>
    <w:rsid w:val="00FF5F6A"/>
    <w:rsid w:val="00FF6BE0"/>
    <w:rsid w:val="00FF7784"/>
    <w:rsid w:val="00FF7EBB"/>
    <w:rsid w:val="1DD1DFEA"/>
    <w:rsid w:val="31856DE5"/>
    <w:rsid w:val="5A1BC7B5"/>
    <w:rsid w:val="5B63D80E"/>
    <w:rsid w:val="6E85A413"/>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457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55270902">
      <w:bodyDiv w:val="1"/>
      <w:marLeft w:val="0"/>
      <w:marRight w:val="0"/>
      <w:marTop w:val="0"/>
      <w:marBottom w:val="0"/>
      <w:divBdr>
        <w:top w:val="none" w:sz="0" w:space="0" w:color="auto"/>
        <w:left w:val="none" w:sz="0" w:space="0" w:color="auto"/>
        <w:bottom w:val="none" w:sz="0" w:space="0" w:color="auto"/>
        <w:right w:val="none" w:sz="0" w:space="0" w:color="auto"/>
      </w:divBdr>
      <w:divsChild>
        <w:div w:id="426073054">
          <w:marLeft w:val="0"/>
          <w:marRight w:val="0"/>
          <w:marTop w:val="0"/>
          <w:marBottom w:val="0"/>
          <w:divBdr>
            <w:top w:val="none" w:sz="0" w:space="0" w:color="auto"/>
            <w:left w:val="none" w:sz="0" w:space="0" w:color="auto"/>
            <w:bottom w:val="none" w:sz="0" w:space="0" w:color="auto"/>
            <w:right w:val="none" w:sz="0" w:space="0" w:color="auto"/>
          </w:divBdr>
        </w:div>
      </w:divsChild>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actionfraud.police.uk/what-is-fraud" TargetMode="External"/><Relationship Id="rId39" Type="http://schemas.openxmlformats.org/officeDocument/2006/relationships/hyperlink" Target="https://www.legislation.gov.uk/ukpga/1996/25/section/22" TargetMode="External"/><Relationship Id="rId21" Type="http://schemas.openxmlformats.org/officeDocument/2006/relationships/header" Target="header5.xml"/><Relationship Id="rId34" Type="http://schemas.openxmlformats.org/officeDocument/2006/relationships/hyperlink" Target="https://www.app.college.police.uk/app-content/investigations/introduction/" TargetMode="External"/><Relationship Id="rId42" Type="http://schemas.openxmlformats.org/officeDocument/2006/relationships/hyperlink" Target="https://core.ac.uk/download/pdf/334800988.pdf" TargetMode="External"/><Relationship Id="rId47" Type="http://schemas.openxmlformats.org/officeDocument/2006/relationships/hyperlink" Target="https://www.nationalcrimeagency.gov.uk/what-we-do/crime-threats/kidnap-and-extortion/sextortion-webcam-blackmail" TargetMode="External"/><Relationship Id="rId50" Type="http://schemas.openxmlformats.org/officeDocument/2006/relationships/hyperlink" Target="https://safelives.org.uk/sites/default/files/resources/Safety%20In%20Numbers%202pp%20October%202010.pdf" TargetMode="External"/><Relationship Id="rId55" Type="http://schemas.openxmlformats.org/officeDocument/2006/relationships/header" Target="header8.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yperlink" Target="https://www.researchgate.net/profile/Alan-Beckley/publication/265297930_Organisational_justice_is_the_police_service_ready_for_it/links/5699805a08ae748dfaff7785/Organisational-justice-is-the-police-service-ready-for-it.pdf" TargetMode="External"/><Relationship Id="rId41" Type="http://schemas.openxmlformats.org/officeDocument/2006/relationships/hyperlink" Target="https://www.europol.europa.eu/newsroom/news/police-across-europe-issue-warning-about-online-coercion-and-extortion-of-children" TargetMode="External"/><Relationship Id="rId54" Type="http://schemas.openxmlformats.org/officeDocument/2006/relationships/header" Target="head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www.legislation.gov.uk/ukpga/1989/41/section/46" TargetMode="External"/><Relationship Id="rId37" Type="http://schemas.openxmlformats.org/officeDocument/2006/relationships/hyperlink" Target="https://whatworks.college.police.uk/Research/Documents/Vulnerability_training_eval.pdf" TargetMode="External"/><Relationship Id="rId40" Type="http://schemas.openxmlformats.org/officeDocument/2006/relationships/hyperlink" Target="https://www.crowe.com/uk/croweuk/-/media/Crowe/Firms/Europe/uk/CroweUK/PDF-publications/The-Financial-Cost-of-Fraud-2019.pdf?la=en-GB&amp;modified=20190711123330&amp;hash=AF17B852C4ACFB31258C39F0703D60A8400CCB92" TargetMode="External"/><Relationship Id="rId45" Type="http://schemas.openxmlformats.org/officeDocument/2006/relationships/hyperlink" Target="https://assets.publishing.service.gov.uk/government/uploads/system/uploads/attachment_data/file/575361/DVDS_guidance_FINAL_v3.pdf" TargetMode="External"/><Relationship Id="rId53" Type="http://schemas.openxmlformats.org/officeDocument/2006/relationships/hyperlink" Target="https://www.thorn.org/sextortion/" TargetMode="External"/><Relationship Id="rId58" Type="http://schemas.openxmlformats.org/officeDocument/2006/relationships/header" Target="header9.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employment-studies.co.uk/system/files/resources/files/mp73.pdf" TargetMode="External"/><Relationship Id="rId36" Type="http://schemas.openxmlformats.org/officeDocument/2006/relationships/hyperlink" Target="https://www.app.college.police.uk/app-content/professional-standards/" TargetMode="External"/><Relationship Id="rId49" Type="http://schemas.openxmlformats.org/officeDocument/2006/relationships/hyperlink" Target="https://www.npcc.police.uk/Crime%20Ops%20Committee/NVAP.pdf" TargetMode="External"/><Relationship Id="rId57" Type="http://schemas.openxmlformats.org/officeDocument/2006/relationships/footer" Target="footer8.xml"/><Relationship Id="rId61"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legislation.gov.uk/ukpga/Geo5/23-24/12/section/1" TargetMode="External"/><Relationship Id="rId44" Type="http://schemas.openxmlformats.org/officeDocument/2006/relationships/hyperlink" Target="https://assets.publishing.service.gov.uk/government/uploads/system/uploads/attachment_data/file/942454/Working_together_to_safeguard_children_inter_agency_guidance.pdf" TargetMode="External"/><Relationship Id="rId52" Type="http://schemas.openxmlformats.org/officeDocument/2006/relationships/hyperlink" Target="https://www.independent.co.uk/news/uk/crime/blackmail-online-sextortion-suicides-videos-photos-sexual-police-advice-a8337016.html" TargetMode="External"/><Relationship Id="rId6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academic.oup.com/policing/article/10/4/323/2742983?login=true" TargetMode="External"/><Relationship Id="rId30" Type="http://schemas.openxmlformats.org/officeDocument/2006/relationships/hyperlink" Target="https://www.cambs.police.uk/information-and-services/Domestic-abuse/Domestic-abuse-signs" TargetMode="External"/><Relationship Id="rId35" Type="http://schemas.openxmlformats.org/officeDocument/2006/relationships/hyperlink" Target="https://www.college.police.uk/ethics/code-of-ethics" TargetMode="External"/><Relationship Id="rId43" Type="http://schemas.openxmlformats.org/officeDocument/2006/relationships/hyperlink" Target="https://web-a-ebscohost-com.ezproxy.uwtsd.ac.uk/ehost/ebookviewer/ebook/bmxlYmtfXzIxMjYzMjFfX0FO0?sid=4cd5c8db-8393-465c-bdfe-37b1f37e9280@sessionmgr4007&amp;vid=1&amp;format=EB&amp;rid=1" TargetMode="External"/><Relationship Id="rId48" Type="http://schemas.openxmlformats.org/officeDocument/2006/relationships/hyperlink" Target="https://nationalcrimeagency.gov.uk/what-we-do/crime-threats/kidnap-and-extortion" TargetMode="External"/><Relationship Id="rId56" Type="http://schemas.openxmlformats.org/officeDocument/2006/relationships/footer" Target="footer7.xml"/><Relationship Id="rId8" Type="http://schemas.openxmlformats.org/officeDocument/2006/relationships/webSettings" Target="webSettings.xml"/><Relationship Id="rId51" Type="http://schemas.openxmlformats.org/officeDocument/2006/relationships/hyperlink" Target="https://safelives.org.uk/what-is-an-idva"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www.legislation.gov.uk/ukpga/2004/31/pdfs/ukpga_20040031_en.pdf" TargetMode="External"/><Relationship Id="rId38" Type="http://schemas.openxmlformats.org/officeDocument/2006/relationships/hyperlink" Target="https://www.legislation.gov.uk/ukpga/1998/37/section/5" TargetMode="External"/><Relationship Id="rId46" Type="http://schemas.openxmlformats.org/officeDocument/2006/relationships/hyperlink" Target="https://www.mind.org.uk/media-a/4356/2013-12-03-mind_police_final_web.pdf" TargetMode="External"/><Relationship Id="rId59" Type="http://schemas.openxmlformats.org/officeDocument/2006/relationships/footer" Target="footer9.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documentManagement/type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3853F47C-A45F-4A59-B68E-DB3CAD2BE0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31</Pages>
  <Words>8621</Words>
  <Characters>49141</Characters>
  <Application>Microsoft Office Word</Application>
  <DocSecurity>0</DocSecurity>
  <Lines>409</Lines>
  <Paragraphs>115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Nixon,Anna Chad swp6557</dc:creator>
  <cp:keywords/>
  <cp:lastModifiedBy>Nixon,Anna Chad swp6557</cp:lastModifiedBy>
  <cp:revision>3</cp:revision>
  <cp:lastPrinted>2014-08-26T08:55:00Z</cp:lastPrinted>
  <dcterms:created xsi:type="dcterms:W3CDTF">2021-05-31T19:37:00Z</dcterms:created>
  <dcterms:modified xsi:type="dcterms:W3CDTF">2021-05-31T20:05:00Z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ba461906-e7f8-46d2-af3e-bb2b35893208</vt:lpwstr>
  </property>
  <property fmtid="{D5CDD505-2E9C-101B-9397-08002B2CF9AE}" pid="4" name="Classification">
    <vt:lpwstr>OFFICIAL</vt:lpwstr>
  </property>
  <property fmtid="{D5CDD505-2E9C-101B-9397-08002B2CF9AE}" pid="5" name="Visibility">
    <vt:lpwstr>NOT VISIBLE</vt:lpwstr>
  </property>
</Properties>
</file>