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09B2" w:rsidRDefault="007A09B2">
      <w:pPr>
        <w:pBdr>
          <w:top w:val="nil"/>
          <w:left w:val="nil"/>
          <w:bottom w:val="nil"/>
          <w:right w:val="nil"/>
          <w:between w:val="nil"/>
        </w:pBdr>
        <w:spacing w:line="360" w:lineRule="auto"/>
        <w:rPr>
          <w:rFonts w:ascii="Times New Roman" w:eastAsia="Times New Roman" w:hAnsi="Times New Roman" w:cs="Times New Roman"/>
          <w:b/>
          <w:color w:val="000000"/>
          <w:sz w:val="24"/>
          <w:szCs w:val="24"/>
        </w:rPr>
      </w:pPr>
    </w:p>
    <w:p w:rsidR="007A09B2" w:rsidRDefault="007A09B2">
      <w:pPr>
        <w:spacing w:line="360" w:lineRule="auto"/>
        <w:jc w:val="center"/>
        <w:rPr>
          <w:rFonts w:ascii="Times New Roman" w:eastAsia="Times New Roman" w:hAnsi="Times New Roman" w:cs="Times New Roman"/>
          <w:b/>
          <w:sz w:val="36"/>
          <w:szCs w:val="36"/>
        </w:rPr>
      </w:pPr>
    </w:p>
    <w:p w:rsidR="007A09B2" w:rsidRDefault="007A09B2">
      <w:pPr>
        <w:spacing w:line="360" w:lineRule="auto"/>
        <w:jc w:val="center"/>
        <w:rPr>
          <w:rFonts w:ascii="Times New Roman" w:eastAsia="Times New Roman" w:hAnsi="Times New Roman" w:cs="Times New Roman"/>
          <w:b/>
          <w:sz w:val="36"/>
          <w:szCs w:val="36"/>
        </w:rPr>
      </w:pPr>
    </w:p>
    <w:p w:rsidR="007A09B2" w:rsidRDefault="007A09B2">
      <w:pPr>
        <w:spacing w:line="360" w:lineRule="auto"/>
        <w:jc w:val="center"/>
        <w:rPr>
          <w:rFonts w:ascii="Times New Roman" w:eastAsia="Times New Roman" w:hAnsi="Times New Roman" w:cs="Times New Roman"/>
          <w:b/>
          <w:sz w:val="36"/>
          <w:szCs w:val="36"/>
        </w:rPr>
      </w:pPr>
    </w:p>
    <w:p w:rsidR="007A09B2" w:rsidRDefault="007A09B2">
      <w:pPr>
        <w:spacing w:line="360" w:lineRule="auto"/>
        <w:jc w:val="center"/>
        <w:rPr>
          <w:rFonts w:ascii="Times New Roman" w:eastAsia="Times New Roman" w:hAnsi="Times New Roman" w:cs="Times New Roman"/>
          <w:b/>
          <w:sz w:val="36"/>
          <w:szCs w:val="36"/>
        </w:rPr>
      </w:pPr>
    </w:p>
    <w:p w:rsidR="007A09B2" w:rsidRDefault="007A09B2">
      <w:pPr>
        <w:spacing w:line="360" w:lineRule="auto"/>
        <w:jc w:val="center"/>
        <w:rPr>
          <w:rFonts w:ascii="Times New Roman" w:eastAsia="Times New Roman" w:hAnsi="Times New Roman" w:cs="Times New Roman"/>
          <w:b/>
          <w:sz w:val="36"/>
          <w:szCs w:val="36"/>
        </w:rPr>
      </w:pPr>
    </w:p>
    <w:p w:rsidR="007A09B2" w:rsidRDefault="007A09B2">
      <w:pPr>
        <w:spacing w:line="360" w:lineRule="auto"/>
        <w:jc w:val="center"/>
        <w:rPr>
          <w:rFonts w:ascii="Times New Roman" w:eastAsia="Times New Roman" w:hAnsi="Times New Roman" w:cs="Times New Roman"/>
          <w:b/>
          <w:sz w:val="36"/>
          <w:szCs w:val="36"/>
        </w:rPr>
      </w:pPr>
    </w:p>
    <w:p w:rsidR="007A09B2" w:rsidRDefault="00566828">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 NAME: MANAGING PEOPLE</w:t>
      </w:r>
    </w:p>
    <w:p w:rsidR="007A09B2" w:rsidRDefault="00566828">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 CODE: LCMB7011</w:t>
      </w:r>
    </w:p>
    <w:p w:rsidR="007A09B2" w:rsidRDefault="007A09B2">
      <w:pPr>
        <w:spacing w:line="360" w:lineRule="auto"/>
        <w:jc w:val="center"/>
        <w:rPr>
          <w:rFonts w:ascii="Times New Roman" w:eastAsia="Times New Roman" w:hAnsi="Times New Roman" w:cs="Times New Roman"/>
          <w:b/>
          <w:sz w:val="24"/>
          <w:szCs w:val="24"/>
        </w:rPr>
      </w:pPr>
    </w:p>
    <w:p w:rsidR="007A09B2" w:rsidRDefault="00566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p>
    <w:p w:rsidR="007A09B2" w:rsidRDefault="007A09B2">
      <w:pPr>
        <w:spacing w:line="360" w:lineRule="auto"/>
        <w:jc w:val="center"/>
        <w:rPr>
          <w:rFonts w:ascii="Times New Roman" w:eastAsia="Times New Roman" w:hAnsi="Times New Roman" w:cs="Times New Roman"/>
          <w:sz w:val="24"/>
          <w:szCs w:val="24"/>
        </w:rPr>
      </w:pPr>
    </w:p>
    <w:p w:rsidR="007A09B2" w:rsidRDefault="0056682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p>
    <w:p w:rsidR="007A09B2" w:rsidRDefault="007A09B2">
      <w:pPr>
        <w:spacing w:line="360" w:lineRule="auto"/>
        <w:jc w:val="center"/>
        <w:rPr>
          <w:rFonts w:ascii="Times New Roman" w:eastAsia="Times New Roman" w:hAnsi="Times New Roman" w:cs="Times New Roman"/>
          <w:sz w:val="24"/>
          <w:szCs w:val="24"/>
        </w:rPr>
      </w:pPr>
    </w:p>
    <w:p w:rsidR="007A09B2" w:rsidRDefault="0056682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Date:</w:t>
      </w:r>
      <w:r>
        <w:br w:type="page"/>
      </w:r>
    </w:p>
    <w:bookmarkStart w:id="0" w:name="_heading=h.gjdgxs" w:colFirst="0" w:colLast="0" w:displacedByCustomXml="next"/>
    <w:bookmarkEnd w:id="0" w:displacedByCustomXml="next"/>
    <w:sdt>
      <w:sdtPr>
        <w:rPr>
          <w:rFonts w:ascii="Arial" w:eastAsia="Arial" w:hAnsi="Arial" w:cs="Arial"/>
          <w:b w:val="0"/>
          <w:bCs w:val="0"/>
          <w:color w:val="auto"/>
          <w:sz w:val="22"/>
          <w:szCs w:val="22"/>
          <w:lang w:val="en" w:eastAsia="en-IN"/>
        </w:rPr>
        <w:id w:val="1423757802"/>
        <w:docPartObj>
          <w:docPartGallery w:val="Table of Contents"/>
          <w:docPartUnique/>
        </w:docPartObj>
      </w:sdtPr>
      <w:sdtEndPr>
        <w:rPr>
          <w:noProof/>
        </w:rPr>
      </w:sdtEndPr>
      <w:sdtContent>
        <w:p w:rsidR="006962FD" w:rsidRPr="006962FD" w:rsidRDefault="00566828" w:rsidP="006962FD">
          <w:pPr>
            <w:pStyle w:val="TOCHeading"/>
            <w:jc w:val="center"/>
            <w:rPr>
              <w:rFonts w:ascii="Times New Roman" w:hAnsi="Times New Roman" w:cs="Times New Roman"/>
              <w:color w:val="000000" w:themeColor="text1"/>
            </w:rPr>
          </w:pPr>
          <w:r w:rsidRPr="006962FD">
            <w:rPr>
              <w:rFonts w:ascii="Times New Roman" w:hAnsi="Times New Roman" w:cs="Times New Roman"/>
              <w:color w:val="000000" w:themeColor="text1"/>
            </w:rPr>
            <w:t>Table of Contents</w:t>
          </w:r>
        </w:p>
        <w:p w:rsidR="006962FD" w:rsidRPr="006962FD" w:rsidRDefault="00566828" w:rsidP="006962FD">
          <w:pPr>
            <w:pStyle w:val="TOC1"/>
            <w:tabs>
              <w:tab w:val="right" w:leader="dot" w:pos="9350"/>
            </w:tabs>
            <w:spacing w:line="360" w:lineRule="auto"/>
            <w:jc w:val="both"/>
            <w:rPr>
              <w:rFonts w:ascii="Times New Roman" w:eastAsiaTheme="minorEastAsia" w:hAnsi="Times New Roman" w:cs="Times New Roman"/>
              <w:noProof/>
              <w:sz w:val="24"/>
              <w:lang w:val="en-IN"/>
            </w:rPr>
          </w:pPr>
          <w:r w:rsidRPr="006962FD">
            <w:rPr>
              <w:rFonts w:ascii="Times New Roman" w:hAnsi="Times New Roman" w:cs="Times New Roman"/>
              <w:sz w:val="24"/>
            </w:rPr>
            <w:fldChar w:fldCharType="begin"/>
          </w:r>
          <w:r w:rsidRPr="006962FD">
            <w:rPr>
              <w:rFonts w:ascii="Times New Roman" w:hAnsi="Times New Roman" w:cs="Times New Roman"/>
              <w:sz w:val="24"/>
            </w:rPr>
            <w:instrText xml:space="preserve"> TOC \o "1-3" \h \z \u </w:instrText>
          </w:r>
          <w:r w:rsidRPr="006962FD">
            <w:rPr>
              <w:rFonts w:ascii="Times New Roman" w:hAnsi="Times New Roman" w:cs="Times New Roman"/>
              <w:sz w:val="24"/>
            </w:rPr>
            <w:fldChar w:fldCharType="separate"/>
          </w:r>
          <w:hyperlink w:anchor="_Toc142319324" w:history="1">
            <w:r w:rsidRPr="006962FD">
              <w:rPr>
                <w:rStyle w:val="Hyperlink"/>
                <w:rFonts w:ascii="Times New Roman" w:hAnsi="Times New Roman" w:cs="Times New Roman"/>
                <w:noProof/>
                <w:sz w:val="24"/>
              </w:rPr>
              <w:t>Introduction</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_Toc142319324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3</w:t>
            </w:r>
            <w:r w:rsidRPr="006962FD">
              <w:rPr>
                <w:rFonts w:ascii="Times New Roman" w:hAnsi="Times New Roman" w:cs="Times New Roman"/>
                <w:noProof/>
                <w:webHidden/>
                <w:sz w:val="24"/>
              </w:rPr>
              <w:fldChar w:fldCharType="end"/>
            </w:r>
          </w:hyperlink>
        </w:p>
        <w:p w:rsidR="006962FD" w:rsidRPr="006962FD" w:rsidRDefault="00566828" w:rsidP="006962FD">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142319325" w:history="1">
            <w:r w:rsidRPr="006962FD">
              <w:rPr>
                <w:rStyle w:val="Hyperlink"/>
                <w:rFonts w:ascii="Times New Roman" w:hAnsi="Times New Roman" w:cs="Times New Roman"/>
                <w:noProof/>
                <w:sz w:val="24"/>
              </w:rPr>
              <w:t>Analysis</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_Toc142319325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3</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26" w:history="1">
            <w:r w:rsidRPr="006962FD">
              <w:rPr>
                <w:rStyle w:val="Hyperlink"/>
                <w:rFonts w:ascii="Times New Roman" w:hAnsi="Times New Roman" w:cs="Times New Roman"/>
                <w:noProof/>
                <w:sz w:val="24"/>
              </w:rPr>
              <w:t>Model (PESTLE)</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_Toc142319326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3</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27" w:history="1">
            <w:r w:rsidRPr="006962FD">
              <w:rPr>
                <w:rStyle w:val="Hyperlink"/>
                <w:rFonts w:ascii="Times New Roman" w:hAnsi="Times New Roman" w:cs="Times New Roman"/>
                <w:noProof/>
                <w:sz w:val="24"/>
              </w:rPr>
              <w:t>Analyse "fire and rehire" tactics within the UK labour market</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_Toc142319327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5</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28" w:history="1">
            <w:r w:rsidRPr="006962FD">
              <w:rPr>
                <w:rStyle w:val="Hyperlink"/>
                <w:rFonts w:ascii="Times New Roman" w:hAnsi="Times New Roman" w:cs="Times New Roman"/>
                <w:noProof/>
                <w:sz w:val="24"/>
              </w:rPr>
              <w:t>Evaluate the approach taken by different organisations</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_Toc142319328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7</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29" w:history="1">
            <w:r w:rsidRPr="006962FD">
              <w:rPr>
                <w:rStyle w:val="Hyperlink"/>
                <w:rFonts w:ascii="Times New Roman" w:hAnsi="Times New Roman" w:cs="Times New Roman"/>
                <w:noProof/>
                <w:sz w:val="24"/>
              </w:rPr>
              <w:t>Harvard HRM Model</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_Toc142319329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9</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30" w:history="1">
            <w:r w:rsidRPr="006962FD">
              <w:rPr>
                <w:rStyle w:val="Hyperlink"/>
                <w:rFonts w:ascii="Times New Roman" w:hAnsi="Times New Roman" w:cs="Times New Roman"/>
                <w:noProof/>
                <w:sz w:val="24"/>
              </w:rPr>
              <w:t>Craap model</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_Toc142319330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11</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31" w:history="1">
            <w:r w:rsidRPr="006962FD">
              <w:rPr>
                <w:rStyle w:val="Hyperlink"/>
                <w:rFonts w:ascii="Times New Roman" w:hAnsi="Times New Roman" w:cs="Times New Roman"/>
                <w:noProof/>
                <w:sz w:val="24"/>
              </w:rPr>
              <w:t>Legal implications of changing contractual employment Terms</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_Toc142319331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12</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32" w:history="1">
            <w:r w:rsidRPr="006962FD">
              <w:rPr>
                <w:rStyle w:val="Hyperlink"/>
                <w:rFonts w:ascii="Times New Roman" w:hAnsi="Times New Roman" w:cs="Times New Roman"/>
                <w:noProof/>
                <w:sz w:val="24"/>
              </w:rPr>
              <w:t>Evaluate the potential impact on employee engagement</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_Toc142319332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14</w:t>
            </w:r>
            <w:r w:rsidRPr="006962FD">
              <w:rPr>
                <w:rFonts w:ascii="Times New Roman" w:hAnsi="Times New Roman" w:cs="Times New Roman"/>
                <w:noProof/>
                <w:webHidden/>
                <w:sz w:val="24"/>
              </w:rPr>
              <w:fldChar w:fldCharType="end"/>
            </w:r>
          </w:hyperlink>
        </w:p>
        <w:p w:rsidR="006962FD" w:rsidRPr="006962FD" w:rsidRDefault="00566828" w:rsidP="006962FD">
          <w:pPr>
            <w:pStyle w:val="TOC2"/>
            <w:tabs>
              <w:tab w:val="right" w:leader="dot" w:pos="9350"/>
            </w:tabs>
            <w:spacing w:line="360" w:lineRule="auto"/>
            <w:jc w:val="both"/>
            <w:rPr>
              <w:rFonts w:ascii="Times New Roman" w:eastAsiaTheme="minorEastAsia" w:hAnsi="Times New Roman" w:cs="Times New Roman"/>
              <w:noProof/>
              <w:sz w:val="24"/>
              <w:lang w:val="en-IN"/>
            </w:rPr>
          </w:pPr>
          <w:hyperlink w:anchor="_Toc142319333" w:history="1">
            <w:r w:rsidRPr="006962FD">
              <w:rPr>
                <w:rStyle w:val="Hyperlink"/>
                <w:rFonts w:ascii="Times New Roman" w:hAnsi="Times New Roman" w:cs="Times New Roman"/>
                <w:noProof/>
                <w:sz w:val="24"/>
              </w:rPr>
              <w:t>Evaluates HR involvement in this issue</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_Toc142319333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17</w:t>
            </w:r>
            <w:r w:rsidRPr="006962FD">
              <w:rPr>
                <w:rFonts w:ascii="Times New Roman" w:hAnsi="Times New Roman" w:cs="Times New Roman"/>
                <w:noProof/>
                <w:webHidden/>
                <w:sz w:val="24"/>
              </w:rPr>
              <w:fldChar w:fldCharType="end"/>
            </w:r>
          </w:hyperlink>
        </w:p>
        <w:p w:rsidR="006962FD" w:rsidRPr="006962FD" w:rsidRDefault="00566828" w:rsidP="006962FD">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142319334" w:history="1">
            <w:r w:rsidRPr="006962FD">
              <w:rPr>
                <w:rStyle w:val="Hyperlink"/>
                <w:rFonts w:ascii="Times New Roman" w:hAnsi="Times New Roman" w:cs="Times New Roman"/>
                <w:noProof/>
                <w:sz w:val="24"/>
              </w:rPr>
              <w:t>Recommendation</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_Toc142319334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19</w:t>
            </w:r>
            <w:r w:rsidRPr="006962FD">
              <w:rPr>
                <w:rFonts w:ascii="Times New Roman" w:hAnsi="Times New Roman" w:cs="Times New Roman"/>
                <w:noProof/>
                <w:webHidden/>
                <w:sz w:val="24"/>
              </w:rPr>
              <w:fldChar w:fldCharType="end"/>
            </w:r>
          </w:hyperlink>
        </w:p>
        <w:p w:rsidR="006962FD" w:rsidRPr="006962FD" w:rsidRDefault="00566828" w:rsidP="006962FD">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142319335" w:history="1">
            <w:r w:rsidRPr="006962FD">
              <w:rPr>
                <w:rStyle w:val="Hyperlink"/>
                <w:rFonts w:ascii="Times New Roman" w:hAnsi="Times New Roman" w:cs="Times New Roman"/>
                <w:noProof/>
                <w:sz w:val="24"/>
              </w:rPr>
              <w:t>Conclusion</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_Toc142319335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20</w:t>
            </w:r>
            <w:r w:rsidRPr="006962FD">
              <w:rPr>
                <w:rFonts w:ascii="Times New Roman" w:hAnsi="Times New Roman" w:cs="Times New Roman"/>
                <w:noProof/>
                <w:webHidden/>
                <w:sz w:val="24"/>
              </w:rPr>
              <w:fldChar w:fldCharType="end"/>
            </w:r>
          </w:hyperlink>
        </w:p>
        <w:p w:rsidR="006962FD" w:rsidRPr="006962FD" w:rsidRDefault="00566828" w:rsidP="006962FD">
          <w:pPr>
            <w:pStyle w:val="TOC1"/>
            <w:tabs>
              <w:tab w:val="right" w:leader="dot" w:pos="9350"/>
            </w:tabs>
            <w:spacing w:line="360" w:lineRule="auto"/>
            <w:jc w:val="both"/>
            <w:rPr>
              <w:rFonts w:ascii="Times New Roman" w:eastAsiaTheme="minorEastAsia" w:hAnsi="Times New Roman" w:cs="Times New Roman"/>
              <w:noProof/>
              <w:sz w:val="24"/>
              <w:lang w:val="en-IN"/>
            </w:rPr>
          </w:pPr>
          <w:hyperlink w:anchor="_Toc142319336" w:history="1">
            <w:r w:rsidRPr="006962FD">
              <w:rPr>
                <w:rStyle w:val="Hyperlink"/>
                <w:rFonts w:ascii="Times New Roman" w:hAnsi="Times New Roman" w:cs="Times New Roman"/>
                <w:noProof/>
                <w:sz w:val="24"/>
              </w:rPr>
              <w:t>Reference List</w:t>
            </w:r>
            <w:r w:rsidRPr="006962FD">
              <w:rPr>
                <w:rFonts w:ascii="Times New Roman" w:hAnsi="Times New Roman" w:cs="Times New Roman"/>
                <w:noProof/>
                <w:webHidden/>
                <w:sz w:val="24"/>
              </w:rPr>
              <w:tab/>
            </w:r>
            <w:r w:rsidRPr="006962FD">
              <w:rPr>
                <w:rFonts w:ascii="Times New Roman" w:hAnsi="Times New Roman" w:cs="Times New Roman"/>
                <w:noProof/>
                <w:webHidden/>
                <w:sz w:val="24"/>
              </w:rPr>
              <w:fldChar w:fldCharType="begin"/>
            </w:r>
            <w:r w:rsidRPr="006962FD">
              <w:rPr>
                <w:rFonts w:ascii="Times New Roman" w:hAnsi="Times New Roman" w:cs="Times New Roman"/>
                <w:noProof/>
                <w:webHidden/>
                <w:sz w:val="24"/>
              </w:rPr>
              <w:instrText xml:space="preserve"> PAGEREF _Toc142319336 \h </w:instrText>
            </w:r>
            <w:r w:rsidRPr="006962FD">
              <w:rPr>
                <w:rFonts w:ascii="Times New Roman" w:hAnsi="Times New Roman" w:cs="Times New Roman"/>
                <w:noProof/>
                <w:webHidden/>
                <w:sz w:val="24"/>
              </w:rPr>
            </w:r>
            <w:r w:rsidRPr="006962FD">
              <w:rPr>
                <w:rFonts w:ascii="Times New Roman" w:hAnsi="Times New Roman" w:cs="Times New Roman"/>
                <w:noProof/>
                <w:webHidden/>
                <w:sz w:val="24"/>
              </w:rPr>
              <w:fldChar w:fldCharType="separate"/>
            </w:r>
            <w:r w:rsidRPr="006962FD">
              <w:rPr>
                <w:rFonts w:ascii="Times New Roman" w:hAnsi="Times New Roman" w:cs="Times New Roman"/>
                <w:noProof/>
                <w:webHidden/>
                <w:sz w:val="24"/>
              </w:rPr>
              <w:t>21</w:t>
            </w:r>
            <w:r w:rsidRPr="006962FD">
              <w:rPr>
                <w:rFonts w:ascii="Times New Roman" w:hAnsi="Times New Roman" w:cs="Times New Roman"/>
                <w:noProof/>
                <w:webHidden/>
                <w:sz w:val="24"/>
              </w:rPr>
              <w:fldChar w:fldCharType="end"/>
            </w:r>
          </w:hyperlink>
        </w:p>
        <w:p w:rsidR="006962FD" w:rsidRDefault="00566828" w:rsidP="006962FD">
          <w:pPr>
            <w:spacing w:line="360" w:lineRule="auto"/>
            <w:jc w:val="both"/>
          </w:pPr>
          <w:r w:rsidRPr="006962FD">
            <w:rPr>
              <w:rFonts w:ascii="Times New Roman" w:hAnsi="Times New Roman" w:cs="Times New Roman"/>
              <w:b/>
              <w:bCs/>
              <w:noProof/>
              <w:sz w:val="24"/>
            </w:rPr>
            <w:fldChar w:fldCharType="end"/>
          </w:r>
        </w:p>
      </w:sdtContent>
    </w:sdt>
    <w:p w:rsidR="00AD500C" w:rsidRDefault="00AD500C">
      <w:pPr>
        <w:pStyle w:val="Heading1"/>
      </w:pPr>
    </w:p>
    <w:p w:rsidR="00AD500C" w:rsidRDefault="00566828">
      <w:pPr>
        <w:rPr>
          <w:rFonts w:ascii="Times New Roman" w:hAnsi="Times New Roman"/>
          <w:b/>
          <w:color w:val="000000" w:themeColor="text1"/>
          <w:sz w:val="28"/>
          <w:szCs w:val="40"/>
        </w:rPr>
      </w:pPr>
      <w:r>
        <w:br w:type="page"/>
      </w:r>
    </w:p>
    <w:p w:rsidR="007A09B2" w:rsidRDefault="00566828">
      <w:pPr>
        <w:pStyle w:val="Heading1"/>
      </w:pPr>
      <w:bookmarkStart w:id="1" w:name="_Toc142319324"/>
      <w:r>
        <w:lastRenderedPageBreak/>
        <w:t>Introduction</w:t>
      </w:r>
      <w:bookmarkEnd w:id="1"/>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comprehensive engagement of the long-running disruption between </w:t>
      </w:r>
      <w:r>
        <w:rPr>
          <w:rFonts w:ascii="Times New Roman" w:eastAsia="Times New Roman" w:hAnsi="Times New Roman" w:cs="Times New Roman"/>
          <w:b/>
          <w:i/>
          <w:color w:val="000000"/>
          <w:sz w:val="24"/>
          <w:szCs w:val="24"/>
        </w:rPr>
        <w:t xml:space="preserve">“British Gas” and “its boiler engineers” </w:t>
      </w:r>
      <w:r>
        <w:rPr>
          <w:rFonts w:ascii="Times New Roman" w:eastAsia="Times New Roman" w:hAnsi="Times New Roman" w:cs="Times New Roman"/>
          <w:color w:val="000000"/>
          <w:sz w:val="24"/>
          <w:szCs w:val="24"/>
        </w:rPr>
        <w:t>can be engaged by changing their perspectives on their employment measurements. It can also be determined that the engineers might have been enhanc</w:t>
      </w:r>
      <w:r>
        <w:rPr>
          <w:rFonts w:ascii="Times New Roman" w:eastAsia="Times New Roman" w:hAnsi="Times New Roman" w:cs="Times New Roman"/>
          <w:color w:val="000000"/>
          <w:sz w:val="24"/>
          <w:szCs w:val="24"/>
        </w:rPr>
        <w:t xml:space="preserve">ed to conduct the working long hours without additional remunerations recognising to effect endowed by the </w:t>
      </w:r>
      <w:r>
        <w:rPr>
          <w:rFonts w:ascii="Times New Roman" w:eastAsia="Times New Roman" w:hAnsi="Times New Roman" w:cs="Times New Roman"/>
          <w:b/>
          <w:i/>
          <w:color w:val="000000"/>
          <w:sz w:val="24"/>
          <w:szCs w:val="24"/>
        </w:rPr>
        <w:t xml:space="preserve">“GMB trade union”. </w:t>
      </w:r>
      <w:r>
        <w:rPr>
          <w:rFonts w:ascii="Times New Roman" w:eastAsia="Times New Roman" w:hAnsi="Times New Roman" w:cs="Times New Roman"/>
          <w:color w:val="000000"/>
          <w:sz w:val="24"/>
          <w:szCs w:val="24"/>
        </w:rPr>
        <w:t xml:space="preserve">The analytical procurement of the </w:t>
      </w:r>
      <w:r>
        <w:rPr>
          <w:rFonts w:ascii="Times New Roman" w:eastAsia="Times New Roman" w:hAnsi="Times New Roman" w:cs="Times New Roman"/>
          <w:b/>
          <w:i/>
          <w:color w:val="000000"/>
          <w:sz w:val="24"/>
          <w:szCs w:val="24"/>
        </w:rPr>
        <w:t xml:space="preserve">“fire and rehire” </w:t>
      </w:r>
      <w:r>
        <w:rPr>
          <w:rFonts w:ascii="Times New Roman" w:eastAsia="Times New Roman" w:hAnsi="Times New Roman" w:cs="Times New Roman"/>
          <w:color w:val="000000"/>
          <w:sz w:val="24"/>
          <w:szCs w:val="24"/>
        </w:rPr>
        <w:t xml:space="preserve">strategy by </w:t>
      </w:r>
      <w:r>
        <w:rPr>
          <w:rFonts w:ascii="Times New Roman" w:eastAsia="Times New Roman" w:hAnsi="Times New Roman" w:cs="Times New Roman"/>
          <w:b/>
          <w:i/>
          <w:color w:val="000000"/>
          <w:sz w:val="24"/>
          <w:szCs w:val="24"/>
        </w:rPr>
        <w:t xml:space="preserve">“British Gas” </w:t>
      </w:r>
      <w:r>
        <w:rPr>
          <w:rFonts w:ascii="Times New Roman" w:eastAsia="Times New Roman" w:hAnsi="Times New Roman" w:cs="Times New Roman"/>
          <w:color w:val="000000"/>
          <w:sz w:val="24"/>
          <w:szCs w:val="24"/>
        </w:rPr>
        <w:t>would have encouraged dismissing the acceptance of t</w:t>
      </w:r>
      <w:r>
        <w:rPr>
          <w:rFonts w:ascii="Times New Roman" w:eastAsia="Times New Roman" w:hAnsi="Times New Roman" w:cs="Times New Roman"/>
          <w:color w:val="000000"/>
          <w:sz w:val="24"/>
          <w:szCs w:val="24"/>
        </w:rPr>
        <w:t xml:space="preserve">he new measures (Eleni. </w:t>
      </w:r>
      <w:r w:rsidR="008E11EC">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 xml:space="preserve">azaraki, 2021). In this context, the "PESTLE Analysis" exterior environment will be utilised to evaluate the report study. The </w:t>
      </w:r>
      <w:r>
        <w:rPr>
          <w:rFonts w:ascii="Times New Roman" w:eastAsia="Times New Roman" w:hAnsi="Times New Roman" w:cs="Times New Roman"/>
          <w:b/>
          <w:i/>
          <w:color w:val="000000"/>
          <w:sz w:val="24"/>
          <w:szCs w:val="24"/>
        </w:rPr>
        <w:t xml:space="preserve">“HARVARD Model” </w:t>
      </w:r>
      <w:r>
        <w:rPr>
          <w:rFonts w:ascii="Times New Roman" w:eastAsia="Times New Roman" w:hAnsi="Times New Roman" w:cs="Times New Roman"/>
          <w:color w:val="000000"/>
          <w:sz w:val="24"/>
          <w:szCs w:val="24"/>
        </w:rPr>
        <w:t xml:space="preserve">will be optimised to determine the long-term essence of the organisation, and the </w:t>
      </w:r>
      <w:r>
        <w:rPr>
          <w:rFonts w:ascii="Times New Roman" w:eastAsia="Times New Roman" w:hAnsi="Times New Roman" w:cs="Times New Roman"/>
          <w:b/>
          <w:i/>
          <w:color w:val="000000"/>
          <w:sz w:val="24"/>
          <w:szCs w:val="24"/>
        </w:rPr>
        <w:t>“CRAAP</w:t>
      </w:r>
      <w:r>
        <w:rPr>
          <w:rFonts w:ascii="Times New Roman" w:eastAsia="Times New Roman" w:hAnsi="Times New Roman" w:cs="Times New Roman"/>
          <w:b/>
          <w:i/>
          <w:color w:val="000000"/>
          <w:sz w:val="24"/>
          <w:szCs w:val="24"/>
        </w:rPr>
        <w:t xml:space="preserve"> Model” </w:t>
      </w:r>
      <w:r>
        <w:rPr>
          <w:rFonts w:ascii="Times New Roman" w:eastAsia="Times New Roman" w:hAnsi="Times New Roman" w:cs="Times New Roman"/>
          <w:color w:val="000000"/>
          <w:sz w:val="24"/>
          <w:szCs w:val="24"/>
        </w:rPr>
        <w:t>will be evaluated to conduct the better enhancement of the report study.</w:t>
      </w:r>
      <w:r>
        <w:rPr>
          <w:rFonts w:ascii="Times New Roman" w:eastAsia="Times New Roman" w:hAnsi="Times New Roman" w:cs="Times New Roman"/>
          <w:b/>
          <w:i/>
          <w:color w:val="000000"/>
          <w:sz w:val="24"/>
          <w:szCs w:val="24"/>
        </w:rPr>
        <w:t xml:space="preserve"> </w:t>
      </w:r>
      <w:r>
        <w:rPr>
          <w:rFonts w:ascii="Times New Roman" w:eastAsia="Times New Roman" w:hAnsi="Times New Roman" w:cs="Times New Roman"/>
          <w:color w:val="000000"/>
          <w:sz w:val="24"/>
          <w:szCs w:val="24"/>
        </w:rPr>
        <w:t xml:space="preserve">   </w:t>
      </w:r>
    </w:p>
    <w:p w:rsidR="007A09B2" w:rsidRDefault="00566828">
      <w:pPr>
        <w:pStyle w:val="Heading1"/>
      </w:pPr>
      <w:bookmarkStart w:id="2" w:name="_heading=h.30j0zll" w:colFirst="0" w:colLast="0"/>
      <w:bookmarkStart w:id="3" w:name="_Toc142319325"/>
      <w:bookmarkEnd w:id="2"/>
      <w:r>
        <w:t>Analysis</w:t>
      </w:r>
      <w:bookmarkEnd w:id="3"/>
    </w:p>
    <w:p w:rsidR="007A09B2" w:rsidRDefault="00566828">
      <w:pPr>
        <w:pStyle w:val="Heading2"/>
      </w:pPr>
      <w:bookmarkStart w:id="4" w:name="_heading=h.1fob9te" w:colFirst="0" w:colLast="0"/>
      <w:bookmarkStart w:id="5" w:name="_Toc142319326"/>
      <w:bookmarkEnd w:id="4"/>
      <w:r>
        <w:t>Model (PESTLE)</w:t>
      </w:r>
      <w:bookmarkEnd w:id="5"/>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Pestle analysis is a tool or method utilised to examine the external macro-environmental aspects that can influence an organisation's business. </w:t>
      </w:r>
      <w:r>
        <w:rPr>
          <w:rFonts w:ascii="Times New Roman" w:eastAsia="Times New Roman" w:hAnsi="Times New Roman" w:cs="Times New Roman"/>
          <w:color w:val="000000"/>
          <w:sz w:val="24"/>
          <w:szCs w:val="24"/>
        </w:rPr>
        <w:t>Here's a short study of British Gas:</w:t>
      </w:r>
    </w:p>
    <w:p w:rsidR="007A09B2" w:rsidRDefault="007A09B2">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84E8A">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Political</w:t>
            </w:r>
          </w:p>
        </w:tc>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Government guidelines and rules in the energy sector, such as environmental regulations and support, can influence British Gas's operations and market dynamics.</w:t>
            </w:r>
          </w:p>
          <w:p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Political strength in the UK provides a facilit</w:t>
            </w:r>
            <w:r>
              <w:rPr>
                <w:rFonts w:ascii="Times" w:eastAsia="Times" w:hAnsi="Times" w:cs="Times"/>
                <w:sz w:val="24"/>
                <w:szCs w:val="24"/>
              </w:rPr>
              <w:t>ative business environment for British Gas. Any political fluctuation may guide to delays and impact its investment findings.</w:t>
            </w:r>
          </w:p>
        </w:tc>
      </w:tr>
      <w:tr w:rsidR="00A84E8A">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Economic</w:t>
            </w:r>
          </w:p>
        </w:tc>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Economic requirements, including inflation, interest rates, and financial development, can impact energy consumption </w:t>
            </w:r>
            <w:r>
              <w:rPr>
                <w:rFonts w:ascii="Times New Roman" w:eastAsia="Times New Roman" w:hAnsi="Times New Roman" w:cs="Times New Roman"/>
                <w:color w:val="000000"/>
                <w:sz w:val="24"/>
                <w:szCs w:val="24"/>
              </w:rPr>
              <w:t xml:space="preserve">practices and </w:t>
            </w:r>
            <w:r>
              <w:rPr>
                <w:rFonts w:ascii="Times New Roman" w:eastAsia="Times New Roman" w:hAnsi="Times New Roman" w:cs="Times New Roman"/>
                <w:color w:val="000000"/>
                <w:sz w:val="24"/>
                <w:szCs w:val="24"/>
              </w:rPr>
              <w:lastRenderedPageBreak/>
              <w:t>consumer spending on utilities like British Gas.</w:t>
            </w:r>
          </w:p>
          <w:p w:rsidR="007A09B2" w:rsidRDefault="00566828">
            <w:pPr>
              <w:spacing w:line="360" w:lineRule="auto"/>
              <w:jc w:val="both"/>
              <w:rPr>
                <w:rFonts w:ascii="Times New Roman" w:eastAsia="Times New Roman" w:hAnsi="Times New Roman" w:cs="Times New Roman"/>
                <w:sz w:val="24"/>
                <w:szCs w:val="24"/>
              </w:rPr>
            </w:pPr>
            <w:r>
              <w:rPr>
                <w:rFonts w:ascii="Times" w:eastAsia="Times" w:hAnsi="Times" w:cs="Times"/>
                <w:sz w:val="24"/>
                <w:szCs w:val="24"/>
              </w:rPr>
              <w:t>Changes in oil, gas, and electricity costs can greatly affect British Gas's profitability, as these costs can affect the price of energy production and supply.</w:t>
            </w:r>
          </w:p>
        </w:tc>
      </w:tr>
      <w:tr w:rsidR="00A84E8A">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Social</w:t>
            </w:r>
          </w:p>
        </w:tc>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Social aspects like alter</w:t>
            </w:r>
            <w:r>
              <w:rPr>
                <w:rFonts w:ascii="Times New Roman" w:eastAsia="Times New Roman" w:hAnsi="Times New Roman" w:cs="Times New Roman"/>
                <w:color w:val="000000"/>
                <w:sz w:val="24"/>
                <w:szCs w:val="24"/>
              </w:rPr>
              <w:t>ing customer choices for tolerable and renewable energy sources can shape British Gas's trade strategies and product offerings (</w:t>
            </w:r>
            <w:r>
              <w:rPr>
                <w:rFonts w:ascii="Times New Roman" w:eastAsia="Times New Roman" w:hAnsi="Times New Roman" w:cs="Times New Roman"/>
                <w:color w:val="222222"/>
                <w:sz w:val="24"/>
                <w:szCs w:val="24"/>
                <w:highlight w:val="white"/>
              </w:rPr>
              <w:t>Widarni, 2020</w:t>
            </w:r>
            <w:r>
              <w:rPr>
                <w:rFonts w:ascii="Times New Roman" w:eastAsia="Times New Roman" w:hAnsi="Times New Roman" w:cs="Times New Roman"/>
                <w:color w:val="000000"/>
                <w:sz w:val="24"/>
                <w:szCs w:val="24"/>
              </w:rPr>
              <w:t>).</w:t>
            </w:r>
          </w:p>
          <w:p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 xml:space="preserve">Transformations in demographics, such as ageing people or urbanisation movements, may affect energy consumption </w:t>
            </w:r>
            <w:r>
              <w:rPr>
                <w:rFonts w:ascii="Times" w:eastAsia="Times" w:hAnsi="Times" w:cs="Times"/>
                <w:sz w:val="24"/>
                <w:szCs w:val="24"/>
              </w:rPr>
              <w:t>practices and need adjustments in British Gas's benefit offerings.</w:t>
            </w:r>
          </w:p>
        </w:tc>
      </w:tr>
      <w:tr w:rsidR="00A84E8A">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Technological</w:t>
            </w:r>
          </w:p>
        </w:tc>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Improvements in technology influence the energy initiative, such as smart meters, IoT devices, and renewable energy keys, which British Gas may require to adapt to or invest </w:t>
            </w:r>
            <w:r>
              <w:rPr>
                <w:rFonts w:ascii="Times New Roman" w:eastAsia="Times New Roman" w:hAnsi="Times New Roman" w:cs="Times New Roman"/>
                <w:color w:val="000000"/>
                <w:sz w:val="24"/>
                <w:szCs w:val="24"/>
              </w:rPr>
              <w:t>in.</w:t>
            </w:r>
          </w:p>
          <w:p w:rsidR="007A09B2" w:rsidRDefault="00566828">
            <w:pPr>
              <w:spacing w:line="360" w:lineRule="auto"/>
              <w:jc w:val="both"/>
              <w:rPr>
                <w:rFonts w:ascii="Times New Roman" w:eastAsia="Times New Roman" w:hAnsi="Times New Roman" w:cs="Times New Roman"/>
                <w:sz w:val="24"/>
                <w:szCs w:val="24"/>
              </w:rPr>
            </w:pPr>
            <w:r>
              <w:rPr>
                <w:rFonts w:ascii="Times" w:eastAsia="Times" w:hAnsi="Times" w:cs="Times"/>
                <w:sz w:val="24"/>
                <w:szCs w:val="24"/>
              </w:rPr>
              <w:t>Adopting digital technologies can improve consumer understanding and optimise internal procedures, improving efficiency and competitive benefit for British Gas.</w:t>
            </w:r>
          </w:p>
        </w:tc>
      </w:tr>
      <w:tr w:rsidR="00A84E8A">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Legal</w:t>
            </w:r>
          </w:p>
        </w:tc>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Legal factors contain different restrictions, contracts, and submission conditions </w:t>
            </w:r>
            <w:r>
              <w:rPr>
                <w:rFonts w:ascii="Times New Roman" w:eastAsia="Times New Roman" w:hAnsi="Times New Roman" w:cs="Times New Roman"/>
                <w:color w:val="000000"/>
                <w:sz w:val="24"/>
                <w:szCs w:val="24"/>
              </w:rPr>
              <w:t>that British Gas must stick to, including safety measures and environmental laws.</w:t>
            </w:r>
          </w:p>
          <w:p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 xml:space="preserve">Work regulations and laws may impact how </w:t>
            </w:r>
            <w:r>
              <w:rPr>
                <w:rFonts w:ascii="Times" w:eastAsia="Times" w:hAnsi="Times" w:cs="Times"/>
                <w:sz w:val="24"/>
                <w:szCs w:val="24"/>
              </w:rPr>
              <w:lastRenderedPageBreak/>
              <w:t>British Gas operates its workforce, including labour agreements, working hours, and worker ownership.</w:t>
            </w:r>
          </w:p>
        </w:tc>
      </w:tr>
      <w:tr w:rsidR="00A84E8A">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 xml:space="preserve"> Environmental</w:t>
            </w:r>
          </w:p>
        </w:tc>
        <w:tc>
          <w:tcPr>
            <w:tcW w:w="4680" w:type="dxa"/>
            <w:shd w:val="clear" w:color="auto" w:fill="auto"/>
            <w:tcMar>
              <w:top w:w="100" w:type="dxa"/>
              <w:left w:w="100" w:type="dxa"/>
              <w:bottom w:w="100" w:type="dxa"/>
              <w:right w:w="100" w:type="dxa"/>
            </w:tcMar>
          </w:tcPr>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Increasing prob</w:t>
            </w:r>
            <w:r>
              <w:rPr>
                <w:rFonts w:ascii="Times New Roman" w:eastAsia="Times New Roman" w:hAnsi="Times New Roman" w:cs="Times New Roman"/>
                <w:color w:val="000000"/>
                <w:sz w:val="24"/>
                <w:szCs w:val="24"/>
              </w:rPr>
              <w:t>lems with environmental sustainability may affect the market for neat energy solutions, involving British Gas's positioning in the market (</w:t>
            </w:r>
            <w:r>
              <w:rPr>
                <w:rFonts w:ascii="Times New Roman" w:eastAsia="Times New Roman" w:hAnsi="Times New Roman" w:cs="Times New Roman"/>
                <w:color w:val="222222"/>
                <w:sz w:val="24"/>
                <w:szCs w:val="24"/>
                <w:highlight w:val="white"/>
              </w:rPr>
              <w:t>Pym, 2021</w:t>
            </w:r>
            <w:r>
              <w:rPr>
                <w:rFonts w:ascii="Times New Roman" w:eastAsia="Times New Roman" w:hAnsi="Times New Roman" w:cs="Times New Roman"/>
                <w:color w:val="000000"/>
                <w:sz w:val="24"/>
                <w:szCs w:val="24"/>
              </w:rPr>
              <w:t>).</w:t>
            </w:r>
          </w:p>
          <w:p w:rsidR="007A09B2" w:rsidRDefault="00566828">
            <w:pPr>
              <w:spacing w:line="360" w:lineRule="auto"/>
              <w:jc w:val="both"/>
              <w:rPr>
                <w:rFonts w:ascii="Times New Roman" w:eastAsia="Times New Roman" w:hAnsi="Times New Roman" w:cs="Times New Roman"/>
                <w:color w:val="000000"/>
                <w:sz w:val="24"/>
                <w:szCs w:val="24"/>
              </w:rPr>
            </w:pPr>
            <w:r>
              <w:rPr>
                <w:rFonts w:ascii="Times" w:eastAsia="Times" w:hAnsi="Times" w:cs="Times"/>
                <w:sz w:val="24"/>
                <w:szCs w:val="24"/>
              </w:rPr>
              <w:t>Providing efficient use of aids, such as water and natural gas, is very important for British Gas to mini</w:t>
            </w:r>
            <w:r>
              <w:rPr>
                <w:rFonts w:ascii="Times" w:eastAsia="Times" w:hAnsi="Times" w:cs="Times"/>
                <w:sz w:val="24"/>
                <w:szCs w:val="24"/>
              </w:rPr>
              <w:t>mise its environmental footprint and enhance sustainability.</w:t>
            </w:r>
          </w:p>
        </w:tc>
      </w:tr>
    </w:tbl>
    <w:p w:rsidR="007A09B2" w:rsidRDefault="007A09B2">
      <w:pPr>
        <w:pBdr>
          <w:top w:val="nil"/>
          <w:left w:val="nil"/>
          <w:bottom w:val="nil"/>
          <w:right w:val="nil"/>
          <w:between w:val="nil"/>
        </w:pBdr>
        <w:spacing w:line="360" w:lineRule="auto"/>
        <w:jc w:val="both"/>
        <w:rPr>
          <w:rFonts w:ascii="Times New Roman" w:eastAsia="Times New Roman" w:hAnsi="Times New Roman" w:cs="Times New Roman"/>
          <w:sz w:val="24"/>
          <w:szCs w:val="24"/>
        </w:rPr>
      </w:pPr>
    </w:p>
    <w:p w:rsidR="007A09B2" w:rsidRDefault="00566828" w:rsidP="00AD500C">
      <w:pPr>
        <w:pStyle w:val="Heading2"/>
      </w:pPr>
      <w:bookmarkStart w:id="6" w:name="_Toc142319327"/>
      <w:r>
        <w:t>Analyse "fire and rehire" tactics within the UK labour market</w:t>
      </w:r>
      <w:bookmarkEnd w:id="6"/>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"Fire and rehire"</w:t>
      </w:r>
      <w:r>
        <w:rPr>
          <w:rFonts w:ascii="Times" w:eastAsia="Times" w:hAnsi="Times" w:cs="Times"/>
          <w:sz w:val="24"/>
          <w:szCs w:val="24"/>
        </w:rPr>
        <w:t xml:space="preserve"> tactics, also comprehended as "dismissal and re-engagement," guide to a controversial employment approach where employers remove the current arrangements of their workers and then rehire them on new phrases and situations, often with less advantageous ter</w:t>
      </w:r>
      <w:r>
        <w:rPr>
          <w:rFonts w:ascii="Times" w:eastAsia="Times" w:hAnsi="Times" w:cs="Times"/>
          <w:sz w:val="24"/>
          <w:szCs w:val="24"/>
        </w:rPr>
        <w:t>ms than their earlier contracts (</w:t>
      </w:r>
      <w:r>
        <w:rPr>
          <w:rFonts w:ascii="Times" w:eastAsia="Times" w:hAnsi="Times" w:cs="Times"/>
          <w:color w:val="222222"/>
          <w:sz w:val="24"/>
          <w:szCs w:val="24"/>
        </w:rPr>
        <w:t>Cockbain, 2022</w:t>
      </w:r>
      <w:r>
        <w:rPr>
          <w:rFonts w:ascii="Times" w:eastAsia="Times" w:hAnsi="Times" w:cs="Times"/>
          <w:sz w:val="24"/>
          <w:szCs w:val="24"/>
        </w:rPr>
        <w:t>). This approach has garnered significant awareness and objection within the UK labour market, as it can guide problems related to job safety, worker morale, and industrial connections. Here's a thorough study</w:t>
      </w:r>
      <w:r>
        <w:rPr>
          <w:rFonts w:ascii="Times" w:eastAsia="Times" w:hAnsi="Times" w:cs="Times"/>
          <w:sz w:val="24"/>
          <w:szCs w:val="24"/>
        </w:rPr>
        <w:t xml:space="preserve"> of the "fire and rehire" method within the UK labour market:</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1. Background and Prevalence:</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"Fire and rehire" tactics have been used by employers in diverse industries, including retail, hospitality, transport, and manufacturing. The method achieved import</w:t>
      </w:r>
      <w:r>
        <w:rPr>
          <w:rFonts w:ascii="Times" w:eastAsia="Times" w:hAnsi="Times" w:cs="Times"/>
          <w:sz w:val="24"/>
          <w:szCs w:val="24"/>
        </w:rPr>
        <w:t>ance during the COVID-19 pandemic as some companies aimed to cut prices and adjust to altering financial conditions. It has been extremely aggressive when used to decrease employee salaries, advantages, or working hours.</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2. Impact on Job Security:</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Using "f</w:t>
      </w:r>
      <w:r>
        <w:rPr>
          <w:rFonts w:ascii="Times" w:eastAsia="Times" w:hAnsi="Times" w:cs="Times"/>
          <w:sz w:val="24"/>
          <w:szCs w:val="24"/>
        </w:rPr>
        <w:t>ire and rehire" tactics can create job insecurity among workers (</w:t>
      </w:r>
      <w:r>
        <w:rPr>
          <w:rFonts w:ascii="Times" w:eastAsia="Times" w:hAnsi="Times" w:cs="Times"/>
          <w:color w:val="222222"/>
          <w:sz w:val="24"/>
          <w:szCs w:val="24"/>
        </w:rPr>
        <w:t>Shackleton, 2022</w:t>
      </w:r>
      <w:r>
        <w:rPr>
          <w:rFonts w:ascii="Times" w:eastAsia="Times" w:hAnsi="Times" w:cs="Times"/>
          <w:sz w:val="24"/>
          <w:szCs w:val="24"/>
        </w:rPr>
        <w:t xml:space="preserve">). Understanding that their arrangements can be removed and replaced with small advantageous </w:t>
      </w:r>
      <w:r>
        <w:rPr>
          <w:rFonts w:ascii="Times" w:eastAsia="Times" w:hAnsi="Times" w:cs="Times"/>
          <w:sz w:val="24"/>
          <w:szCs w:val="24"/>
        </w:rPr>
        <w:lastRenderedPageBreak/>
        <w:t>terms at any time can guide stress and anxiety among employees, affecting their en</w:t>
      </w:r>
      <w:r>
        <w:rPr>
          <w:rFonts w:ascii="Times" w:eastAsia="Times" w:hAnsi="Times" w:cs="Times"/>
          <w:sz w:val="24"/>
          <w:szCs w:val="24"/>
        </w:rPr>
        <w:t>tire well-being and productivity.</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3. Employee Morale and Engagement:</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 xml:space="preserve">"Fire and rehire" methods can have a damaging impact on worker morale and concentration. When workers feel undervalued or unfairly treated, their inspiration and dedication to their work </w:t>
      </w:r>
      <w:r>
        <w:rPr>
          <w:rFonts w:ascii="Times" w:eastAsia="Times" w:hAnsi="Times" w:cs="Times"/>
          <w:sz w:val="24"/>
          <w:szCs w:val="24"/>
        </w:rPr>
        <w:t>may decrease. This, in turn, can lead to decreased productivity and harm the organisation's overall implementation.</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4. Industrial Relations and Trust:</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Such tactics can corrupt trust between employers and workers, directing to strained industrial connection</w:t>
      </w:r>
      <w:r>
        <w:rPr>
          <w:rFonts w:ascii="Times" w:eastAsia="Times" w:hAnsi="Times" w:cs="Times"/>
          <w:sz w:val="24"/>
          <w:szCs w:val="24"/>
        </w:rPr>
        <w:t>s. Workers may feel betrayed by the organisation and its administration, guiding research in communication and collaboration (</w:t>
      </w:r>
      <w:r>
        <w:rPr>
          <w:rFonts w:ascii="Times" w:eastAsia="Times" w:hAnsi="Times" w:cs="Times"/>
          <w:color w:val="222222"/>
          <w:sz w:val="24"/>
          <w:szCs w:val="24"/>
        </w:rPr>
        <w:t xml:space="preserve">Dagilyte </w:t>
      </w:r>
      <w:r>
        <w:rPr>
          <w:rFonts w:ascii="Times" w:eastAsia="Times" w:hAnsi="Times" w:cs="Times"/>
          <w:i/>
          <w:color w:val="222222"/>
          <w:sz w:val="24"/>
          <w:szCs w:val="24"/>
        </w:rPr>
        <w:t>et al</w:t>
      </w:r>
      <w:r>
        <w:rPr>
          <w:rFonts w:ascii="Times" w:eastAsia="Times" w:hAnsi="Times" w:cs="Times"/>
          <w:color w:val="222222"/>
          <w:sz w:val="24"/>
          <w:szCs w:val="24"/>
        </w:rPr>
        <w:t>., 2022</w:t>
      </w:r>
      <w:r>
        <w:rPr>
          <w:rFonts w:ascii="Times" w:eastAsia="Times" w:hAnsi="Times" w:cs="Times"/>
          <w:sz w:val="24"/>
          <w:szCs w:val="24"/>
        </w:rPr>
        <w:t>). This can result in improved disputes, strikes, and different industrial activities.</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5. Legal and Ethical C</w:t>
      </w:r>
      <w:r>
        <w:rPr>
          <w:rFonts w:ascii="Times" w:eastAsia="Times" w:hAnsi="Times" w:cs="Times"/>
          <w:b/>
          <w:sz w:val="24"/>
          <w:szCs w:val="24"/>
        </w:rPr>
        <w:t>oncerns:</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While "fire and rehire" is not explicitly prohibited, it has presented moral problems. Analysts argue that it is an exploitative method that takes benefit of employees' exposure, particularly during tough financial times. The method has encountere</w:t>
      </w:r>
      <w:r>
        <w:rPr>
          <w:rFonts w:ascii="Times" w:eastAsia="Times" w:hAnsi="Times" w:cs="Times"/>
          <w:sz w:val="24"/>
          <w:szCs w:val="24"/>
        </w:rPr>
        <w:t>d scrutiny from business unions, labour ownership groups, and politicians.</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6. Impact on Productivity and Quality of Work:</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 xml:space="preserve">Executing "fire and rehire" tactics can negatively affect productivity and work grade. Workers who feel underestimated or demotivated </w:t>
      </w:r>
      <w:r>
        <w:rPr>
          <w:rFonts w:ascii="Times" w:eastAsia="Times" w:hAnsi="Times" w:cs="Times"/>
          <w:sz w:val="24"/>
          <w:szCs w:val="24"/>
        </w:rPr>
        <w:t>may be less determined in their jobs, reducing overall efficiency and service grade.</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7. Reputation and Brand Image:</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Embracing "fire and rehire" tactics can damage an organisation's importance and brand image (</w:t>
      </w:r>
      <w:r>
        <w:rPr>
          <w:rFonts w:ascii="Times" w:eastAsia="Times" w:hAnsi="Times" w:cs="Times"/>
          <w:color w:val="222222"/>
          <w:sz w:val="24"/>
          <w:szCs w:val="24"/>
        </w:rPr>
        <w:t>Dobbins, 2022</w:t>
      </w:r>
      <w:r>
        <w:rPr>
          <w:rFonts w:ascii="Times" w:eastAsia="Times" w:hAnsi="Times" w:cs="Times"/>
          <w:sz w:val="24"/>
          <w:szCs w:val="24"/>
        </w:rPr>
        <w:t>). General backlash and adverse me</w:t>
      </w:r>
      <w:r>
        <w:rPr>
          <w:rFonts w:ascii="Times" w:eastAsia="Times" w:hAnsi="Times" w:cs="Times"/>
          <w:sz w:val="24"/>
          <w:szCs w:val="24"/>
        </w:rPr>
        <w:t>dia coverage can hurt customer perception of the organisation, potentially reducing consumer loyalty and deals.</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8. Alternatives and Mitigation:</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t>Employers encountering financial challenges may consider alternative cost-cutting efforts, such as quick layoffs</w:t>
      </w:r>
      <w:r>
        <w:rPr>
          <w:rFonts w:ascii="Times" w:eastAsia="Times" w:hAnsi="Times" w:cs="Times"/>
          <w:sz w:val="24"/>
          <w:szCs w:val="24"/>
        </w:rPr>
        <w:t>, decreased operating hours, or voluntary salary deductions. Transparent contact and consultation with workers can also assist in locating mutually satisfactory resolutions.</w:t>
      </w:r>
    </w:p>
    <w:p w:rsidR="007A09B2" w:rsidRDefault="00566828">
      <w:pPr>
        <w:shd w:val="clear" w:color="auto" w:fill="FFFFFF"/>
        <w:spacing w:line="360" w:lineRule="auto"/>
        <w:jc w:val="both"/>
        <w:rPr>
          <w:rFonts w:ascii="Times" w:eastAsia="Times" w:hAnsi="Times" w:cs="Times"/>
          <w:b/>
          <w:sz w:val="24"/>
          <w:szCs w:val="24"/>
        </w:rPr>
      </w:pPr>
      <w:r>
        <w:rPr>
          <w:rFonts w:ascii="Times" w:eastAsia="Times" w:hAnsi="Times" w:cs="Times"/>
          <w:b/>
          <w:sz w:val="24"/>
          <w:szCs w:val="24"/>
        </w:rPr>
        <w:t>9. Legislative and Regulatory Response:</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sz w:val="24"/>
          <w:szCs w:val="24"/>
        </w:rPr>
        <w:lastRenderedPageBreak/>
        <w:t xml:space="preserve">Due to the controversy encompassing "fire </w:t>
      </w:r>
      <w:r>
        <w:rPr>
          <w:rFonts w:ascii="Times" w:eastAsia="Times" w:hAnsi="Times" w:cs="Times"/>
          <w:sz w:val="24"/>
          <w:szCs w:val="24"/>
        </w:rPr>
        <w:t>and rehire" tactics, there have existed calls for legislative activity to specify or ban the procedure. Some politicians and labour liberties supporters have submitted legal reforms to deliver greater security for employees encountering such tactics.</w:t>
      </w:r>
    </w:p>
    <w:p w:rsidR="007A09B2" w:rsidRDefault="00566828" w:rsidP="00AD500C">
      <w:pPr>
        <w:pStyle w:val="Heading2"/>
      </w:pPr>
      <w:bookmarkStart w:id="7" w:name="_Toc142319328"/>
      <w:r>
        <w:t>Evaluate the approach taken by different organisations</w:t>
      </w:r>
      <w:bookmarkEnd w:id="7"/>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The direction taken by additional organisations concerns their procedures, approaches, and methods to comprehend how effectively they reach their objectives and respond to internal and external issues.</w:t>
      </w:r>
      <w:r>
        <w:rPr>
          <w:rFonts w:ascii="Times" w:eastAsia="Times" w:hAnsi="Times" w:cs="Times"/>
          <w:color w:val="222222"/>
          <w:sz w:val="24"/>
          <w:szCs w:val="24"/>
        </w:rPr>
        <w:t xml:space="preserve"> Here, we'll examine the evaluation methodology and key elements to evaluate when considering association procedures.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 Mission and Vision:</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Organisations' goals and vision ideas explain their intention and future aspirations (Yadav </w:t>
      </w:r>
      <w:r>
        <w:rPr>
          <w:rFonts w:ascii="Times" w:eastAsia="Times" w:hAnsi="Times" w:cs="Times"/>
          <w:i/>
          <w:color w:val="222222"/>
          <w:sz w:val="24"/>
          <w:szCs w:val="24"/>
        </w:rPr>
        <w:t>et al</w:t>
      </w:r>
      <w:r>
        <w:rPr>
          <w:rFonts w:ascii="Times" w:eastAsia="Times" w:hAnsi="Times" w:cs="Times"/>
          <w:color w:val="222222"/>
          <w:sz w:val="24"/>
          <w:szCs w:val="24"/>
        </w:rPr>
        <w:t xml:space="preserve">., 2020). </w:t>
      </w:r>
      <w:r>
        <w:rPr>
          <w:rFonts w:ascii="Times" w:eastAsia="Times" w:hAnsi="Times" w:cs="Times"/>
          <w:color w:val="222222"/>
          <w:sz w:val="24"/>
          <w:szCs w:val="24"/>
        </w:rPr>
        <w:t>Considering the alignment between their method and this information helps decide if they are operating towards their planned goals.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2. Strategic Planning:</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Evaluating the strategic planning method concerns institutions setting objectives, allocating resourc</w:t>
      </w:r>
      <w:r>
        <w:rPr>
          <w:rFonts w:ascii="Times" w:eastAsia="Times" w:hAnsi="Times" w:cs="Times"/>
          <w:color w:val="222222"/>
          <w:sz w:val="24"/>
          <w:szCs w:val="24"/>
        </w:rPr>
        <w:t>es, and developing action plans. A well-defined and complete strategic plan demonstrates a considerate method to reaching success.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3. Leadership and Culture:</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The leadership style and organisational culture affect an association's method (Escrig-Olmedo </w:t>
      </w:r>
      <w:r>
        <w:rPr>
          <w:rFonts w:ascii="Times" w:eastAsia="Times" w:hAnsi="Times" w:cs="Times"/>
          <w:i/>
          <w:color w:val="222222"/>
          <w:sz w:val="24"/>
          <w:szCs w:val="24"/>
        </w:rPr>
        <w:t>et a</w:t>
      </w:r>
      <w:r>
        <w:rPr>
          <w:rFonts w:ascii="Times" w:eastAsia="Times" w:hAnsi="Times" w:cs="Times"/>
          <w:i/>
          <w:color w:val="222222"/>
          <w:sz w:val="24"/>
          <w:szCs w:val="24"/>
        </w:rPr>
        <w:t>l</w:t>
      </w:r>
      <w:r>
        <w:rPr>
          <w:rFonts w:ascii="Times" w:eastAsia="Times" w:hAnsi="Times" w:cs="Times"/>
          <w:color w:val="222222"/>
          <w:sz w:val="24"/>
          <w:szCs w:val="24"/>
        </w:rPr>
        <w:t>., 2019). Directors who promote invention, teamwork, and worker empowerment promote more practical methods.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4. Customer Focus:</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Successful associations prioritise consumer demands and satisfaction. Considering how consumer feedback is combined into decisio</w:t>
      </w:r>
      <w:r>
        <w:rPr>
          <w:rFonts w:ascii="Times" w:eastAsia="Times" w:hAnsi="Times" w:cs="Times"/>
          <w:color w:val="222222"/>
          <w:sz w:val="24"/>
          <w:szCs w:val="24"/>
        </w:rPr>
        <w:t>n-making procedures demonstrates the organisation's adherence to fulfilling consumer expectations.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5. Employee Engagement:</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High grades of employee attention contribute to an adequate method. Companies that sponsor worker growth, deliver an approving work e</w:t>
      </w:r>
      <w:r>
        <w:rPr>
          <w:rFonts w:ascii="Times" w:eastAsia="Times" w:hAnsi="Times" w:cs="Times"/>
          <w:color w:val="222222"/>
          <w:sz w:val="24"/>
          <w:szCs w:val="24"/>
        </w:rPr>
        <w:t>nvironment, and value worker input tend to gain better outcomes.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6. Operational Efficiency:</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lastRenderedPageBreak/>
        <w:t>Efficient operations contribute to a company’s overall strategy. Assessing strategies, expense management, and productivity levels benefits comprehending how well a</w:t>
      </w:r>
      <w:r>
        <w:rPr>
          <w:rFonts w:ascii="Times" w:eastAsia="Times" w:hAnsi="Times" w:cs="Times"/>
          <w:color w:val="222222"/>
          <w:sz w:val="24"/>
          <w:szCs w:val="24"/>
        </w:rPr>
        <w:t xml:space="preserve"> company conducts its methods.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7. Innovation and Adaptability:</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Communities that adopt innovation and adaptability tend to succeed in dynamic circumstances (Karademir, 2020). Considering their method of analysis, growth, and response to market differences d</w:t>
      </w:r>
      <w:r>
        <w:rPr>
          <w:rFonts w:ascii="Times" w:eastAsia="Times" w:hAnsi="Times" w:cs="Times"/>
          <w:color w:val="222222"/>
          <w:sz w:val="24"/>
          <w:szCs w:val="24"/>
        </w:rPr>
        <w:t>elivers an understanding of their capacity to remain competitive.</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8. Corporate Social Responsibility (CSR):</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Assessing an organisation's CSR initiatives showcases its dedication to sustainability and moral methods, reflecting a socially accountable method.</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9. Financial Performance:</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Economic metrics, such as earnings increase, earnings margins, and return on asset, demonstrate how sufficient an organisation's strategy is in developing economic success.</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10. Risk Management:</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Assessing how a company determines, </w:t>
      </w:r>
      <w:r>
        <w:rPr>
          <w:rFonts w:ascii="Times" w:eastAsia="Times" w:hAnsi="Times" w:cs="Times"/>
          <w:color w:val="222222"/>
          <w:sz w:val="24"/>
          <w:szCs w:val="24"/>
        </w:rPr>
        <w:t>sets, and mitigates threats indicates its capacity to address delays proactively.</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11. Stakeholder Engagement:</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Organisations that employ stakeholders, including shareholders, consumers, suppliers, and communities, can have a more inclusive and holistic stra</w:t>
      </w:r>
      <w:r>
        <w:rPr>
          <w:rFonts w:ascii="Times" w:eastAsia="Times" w:hAnsi="Times" w:cs="Times"/>
          <w:color w:val="222222"/>
          <w:sz w:val="24"/>
          <w:szCs w:val="24"/>
        </w:rPr>
        <w:t>tegy.</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12. Market Position and Competitiveness:</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Exploring an organisation's market status, market stake, and competitive benefit emphasises the significance of its strategy in positioning itself in the enterprise.</w:t>
      </w:r>
    </w:p>
    <w:p w:rsidR="007A09B2" w:rsidRDefault="00566828">
      <w:pPr>
        <w:shd w:val="clear" w:color="auto" w:fill="FFFFFF"/>
        <w:spacing w:line="360" w:lineRule="auto"/>
        <w:jc w:val="both"/>
        <w:rPr>
          <w:rFonts w:ascii="Times" w:eastAsia="Times" w:hAnsi="Times" w:cs="Times"/>
          <w:b/>
          <w:color w:val="222222"/>
          <w:sz w:val="24"/>
          <w:szCs w:val="24"/>
        </w:rPr>
      </w:pPr>
      <w:r>
        <w:rPr>
          <w:rFonts w:ascii="Times" w:eastAsia="Times" w:hAnsi="Times" w:cs="Times"/>
          <w:b/>
          <w:color w:val="222222"/>
          <w:sz w:val="24"/>
          <w:szCs w:val="24"/>
        </w:rPr>
        <w:t>13. Learning and Improvement:</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color w:val="222222"/>
          <w:sz w:val="24"/>
          <w:szCs w:val="24"/>
        </w:rPr>
        <w:t xml:space="preserve">A </w:t>
      </w:r>
      <w:r>
        <w:rPr>
          <w:rFonts w:ascii="Times" w:eastAsia="Times" w:hAnsi="Times" w:cs="Times"/>
          <w:color w:val="222222"/>
          <w:sz w:val="24"/>
          <w:szCs w:val="24"/>
        </w:rPr>
        <w:t>learning-oriented practice highlights continued progress and transformation based on feedback and bits of knowledge.</w:t>
      </w:r>
    </w:p>
    <w:p w:rsidR="007A09B2" w:rsidRDefault="00566828">
      <w:pPr>
        <w:shd w:val="clear" w:color="auto" w:fill="FFFFFF"/>
        <w:spacing w:line="360" w:lineRule="auto"/>
        <w:jc w:val="both"/>
        <w:rPr>
          <w:rFonts w:ascii="Times" w:eastAsia="Times" w:hAnsi="Times" w:cs="Times"/>
          <w:sz w:val="24"/>
          <w:szCs w:val="24"/>
        </w:rPr>
      </w:pPr>
      <w:r>
        <w:rPr>
          <w:rFonts w:ascii="Times" w:eastAsia="Times" w:hAnsi="Times" w:cs="Times"/>
          <w:color w:val="222222"/>
          <w:sz w:val="24"/>
          <w:szCs w:val="24"/>
        </w:rPr>
        <w:t>Recognising that each association works in a special context is necessary, and corresponding methods should believe industry-specific nuances, company size, market requirements, and overall goals. Furthermore, an adequate evaluation may apply qualitative a</w:t>
      </w:r>
      <w:r>
        <w:rPr>
          <w:rFonts w:ascii="Times" w:eastAsia="Times" w:hAnsi="Times" w:cs="Times"/>
          <w:color w:val="222222"/>
          <w:sz w:val="24"/>
          <w:szCs w:val="24"/>
        </w:rPr>
        <w:t>nd quantitative data, such as economic reports, consumer feedback, worker surveys, and implementation metrics. Considering the path additional organisations take concerns a complete review of their methods, culture, consumer focus, worker engagement, opera</w:t>
      </w:r>
      <w:r>
        <w:rPr>
          <w:rFonts w:ascii="Times" w:eastAsia="Times" w:hAnsi="Times" w:cs="Times"/>
          <w:color w:val="222222"/>
          <w:sz w:val="24"/>
          <w:szCs w:val="24"/>
        </w:rPr>
        <w:t>tional efficiency, and innovation. A well-</w:t>
      </w:r>
      <w:r>
        <w:rPr>
          <w:rFonts w:ascii="Times" w:eastAsia="Times" w:hAnsi="Times" w:cs="Times"/>
          <w:color w:val="222222"/>
          <w:sz w:val="24"/>
          <w:szCs w:val="24"/>
        </w:rPr>
        <w:lastRenderedPageBreak/>
        <w:t>rounded evaluation delivers a useful understanding of an organisation's significance, positioning, and possibility for sustainable success.</w:t>
      </w:r>
    </w:p>
    <w:p w:rsidR="007A09B2" w:rsidRDefault="00566828">
      <w:pPr>
        <w:pStyle w:val="Heading2"/>
      </w:pPr>
      <w:bookmarkStart w:id="8" w:name="_heading=h.3znysh7" w:colFirst="0" w:colLast="0"/>
      <w:bookmarkStart w:id="9" w:name="_Toc142319329"/>
      <w:bookmarkEnd w:id="8"/>
      <w:r>
        <w:t>Harvard HRM Model</w:t>
      </w:r>
      <w:bookmarkEnd w:id="9"/>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highlight w:val="white"/>
        </w:rPr>
        <w:t>The Harvard Model is a human resource management approac</w:t>
      </w:r>
      <w:r>
        <w:rPr>
          <w:rFonts w:ascii="Times New Roman" w:eastAsia="Times New Roman" w:hAnsi="Times New Roman" w:cs="Times New Roman"/>
          <w:color w:val="222222"/>
          <w:sz w:val="24"/>
          <w:szCs w:val="24"/>
          <w:highlight w:val="white"/>
        </w:rPr>
        <w:t xml:space="preserve">h that highlights aligning HR procedures with a company's overall method. Using this model to comprehend British Gas would apply to study how the organisation's HR approaches and procedures align with its business goals. </w:t>
      </w:r>
      <w:r>
        <w:rPr>
          <w:rFonts w:ascii="Times New Roman" w:eastAsia="Times New Roman" w:hAnsi="Times New Roman" w:cs="Times New Roman"/>
          <w:color w:val="222222"/>
          <w:sz w:val="24"/>
          <w:szCs w:val="24"/>
        </w:rPr>
        <w:t>In the case of British Gas, the mod</w:t>
      </w:r>
      <w:r>
        <w:rPr>
          <w:rFonts w:ascii="Times New Roman" w:eastAsia="Times New Roman" w:hAnsi="Times New Roman" w:cs="Times New Roman"/>
          <w:color w:val="222222"/>
          <w:sz w:val="24"/>
          <w:szCs w:val="24"/>
        </w:rPr>
        <w:t>el would evaluate how the organisation's HR method sustains its mission and concept (</w:t>
      </w:r>
      <w:r>
        <w:rPr>
          <w:rFonts w:ascii="Times New Roman" w:eastAsia="Times New Roman" w:hAnsi="Times New Roman" w:cs="Times New Roman"/>
          <w:color w:val="000000"/>
          <w:sz w:val="24"/>
          <w:szCs w:val="24"/>
        </w:rPr>
        <w:t xml:space="preserve">Eleni. </w:t>
      </w:r>
      <w:r w:rsidR="008E11EC">
        <w:rPr>
          <w:rFonts w:ascii="Times New Roman" w:eastAsia="Times New Roman" w:hAnsi="Times New Roman" w:cs="Times New Roman"/>
          <w:color w:val="000000"/>
          <w:sz w:val="24"/>
          <w:szCs w:val="24"/>
        </w:rPr>
        <w:t>L</w:t>
      </w:r>
      <w:r>
        <w:rPr>
          <w:rFonts w:ascii="Times New Roman" w:eastAsia="Times New Roman" w:hAnsi="Times New Roman" w:cs="Times New Roman"/>
          <w:color w:val="000000"/>
          <w:sz w:val="24"/>
          <w:szCs w:val="24"/>
        </w:rPr>
        <w:t>azaraki, 2021</w:t>
      </w:r>
      <w:r>
        <w:rPr>
          <w:rFonts w:ascii="Times New Roman" w:eastAsia="Times New Roman" w:hAnsi="Times New Roman" w:cs="Times New Roman"/>
          <w:color w:val="222222"/>
          <w:sz w:val="24"/>
          <w:szCs w:val="24"/>
        </w:rPr>
        <w:t xml:space="preserve">). This could include considering factors like employee recruitment, training, implementation management, and rewards strategies to ensure they align </w:t>
      </w:r>
      <w:r>
        <w:rPr>
          <w:rFonts w:ascii="Times New Roman" w:eastAsia="Times New Roman" w:hAnsi="Times New Roman" w:cs="Times New Roman"/>
          <w:color w:val="222222"/>
          <w:sz w:val="24"/>
          <w:szCs w:val="24"/>
        </w:rPr>
        <w:t>with the organisation's long-term plans.</w:t>
      </w:r>
    </w:p>
    <w:p w:rsidR="007A09B2" w:rsidRDefault="00566828">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rPr>
        <w:drawing>
          <wp:inline distT="114300" distB="114300" distL="114300" distR="114300">
            <wp:extent cx="5943600" cy="36322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5943600" cy="3632200"/>
                    </a:xfrm>
                    <a:prstGeom prst="rect">
                      <a:avLst/>
                    </a:prstGeom>
                    <a:ln w="25400">
                      <a:solidFill>
                        <a:srgbClr val="000000"/>
                      </a:solidFill>
                      <a:prstDash val="solid"/>
                    </a:ln>
                  </pic:spPr>
                </pic:pic>
              </a:graphicData>
            </a:graphic>
          </wp:inline>
        </w:drawing>
      </w:r>
    </w:p>
    <w:p w:rsidR="007A09B2" w:rsidRDefault="00566828">
      <w:pPr>
        <w:pBdr>
          <w:top w:val="nil"/>
          <w:left w:val="nil"/>
          <w:bottom w:val="nil"/>
          <w:right w:val="nil"/>
          <w:between w:val="nil"/>
        </w:pBdr>
        <w:spacing w:after="240"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Figure 01: HARVARD HRM Model</w:t>
      </w:r>
    </w:p>
    <w:p w:rsidR="007A09B2" w:rsidRDefault="00566828">
      <w:pPr>
        <w:pBdr>
          <w:top w:val="nil"/>
          <w:left w:val="nil"/>
          <w:bottom w:val="nil"/>
          <w:right w:val="nil"/>
          <w:between w:val="nil"/>
        </w:pBdr>
        <w:spacing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(Source: Staff, 2021)</w:t>
      </w:r>
    </w:p>
    <w:p w:rsidR="007A09B2" w:rsidRDefault="00566828">
      <w:pPr>
        <w:pBdr>
          <w:top w:val="nil"/>
          <w:left w:val="nil"/>
          <w:bottom w:val="nil"/>
          <w:right w:val="nil"/>
          <w:between w:val="nil"/>
        </w:pBdr>
        <w:shd w:val="clear" w:color="auto" w:fill="FFFFFF"/>
        <w:spacing w:line="360" w:lineRule="auto"/>
        <w:jc w:val="both"/>
        <w:rPr>
          <w:rFonts w:ascii="Times" w:eastAsia="Times" w:hAnsi="Times" w:cs="Times"/>
          <w:color w:val="222222"/>
          <w:sz w:val="24"/>
          <w:szCs w:val="24"/>
          <w:highlight w:val="white"/>
        </w:rPr>
      </w:pPr>
      <w:r>
        <w:rPr>
          <w:rFonts w:ascii="Times New Roman" w:eastAsia="Times New Roman" w:hAnsi="Times New Roman" w:cs="Times New Roman"/>
          <w:color w:val="222222"/>
          <w:sz w:val="24"/>
          <w:szCs w:val="24"/>
        </w:rPr>
        <w:t>For example, British Gas may highlight recruiting and keeping skilled engineers and mechanics to preserve a competitive benefit in the energy services market. The</w:t>
      </w:r>
      <w:r>
        <w:rPr>
          <w:rFonts w:ascii="Times New Roman" w:eastAsia="Times New Roman" w:hAnsi="Times New Roman" w:cs="Times New Roman"/>
          <w:color w:val="222222"/>
          <w:sz w:val="24"/>
          <w:szCs w:val="24"/>
        </w:rPr>
        <w:t xml:space="preserve"> HR method may also teach </w:t>
      </w:r>
      <w:r>
        <w:rPr>
          <w:rFonts w:ascii="Times New Roman" w:eastAsia="Times New Roman" w:hAnsi="Times New Roman" w:cs="Times New Roman"/>
          <w:color w:val="222222"/>
          <w:sz w:val="24"/>
          <w:szCs w:val="24"/>
        </w:rPr>
        <w:lastRenderedPageBreak/>
        <w:t>employees to adjust to new technologies and consumer service strategies to meet altering customer needs. Also, the Harvard Model would examine how British Gas promotes a positive work atmosphere and encourages employee engagement.</w:t>
      </w:r>
      <w:r>
        <w:rPr>
          <w:rFonts w:ascii="Times New Roman" w:eastAsia="Times New Roman" w:hAnsi="Times New Roman" w:cs="Times New Roman"/>
          <w:color w:val="222222"/>
          <w:sz w:val="24"/>
          <w:szCs w:val="24"/>
        </w:rPr>
        <w:t xml:space="preserve"> It may study communication channels, possibilities for employee involvement, and award programs to ensure employees are inspired and dedicated to the organisation's success. </w:t>
      </w:r>
      <w:r>
        <w:rPr>
          <w:rFonts w:ascii="Times" w:eastAsia="Times" w:hAnsi="Times" w:cs="Times"/>
          <w:color w:val="222222"/>
          <w:sz w:val="24"/>
          <w:szCs w:val="24"/>
          <w:highlight w:val="white"/>
        </w:rPr>
        <w:t>In the Harvard HRM model, long-term consequences direct the effects and consequen</w:t>
      </w:r>
      <w:r>
        <w:rPr>
          <w:rFonts w:ascii="Times" w:eastAsia="Times" w:hAnsi="Times" w:cs="Times"/>
          <w:color w:val="222222"/>
          <w:sz w:val="24"/>
          <w:szCs w:val="24"/>
          <w:highlight w:val="white"/>
        </w:rPr>
        <w:t>ces of human resource management techniques on the association over a comprehensive period. This concerns considering how HR strategies, procedures, and techniques contribute to the accomplishment of the association's long-term goals, mission, and concept.</w:t>
      </w:r>
      <w:r>
        <w:rPr>
          <w:rFonts w:ascii="Times" w:eastAsia="Times" w:hAnsi="Times" w:cs="Times"/>
          <w:color w:val="222222"/>
          <w:sz w:val="24"/>
          <w:szCs w:val="24"/>
          <w:highlight w:val="white"/>
        </w:rPr>
        <w:t xml:space="preserve"> Approving long-term effects include improved employee engagement, enhanced corporate performance, improved productivity, and a better sustainable competitive benefit. On the other hand, opposing long-term outcomes may occur from inadequate HR practices, h</w:t>
      </w:r>
      <w:r>
        <w:rPr>
          <w:rFonts w:ascii="Times" w:eastAsia="Times" w:hAnsi="Times" w:cs="Times"/>
          <w:color w:val="222222"/>
          <w:sz w:val="24"/>
          <w:szCs w:val="24"/>
          <w:highlight w:val="white"/>
        </w:rPr>
        <w:t>igh turnover, reduced morale, and possible damage to the organisation's importance and general success in the long run.</w:t>
      </w:r>
    </w:p>
    <w:p w:rsidR="007A09B2" w:rsidRDefault="00566828">
      <w:pPr>
        <w:pBdr>
          <w:top w:val="nil"/>
          <w:left w:val="nil"/>
          <w:bottom w:val="nil"/>
          <w:right w:val="nil"/>
          <w:between w:val="nil"/>
        </w:pBdr>
        <w:shd w:val="clear" w:color="auto" w:fill="FFFFFF"/>
        <w:spacing w:line="360" w:lineRule="auto"/>
        <w:jc w:val="both"/>
        <w:rPr>
          <w:rFonts w:ascii="Times" w:eastAsia="Times" w:hAnsi="Times" w:cs="Times"/>
          <w:color w:val="222222"/>
          <w:sz w:val="24"/>
          <w:szCs w:val="24"/>
          <w:highlight w:val="white"/>
        </w:rPr>
      </w:pPr>
      <w:r>
        <w:rPr>
          <w:rFonts w:ascii="Times" w:eastAsia="Times" w:hAnsi="Times" w:cs="Times"/>
          <w:color w:val="222222"/>
          <w:sz w:val="24"/>
          <w:szCs w:val="24"/>
          <w:highlight w:val="white"/>
        </w:rPr>
        <w:t>The hrm outcomes signify these things:</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1. Commitment:</w:t>
      </w:r>
      <w:r>
        <w:rPr>
          <w:rFonts w:ascii="Times" w:eastAsia="Times" w:hAnsi="Times" w:cs="Times"/>
          <w:color w:val="222222"/>
          <w:sz w:val="24"/>
          <w:szCs w:val="24"/>
        </w:rPr>
        <w:t xml:space="preserve"> By involving workers in decision-making procedures and promoting a culture of incl</w:t>
      </w:r>
      <w:r>
        <w:rPr>
          <w:rFonts w:ascii="Times" w:eastAsia="Times" w:hAnsi="Times" w:cs="Times"/>
          <w:color w:val="222222"/>
          <w:sz w:val="24"/>
          <w:szCs w:val="24"/>
        </w:rPr>
        <w:t>usivity and open communication, British Gas can improve worker dedication and commitment.</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 xml:space="preserve">2. Competence: </w:t>
      </w:r>
      <w:r>
        <w:rPr>
          <w:rFonts w:ascii="Times" w:eastAsia="Times" w:hAnsi="Times" w:cs="Times"/>
          <w:color w:val="222222"/>
          <w:sz w:val="24"/>
          <w:szCs w:val="24"/>
        </w:rPr>
        <w:t>Emphasising skill growth, training, and career improvement possibilities can lead to a better qualified and qualified workforce, which completely affec</w:t>
      </w:r>
      <w:r>
        <w:rPr>
          <w:rFonts w:ascii="Times" w:eastAsia="Times" w:hAnsi="Times" w:cs="Times"/>
          <w:color w:val="222222"/>
          <w:sz w:val="24"/>
          <w:szCs w:val="24"/>
        </w:rPr>
        <w:t>ts the organisation's performance.</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 xml:space="preserve">3. Congruence: </w:t>
      </w:r>
      <w:r>
        <w:rPr>
          <w:rFonts w:ascii="Times" w:eastAsia="Times" w:hAnsi="Times" w:cs="Times"/>
          <w:color w:val="222222"/>
          <w:sz w:val="24"/>
          <w:szCs w:val="24"/>
        </w:rPr>
        <w:t>The Harvard Model encourages consistency and alignment between HR policies, strategies, and administrative goals. Ensuring HR procedures align with British Gas' strategic approach can improve overall signif</w:t>
      </w:r>
      <w:r>
        <w:rPr>
          <w:rFonts w:ascii="Times" w:eastAsia="Times" w:hAnsi="Times" w:cs="Times"/>
          <w:color w:val="222222"/>
          <w:sz w:val="24"/>
          <w:szCs w:val="24"/>
        </w:rPr>
        <w:t>icance.</w:t>
      </w:r>
    </w:p>
    <w:p w:rsidR="007A09B2" w:rsidRDefault="00566828">
      <w:pPr>
        <w:shd w:val="clear" w:color="auto" w:fill="FFFFFF"/>
        <w:spacing w:line="360" w:lineRule="auto"/>
        <w:jc w:val="both"/>
        <w:rPr>
          <w:rFonts w:ascii="Times" w:eastAsia="Times" w:hAnsi="Times" w:cs="Times"/>
          <w:color w:val="222222"/>
          <w:sz w:val="24"/>
          <w:szCs w:val="24"/>
        </w:rPr>
      </w:pPr>
      <w:r>
        <w:rPr>
          <w:rFonts w:ascii="Times" w:eastAsia="Times" w:hAnsi="Times" w:cs="Times"/>
          <w:b/>
          <w:color w:val="222222"/>
          <w:sz w:val="24"/>
          <w:szCs w:val="24"/>
        </w:rPr>
        <w:t xml:space="preserve">4. Cost-effectiveness: </w:t>
      </w:r>
      <w:r>
        <w:rPr>
          <w:rFonts w:ascii="Times" w:eastAsia="Times" w:hAnsi="Times" w:cs="Times"/>
          <w:color w:val="222222"/>
          <w:sz w:val="24"/>
          <w:szCs w:val="24"/>
        </w:rPr>
        <w:t>Using HR methods that optimise aid allocation, such as sufficient talent control and retention methods, British Gas can decrease turnover expenses and enhance cost-effectiveness.</w:t>
      </w:r>
    </w:p>
    <w:p w:rsidR="007A09B2" w:rsidRDefault="00566828">
      <w:pPr>
        <w:shd w:val="clear" w:color="auto" w:fill="FFFFFF"/>
        <w:spacing w:line="360" w:lineRule="auto"/>
        <w:jc w:val="both"/>
        <w:rPr>
          <w:rFonts w:ascii="Times" w:eastAsia="Times" w:hAnsi="Times" w:cs="Times"/>
          <w:color w:val="222222"/>
          <w:sz w:val="24"/>
          <w:szCs w:val="24"/>
          <w:highlight w:val="white"/>
        </w:rPr>
      </w:pPr>
      <w:r>
        <w:rPr>
          <w:rFonts w:ascii="Times" w:eastAsia="Times" w:hAnsi="Times" w:cs="Times"/>
          <w:b/>
          <w:color w:val="222222"/>
          <w:sz w:val="24"/>
          <w:szCs w:val="24"/>
        </w:rPr>
        <w:t>5. Collaboration:</w:t>
      </w:r>
      <w:r>
        <w:rPr>
          <w:rFonts w:ascii="Times" w:eastAsia="Times" w:hAnsi="Times" w:cs="Times"/>
          <w:color w:val="222222"/>
          <w:sz w:val="24"/>
          <w:szCs w:val="24"/>
        </w:rPr>
        <w:t xml:space="preserve"> Fostering teamwork and colla</w:t>
      </w:r>
      <w:r>
        <w:rPr>
          <w:rFonts w:ascii="Times" w:eastAsia="Times" w:hAnsi="Times" w:cs="Times"/>
          <w:color w:val="222222"/>
          <w:sz w:val="24"/>
          <w:szCs w:val="24"/>
        </w:rPr>
        <w:t>boration among workers can encourage a cooperative work environment, guiding to increased productivity and invention.</w:t>
      </w:r>
    </w:p>
    <w:p w:rsidR="007A09B2" w:rsidRDefault="00566828">
      <w:pPr>
        <w:pStyle w:val="Heading2"/>
      </w:pPr>
      <w:bookmarkStart w:id="10" w:name="_heading=h.2et92p0" w:colFirst="0" w:colLast="0"/>
      <w:bookmarkStart w:id="11" w:name="_Toc142319330"/>
      <w:bookmarkEnd w:id="10"/>
      <w:r>
        <w:lastRenderedPageBreak/>
        <w:t>Craap model</w:t>
      </w:r>
      <w:bookmarkEnd w:id="11"/>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444444"/>
          <w:sz w:val="24"/>
          <w:szCs w:val="24"/>
          <w:shd w:val="clear" w:color="auto" w:fill="FAFAFA"/>
        </w:rPr>
      </w:pPr>
      <w:r>
        <w:rPr>
          <w:rFonts w:ascii="Times New Roman" w:eastAsia="Times New Roman" w:hAnsi="Times New Roman" w:cs="Times New Roman"/>
          <w:color w:val="444444"/>
          <w:sz w:val="24"/>
          <w:szCs w:val="24"/>
          <w:shd w:val="clear" w:color="auto" w:fill="FAFAFA"/>
        </w:rPr>
        <w:t xml:space="preserve">The </w:t>
      </w:r>
      <w:r>
        <w:rPr>
          <w:rFonts w:ascii="Times New Roman" w:eastAsia="Times New Roman" w:hAnsi="Times New Roman" w:cs="Times New Roman"/>
          <w:b/>
          <w:i/>
          <w:color w:val="444444"/>
          <w:sz w:val="24"/>
          <w:szCs w:val="24"/>
          <w:shd w:val="clear" w:color="auto" w:fill="FAFAFA"/>
        </w:rPr>
        <w:t>“CRAAP Model”</w:t>
      </w:r>
      <w:r>
        <w:rPr>
          <w:rFonts w:ascii="Times New Roman" w:eastAsia="Times New Roman" w:hAnsi="Times New Roman" w:cs="Times New Roman"/>
          <w:color w:val="444444"/>
          <w:sz w:val="24"/>
          <w:szCs w:val="24"/>
          <w:shd w:val="clear" w:color="auto" w:fill="FAFAFA"/>
        </w:rPr>
        <w:t xml:space="preserve"> is a framework employed to evaluate the credibility and reliability of particular sources, helping compilations make informed judgments about resource enhancement. </w:t>
      </w:r>
    </w:p>
    <w:p w:rsidR="007A09B2" w:rsidRDefault="00566828">
      <w:pPr>
        <w:numPr>
          <w:ilvl w:val="0"/>
          <w:numId w:val="11"/>
        </w:numPr>
        <w:pBdr>
          <w:top w:val="nil"/>
          <w:left w:val="nil"/>
          <w:bottom w:val="nil"/>
          <w:right w:val="nil"/>
          <w:between w:val="nil"/>
        </w:pBdr>
        <w:spacing w:line="360" w:lineRule="auto"/>
        <w:jc w:val="both"/>
        <w:rPr>
          <w:rFonts w:ascii="Times New Roman" w:eastAsia="Times New Roman" w:hAnsi="Times New Roman" w:cs="Times New Roman"/>
          <w:b/>
          <w:i/>
          <w:color w:val="444444"/>
          <w:sz w:val="24"/>
          <w:szCs w:val="24"/>
          <w:shd w:val="clear" w:color="auto" w:fill="FAFAFA"/>
        </w:rPr>
      </w:pPr>
      <w:r>
        <w:rPr>
          <w:rFonts w:ascii="Times New Roman" w:eastAsia="Times New Roman" w:hAnsi="Times New Roman" w:cs="Times New Roman"/>
          <w:b/>
          <w:i/>
          <w:color w:val="444444"/>
          <w:sz w:val="24"/>
          <w:szCs w:val="24"/>
          <w:shd w:val="clear" w:color="auto" w:fill="FAFAFA"/>
        </w:rPr>
        <w:t>Currency</w:t>
      </w:r>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444444"/>
          <w:sz w:val="24"/>
          <w:szCs w:val="24"/>
          <w:shd w:val="clear" w:color="auto" w:fill="FAFAFA"/>
        </w:rPr>
      </w:pPr>
      <w:r>
        <w:rPr>
          <w:rFonts w:ascii="Times New Roman" w:eastAsia="Times New Roman" w:hAnsi="Times New Roman" w:cs="Times New Roman"/>
          <w:color w:val="444444"/>
          <w:sz w:val="24"/>
          <w:szCs w:val="24"/>
          <w:shd w:val="clear" w:color="auto" w:fill="FAFAFA"/>
        </w:rPr>
        <w:t xml:space="preserve">The statistics appear the comprehensive enlargement of the current establishment of </w:t>
      </w:r>
      <w:r>
        <w:rPr>
          <w:rFonts w:ascii="Times New Roman" w:eastAsia="Times New Roman" w:hAnsi="Times New Roman" w:cs="Times New Roman"/>
          <w:b/>
          <w:i/>
          <w:color w:val="444444"/>
          <w:sz w:val="24"/>
          <w:szCs w:val="24"/>
          <w:shd w:val="clear" w:color="auto" w:fill="FAFAFA"/>
        </w:rPr>
        <w:t>“British Gas”</w:t>
      </w:r>
      <w:r>
        <w:rPr>
          <w:rFonts w:ascii="Times New Roman" w:eastAsia="Times New Roman" w:hAnsi="Times New Roman" w:cs="Times New Roman"/>
          <w:color w:val="444444"/>
          <w:sz w:val="24"/>
          <w:szCs w:val="24"/>
          <w:shd w:val="clear" w:color="auto" w:fill="FAFAFA"/>
        </w:rPr>
        <w:t xml:space="preserve"> actions accepting province, such as the </w:t>
      </w:r>
      <w:r>
        <w:rPr>
          <w:rFonts w:ascii="Times New Roman" w:eastAsia="Times New Roman" w:hAnsi="Times New Roman" w:cs="Times New Roman"/>
          <w:b/>
          <w:i/>
          <w:color w:val="444444"/>
          <w:sz w:val="24"/>
          <w:szCs w:val="24"/>
          <w:shd w:val="clear" w:color="auto" w:fill="FAFAFA"/>
        </w:rPr>
        <w:t>“long-running dispute with British Gas boiler engineers”</w:t>
      </w:r>
      <w:r>
        <w:rPr>
          <w:rFonts w:ascii="Times New Roman" w:eastAsia="Times New Roman" w:hAnsi="Times New Roman" w:cs="Times New Roman"/>
          <w:color w:val="444444"/>
          <w:sz w:val="24"/>
          <w:szCs w:val="24"/>
          <w:shd w:val="clear" w:color="auto" w:fill="FAFAFA"/>
        </w:rPr>
        <w:t xml:space="preserve"> and the discharge of around five hundred employees that might</w:t>
      </w:r>
      <w:r>
        <w:rPr>
          <w:rFonts w:ascii="Times New Roman" w:eastAsia="Times New Roman" w:hAnsi="Times New Roman" w:cs="Times New Roman"/>
          <w:color w:val="444444"/>
          <w:sz w:val="24"/>
          <w:szCs w:val="24"/>
          <w:shd w:val="clear" w:color="auto" w:fill="FAFAFA"/>
        </w:rPr>
        <w:t xml:space="preserve"> have been demonstrated to accept the new employment contracts (</w:t>
      </w:r>
      <w:r>
        <w:rPr>
          <w:rFonts w:ascii="Times New Roman" w:eastAsia="Times New Roman" w:hAnsi="Times New Roman" w:cs="Times New Roman"/>
          <w:color w:val="222222"/>
          <w:sz w:val="24"/>
          <w:szCs w:val="24"/>
          <w:highlight w:val="white"/>
        </w:rPr>
        <w:t xml:space="preserve">Chapman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444444"/>
          <w:sz w:val="24"/>
          <w:szCs w:val="24"/>
          <w:shd w:val="clear" w:color="auto" w:fill="FAFAFA"/>
        </w:rPr>
        <w:t>. Consider the sources delivering reports about British Gas, such as news reports, authorised reports, or economic statements, to confirm they come from respected and trus</w:t>
      </w:r>
      <w:r>
        <w:rPr>
          <w:rFonts w:ascii="Times New Roman" w:eastAsia="Times New Roman" w:hAnsi="Times New Roman" w:cs="Times New Roman"/>
          <w:color w:val="444444"/>
          <w:sz w:val="24"/>
          <w:szCs w:val="24"/>
          <w:shd w:val="clear" w:color="auto" w:fill="FAFAFA"/>
        </w:rPr>
        <w:t>tworthy sources.</w:t>
      </w:r>
    </w:p>
    <w:p w:rsidR="007A09B2" w:rsidRDefault="00566828">
      <w:pPr>
        <w:numPr>
          <w:ilvl w:val="0"/>
          <w:numId w:val="3"/>
        </w:numPr>
        <w:pBdr>
          <w:top w:val="nil"/>
          <w:left w:val="nil"/>
          <w:bottom w:val="nil"/>
          <w:right w:val="nil"/>
          <w:between w:val="nil"/>
        </w:pBdr>
        <w:spacing w:line="360" w:lineRule="auto"/>
        <w:jc w:val="both"/>
        <w:rPr>
          <w:rFonts w:ascii="Times New Roman" w:eastAsia="Times New Roman" w:hAnsi="Times New Roman" w:cs="Times New Roman"/>
          <w:b/>
          <w:i/>
          <w:color w:val="444444"/>
          <w:sz w:val="24"/>
          <w:szCs w:val="24"/>
          <w:shd w:val="clear" w:color="auto" w:fill="FAFAFA"/>
        </w:rPr>
      </w:pPr>
      <w:r>
        <w:rPr>
          <w:rFonts w:ascii="Times New Roman" w:eastAsia="Times New Roman" w:hAnsi="Times New Roman" w:cs="Times New Roman"/>
          <w:b/>
          <w:i/>
          <w:color w:val="444444"/>
          <w:sz w:val="24"/>
          <w:szCs w:val="24"/>
          <w:shd w:val="clear" w:color="auto" w:fill="FAFAFA"/>
        </w:rPr>
        <w:t>Relevance</w:t>
      </w:r>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444444"/>
          <w:sz w:val="24"/>
          <w:szCs w:val="24"/>
          <w:shd w:val="clear" w:color="auto" w:fill="FAFAFA"/>
        </w:rPr>
        <w:t xml:space="preserve">The analytical measurement of the relevance phase can be recognised in the conflict between </w:t>
      </w:r>
      <w:r>
        <w:rPr>
          <w:rFonts w:ascii="Times New Roman" w:eastAsia="Times New Roman" w:hAnsi="Times New Roman" w:cs="Times New Roman"/>
          <w:b/>
          <w:i/>
          <w:color w:val="444444"/>
          <w:sz w:val="24"/>
          <w:szCs w:val="24"/>
          <w:shd w:val="clear" w:color="auto" w:fill="FAFAFA"/>
        </w:rPr>
        <w:t>“British Gas” and “its boiler engineers”</w:t>
      </w:r>
      <w:r>
        <w:rPr>
          <w:rFonts w:ascii="Times New Roman" w:eastAsia="Times New Roman" w:hAnsi="Times New Roman" w:cs="Times New Roman"/>
          <w:color w:val="444444"/>
          <w:sz w:val="24"/>
          <w:szCs w:val="24"/>
          <w:shd w:val="clear" w:color="auto" w:fill="FAFAFA"/>
        </w:rPr>
        <w:t xml:space="preserve"> over transformations to employment contracts and the resulting dismissals. It examines the legal</w:t>
      </w:r>
      <w:r>
        <w:rPr>
          <w:rFonts w:ascii="Times New Roman" w:eastAsia="Times New Roman" w:hAnsi="Times New Roman" w:cs="Times New Roman"/>
          <w:color w:val="444444"/>
          <w:sz w:val="24"/>
          <w:szCs w:val="24"/>
          <w:shd w:val="clear" w:color="auto" w:fill="FAFAFA"/>
        </w:rPr>
        <w:t xml:space="preserve"> implications, conceivable declarations, and enhancement of British Gases for the changes. </w:t>
      </w:r>
      <w:r>
        <w:rPr>
          <w:rFonts w:ascii="Times" w:eastAsia="Times" w:hAnsi="Times" w:cs="Times"/>
          <w:color w:val="222222"/>
          <w:sz w:val="24"/>
          <w:szCs w:val="24"/>
        </w:rPr>
        <w:t>Evaluate whether the data instantly applies to British Gas and its processes, benefits, or business movements instead of general or irrelevant details.</w:t>
      </w:r>
    </w:p>
    <w:p w:rsidR="007A09B2" w:rsidRDefault="00566828">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noProof/>
          <w:color w:val="000000"/>
          <w:sz w:val="24"/>
          <w:szCs w:val="24"/>
          <w:lang w:val="en-IN"/>
        </w:rPr>
        <w:drawing>
          <wp:inline distT="114300" distB="114300" distL="114300" distR="114300">
            <wp:extent cx="3200400" cy="29718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a:stretch>
                      <a:fillRect/>
                    </a:stretch>
                  </pic:blipFill>
                  <pic:spPr>
                    <a:xfrm>
                      <a:off x="0" y="0"/>
                      <a:ext cx="3200400" cy="2971800"/>
                    </a:xfrm>
                    <a:prstGeom prst="rect">
                      <a:avLst/>
                    </a:prstGeom>
                    <a:ln w="25400">
                      <a:solidFill>
                        <a:srgbClr val="000000"/>
                      </a:solidFill>
                      <a:prstDash val="solid"/>
                    </a:ln>
                  </pic:spPr>
                </pic:pic>
              </a:graphicData>
            </a:graphic>
          </wp:inline>
        </w:drawing>
      </w:r>
    </w:p>
    <w:p w:rsidR="007A09B2" w:rsidRDefault="00566828">
      <w:pPr>
        <w:pBdr>
          <w:top w:val="nil"/>
          <w:left w:val="nil"/>
          <w:bottom w:val="nil"/>
          <w:right w:val="nil"/>
          <w:between w:val="nil"/>
        </w:pBdr>
        <w:spacing w:line="36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Figure 02: </w:t>
      </w:r>
      <w:r>
        <w:rPr>
          <w:rFonts w:ascii="Times New Roman" w:eastAsia="Times New Roman" w:hAnsi="Times New Roman" w:cs="Times New Roman"/>
          <w:b/>
          <w:color w:val="000000"/>
          <w:sz w:val="24"/>
          <w:szCs w:val="24"/>
        </w:rPr>
        <w:t>CRAAP Model</w:t>
      </w:r>
    </w:p>
    <w:p w:rsidR="007A09B2" w:rsidRDefault="00566828">
      <w:pPr>
        <w:pBdr>
          <w:top w:val="nil"/>
          <w:left w:val="nil"/>
          <w:bottom w:val="nil"/>
          <w:right w:val="nil"/>
          <w:between w:val="nil"/>
        </w:pBdr>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(Source: Tonia Eriksen., 2023)</w:t>
      </w:r>
    </w:p>
    <w:p w:rsidR="007A09B2" w:rsidRDefault="00566828">
      <w:pPr>
        <w:numPr>
          <w:ilvl w:val="0"/>
          <w:numId w:val="12"/>
        </w:numPr>
        <w:pBdr>
          <w:top w:val="nil"/>
          <w:left w:val="nil"/>
          <w:bottom w:val="nil"/>
          <w:right w:val="nil"/>
          <w:between w:val="nil"/>
        </w:pBdr>
        <w:spacing w:line="360" w:lineRule="auto"/>
        <w:jc w:val="both"/>
        <w:rPr>
          <w:rFonts w:ascii="Times New Roman" w:eastAsia="Times New Roman" w:hAnsi="Times New Roman" w:cs="Times New Roman"/>
          <w:b/>
          <w:i/>
          <w:color w:val="444444"/>
          <w:sz w:val="24"/>
          <w:szCs w:val="24"/>
          <w:shd w:val="clear" w:color="auto" w:fill="FAFAFA"/>
        </w:rPr>
      </w:pPr>
      <w:r>
        <w:rPr>
          <w:rFonts w:ascii="Times New Roman" w:eastAsia="Times New Roman" w:hAnsi="Times New Roman" w:cs="Times New Roman"/>
          <w:b/>
          <w:i/>
          <w:color w:val="444444"/>
          <w:sz w:val="24"/>
          <w:szCs w:val="24"/>
          <w:shd w:val="clear" w:color="auto" w:fill="FAFAFA"/>
        </w:rPr>
        <w:lastRenderedPageBreak/>
        <w:t>Authority</w:t>
      </w:r>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444444"/>
          <w:sz w:val="24"/>
          <w:szCs w:val="24"/>
          <w:shd w:val="clear" w:color="auto" w:fill="FAFAFA"/>
        </w:rPr>
      </w:pPr>
      <w:r>
        <w:rPr>
          <w:rFonts w:ascii="Times New Roman" w:eastAsia="Times New Roman" w:hAnsi="Times New Roman" w:cs="Times New Roman"/>
          <w:color w:val="444444"/>
          <w:sz w:val="24"/>
          <w:szCs w:val="24"/>
          <w:shd w:val="clear" w:color="auto" w:fill="FAFAFA"/>
        </w:rPr>
        <w:t>In this context, the capacity of the possessor of British Gas determines some extent of authority over the information. However, there may not be able to consist of precise credentials or attributions de</w:t>
      </w:r>
      <w:r>
        <w:rPr>
          <w:rFonts w:ascii="Times New Roman" w:eastAsia="Times New Roman" w:hAnsi="Times New Roman" w:cs="Times New Roman"/>
          <w:color w:val="444444"/>
          <w:sz w:val="24"/>
          <w:szCs w:val="24"/>
          <w:shd w:val="clear" w:color="auto" w:fill="FAFAFA"/>
        </w:rPr>
        <w:t>livered for the collection of the employer's businesses that consider the establishment procedures to be adequate for the transformation of workers' contracts (</w:t>
      </w:r>
      <w:r>
        <w:rPr>
          <w:rFonts w:ascii="Times New Roman" w:eastAsia="Times New Roman" w:hAnsi="Times New Roman" w:cs="Times New Roman"/>
          <w:color w:val="222222"/>
          <w:sz w:val="24"/>
          <w:szCs w:val="24"/>
          <w:highlight w:val="white"/>
        </w:rPr>
        <w:t>WRIGHT, 2021)</w:t>
      </w:r>
      <w:r>
        <w:rPr>
          <w:rFonts w:ascii="Times New Roman" w:eastAsia="Times New Roman" w:hAnsi="Times New Roman" w:cs="Times New Roman"/>
          <w:color w:val="444444"/>
          <w:sz w:val="24"/>
          <w:szCs w:val="24"/>
          <w:shd w:val="clear" w:color="auto" w:fill="FAFAFA"/>
        </w:rPr>
        <w:t xml:space="preserve">. </w:t>
      </w:r>
      <w:r>
        <w:rPr>
          <w:rFonts w:ascii="Times" w:eastAsia="Times" w:hAnsi="Times" w:cs="Times"/>
          <w:color w:val="222222"/>
          <w:sz w:val="24"/>
          <w:szCs w:val="24"/>
        </w:rPr>
        <w:t>Consider the expertise and capabilities of the authors or associations behind the</w:t>
      </w:r>
      <w:r>
        <w:rPr>
          <w:rFonts w:ascii="Times" w:eastAsia="Times" w:hAnsi="Times" w:cs="Times"/>
          <w:color w:val="222222"/>
          <w:sz w:val="24"/>
          <w:szCs w:val="24"/>
        </w:rPr>
        <w:t xml:space="preserve"> data to decide if they are reasonable and knowledgeable in the energy initiative or connected fields.</w:t>
      </w:r>
    </w:p>
    <w:p w:rsidR="007A09B2" w:rsidRDefault="00566828">
      <w:pPr>
        <w:numPr>
          <w:ilvl w:val="0"/>
          <w:numId w:val="10"/>
        </w:numPr>
        <w:pBdr>
          <w:top w:val="nil"/>
          <w:left w:val="nil"/>
          <w:bottom w:val="nil"/>
          <w:right w:val="nil"/>
          <w:between w:val="nil"/>
        </w:pBdr>
        <w:spacing w:line="360" w:lineRule="auto"/>
        <w:jc w:val="both"/>
        <w:rPr>
          <w:rFonts w:ascii="Times New Roman" w:eastAsia="Times New Roman" w:hAnsi="Times New Roman" w:cs="Times New Roman"/>
          <w:b/>
          <w:i/>
          <w:color w:val="444444"/>
          <w:sz w:val="24"/>
          <w:szCs w:val="24"/>
          <w:shd w:val="clear" w:color="auto" w:fill="FAFAFA"/>
        </w:rPr>
      </w:pPr>
      <w:r>
        <w:rPr>
          <w:rFonts w:ascii="Times New Roman" w:eastAsia="Times New Roman" w:hAnsi="Times New Roman" w:cs="Times New Roman"/>
          <w:b/>
          <w:i/>
          <w:color w:val="444444"/>
          <w:sz w:val="24"/>
          <w:szCs w:val="24"/>
          <w:shd w:val="clear" w:color="auto" w:fill="FAFAFA"/>
        </w:rPr>
        <w:t>Accuracy</w:t>
      </w:r>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color w:val="444444"/>
          <w:sz w:val="24"/>
          <w:szCs w:val="24"/>
          <w:shd w:val="clear" w:color="auto" w:fill="FAFAFA"/>
        </w:rPr>
      </w:pPr>
      <w:r>
        <w:rPr>
          <w:rFonts w:ascii="Times New Roman" w:eastAsia="Times New Roman" w:hAnsi="Times New Roman" w:cs="Times New Roman"/>
          <w:color w:val="444444"/>
          <w:sz w:val="24"/>
          <w:szCs w:val="24"/>
          <w:shd w:val="clear" w:color="auto" w:fill="FAFAFA"/>
        </w:rPr>
        <w:t xml:space="preserve">Developing the engineer's work influenced the comprehensive enlargement of the accuracy. It can also be required that the amount of conceivable </w:t>
      </w:r>
      <w:r>
        <w:rPr>
          <w:rFonts w:ascii="Times New Roman" w:eastAsia="Times New Roman" w:hAnsi="Times New Roman" w:cs="Times New Roman"/>
          <w:color w:val="444444"/>
          <w:sz w:val="24"/>
          <w:szCs w:val="24"/>
          <w:shd w:val="clear" w:color="auto" w:fill="FAFAFA"/>
        </w:rPr>
        <w:t xml:space="preserve">working period can conduct the impact of comprehensively diminishing the workers' regular remuneration by the </w:t>
      </w:r>
      <w:r>
        <w:rPr>
          <w:rFonts w:ascii="Times New Roman" w:eastAsia="Times New Roman" w:hAnsi="Times New Roman" w:cs="Times New Roman"/>
          <w:b/>
          <w:i/>
          <w:color w:val="444444"/>
          <w:sz w:val="24"/>
          <w:szCs w:val="24"/>
          <w:shd w:val="clear" w:color="auto" w:fill="FAFAFA"/>
        </w:rPr>
        <w:t xml:space="preserve">“British Gas” </w:t>
      </w:r>
      <w:r>
        <w:rPr>
          <w:rFonts w:ascii="Times New Roman" w:eastAsia="Times New Roman" w:hAnsi="Times New Roman" w:cs="Times New Roman"/>
          <w:color w:val="444444"/>
          <w:sz w:val="24"/>
          <w:szCs w:val="24"/>
          <w:shd w:val="clear" w:color="auto" w:fill="FAFAFA"/>
        </w:rPr>
        <w:t>agency (</w:t>
      </w:r>
      <w:r>
        <w:rPr>
          <w:rFonts w:ascii="Times New Roman" w:eastAsia="Times New Roman" w:hAnsi="Times New Roman" w:cs="Times New Roman"/>
          <w:color w:val="000000"/>
          <w:sz w:val="24"/>
          <w:szCs w:val="24"/>
        </w:rPr>
        <w:t>Tonia Eriksen., 2023)</w:t>
      </w:r>
      <w:r>
        <w:rPr>
          <w:rFonts w:ascii="Times New Roman" w:eastAsia="Times New Roman" w:hAnsi="Times New Roman" w:cs="Times New Roman"/>
          <w:color w:val="444444"/>
          <w:sz w:val="24"/>
          <w:szCs w:val="24"/>
          <w:shd w:val="clear" w:color="auto" w:fill="FAFAFA"/>
        </w:rPr>
        <w:t xml:space="preserve">. </w:t>
      </w:r>
      <w:r>
        <w:rPr>
          <w:rFonts w:ascii="Times" w:eastAsia="Times" w:hAnsi="Times" w:cs="Times"/>
          <w:color w:val="222222"/>
          <w:sz w:val="24"/>
          <w:szCs w:val="24"/>
        </w:rPr>
        <w:t>Confirm the precision of the data by cross-referencing it with other dependable authorities to ensure</w:t>
      </w:r>
      <w:r>
        <w:rPr>
          <w:rFonts w:ascii="Times" w:eastAsia="Times" w:hAnsi="Times" w:cs="Times"/>
          <w:color w:val="222222"/>
          <w:sz w:val="24"/>
          <w:szCs w:val="24"/>
        </w:rPr>
        <w:t xml:space="preserve"> it is up-to-date and free from mistakes or biases.</w:t>
      </w:r>
    </w:p>
    <w:p w:rsidR="007A09B2" w:rsidRDefault="00566828">
      <w:pPr>
        <w:numPr>
          <w:ilvl w:val="0"/>
          <w:numId w:val="1"/>
        </w:numPr>
        <w:pBdr>
          <w:top w:val="nil"/>
          <w:left w:val="nil"/>
          <w:bottom w:val="nil"/>
          <w:right w:val="nil"/>
          <w:between w:val="nil"/>
        </w:pBdr>
        <w:spacing w:line="360" w:lineRule="auto"/>
        <w:jc w:val="both"/>
        <w:rPr>
          <w:rFonts w:ascii="Times New Roman" w:eastAsia="Times New Roman" w:hAnsi="Times New Roman" w:cs="Times New Roman"/>
          <w:b/>
          <w:i/>
          <w:color w:val="444444"/>
          <w:sz w:val="24"/>
          <w:szCs w:val="24"/>
          <w:shd w:val="clear" w:color="auto" w:fill="FAFAFA"/>
        </w:rPr>
      </w:pPr>
      <w:r>
        <w:rPr>
          <w:rFonts w:ascii="Times New Roman" w:eastAsia="Times New Roman" w:hAnsi="Times New Roman" w:cs="Times New Roman"/>
          <w:b/>
          <w:i/>
          <w:color w:val="444444"/>
          <w:sz w:val="24"/>
          <w:szCs w:val="24"/>
          <w:shd w:val="clear" w:color="auto" w:fill="FAFAFA"/>
        </w:rPr>
        <w:t>Purpose</w:t>
      </w:r>
    </w:p>
    <w:p w:rsidR="007A09B2" w:rsidRDefault="00566828">
      <w:pPr>
        <w:pBdr>
          <w:top w:val="nil"/>
          <w:left w:val="nil"/>
          <w:bottom w:val="nil"/>
          <w:right w:val="nil"/>
          <w:between w:val="nil"/>
        </w:pBdr>
        <w:spacing w:line="360" w:lineRule="auto"/>
        <w:jc w:val="both"/>
        <w:rPr>
          <w:rFonts w:ascii="Times" w:eastAsia="Times" w:hAnsi="Times" w:cs="Times"/>
          <w:color w:val="222222"/>
          <w:sz w:val="24"/>
          <w:szCs w:val="24"/>
        </w:rPr>
      </w:pPr>
      <w:r>
        <w:rPr>
          <w:rFonts w:ascii="Times New Roman" w:eastAsia="Times New Roman" w:hAnsi="Times New Roman" w:cs="Times New Roman"/>
          <w:color w:val="444444"/>
          <w:sz w:val="24"/>
          <w:szCs w:val="24"/>
          <w:shd w:val="clear" w:color="auto" w:fill="FAFAFA"/>
        </w:rPr>
        <w:t xml:space="preserve">The purpose of the required study can be estimated to be instructive, transmitting an abbreviation of the conflict between </w:t>
      </w:r>
      <w:r>
        <w:rPr>
          <w:rFonts w:ascii="Times New Roman" w:eastAsia="Times New Roman" w:hAnsi="Times New Roman" w:cs="Times New Roman"/>
          <w:b/>
          <w:i/>
          <w:color w:val="444444"/>
          <w:sz w:val="24"/>
          <w:szCs w:val="24"/>
          <w:shd w:val="clear" w:color="auto" w:fill="FAFAFA"/>
        </w:rPr>
        <w:t>“British Gas” and “its engineers”</w:t>
      </w:r>
      <w:r>
        <w:rPr>
          <w:rFonts w:ascii="Times New Roman" w:eastAsia="Times New Roman" w:hAnsi="Times New Roman" w:cs="Times New Roman"/>
          <w:color w:val="444444"/>
          <w:sz w:val="24"/>
          <w:szCs w:val="24"/>
          <w:shd w:val="clear" w:color="auto" w:fill="FAFAFA"/>
        </w:rPr>
        <w:t xml:space="preserve">, the company's actions, and achievable </w:t>
      </w:r>
      <w:r>
        <w:rPr>
          <w:rFonts w:ascii="Times New Roman" w:eastAsia="Times New Roman" w:hAnsi="Times New Roman" w:cs="Times New Roman"/>
          <w:color w:val="444444"/>
          <w:sz w:val="24"/>
          <w:szCs w:val="24"/>
          <w:shd w:val="clear" w:color="auto" w:fill="FAFAFA"/>
        </w:rPr>
        <w:t>potential consequences. However, there might be an opportunity for preference of the employee's engagement to need more numerous perspectives to accept the changes (</w:t>
      </w:r>
      <w:r>
        <w:rPr>
          <w:rFonts w:ascii="Times New Roman" w:eastAsia="Times New Roman" w:hAnsi="Times New Roman" w:cs="Times New Roman"/>
          <w:color w:val="222222"/>
          <w:sz w:val="24"/>
          <w:szCs w:val="24"/>
          <w:highlight w:val="white"/>
        </w:rPr>
        <w:t xml:space="preserve">Bratton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444444"/>
          <w:sz w:val="24"/>
          <w:szCs w:val="24"/>
          <w:shd w:val="clear" w:color="auto" w:fill="FAFAFA"/>
        </w:rPr>
        <w:t xml:space="preserve">. </w:t>
      </w:r>
      <w:r>
        <w:rPr>
          <w:rFonts w:ascii="Times" w:eastAsia="Times" w:hAnsi="Times" w:cs="Times"/>
          <w:color w:val="222222"/>
          <w:sz w:val="24"/>
          <w:szCs w:val="24"/>
        </w:rPr>
        <w:t>Comprehend the intention behind the information; review if it is objective and neutral or if it conforms to a clear schedule or bias that may affect the perception of British Gas.</w:t>
      </w:r>
    </w:p>
    <w:p w:rsidR="007A09B2" w:rsidRDefault="00566828" w:rsidP="006962FD">
      <w:pPr>
        <w:pStyle w:val="Heading2"/>
      </w:pPr>
      <w:bookmarkStart w:id="12" w:name="_Toc142319331"/>
      <w:r>
        <w:t>Legal implications of changing contractual employment terms</w:t>
      </w:r>
      <w:bookmarkEnd w:id="12"/>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i/>
          <w:sz w:val="24"/>
          <w:szCs w:val="24"/>
        </w:rPr>
        <w:t>"fire and re</w:t>
      </w:r>
      <w:r>
        <w:rPr>
          <w:rFonts w:ascii="Times New Roman" w:eastAsia="Times New Roman" w:hAnsi="Times New Roman" w:cs="Times New Roman"/>
          <w:b/>
          <w:i/>
          <w:sz w:val="24"/>
          <w:szCs w:val="24"/>
        </w:rPr>
        <w:t xml:space="preserve">hire" </w:t>
      </w:r>
      <w:r>
        <w:rPr>
          <w:rFonts w:ascii="Times New Roman" w:eastAsia="Times New Roman" w:hAnsi="Times New Roman" w:cs="Times New Roman"/>
          <w:sz w:val="24"/>
          <w:szCs w:val="24"/>
        </w:rPr>
        <w:t>procedure would have been illustrated by involving British Gas boiler engineers, raising good-sized confinement and ethical concerns, particularly associated with unfair dismissal and changes to legitimate employment terms. The implications of the an</w:t>
      </w:r>
      <w:r>
        <w:rPr>
          <w:rFonts w:ascii="Times New Roman" w:eastAsia="Times New Roman" w:hAnsi="Times New Roman" w:cs="Times New Roman"/>
          <w:sz w:val="24"/>
          <w:szCs w:val="24"/>
        </w:rPr>
        <w:t>alytical movements can have extensive consequences for employers and workers, demanding proper consideration of labour legal procedures and regulations (</w:t>
      </w:r>
      <w:r>
        <w:rPr>
          <w:rFonts w:ascii="Times New Roman" w:eastAsia="Times New Roman" w:hAnsi="Times New Roman" w:cs="Times New Roman"/>
          <w:color w:val="222222"/>
          <w:sz w:val="24"/>
          <w:szCs w:val="24"/>
          <w:highlight w:val="white"/>
        </w:rPr>
        <w:t xml:space="preserve">Chapman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w:t>
      </w:r>
    </w:p>
    <w:p w:rsidR="007A09B2" w:rsidRDefault="00566828">
      <w:pPr>
        <w:numPr>
          <w:ilvl w:val="0"/>
          <w:numId w:val="8"/>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Unfair Dismissal</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Unfair dismissal is a prominent issue in </w:t>
      </w:r>
      <w:r>
        <w:rPr>
          <w:rFonts w:ascii="Times New Roman" w:eastAsia="Times New Roman" w:hAnsi="Times New Roman" w:cs="Times New Roman"/>
          <w:b/>
          <w:i/>
          <w:sz w:val="24"/>
          <w:szCs w:val="24"/>
        </w:rPr>
        <w:t>"fire and rehire" inst</w:t>
      </w:r>
      <w:r>
        <w:rPr>
          <w:rFonts w:ascii="Times New Roman" w:eastAsia="Times New Roman" w:hAnsi="Times New Roman" w:cs="Times New Roman"/>
          <w:b/>
          <w:i/>
          <w:sz w:val="24"/>
          <w:szCs w:val="24"/>
        </w:rPr>
        <w:t>ances.</w:t>
      </w:r>
      <w:r>
        <w:rPr>
          <w:rFonts w:ascii="Times New Roman" w:eastAsia="Times New Roman" w:hAnsi="Times New Roman" w:cs="Times New Roman"/>
          <w:sz w:val="24"/>
          <w:szCs w:val="24"/>
        </w:rPr>
        <w:t xml:space="preserve"> Employees have the proper protection against unfair dismissal, which can be represented that they can be disregarded for legitimate and proper reasons (</w:t>
      </w:r>
      <w:r>
        <w:rPr>
          <w:rFonts w:ascii="Times New Roman" w:eastAsia="Times New Roman" w:hAnsi="Times New Roman" w:cs="Times New Roman"/>
          <w:color w:val="222222"/>
          <w:sz w:val="24"/>
          <w:szCs w:val="24"/>
          <w:highlight w:val="white"/>
        </w:rPr>
        <w:t xml:space="preserve">Iweka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By leveraging the analytical engagement of </w:t>
      </w:r>
      <w:r>
        <w:rPr>
          <w:rFonts w:ascii="Times New Roman" w:eastAsia="Times New Roman" w:hAnsi="Times New Roman" w:cs="Times New Roman"/>
          <w:sz w:val="24"/>
          <w:szCs w:val="24"/>
        </w:rPr>
        <w:lastRenderedPageBreak/>
        <w:t>many jurisdictions, employers mig</w:t>
      </w:r>
      <w:r>
        <w:rPr>
          <w:rFonts w:ascii="Times New Roman" w:eastAsia="Times New Roman" w:hAnsi="Times New Roman" w:cs="Times New Roman"/>
          <w:sz w:val="24"/>
          <w:szCs w:val="24"/>
        </w:rPr>
        <w:t xml:space="preserve">ht have been estimated to demonstrate that they might have a remarkable preference for dismissal, such as misconduct, lack of capability, redundancy, and standard reason. </w:t>
      </w:r>
    </w:p>
    <w:p w:rsidR="007A09B2" w:rsidRDefault="00566828">
      <w:pPr>
        <w:numPr>
          <w:ilvl w:val="0"/>
          <w:numId w:val="1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Changes to Legitimate Terms</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determined that an employer desires to exchang</w:t>
      </w:r>
      <w:r>
        <w:rPr>
          <w:rFonts w:ascii="Times New Roman" w:eastAsia="Times New Roman" w:hAnsi="Times New Roman" w:cs="Times New Roman"/>
          <w:sz w:val="24"/>
          <w:szCs w:val="24"/>
        </w:rPr>
        <w:t>e contractual terms, significantly the comprehensive procedure that should be inadequate engagement to employees that they need to observe proper methods and has been enhanced to desiring for the understanding of the employees involved. The consequence est</w:t>
      </w:r>
      <w:r>
        <w:rPr>
          <w:rFonts w:ascii="Times New Roman" w:eastAsia="Times New Roman" w:hAnsi="Times New Roman" w:cs="Times New Roman"/>
          <w:sz w:val="24"/>
          <w:szCs w:val="24"/>
        </w:rPr>
        <w:t>imation of individuals assessing modifications can have emerged superior engagement may include a breach of contract and may desire to result in legal claims (</w:t>
      </w:r>
      <w:r>
        <w:rPr>
          <w:rFonts w:ascii="Times New Roman" w:eastAsia="Times New Roman" w:hAnsi="Times New Roman" w:cs="Times New Roman"/>
          <w:color w:val="222222"/>
          <w:sz w:val="24"/>
          <w:szCs w:val="24"/>
          <w:highlight w:val="white"/>
        </w:rPr>
        <w:t xml:space="preserve">Waller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xml:space="preserve">. The analytical engagement of employees might have the accurate observation </w:t>
      </w:r>
      <w:r>
        <w:rPr>
          <w:rFonts w:ascii="Times New Roman" w:eastAsia="Times New Roman" w:hAnsi="Times New Roman" w:cs="Times New Roman"/>
          <w:sz w:val="24"/>
          <w:szCs w:val="24"/>
        </w:rPr>
        <w:t>to pursue legal recourse for their concerns.</w:t>
      </w:r>
    </w:p>
    <w:p w:rsidR="007A09B2" w:rsidRDefault="00566828">
      <w:pPr>
        <w:numPr>
          <w:ilvl w:val="0"/>
          <w:numId w:val="13"/>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Collective Consultation</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comprehensive illustration of the business changes influences a team of employees; administrators may be obligated to consult collectively. This involves informing and consulting with</w:t>
      </w:r>
      <w:r>
        <w:rPr>
          <w:rFonts w:ascii="Times New Roman" w:eastAsia="Times New Roman" w:hAnsi="Times New Roman" w:cs="Times New Roman"/>
          <w:sz w:val="24"/>
          <w:szCs w:val="24"/>
        </w:rPr>
        <w:t xml:space="preserve"> employee representatives and trade alliances about the proposed changes (</w:t>
      </w:r>
      <w:r>
        <w:rPr>
          <w:rFonts w:ascii="Times New Roman" w:eastAsia="Times New Roman" w:hAnsi="Times New Roman" w:cs="Times New Roman"/>
          <w:color w:val="222222"/>
          <w:sz w:val="24"/>
          <w:szCs w:val="24"/>
          <w:highlight w:val="white"/>
        </w:rPr>
        <w:t xml:space="preserve">Farrukh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This can be determined by failing to engage with these requirements can affect the dismissals and modifications to legitimate representations as unfair and unl</w:t>
      </w:r>
      <w:r>
        <w:rPr>
          <w:rFonts w:ascii="Times New Roman" w:eastAsia="Times New Roman" w:hAnsi="Times New Roman" w:cs="Times New Roman"/>
          <w:sz w:val="24"/>
          <w:szCs w:val="24"/>
        </w:rPr>
        <w:t>awful.</w:t>
      </w:r>
    </w:p>
    <w:p w:rsidR="007A09B2" w:rsidRDefault="00566828">
      <w:pPr>
        <w:numPr>
          <w:ilvl w:val="0"/>
          <w:numId w:val="9"/>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Constructive Dismissal</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procedure of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can encourage to engage in positive dismissal. Constructive dismissal occurs an employee relinquishes due to a necessary violation of assurance by the comprehensive way of the employer (</w:t>
      </w:r>
      <w:r>
        <w:rPr>
          <w:rFonts w:ascii="Times New Roman" w:eastAsia="Times New Roman" w:hAnsi="Times New Roman" w:cs="Times New Roman"/>
          <w:color w:val="222222"/>
          <w:sz w:val="24"/>
          <w:szCs w:val="24"/>
          <w:highlight w:val="white"/>
        </w:rPr>
        <w:t>Pattnaik and Jena, 2020)</w:t>
      </w:r>
      <w:r>
        <w:rPr>
          <w:rFonts w:ascii="Times New Roman" w:eastAsia="Times New Roman" w:hAnsi="Times New Roman" w:cs="Times New Roman"/>
          <w:sz w:val="24"/>
          <w:szCs w:val="24"/>
        </w:rPr>
        <w:t>. It can also be recognised that employees can demonstrate that the assessed modifications had been significant and destructive. They may transmit constructive dismissal to relinquish due to the unacceptable working conditions.</w:t>
      </w:r>
    </w:p>
    <w:p w:rsidR="007A09B2" w:rsidRDefault="00566828">
      <w:pPr>
        <w:numPr>
          <w:ilvl w:val="0"/>
          <w:numId w:val="14"/>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Lega</w:t>
      </w:r>
      <w:r>
        <w:rPr>
          <w:rFonts w:ascii="Times New Roman" w:eastAsia="Times New Roman" w:hAnsi="Times New Roman" w:cs="Times New Roman"/>
          <w:b/>
          <w:i/>
          <w:sz w:val="24"/>
          <w:szCs w:val="24"/>
        </w:rPr>
        <w:t>l Compliance and Treatments</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comprehensive engagement of employees' trust might have needed to be more adequately estimated to changes in their legitimate terms may also desire illegal procedures. This perception can involve offering preferences to appr</w:t>
      </w:r>
      <w:r>
        <w:rPr>
          <w:rFonts w:ascii="Times New Roman" w:eastAsia="Times New Roman" w:hAnsi="Times New Roman" w:cs="Times New Roman"/>
          <w:sz w:val="24"/>
          <w:szCs w:val="24"/>
        </w:rPr>
        <w:t>opriate labour authorities and employment commitment. The analytical appearance of the treatment for unfair dismissal may organise reestablishment and balance depending on the precise circumstances of the approaches (</w:t>
      </w:r>
      <w:r>
        <w:rPr>
          <w:rFonts w:ascii="Times New Roman" w:eastAsia="Times New Roman" w:hAnsi="Times New Roman" w:cs="Times New Roman"/>
          <w:color w:val="222222"/>
          <w:sz w:val="24"/>
          <w:szCs w:val="24"/>
          <w:highlight w:val="white"/>
        </w:rPr>
        <w:t>Hosseini and Sabokro, 2022)</w:t>
      </w:r>
      <w:r>
        <w:rPr>
          <w:rFonts w:ascii="Times New Roman" w:eastAsia="Times New Roman" w:hAnsi="Times New Roman" w:cs="Times New Roman"/>
          <w:sz w:val="24"/>
          <w:szCs w:val="24"/>
        </w:rPr>
        <w:t>.</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Overall, t</w:t>
      </w:r>
      <w:r>
        <w:rPr>
          <w:rFonts w:ascii="Times New Roman" w:eastAsia="Times New Roman" w:hAnsi="Times New Roman" w:cs="Times New Roman"/>
          <w:sz w:val="24"/>
          <w:szCs w:val="24"/>
        </w:rPr>
        <w:t>he</w:t>
      </w:r>
      <w:r>
        <w:rPr>
          <w:rFonts w:ascii="Times New Roman" w:eastAsia="Times New Roman" w:hAnsi="Times New Roman" w:cs="Times New Roman"/>
          <w:b/>
          <w:i/>
          <w:sz w:val="24"/>
          <w:szCs w:val="24"/>
        </w:rPr>
        <w:t xml:space="preserve"> "fire and rehire"</w:t>
      </w:r>
      <w:r>
        <w:rPr>
          <w:rFonts w:ascii="Times New Roman" w:eastAsia="Times New Roman" w:hAnsi="Times New Roman" w:cs="Times New Roman"/>
          <w:sz w:val="24"/>
          <w:szCs w:val="24"/>
        </w:rPr>
        <w:t xml:space="preserve"> approach would have been illustrated by the </w:t>
      </w:r>
      <w:r>
        <w:rPr>
          <w:rFonts w:ascii="Times New Roman" w:eastAsia="Times New Roman" w:hAnsi="Times New Roman" w:cs="Times New Roman"/>
          <w:b/>
          <w:i/>
          <w:sz w:val="24"/>
          <w:szCs w:val="24"/>
        </w:rPr>
        <w:t>"British Gas boiler engineer</w:t>
      </w:r>
      <w:r>
        <w:rPr>
          <w:rFonts w:ascii="Times New Roman" w:eastAsia="Times New Roman" w:hAnsi="Times New Roman" w:cs="Times New Roman"/>
          <w:sz w:val="24"/>
          <w:szCs w:val="24"/>
        </w:rPr>
        <w:t>, " emphasising the perception between labour laws, legitimate obligations, and ethical considerations. Employers must navigate these factors to determine legal pr</w:t>
      </w:r>
      <w:r>
        <w:rPr>
          <w:rFonts w:ascii="Times New Roman" w:eastAsia="Times New Roman" w:hAnsi="Times New Roman" w:cs="Times New Roman"/>
          <w:sz w:val="24"/>
          <w:szCs w:val="24"/>
        </w:rPr>
        <w:t>actices and preserve a better relationship. Reestablishing unfair dismissals and inappropriate changes to legitimate procedures might not have criminal implications but can influence an organisation's reputation and employee confidence.</w:t>
      </w:r>
    </w:p>
    <w:p w:rsidR="007A09B2" w:rsidRDefault="00566828" w:rsidP="006962FD">
      <w:pPr>
        <w:pStyle w:val="Heading2"/>
      </w:pPr>
      <w:bookmarkStart w:id="13" w:name="_Toc142319332"/>
      <w:r>
        <w:t>Evaluate the potent</w:t>
      </w:r>
      <w:r>
        <w:t>ial impact on employee engagement</w:t>
      </w:r>
      <w:bookmarkEnd w:id="13"/>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Positive Impact</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comprehensive appearance of the analytical estimation applied by British Gas involving the controversial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approach for boiler engineers has increased concerns about unfair dismissals an</w:t>
      </w:r>
      <w:r>
        <w:rPr>
          <w:rFonts w:ascii="Times New Roman" w:eastAsia="Times New Roman" w:hAnsi="Times New Roman" w:cs="Times New Roman"/>
          <w:sz w:val="24"/>
          <w:szCs w:val="24"/>
        </w:rPr>
        <w:t>d their effect on employee engagement. It can also be recognised by the comprehensive measurement of the desire for the positive influence of employee engagement (</w:t>
      </w:r>
      <w:r>
        <w:rPr>
          <w:rFonts w:ascii="Times New Roman" w:eastAsia="Times New Roman" w:hAnsi="Times New Roman" w:cs="Times New Roman"/>
          <w:color w:val="222222"/>
          <w:sz w:val="24"/>
          <w:szCs w:val="24"/>
        </w:rPr>
        <w:t xml:space="preserve">Usman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w:t>
      </w:r>
    </w:p>
    <w:p w:rsidR="007A09B2" w:rsidRDefault="00566828">
      <w:pPr>
        <w:numPr>
          <w:ilvl w:val="0"/>
          <w:numId w:val="21"/>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Efficiency and Skill Enhancement</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analytical procurement by estima</w:t>
      </w:r>
      <w:r>
        <w:rPr>
          <w:rFonts w:ascii="Times New Roman" w:eastAsia="Times New Roman" w:hAnsi="Times New Roman" w:cs="Times New Roman"/>
          <w:sz w:val="24"/>
          <w:szCs w:val="24"/>
        </w:rPr>
        <w:t xml:space="preserve">ting changes to work arrangements and terms, </w:t>
      </w:r>
      <w:r>
        <w:rPr>
          <w:rFonts w:ascii="Times New Roman" w:eastAsia="Times New Roman" w:hAnsi="Times New Roman" w:cs="Times New Roman"/>
          <w:b/>
          <w:i/>
          <w:sz w:val="24"/>
          <w:szCs w:val="24"/>
        </w:rPr>
        <w:t>“British Gas”</w:t>
      </w:r>
      <w:r>
        <w:rPr>
          <w:rFonts w:ascii="Times New Roman" w:eastAsia="Times New Roman" w:hAnsi="Times New Roman" w:cs="Times New Roman"/>
          <w:sz w:val="24"/>
          <w:szCs w:val="24"/>
        </w:rPr>
        <w:t xml:space="preserve"> might have been enhanced to desire operational effectiveness and increase the procedure of their workforce. It can also be determined with a more streamlined employment structure,</w:t>
      </w:r>
      <w:r w:rsidR="008E11EC">
        <w:rPr>
          <w:rFonts w:ascii="Times New Roman" w:eastAsia="Times New Roman" w:hAnsi="Times New Roman" w:cs="Times New Roman"/>
          <w:sz w:val="24"/>
          <w:szCs w:val="24"/>
        </w:rPr>
        <w:t xml:space="preserve"> and</w:t>
      </w:r>
      <w:r>
        <w:rPr>
          <w:rFonts w:ascii="Times New Roman" w:eastAsia="Times New Roman" w:hAnsi="Times New Roman" w:cs="Times New Roman"/>
          <w:sz w:val="24"/>
          <w:szCs w:val="24"/>
        </w:rPr>
        <w:t xml:space="preserve"> engineers might d</w:t>
      </w:r>
      <w:r>
        <w:rPr>
          <w:rFonts w:ascii="Times New Roman" w:eastAsia="Times New Roman" w:hAnsi="Times New Roman" w:cs="Times New Roman"/>
          <w:sz w:val="24"/>
          <w:szCs w:val="24"/>
        </w:rPr>
        <w:t>iscover their working environment in a more specialised and targeted capacity. This procedure might have been demonstrated to conduct a higher experience of job satisfaction that employees would have the possibility to depend on preferences leading to acce</w:t>
      </w:r>
      <w:r>
        <w:rPr>
          <w:rFonts w:ascii="Times New Roman" w:eastAsia="Times New Roman" w:hAnsi="Times New Roman" w:cs="Times New Roman"/>
          <w:sz w:val="24"/>
          <w:szCs w:val="24"/>
        </w:rPr>
        <w:t>lerated engagement (</w:t>
      </w:r>
      <w:r>
        <w:rPr>
          <w:rFonts w:ascii="Times New Roman" w:eastAsia="Times New Roman" w:hAnsi="Times New Roman" w:cs="Times New Roman"/>
          <w:color w:val="222222"/>
          <w:sz w:val="24"/>
          <w:szCs w:val="24"/>
        </w:rPr>
        <w:t>Shrotryia and Dhanda, 2019)</w:t>
      </w:r>
      <w:r>
        <w:rPr>
          <w:rFonts w:ascii="Times New Roman" w:eastAsia="Times New Roman" w:hAnsi="Times New Roman" w:cs="Times New Roman"/>
          <w:sz w:val="24"/>
          <w:szCs w:val="24"/>
        </w:rPr>
        <w:t>. The comprehensive engagement of engineers might encounter prominent stimulation to operate well measured as well as they desire the positive impact of their proficiency on the company's success.</w:t>
      </w:r>
    </w:p>
    <w:p w:rsidR="007A09B2" w:rsidRDefault="00566828">
      <w:pPr>
        <w:numPr>
          <w:ilvl w:val="0"/>
          <w:numId w:val="18"/>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Clarity and </w:t>
      </w:r>
      <w:r>
        <w:rPr>
          <w:rFonts w:ascii="Times New Roman" w:eastAsia="Times New Roman" w:hAnsi="Times New Roman" w:cs="Times New Roman"/>
          <w:b/>
          <w:i/>
          <w:sz w:val="24"/>
          <w:szCs w:val="24"/>
        </w:rPr>
        <w:t>Communication</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Implementing new assurances and terms would have been engaged to accelerate a clearer conversation between </w:t>
      </w:r>
      <w:r>
        <w:rPr>
          <w:rFonts w:ascii="Times New Roman" w:eastAsia="Times New Roman" w:hAnsi="Times New Roman" w:cs="Times New Roman"/>
          <w:b/>
          <w:i/>
          <w:sz w:val="24"/>
          <w:szCs w:val="24"/>
        </w:rPr>
        <w:t>“British Gas”</w:t>
      </w:r>
      <w:r>
        <w:rPr>
          <w:rFonts w:ascii="Times New Roman" w:eastAsia="Times New Roman" w:hAnsi="Times New Roman" w:cs="Times New Roman"/>
          <w:sz w:val="24"/>
          <w:szCs w:val="24"/>
        </w:rPr>
        <w:t xml:space="preserve"> and its workforce. It can be recognised by the comprehensive way the establishment communicates, engaging the circumstances for these measurements, and providing a prominent framework for business enterprise that will affect employees, which can lead to a</w:t>
      </w:r>
      <w:r>
        <w:rPr>
          <w:rFonts w:ascii="Times New Roman" w:eastAsia="Times New Roman" w:hAnsi="Times New Roman" w:cs="Times New Roman"/>
          <w:sz w:val="24"/>
          <w:szCs w:val="24"/>
        </w:rPr>
        <w:t xml:space="preserve"> higher perception of the company's targets and direction (</w:t>
      </w:r>
      <w:r>
        <w:rPr>
          <w:rFonts w:ascii="Times New Roman" w:eastAsia="Times New Roman" w:hAnsi="Times New Roman" w:cs="Times New Roman"/>
          <w:color w:val="222222"/>
          <w:sz w:val="24"/>
          <w:szCs w:val="24"/>
        </w:rPr>
        <w:t xml:space="preserve">Safari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2019)</w:t>
      </w:r>
      <w:r>
        <w:rPr>
          <w:rFonts w:ascii="Times New Roman" w:eastAsia="Times New Roman" w:hAnsi="Times New Roman" w:cs="Times New Roman"/>
          <w:sz w:val="24"/>
          <w:szCs w:val="24"/>
        </w:rPr>
        <w:t xml:space="preserve">. The clarity in communication fosters trust, and personalised might have been </w:t>
      </w:r>
      <w:r>
        <w:rPr>
          <w:rFonts w:ascii="Times New Roman" w:eastAsia="Times New Roman" w:hAnsi="Times New Roman" w:cs="Times New Roman"/>
          <w:sz w:val="24"/>
          <w:szCs w:val="24"/>
        </w:rPr>
        <w:lastRenderedPageBreak/>
        <w:t>demonstrated to conduct discover a prominent leadership style that would be greater in business en</w:t>
      </w:r>
      <w:r>
        <w:rPr>
          <w:rFonts w:ascii="Times New Roman" w:eastAsia="Times New Roman" w:hAnsi="Times New Roman" w:cs="Times New Roman"/>
          <w:sz w:val="24"/>
          <w:szCs w:val="24"/>
        </w:rPr>
        <w:t>hancement to experience engagement and commitment to the company's goals.</w:t>
      </w:r>
    </w:p>
    <w:p w:rsidR="007A09B2" w:rsidRDefault="00566828">
      <w:pPr>
        <w:numPr>
          <w:ilvl w:val="0"/>
          <w:numId w:val="16"/>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 for Development</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analytical presence of the development in rearrangement could obtain possibilities for expert growth and development. This can be demonstrated by a </w:t>
      </w:r>
      <w:r>
        <w:rPr>
          <w:rFonts w:ascii="Times New Roman" w:eastAsia="Times New Roman" w:hAnsi="Times New Roman" w:cs="Times New Roman"/>
          <w:sz w:val="24"/>
          <w:szCs w:val="24"/>
        </w:rPr>
        <w:t>continued emphasis on particular ability measures; employees may have access to targeted training programs, credentials, and ability enhancement workshops. These opportunities can enhance their confidence, job satisfaction, and motivation to contribute eff</w:t>
      </w:r>
      <w:r>
        <w:rPr>
          <w:rFonts w:ascii="Times New Roman" w:eastAsia="Times New Roman" w:hAnsi="Times New Roman" w:cs="Times New Roman"/>
          <w:sz w:val="24"/>
          <w:szCs w:val="24"/>
        </w:rPr>
        <w:t>ectively to the company's success (</w:t>
      </w:r>
      <w:r>
        <w:rPr>
          <w:rFonts w:ascii="Times New Roman" w:eastAsia="Times New Roman" w:hAnsi="Times New Roman" w:cs="Times New Roman"/>
          <w:color w:val="222222"/>
          <w:sz w:val="24"/>
          <w:szCs w:val="24"/>
        </w:rPr>
        <w:t xml:space="preserve">Massaro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The perception of a corporation invested in their enlargement can significantly influence employees' engagement presence.</w:t>
      </w:r>
    </w:p>
    <w:p w:rsidR="007A09B2" w:rsidRDefault="00566828">
      <w:pPr>
        <w:numPr>
          <w:ilvl w:val="0"/>
          <w:numId w:val="1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Enhanced Team Conflict</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capability enhancement of the team confliction to</w:t>
      </w:r>
      <w:r>
        <w:rPr>
          <w:rFonts w:ascii="Times New Roman" w:eastAsia="Times New Roman" w:hAnsi="Times New Roman" w:cs="Times New Roman"/>
          <w:sz w:val="24"/>
          <w:szCs w:val="24"/>
        </w:rPr>
        <w:t xml:space="preserve"> changes in employment terms might have been demonstrated to estimate better conflict teams. This can be reliable by enhancing personalised enrollments with comparable assurances and terms. It promotes cohesion and frequent motivation among enterprise work</w:t>
      </w:r>
      <w:r>
        <w:rPr>
          <w:rFonts w:ascii="Times New Roman" w:eastAsia="Times New Roman" w:hAnsi="Times New Roman" w:cs="Times New Roman"/>
          <w:sz w:val="24"/>
          <w:szCs w:val="24"/>
        </w:rPr>
        <w:t>ers; this cohesion could result in stronger collaboration, knowledge-sharing, and problem-solving (</w:t>
      </w:r>
      <w:r>
        <w:rPr>
          <w:rFonts w:ascii="Times New Roman" w:eastAsia="Times New Roman" w:hAnsi="Times New Roman" w:cs="Times New Roman"/>
          <w:color w:val="222222"/>
          <w:sz w:val="24"/>
          <w:szCs w:val="24"/>
        </w:rPr>
        <w:t xml:space="preserve">Zhang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2020)</w:t>
      </w:r>
      <w:r>
        <w:rPr>
          <w:rFonts w:ascii="Times New Roman" w:eastAsia="Times New Roman" w:hAnsi="Times New Roman" w:cs="Times New Roman"/>
          <w:sz w:val="24"/>
          <w:szCs w:val="24"/>
        </w:rPr>
        <w:t xml:space="preserve">. It can be determined that employees' experience and consistency of collaboration and relationship to the enterprise heighten, occurring </w:t>
      </w:r>
      <w:r>
        <w:rPr>
          <w:rFonts w:ascii="Times New Roman" w:eastAsia="Times New Roman" w:hAnsi="Times New Roman" w:cs="Times New Roman"/>
          <w:sz w:val="24"/>
          <w:szCs w:val="24"/>
        </w:rPr>
        <w:t xml:space="preserve">in higher engagement efficiency. The analytical engagement of these potential influences demonstrates it's indispensable to recognise the procedure changes that might have been conducted. The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strategy has stimulated a proper response due </w:t>
      </w:r>
      <w:r>
        <w:rPr>
          <w:rFonts w:ascii="Times New Roman" w:eastAsia="Times New Roman" w:hAnsi="Times New Roman" w:cs="Times New Roman"/>
          <w:sz w:val="24"/>
          <w:szCs w:val="24"/>
        </w:rPr>
        <w:t>to concerns about job security, fairness, and ethical considerations. Employee engagement is a multifaceted thought influenced utilising various factors and possible engagements that may not completely navigate the inadequate consequences and perceptions a</w:t>
      </w:r>
      <w:r>
        <w:rPr>
          <w:rFonts w:ascii="Times New Roman" w:eastAsia="Times New Roman" w:hAnsi="Times New Roman" w:cs="Times New Roman"/>
          <w:sz w:val="24"/>
          <w:szCs w:val="24"/>
        </w:rPr>
        <w:t>ssociated with the changes (</w:t>
      </w:r>
      <w:r>
        <w:rPr>
          <w:rFonts w:ascii="Times New Roman" w:eastAsia="Times New Roman" w:hAnsi="Times New Roman" w:cs="Times New Roman"/>
          <w:color w:val="222222"/>
          <w:sz w:val="24"/>
          <w:szCs w:val="24"/>
        </w:rPr>
        <w:t xml:space="preserve">Drosos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Overall, the positive impact of </w:t>
      </w:r>
      <w:r>
        <w:rPr>
          <w:rFonts w:ascii="Times New Roman" w:eastAsia="Times New Roman" w:hAnsi="Times New Roman" w:cs="Times New Roman"/>
          <w:b/>
          <w:i/>
          <w:sz w:val="24"/>
          <w:szCs w:val="24"/>
        </w:rPr>
        <w:t>“British Gas’s”</w:t>
      </w:r>
      <w:r>
        <w:rPr>
          <w:rFonts w:ascii="Times New Roman" w:eastAsia="Times New Roman" w:hAnsi="Times New Roman" w:cs="Times New Roman"/>
          <w:sz w:val="24"/>
          <w:szCs w:val="24"/>
        </w:rPr>
        <w:t xml:space="preserve">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strategy on worker engagement is a complicated difficulty with both adequate and terrible implications. The comprehensive engagement of impr</w:t>
      </w:r>
      <w:r>
        <w:rPr>
          <w:rFonts w:ascii="Times New Roman" w:eastAsia="Times New Roman" w:hAnsi="Times New Roman" w:cs="Times New Roman"/>
          <w:sz w:val="24"/>
          <w:szCs w:val="24"/>
        </w:rPr>
        <w:t>ovements, high communication, increased opportunities, and team conflicts can effectively influence employees' engagement levels. This involvement can be reliable by enlarging measures associated with the concerns related to job security, fairness, and eth</w:t>
      </w:r>
      <w:r>
        <w:rPr>
          <w:rFonts w:ascii="Times New Roman" w:eastAsia="Times New Roman" w:hAnsi="Times New Roman" w:cs="Times New Roman"/>
          <w:sz w:val="24"/>
          <w:szCs w:val="24"/>
        </w:rPr>
        <w:t>ical considerations that have occurred from these changes (</w:t>
      </w:r>
      <w:r>
        <w:rPr>
          <w:rFonts w:ascii="Times New Roman" w:eastAsia="Times New Roman" w:hAnsi="Times New Roman" w:cs="Times New Roman"/>
          <w:color w:val="222222"/>
          <w:sz w:val="24"/>
          <w:szCs w:val="24"/>
        </w:rPr>
        <w:t>Salvioni and Almici, 2020)</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Enterprises must approach such decisions carefully, considering the long-term developments in their workforce's confidence, commitment, and personalised well-being.</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Nega</w:t>
      </w:r>
      <w:r>
        <w:rPr>
          <w:rFonts w:ascii="Times New Roman" w:eastAsia="Times New Roman" w:hAnsi="Times New Roman" w:cs="Times New Roman"/>
          <w:b/>
          <w:sz w:val="24"/>
          <w:szCs w:val="24"/>
        </w:rPr>
        <w:t>tive Impact</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comprehensive implication of the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strategy by utilising </w:t>
      </w:r>
      <w:r>
        <w:rPr>
          <w:rFonts w:ascii="Times New Roman" w:eastAsia="Times New Roman" w:hAnsi="Times New Roman" w:cs="Times New Roman"/>
          <w:b/>
          <w:i/>
          <w:sz w:val="24"/>
          <w:szCs w:val="24"/>
        </w:rPr>
        <w:t>“British Gas”</w:t>
      </w:r>
      <w:r>
        <w:rPr>
          <w:rFonts w:ascii="Times New Roman" w:eastAsia="Times New Roman" w:hAnsi="Times New Roman" w:cs="Times New Roman"/>
          <w:sz w:val="24"/>
          <w:szCs w:val="24"/>
        </w:rPr>
        <w:t>, particularly regarding boiler engineers, has determined a more comprehensive awareness due to its inadequate impact on worker engagement (</w:t>
      </w:r>
      <w:r>
        <w:rPr>
          <w:rFonts w:ascii="Times New Roman" w:eastAsia="Times New Roman" w:hAnsi="Times New Roman" w:cs="Times New Roman"/>
          <w:color w:val="222222"/>
          <w:sz w:val="24"/>
          <w:szCs w:val="24"/>
        </w:rPr>
        <w:t>Pham and Paill</w:t>
      </w:r>
      <w:r>
        <w:rPr>
          <w:rFonts w:ascii="Times New Roman" w:eastAsia="Times New Roman" w:hAnsi="Times New Roman" w:cs="Times New Roman"/>
          <w:color w:val="222222"/>
          <w:sz w:val="24"/>
          <w:szCs w:val="24"/>
        </w:rPr>
        <w:t>é, 2020)</w:t>
      </w:r>
      <w:r>
        <w:rPr>
          <w:rFonts w:ascii="Times New Roman" w:eastAsia="Times New Roman" w:hAnsi="Times New Roman" w:cs="Times New Roman"/>
          <w:sz w:val="24"/>
          <w:szCs w:val="24"/>
        </w:rPr>
        <w:t xml:space="preserve">. This approach includes removing existing employment assurances and providing new procedures with limited terms and conditions. </w:t>
      </w:r>
    </w:p>
    <w:p w:rsidR="007A09B2" w:rsidRDefault="00566828">
      <w:pPr>
        <w:numPr>
          <w:ilvl w:val="0"/>
          <w:numId w:val="4"/>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Erosion of Trust and Loyalty</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analytical procedure of the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strategy might have been demonstrated to conduct the deterioration of belief between employees and the company. It can be a concern that personalised engagement might have recognised their company by accommodating and discarding their existing contracts w</w:t>
      </w:r>
      <w:r>
        <w:rPr>
          <w:rFonts w:ascii="Times New Roman" w:eastAsia="Times New Roman" w:hAnsi="Times New Roman" w:cs="Times New Roman"/>
          <w:sz w:val="24"/>
          <w:szCs w:val="24"/>
        </w:rPr>
        <w:t>ithout immense explanation, creating a feeling of disloyalty (</w:t>
      </w:r>
      <w:r>
        <w:rPr>
          <w:rFonts w:ascii="Times New Roman" w:eastAsia="Times New Roman" w:hAnsi="Times New Roman" w:cs="Times New Roman"/>
          <w:color w:val="222222"/>
          <w:sz w:val="24"/>
          <w:szCs w:val="24"/>
        </w:rPr>
        <w:t>Li, Rees, and Branine, 2019)</w:t>
      </w:r>
      <w:r>
        <w:rPr>
          <w:rFonts w:ascii="Times New Roman" w:eastAsia="Times New Roman" w:hAnsi="Times New Roman" w:cs="Times New Roman"/>
          <w:sz w:val="24"/>
          <w:szCs w:val="24"/>
        </w:rPr>
        <w:t>. This deterioration of belief contributes to a reduction in loyalty to the organisation's direction, which can be prevented and diminishes worker engagement. The ana</w:t>
      </w:r>
      <w:r>
        <w:rPr>
          <w:rFonts w:ascii="Times New Roman" w:eastAsia="Times New Roman" w:hAnsi="Times New Roman" w:cs="Times New Roman"/>
          <w:sz w:val="24"/>
          <w:szCs w:val="24"/>
        </w:rPr>
        <w:t>lytical procedures of employees' feelings might have engaged in their commitment and dedication to be significantly invested in their work.</w:t>
      </w:r>
    </w:p>
    <w:p w:rsidR="007A09B2" w:rsidRDefault="00566828">
      <w:pPr>
        <w:numPr>
          <w:ilvl w:val="0"/>
          <w:numId w:val="5"/>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Increased Stress and Apprehension</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uncertainty surrounding possible job loss due to </w:t>
      </w:r>
      <w:r>
        <w:rPr>
          <w:rFonts w:ascii="Times New Roman" w:eastAsia="Times New Roman" w:hAnsi="Times New Roman" w:cs="Times New Roman"/>
          <w:b/>
          <w:i/>
          <w:sz w:val="24"/>
          <w:szCs w:val="24"/>
        </w:rPr>
        <w:t>“mass dismissals”</w:t>
      </w:r>
      <w:r>
        <w:rPr>
          <w:rFonts w:ascii="Times New Roman" w:eastAsia="Times New Roman" w:hAnsi="Times New Roman" w:cs="Times New Roman"/>
          <w:sz w:val="24"/>
          <w:szCs w:val="24"/>
        </w:rPr>
        <w:t xml:space="preserve"> creates hei</w:t>
      </w:r>
      <w:r>
        <w:rPr>
          <w:rFonts w:ascii="Times New Roman" w:eastAsia="Times New Roman" w:hAnsi="Times New Roman" w:cs="Times New Roman"/>
          <w:sz w:val="24"/>
          <w:szCs w:val="24"/>
        </w:rPr>
        <w:t>ghtened employee stress and anxiety. The concern of decreasing their well-being establishments and determining financial instability can negatively impact their intellectual well-being. The comprehensive measurement of the workers fascinated with job secur</w:t>
      </w:r>
      <w:r>
        <w:rPr>
          <w:rFonts w:ascii="Times New Roman" w:eastAsia="Times New Roman" w:hAnsi="Times New Roman" w:cs="Times New Roman"/>
          <w:sz w:val="24"/>
          <w:szCs w:val="24"/>
        </w:rPr>
        <w:t>ity concerns that would be less probable to be engaged in their work tasks. This distraction inhibits their ability to focus, innovate, and collaborate, diminishing intermediate productivity (</w:t>
      </w:r>
      <w:r>
        <w:rPr>
          <w:rFonts w:ascii="Times New Roman" w:eastAsia="Times New Roman" w:hAnsi="Times New Roman" w:cs="Times New Roman"/>
          <w:color w:val="222222"/>
          <w:sz w:val="24"/>
          <w:szCs w:val="24"/>
        </w:rPr>
        <w:t>Nantee and Sureeyatanapas, 2021)</w:t>
      </w:r>
      <w:r>
        <w:rPr>
          <w:rFonts w:ascii="Times New Roman" w:eastAsia="Times New Roman" w:hAnsi="Times New Roman" w:cs="Times New Roman"/>
          <w:sz w:val="24"/>
          <w:szCs w:val="24"/>
        </w:rPr>
        <w:t>.</w:t>
      </w:r>
    </w:p>
    <w:p w:rsidR="007A09B2" w:rsidRDefault="00566828">
      <w:pPr>
        <w:numPr>
          <w:ilvl w:val="0"/>
          <w:numId w:val="6"/>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Deterioration of Work-Life Bal</w:t>
      </w:r>
      <w:r>
        <w:rPr>
          <w:rFonts w:ascii="Times New Roman" w:eastAsia="Times New Roman" w:hAnsi="Times New Roman" w:cs="Times New Roman"/>
          <w:b/>
          <w:i/>
          <w:sz w:val="24"/>
          <w:szCs w:val="24"/>
        </w:rPr>
        <w:t>ance</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disruption influenced by the deterioration of work-life balance would have been demonstrated by utilising the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strategy disrupts the work-life resilience of influenced employees. The analytical engagement of the establishment dema</w:t>
      </w:r>
      <w:r>
        <w:rPr>
          <w:rFonts w:ascii="Times New Roman" w:eastAsia="Times New Roman" w:hAnsi="Times New Roman" w:cs="Times New Roman"/>
          <w:sz w:val="24"/>
          <w:szCs w:val="24"/>
        </w:rPr>
        <w:t>nded to transform to new terms and conditions and the requirement to explore employment preference, impairing their personalised engagements (</w:t>
      </w:r>
      <w:r>
        <w:rPr>
          <w:rFonts w:ascii="Times New Roman" w:eastAsia="Times New Roman" w:hAnsi="Times New Roman" w:cs="Times New Roman"/>
          <w:color w:val="222222"/>
          <w:sz w:val="24"/>
          <w:szCs w:val="24"/>
        </w:rPr>
        <w:t xml:space="preserve">Tennison </w:t>
      </w:r>
      <w:r>
        <w:rPr>
          <w:rFonts w:ascii="Times New Roman" w:eastAsia="Times New Roman" w:hAnsi="Times New Roman" w:cs="Times New Roman"/>
          <w:i/>
          <w:color w:val="222222"/>
          <w:sz w:val="24"/>
          <w:szCs w:val="24"/>
        </w:rPr>
        <w:t xml:space="preserve">et al., </w:t>
      </w:r>
      <w:r>
        <w:rPr>
          <w:rFonts w:ascii="Times New Roman" w:eastAsia="Times New Roman" w:hAnsi="Times New Roman" w:cs="Times New Roman"/>
          <w:color w:val="222222"/>
          <w:sz w:val="24"/>
          <w:szCs w:val="24"/>
        </w:rPr>
        <w:t>2021)</w:t>
      </w:r>
      <w:r>
        <w:rPr>
          <w:rFonts w:ascii="Times New Roman" w:eastAsia="Times New Roman" w:hAnsi="Times New Roman" w:cs="Times New Roman"/>
          <w:sz w:val="24"/>
          <w:szCs w:val="24"/>
        </w:rPr>
        <w:t xml:space="preserve">. It can also be determined that the perception </w:t>
      </w:r>
      <w:r>
        <w:rPr>
          <w:rFonts w:ascii="Times New Roman" w:eastAsia="Times New Roman" w:hAnsi="Times New Roman" w:cs="Times New Roman"/>
          <w:sz w:val="24"/>
          <w:szCs w:val="24"/>
        </w:rPr>
        <w:lastRenderedPageBreak/>
        <w:t>of employees' confidence level can decrease,</w:t>
      </w:r>
      <w:r>
        <w:rPr>
          <w:rFonts w:ascii="Times New Roman" w:eastAsia="Times New Roman" w:hAnsi="Times New Roman" w:cs="Times New Roman"/>
          <w:sz w:val="24"/>
          <w:szCs w:val="24"/>
        </w:rPr>
        <w:t xml:space="preserve"> leading to reduced engagement levels. The work-life balance can demonstrate this diminishes their personalised dynamics, making it challenging to remain influenced and committed to their positions.</w:t>
      </w:r>
    </w:p>
    <w:p w:rsidR="007A09B2" w:rsidRDefault="00566828">
      <w:pPr>
        <w:numPr>
          <w:ilvl w:val="0"/>
          <w:numId w:val="19"/>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Decreasing Employee Express and Autonomy</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comprehensiv</w:t>
      </w:r>
      <w:r>
        <w:rPr>
          <w:rFonts w:ascii="Times New Roman" w:eastAsia="Times New Roman" w:hAnsi="Times New Roman" w:cs="Times New Roman"/>
          <w:sz w:val="24"/>
          <w:szCs w:val="24"/>
        </w:rPr>
        <w:t xml:space="preserve">e implications of the </w:t>
      </w:r>
      <w:r>
        <w:rPr>
          <w:rFonts w:ascii="Times New Roman" w:eastAsia="Times New Roman" w:hAnsi="Times New Roman" w:cs="Times New Roman"/>
          <w:b/>
          <w:i/>
          <w:sz w:val="24"/>
          <w:szCs w:val="24"/>
        </w:rPr>
        <w:t>“Mass dismissals”</w:t>
      </w:r>
      <w:r>
        <w:rPr>
          <w:rFonts w:ascii="Times New Roman" w:eastAsia="Times New Roman" w:hAnsi="Times New Roman" w:cs="Times New Roman"/>
          <w:sz w:val="24"/>
          <w:szCs w:val="24"/>
        </w:rPr>
        <w:t xml:space="preserve"> through the procedure of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reduce the representative and autonomy of employees. It can be recognised by the analytical engagement of the entire employment preferences that would have been assembled i</w:t>
      </w:r>
      <w:r>
        <w:rPr>
          <w:rFonts w:ascii="Times New Roman" w:eastAsia="Times New Roman" w:hAnsi="Times New Roman" w:cs="Times New Roman"/>
          <w:sz w:val="24"/>
          <w:szCs w:val="24"/>
        </w:rPr>
        <w:t>nvolving the team of workers in conversations and negotiations; it transmits a tremendous engagement that employee entry might have been disregarded. This leads to a diminished consistency of possession and preferences (</w:t>
      </w:r>
      <w:r>
        <w:rPr>
          <w:rFonts w:ascii="Times New Roman" w:eastAsia="Times New Roman" w:hAnsi="Times New Roman" w:cs="Times New Roman"/>
          <w:color w:val="222222"/>
          <w:sz w:val="24"/>
          <w:szCs w:val="24"/>
        </w:rPr>
        <w:t>Chege and Wang, 2020)</w:t>
      </w:r>
      <w:r>
        <w:rPr>
          <w:rFonts w:ascii="Times New Roman" w:eastAsia="Times New Roman" w:hAnsi="Times New Roman" w:cs="Times New Roman"/>
          <w:sz w:val="24"/>
          <w:szCs w:val="24"/>
        </w:rPr>
        <w:t>.</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Overall, the </w:t>
      </w:r>
      <w:r>
        <w:rPr>
          <w:rFonts w:ascii="Times New Roman" w:eastAsia="Times New Roman" w:hAnsi="Times New Roman" w:cs="Times New Roman"/>
          <w:b/>
          <w:i/>
          <w:sz w:val="24"/>
          <w:szCs w:val="24"/>
        </w:rPr>
        <w:t>"fire and rehire"</w:t>
      </w:r>
      <w:r>
        <w:rPr>
          <w:rFonts w:ascii="Times New Roman" w:eastAsia="Times New Roman" w:hAnsi="Times New Roman" w:cs="Times New Roman"/>
          <w:sz w:val="24"/>
          <w:szCs w:val="24"/>
        </w:rPr>
        <w:t xml:space="preserve"> method would have been assumed with the resource of </w:t>
      </w:r>
      <w:r>
        <w:rPr>
          <w:rFonts w:ascii="Times New Roman" w:eastAsia="Times New Roman" w:hAnsi="Times New Roman" w:cs="Times New Roman"/>
          <w:b/>
          <w:i/>
          <w:sz w:val="24"/>
          <w:szCs w:val="24"/>
        </w:rPr>
        <w:t>“British Gas”</w:t>
      </w:r>
      <w:r>
        <w:rPr>
          <w:rFonts w:ascii="Times New Roman" w:eastAsia="Times New Roman" w:hAnsi="Times New Roman" w:cs="Times New Roman"/>
          <w:sz w:val="24"/>
          <w:szCs w:val="24"/>
        </w:rPr>
        <w:t xml:space="preserve"> in the context of boiler engineers has delivered an extremely inadequate effect on worker engagement. The deterioration of trust strengthened stress and apprehension, disru</w:t>
      </w:r>
      <w:r>
        <w:rPr>
          <w:rFonts w:ascii="Times New Roman" w:eastAsia="Times New Roman" w:hAnsi="Times New Roman" w:cs="Times New Roman"/>
          <w:sz w:val="24"/>
          <w:szCs w:val="24"/>
        </w:rPr>
        <w:t>ption of work-life balance, and the reduction of workers' representatives contribute to a reduction in the dedication and motivation of workers (</w:t>
      </w:r>
      <w:r>
        <w:rPr>
          <w:rFonts w:ascii="Times New Roman" w:eastAsia="Times New Roman" w:hAnsi="Times New Roman" w:cs="Times New Roman"/>
          <w:color w:val="222222"/>
          <w:sz w:val="24"/>
          <w:szCs w:val="24"/>
        </w:rPr>
        <w:t>Pham, Tučková, and Jabbour, 2019)</w:t>
      </w:r>
      <w:r>
        <w:rPr>
          <w:rFonts w:ascii="Times New Roman" w:eastAsia="Times New Roman" w:hAnsi="Times New Roman" w:cs="Times New Roman"/>
          <w:sz w:val="24"/>
          <w:szCs w:val="24"/>
        </w:rPr>
        <w:t xml:space="preserve">. The </w:t>
      </w:r>
      <w:r>
        <w:rPr>
          <w:rFonts w:ascii="Times New Roman" w:eastAsia="Times New Roman" w:hAnsi="Times New Roman" w:cs="Times New Roman"/>
          <w:b/>
          <w:i/>
          <w:sz w:val="24"/>
          <w:szCs w:val="24"/>
        </w:rPr>
        <w:t xml:space="preserve">“British Gas” </w:t>
      </w:r>
      <w:r>
        <w:rPr>
          <w:rFonts w:ascii="Times New Roman" w:eastAsia="Times New Roman" w:hAnsi="Times New Roman" w:cs="Times New Roman"/>
          <w:sz w:val="24"/>
          <w:szCs w:val="24"/>
        </w:rPr>
        <w:t>company might have to apprehend that legitimate procedure,</w:t>
      </w:r>
      <w:r>
        <w:rPr>
          <w:rFonts w:ascii="Times New Roman" w:eastAsia="Times New Roman" w:hAnsi="Times New Roman" w:cs="Times New Roman"/>
          <w:sz w:val="24"/>
          <w:szCs w:val="24"/>
        </w:rPr>
        <w:t xml:space="preserve"> open communication, and recognition of worker well-being would have been crucial for preserving an excessive engagement presence and fostering an effective and profitable work environment.</w:t>
      </w:r>
    </w:p>
    <w:p w:rsidR="007A09B2" w:rsidRDefault="00566828" w:rsidP="006962FD">
      <w:pPr>
        <w:pStyle w:val="Heading2"/>
      </w:pPr>
      <w:bookmarkStart w:id="14" w:name="_Toc142319333"/>
      <w:r>
        <w:t>Evaluates HR involvement in this issue</w:t>
      </w:r>
      <w:bookmarkEnd w:id="14"/>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involvement in the case </w:t>
      </w:r>
      <w:r>
        <w:rPr>
          <w:rFonts w:ascii="Times New Roman" w:eastAsia="Times New Roman" w:hAnsi="Times New Roman" w:cs="Times New Roman"/>
          <w:sz w:val="24"/>
          <w:szCs w:val="24"/>
        </w:rPr>
        <w:t xml:space="preserve">of "fire and rehire" tactics within the UK labour market is essential, as it instantly affects workers' well-being, industrial concerns, and administrative importance. </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Policy Development and Compliance:</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is critical in creating and executing </w:t>
      </w:r>
      <w:r>
        <w:rPr>
          <w:rFonts w:ascii="Times New Roman" w:eastAsia="Times New Roman" w:hAnsi="Times New Roman" w:cs="Times New Roman"/>
          <w:sz w:val="24"/>
          <w:szCs w:val="24"/>
        </w:rPr>
        <w:t>procedures and rules related to worker agreements, terminations, and re-employment (</w:t>
      </w:r>
      <w:r>
        <w:rPr>
          <w:rFonts w:ascii="Times" w:eastAsia="Times" w:hAnsi="Times" w:cs="Times"/>
          <w:color w:val="222222"/>
          <w:sz w:val="24"/>
          <w:szCs w:val="24"/>
        </w:rPr>
        <w:t xml:space="preserve">Aburumman </w:t>
      </w:r>
      <w:r>
        <w:rPr>
          <w:rFonts w:ascii="Times" w:eastAsia="Times" w:hAnsi="Times" w:cs="Times"/>
          <w:i/>
          <w:color w:val="222222"/>
          <w:sz w:val="24"/>
          <w:szCs w:val="24"/>
        </w:rPr>
        <w:t>et al</w:t>
      </w:r>
      <w:r>
        <w:rPr>
          <w:rFonts w:ascii="Times" w:eastAsia="Times" w:hAnsi="Times" w:cs="Times"/>
          <w:color w:val="222222"/>
          <w:sz w:val="24"/>
          <w:szCs w:val="24"/>
        </w:rPr>
        <w:t>., 2020</w:t>
      </w:r>
      <w:r>
        <w:rPr>
          <w:rFonts w:ascii="Times New Roman" w:eastAsia="Times New Roman" w:hAnsi="Times New Roman" w:cs="Times New Roman"/>
          <w:sz w:val="24"/>
          <w:szCs w:val="24"/>
        </w:rPr>
        <w:t>). HR must confirm that the organisation's approaches comply with applicable labour rules and laws to avoid possible legal repercussions.</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Employee </w:t>
      </w:r>
      <w:r>
        <w:rPr>
          <w:rFonts w:ascii="Times New Roman" w:eastAsia="Times New Roman" w:hAnsi="Times New Roman" w:cs="Times New Roman"/>
          <w:b/>
          <w:sz w:val="24"/>
          <w:szCs w:val="24"/>
        </w:rPr>
        <w:t>Communication and Engagement:</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is responsible for corresponding transformations in employment terms and requirements to workers impacted by the "fire and rehire" approach. Transparent and adequate communication is important to preserve trust and mitigate</w:t>
      </w:r>
      <w:r>
        <w:rPr>
          <w:rFonts w:ascii="Times New Roman" w:eastAsia="Times New Roman" w:hAnsi="Times New Roman" w:cs="Times New Roman"/>
          <w:sz w:val="24"/>
          <w:szCs w:val="24"/>
        </w:rPr>
        <w:t xml:space="preserve"> harmful effects on worker confidence and engagement.</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 Employee Support and Counseling:</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"fire and rehire" approach, HR should support impacted workers, including counselling sessions and key resources, and help them comprehend their ownership </w:t>
      </w:r>
      <w:r>
        <w:rPr>
          <w:rFonts w:ascii="Times New Roman" w:eastAsia="Times New Roman" w:hAnsi="Times New Roman" w:cs="Times New Roman"/>
          <w:sz w:val="24"/>
          <w:szCs w:val="24"/>
        </w:rPr>
        <w:t>and opportunities (</w:t>
      </w:r>
      <w:r>
        <w:rPr>
          <w:rFonts w:ascii="Times" w:eastAsia="Times" w:hAnsi="Times" w:cs="Times"/>
          <w:color w:val="222222"/>
          <w:sz w:val="24"/>
          <w:szCs w:val="24"/>
        </w:rPr>
        <w:t>Yong, 2020</w:t>
      </w:r>
      <w:r>
        <w:rPr>
          <w:rFonts w:ascii="Times New Roman" w:eastAsia="Times New Roman" w:hAnsi="Times New Roman" w:cs="Times New Roman"/>
          <w:sz w:val="24"/>
          <w:szCs w:val="24"/>
        </w:rPr>
        <w:t>). Empathetic support can assist in reducing the emotional pressure experienced by involved workers.</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Industrial Relations and Negotiation:</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often collaborates with business unions or worker representatives during labour co</w:t>
      </w:r>
      <w:r>
        <w:rPr>
          <w:rFonts w:ascii="Times New Roman" w:eastAsia="Times New Roman" w:hAnsi="Times New Roman" w:cs="Times New Roman"/>
          <w:sz w:val="24"/>
          <w:szCs w:val="24"/>
        </w:rPr>
        <w:t>nflicts linked to "fire and rehire." HR's capacity to employ ineffective negotiations can affect the result and help find alternative answers that benefit both groups.</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Ethical Considerations:</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HR must consider the ethical importance of "fire and rehire" </w:t>
      </w:r>
      <w:r>
        <w:rPr>
          <w:rFonts w:ascii="Times New Roman" w:eastAsia="Times New Roman" w:hAnsi="Times New Roman" w:cs="Times New Roman"/>
          <w:sz w:val="24"/>
          <w:szCs w:val="24"/>
        </w:rPr>
        <w:t>tactics and deliver advice to the association's leadership. Ethical decision-making is necessary to sustain the organisation's importance and promote an optimistic work culture.</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Impact on Employer Branding:</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plays an important role in shaping the orga</w:t>
      </w:r>
      <w:r>
        <w:rPr>
          <w:rFonts w:ascii="Times New Roman" w:eastAsia="Times New Roman" w:hAnsi="Times New Roman" w:cs="Times New Roman"/>
          <w:sz w:val="24"/>
          <w:szCs w:val="24"/>
        </w:rPr>
        <w:t>nisation's employer brand. The path taken by HR in managing the "fire and rehire" problem can influence how the association is sensed by existing and possible workers, consumers, and different stakeholders.</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Talent Acquisition and Retention:</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"fire </w:t>
      </w:r>
      <w:r>
        <w:rPr>
          <w:rFonts w:ascii="Times New Roman" w:eastAsia="Times New Roman" w:hAnsi="Times New Roman" w:cs="Times New Roman"/>
          <w:sz w:val="24"/>
          <w:szCs w:val="24"/>
        </w:rPr>
        <w:t>and rehire" procedure can deter possible job applicants and guide talent attrition (</w:t>
      </w:r>
      <w:r>
        <w:rPr>
          <w:rFonts w:ascii="Times" w:eastAsia="Times" w:hAnsi="Times" w:cs="Times"/>
          <w:color w:val="222222"/>
          <w:sz w:val="24"/>
          <w:szCs w:val="24"/>
        </w:rPr>
        <w:t xml:space="preserve">Manzoor </w:t>
      </w:r>
      <w:r>
        <w:rPr>
          <w:rFonts w:ascii="Times" w:eastAsia="Times" w:hAnsi="Times" w:cs="Times"/>
          <w:i/>
          <w:color w:val="222222"/>
          <w:sz w:val="24"/>
          <w:szCs w:val="24"/>
        </w:rPr>
        <w:t>et al</w:t>
      </w:r>
      <w:r>
        <w:rPr>
          <w:rFonts w:ascii="Times" w:eastAsia="Times" w:hAnsi="Times" w:cs="Times"/>
          <w:color w:val="222222"/>
          <w:sz w:val="24"/>
          <w:szCs w:val="24"/>
        </w:rPr>
        <w:t>. 2019</w:t>
      </w:r>
      <w:r>
        <w:rPr>
          <w:rFonts w:ascii="Times New Roman" w:eastAsia="Times New Roman" w:hAnsi="Times New Roman" w:cs="Times New Roman"/>
          <w:sz w:val="24"/>
          <w:szCs w:val="24"/>
        </w:rPr>
        <w:t>). HR needs to consider the effect of aptitude investment and develop methods to attract and keep qualified employees.</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Employee Relations Training:</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w:t>
      </w:r>
      <w:r>
        <w:rPr>
          <w:rFonts w:ascii="Times New Roman" w:eastAsia="Times New Roman" w:hAnsi="Times New Roman" w:cs="Times New Roman"/>
          <w:sz w:val="24"/>
          <w:szCs w:val="24"/>
        </w:rPr>
        <w:t xml:space="preserve"> can deliver training to line supervisors and managers on managing worker concerns matters, including handling "fire and rehire" problems with sensitivity and compassion.</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 Diversity and Inclusion Considerations:</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should assess the effect of "fire and r</w:t>
      </w:r>
      <w:r>
        <w:rPr>
          <w:rFonts w:ascii="Times New Roman" w:eastAsia="Times New Roman" w:hAnsi="Times New Roman" w:cs="Times New Roman"/>
          <w:sz w:val="24"/>
          <w:szCs w:val="24"/>
        </w:rPr>
        <w:t>ehire" tactics on variety and inclusion measures. These methods can disproportionately impact specific demographic companies, and HR should work to provide fairness and equity.</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Monitoring and Reporting:</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HR's involvement stretches to observing the effec</w:t>
      </w:r>
      <w:r>
        <w:rPr>
          <w:rFonts w:ascii="Times New Roman" w:eastAsia="Times New Roman" w:hAnsi="Times New Roman" w:cs="Times New Roman"/>
          <w:sz w:val="24"/>
          <w:szCs w:val="24"/>
        </w:rPr>
        <w:t>t of "fire and rehire" techniques on critical HR metrics, such as worker turnover, employee satisfaction, and employee concerns issues (</w:t>
      </w:r>
      <w:r>
        <w:rPr>
          <w:rFonts w:ascii="Times" w:eastAsia="Times" w:hAnsi="Times" w:cs="Times"/>
          <w:color w:val="222222"/>
          <w:sz w:val="24"/>
          <w:szCs w:val="24"/>
        </w:rPr>
        <w:t xml:space="preserve">Alzoubi </w:t>
      </w:r>
      <w:r>
        <w:rPr>
          <w:rFonts w:ascii="Times" w:eastAsia="Times" w:hAnsi="Times" w:cs="Times"/>
          <w:i/>
          <w:color w:val="222222"/>
          <w:sz w:val="24"/>
          <w:szCs w:val="24"/>
        </w:rPr>
        <w:t>et al</w:t>
      </w:r>
      <w:r>
        <w:rPr>
          <w:rFonts w:ascii="Times" w:eastAsia="Times" w:hAnsi="Times" w:cs="Times"/>
          <w:color w:val="222222"/>
          <w:sz w:val="24"/>
          <w:szCs w:val="24"/>
        </w:rPr>
        <w:t>., 2022</w:t>
      </w:r>
      <w:r>
        <w:rPr>
          <w:rFonts w:ascii="Times New Roman" w:eastAsia="Times New Roman" w:hAnsi="Times New Roman" w:cs="Times New Roman"/>
          <w:sz w:val="24"/>
          <w:szCs w:val="24"/>
        </w:rPr>
        <w:t>). Regular reporting on these metrics can assist in determining areas for progress.</w:t>
      </w:r>
    </w:p>
    <w:p w:rsidR="007A09B2" w:rsidRDefault="0056682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Advocacy for</w:t>
      </w:r>
      <w:r>
        <w:rPr>
          <w:rFonts w:ascii="Times New Roman" w:eastAsia="Times New Roman" w:hAnsi="Times New Roman" w:cs="Times New Roman"/>
          <w:b/>
          <w:sz w:val="24"/>
          <w:szCs w:val="24"/>
        </w:rPr>
        <w:t xml:space="preserve"> Ethical Employment Practices:</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 can support ethical employment procedures within the organisation and cooperate with the administration to find alternative cost-cutting efforts that do not negatively affect worker well-being and job safety.</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HR's involvem</w:t>
      </w:r>
      <w:r>
        <w:rPr>
          <w:rFonts w:ascii="Times New Roman" w:eastAsia="Times New Roman" w:hAnsi="Times New Roman" w:cs="Times New Roman"/>
          <w:sz w:val="24"/>
          <w:szCs w:val="24"/>
        </w:rPr>
        <w:t>ent in the case of "fire and rehire" tactics is instrumental in addressing the effect on workers, the organisation's importance, and its general business arrangement. HR professionals must balance lawful observation, ethical concerns, worker engagement, an</w:t>
      </w:r>
      <w:r>
        <w:rPr>
          <w:rFonts w:ascii="Times New Roman" w:eastAsia="Times New Roman" w:hAnsi="Times New Roman" w:cs="Times New Roman"/>
          <w:sz w:val="24"/>
          <w:szCs w:val="24"/>
        </w:rPr>
        <w:t>d industrial connections to effectively navigate this difficult and sharp issue. By bringing a bold and empathetic process, HR can contribute to a favourable work atmosphere and sustainable administrative success.</w:t>
      </w:r>
    </w:p>
    <w:p w:rsidR="007A09B2" w:rsidRDefault="00566828" w:rsidP="006962FD">
      <w:pPr>
        <w:pStyle w:val="Heading1"/>
      </w:pPr>
      <w:bookmarkStart w:id="15" w:name="_Toc142319334"/>
      <w:r>
        <w:t>Recommendation</w:t>
      </w:r>
      <w:bookmarkEnd w:id="15"/>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context, the</w:t>
      </w:r>
      <w:r>
        <w:rPr>
          <w:rFonts w:ascii="Times New Roman" w:eastAsia="Times New Roman" w:hAnsi="Times New Roman" w:cs="Times New Roman"/>
          <w:sz w:val="24"/>
          <w:szCs w:val="24"/>
        </w:rPr>
        <w:t xml:space="preserve"> threat of </w:t>
      </w:r>
      <w:r>
        <w:rPr>
          <w:rFonts w:ascii="Times New Roman" w:eastAsia="Times New Roman" w:hAnsi="Times New Roman" w:cs="Times New Roman"/>
          <w:b/>
          <w:i/>
          <w:sz w:val="24"/>
          <w:szCs w:val="24"/>
        </w:rPr>
        <w:t xml:space="preserve">“British Gas” </w:t>
      </w:r>
      <w:r>
        <w:rPr>
          <w:rFonts w:ascii="Times New Roman" w:eastAsia="Times New Roman" w:hAnsi="Times New Roman" w:cs="Times New Roman"/>
          <w:sz w:val="24"/>
          <w:szCs w:val="24"/>
        </w:rPr>
        <w:t xml:space="preserve">evaluating </w:t>
      </w:r>
      <w:r>
        <w:rPr>
          <w:rFonts w:ascii="Times New Roman" w:eastAsia="Times New Roman" w:hAnsi="Times New Roman" w:cs="Times New Roman"/>
          <w:b/>
          <w:i/>
          <w:sz w:val="24"/>
          <w:szCs w:val="24"/>
        </w:rPr>
        <w:t xml:space="preserve">“fire and rehire” </w:t>
      </w:r>
      <w:r>
        <w:rPr>
          <w:rFonts w:ascii="Times New Roman" w:eastAsia="Times New Roman" w:hAnsi="Times New Roman" w:cs="Times New Roman"/>
          <w:sz w:val="24"/>
          <w:szCs w:val="24"/>
        </w:rPr>
        <w:t xml:space="preserve">regulations for boiler engineers can have demonstrated conducting </w:t>
      </w:r>
      <w:r>
        <w:rPr>
          <w:rFonts w:ascii="Times New Roman" w:eastAsia="Times New Roman" w:hAnsi="Times New Roman" w:cs="Times New Roman"/>
          <w:b/>
          <w:i/>
          <w:sz w:val="24"/>
          <w:szCs w:val="24"/>
        </w:rPr>
        <w:t xml:space="preserve">“mass dismissals”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 xml:space="preserve">“possible inappropriate dismissals” </w:t>
      </w:r>
      <w:r>
        <w:rPr>
          <w:rFonts w:ascii="Times New Roman" w:eastAsia="Times New Roman" w:hAnsi="Times New Roman" w:cs="Times New Roman"/>
          <w:sz w:val="24"/>
          <w:szCs w:val="24"/>
        </w:rPr>
        <w:t>increases risks due to employee procedures and organisational initiates (</w:t>
      </w:r>
      <w:r>
        <w:rPr>
          <w:rFonts w:ascii="Times New Roman" w:eastAsia="Times New Roman" w:hAnsi="Times New Roman" w:cs="Times New Roman"/>
          <w:color w:val="222222"/>
          <w:sz w:val="24"/>
          <w:szCs w:val="24"/>
          <w:highlight w:val="white"/>
        </w:rPr>
        <w:t>Tenni</w:t>
      </w:r>
      <w:r>
        <w:rPr>
          <w:rFonts w:ascii="Times New Roman" w:eastAsia="Times New Roman" w:hAnsi="Times New Roman" w:cs="Times New Roman"/>
          <w:color w:val="222222"/>
          <w:sz w:val="24"/>
          <w:szCs w:val="24"/>
          <w:highlight w:val="white"/>
        </w:rPr>
        <w:t xml:space="preserve">son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It can be determined to require some recommendations for improvement, including</w:t>
      </w:r>
    </w:p>
    <w:p w:rsidR="007A09B2" w:rsidRDefault="00566828">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Navigation and Collaborations</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comprehensive engagement of </w:t>
      </w:r>
      <w:r>
        <w:rPr>
          <w:rFonts w:ascii="Times New Roman" w:eastAsia="Times New Roman" w:hAnsi="Times New Roman" w:cs="Times New Roman"/>
          <w:b/>
          <w:i/>
          <w:sz w:val="24"/>
          <w:szCs w:val="24"/>
        </w:rPr>
        <w:t xml:space="preserve">“British Gas” </w:t>
      </w:r>
      <w:r>
        <w:rPr>
          <w:rFonts w:ascii="Times New Roman" w:eastAsia="Times New Roman" w:hAnsi="Times New Roman" w:cs="Times New Roman"/>
          <w:sz w:val="24"/>
          <w:szCs w:val="24"/>
        </w:rPr>
        <w:t>should have been recognised to engage in measurement and comprehensive navigation</w:t>
      </w:r>
      <w:r>
        <w:rPr>
          <w:rFonts w:ascii="Times New Roman" w:eastAsia="Times New Roman" w:hAnsi="Times New Roman" w:cs="Times New Roman"/>
          <w:sz w:val="24"/>
          <w:szCs w:val="24"/>
        </w:rPr>
        <w:t xml:space="preserve"> with employee appearances such as </w:t>
      </w:r>
      <w:r>
        <w:rPr>
          <w:rFonts w:ascii="Times New Roman" w:eastAsia="Times New Roman" w:hAnsi="Times New Roman" w:cs="Times New Roman"/>
          <w:b/>
          <w:i/>
          <w:sz w:val="24"/>
          <w:szCs w:val="24"/>
        </w:rPr>
        <w:t xml:space="preserve">“perceptions”, “implementation”, and “significant policy measures”. </w:t>
      </w:r>
      <w:r>
        <w:rPr>
          <w:rFonts w:ascii="Times New Roman" w:eastAsia="Times New Roman" w:hAnsi="Times New Roman" w:cs="Times New Roman"/>
          <w:sz w:val="24"/>
          <w:szCs w:val="24"/>
        </w:rPr>
        <w:t xml:space="preserve">This can be achieved by utilising numerous stakeholders in decision-making; the </w:t>
      </w:r>
      <w:r>
        <w:rPr>
          <w:rFonts w:ascii="Times New Roman" w:eastAsia="Times New Roman" w:hAnsi="Times New Roman" w:cs="Times New Roman"/>
          <w:b/>
          <w:i/>
          <w:sz w:val="24"/>
          <w:szCs w:val="24"/>
        </w:rPr>
        <w:t xml:space="preserve">“British Gas” </w:t>
      </w:r>
      <w:r>
        <w:rPr>
          <w:rFonts w:ascii="Times New Roman" w:eastAsia="Times New Roman" w:hAnsi="Times New Roman" w:cs="Times New Roman"/>
          <w:sz w:val="24"/>
          <w:szCs w:val="24"/>
        </w:rPr>
        <w:t xml:space="preserve">organisation might have been enhanced to explore prominent </w:t>
      </w:r>
      <w:r>
        <w:rPr>
          <w:rFonts w:ascii="Times New Roman" w:eastAsia="Times New Roman" w:hAnsi="Times New Roman" w:cs="Times New Roman"/>
          <w:sz w:val="24"/>
          <w:szCs w:val="24"/>
        </w:rPr>
        <w:t>solutions that reduce employment failures and control an adequate working environment (</w:t>
      </w:r>
      <w:r>
        <w:rPr>
          <w:rFonts w:ascii="Times New Roman" w:eastAsia="Times New Roman" w:hAnsi="Times New Roman" w:cs="Times New Roman"/>
          <w:color w:val="222222"/>
          <w:sz w:val="24"/>
          <w:szCs w:val="24"/>
          <w:highlight w:val="white"/>
        </w:rPr>
        <w:t xml:space="preserve">Massaro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It can also be determined that collaboration promotes confidentiality and recognises a commitment to appreciating employee engagement. </w:t>
      </w:r>
    </w:p>
    <w:p w:rsidR="007A09B2" w:rsidRDefault="00566828">
      <w:pPr>
        <w:numPr>
          <w:ilvl w:val="0"/>
          <w:numId w:val="20"/>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Adequate R</w:t>
      </w:r>
      <w:r>
        <w:rPr>
          <w:rFonts w:ascii="Times New Roman" w:eastAsia="Times New Roman" w:hAnsi="Times New Roman" w:cs="Times New Roman"/>
          <w:b/>
          <w:i/>
          <w:sz w:val="24"/>
          <w:szCs w:val="24"/>
        </w:rPr>
        <w:t xml:space="preserve">edundancy Procedures </w:t>
      </w:r>
    </w:p>
    <w:p w:rsidR="007A09B2" w:rsidRDefault="0056682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analytical procurement of </w:t>
      </w:r>
      <w:r>
        <w:rPr>
          <w:rFonts w:ascii="Times New Roman" w:eastAsia="Times New Roman" w:hAnsi="Times New Roman" w:cs="Times New Roman"/>
          <w:b/>
          <w:i/>
          <w:sz w:val="24"/>
          <w:szCs w:val="24"/>
        </w:rPr>
        <w:t>“British Gas”</w:t>
      </w:r>
      <w:r>
        <w:rPr>
          <w:rFonts w:ascii="Times New Roman" w:eastAsia="Times New Roman" w:hAnsi="Times New Roman" w:cs="Times New Roman"/>
          <w:sz w:val="24"/>
          <w:szCs w:val="24"/>
        </w:rPr>
        <w:t xml:space="preserve"> considers specific discharges that it might be able to conduct adequate and prominent enhancement of redundancy approaches. This often involved </w:t>
      </w:r>
      <w:r>
        <w:rPr>
          <w:rFonts w:ascii="Times New Roman" w:eastAsia="Times New Roman" w:hAnsi="Times New Roman" w:cs="Times New Roman"/>
          <w:sz w:val="24"/>
          <w:szCs w:val="24"/>
        </w:rPr>
        <w:lastRenderedPageBreak/>
        <w:t>estimating appropriate policies, offering rees</w:t>
      </w:r>
      <w:r>
        <w:rPr>
          <w:rFonts w:ascii="Times New Roman" w:eastAsia="Times New Roman" w:hAnsi="Times New Roman" w:cs="Times New Roman"/>
          <w:sz w:val="24"/>
          <w:szCs w:val="24"/>
        </w:rPr>
        <w:t>tablishment procedures, and supporting influenced workers to determine sufficient employment. This can be achieved by evaluating a superior and significant redundancy procedure that might have been improved to ensure their influenced employees and reduce t</w:t>
      </w:r>
      <w:r>
        <w:rPr>
          <w:rFonts w:ascii="Times New Roman" w:eastAsia="Times New Roman" w:hAnsi="Times New Roman" w:cs="Times New Roman"/>
          <w:sz w:val="24"/>
          <w:szCs w:val="24"/>
        </w:rPr>
        <w:t>he threat of possible unfair dismissal approaches (</w:t>
      </w:r>
      <w:r>
        <w:rPr>
          <w:rFonts w:ascii="Times New Roman" w:eastAsia="Times New Roman" w:hAnsi="Times New Roman" w:cs="Times New Roman"/>
          <w:color w:val="222222"/>
          <w:sz w:val="24"/>
          <w:szCs w:val="24"/>
          <w:highlight w:val="white"/>
        </w:rPr>
        <w:t>Li, Rees, and Branine, 2019)</w:t>
      </w:r>
      <w:r>
        <w:rPr>
          <w:rFonts w:ascii="Times New Roman" w:eastAsia="Times New Roman" w:hAnsi="Times New Roman" w:cs="Times New Roman"/>
          <w:sz w:val="24"/>
          <w:szCs w:val="24"/>
        </w:rPr>
        <w:t xml:space="preserve">. </w:t>
      </w:r>
    </w:p>
    <w:p w:rsidR="007A09B2" w:rsidRDefault="00566828">
      <w:pPr>
        <w:numPr>
          <w:ilvl w:val="0"/>
          <w:numId w:val="2"/>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Sufficient Leadership and Corporate Responsibility </w:t>
      </w:r>
    </w:p>
    <w:p w:rsidR="007A09B2" w:rsidRDefault="00566828">
      <w:pPr>
        <w:spacing w:line="360" w:lineRule="auto"/>
        <w:jc w:val="both"/>
        <w:rPr>
          <w:rFonts w:ascii="Times" w:eastAsia="Times" w:hAnsi="Times" w:cs="Times"/>
          <w:color w:val="222222"/>
          <w:sz w:val="24"/>
          <w:szCs w:val="24"/>
        </w:rPr>
      </w:pPr>
      <w:r>
        <w:rPr>
          <w:rFonts w:ascii="Times New Roman" w:eastAsia="Times New Roman" w:hAnsi="Times New Roman" w:cs="Times New Roman"/>
          <w:sz w:val="24"/>
          <w:szCs w:val="24"/>
        </w:rPr>
        <w:t xml:space="preserve">In this phase, the </w:t>
      </w:r>
      <w:r>
        <w:rPr>
          <w:rFonts w:ascii="Times New Roman" w:eastAsia="Times New Roman" w:hAnsi="Times New Roman" w:cs="Times New Roman"/>
          <w:b/>
          <w:i/>
          <w:sz w:val="24"/>
          <w:szCs w:val="24"/>
        </w:rPr>
        <w:t xml:space="preserve">“British Gas” </w:t>
      </w:r>
      <w:r>
        <w:rPr>
          <w:rFonts w:ascii="Times New Roman" w:eastAsia="Times New Roman" w:hAnsi="Times New Roman" w:cs="Times New Roman"/>
          <w:sz w:val="24"/>
          <w:szCs w:val="24"/>
        </w:rPr>
        <w:t xml:space="preserve">company should engage ethical considerations and corporate responsibility by employing a </w:t>
      </w:r>
      <w:r>
        <w:rPr>
          <w:rFonts w:ascii="Times New Roman" w:eastAsia="Times New Roman" w:hAnsi="Times New Roman" w:cs="Times New Roman"/>
          <w:sz w:val="24"/>
          <w:szCs w:val="24"/>
        </w:rPr>
        <w:t xml:space="preserve">more comprehensive measurement of the social influence of their decision-making approaches. This can be determined by evaluating a </w:t>
      </w:r>
      <w:r>
        <w:rPr>
          <w:rFonts w:ascii="Times New Roman" w:eastAsia="Times New Roman" w:hAnsi="Times New Roman" w:cs="Times New Roman"/>
          <w:b/>
          <w:i/>
          <w:sz w:val="24"/>
          <w:szCs w:val="24"/>
        </w:rPr>
        <w:t xml:space="preserve">“fire and rehire” </w:t>
      </w:r>
      <w:r>
        <w:rPr>
          <w:rFonts w:ascii="Times New Roman" w:eastAsia="Times New Roman" w:hAnsi="Times New Roman" w:cs="Times New Roman"/>
          <w:sz w:val="24"/>
          <w:szCs w:val="24"/>
        </w:rPr>
        <w:t>strategy that can diminish the company’s reputation and employees' confidentiality. The analytical engageme</w:t>
      </w:r>
      <w:r>
        <w:rPr>
          <w:rFonts w:ascii="Times New Roman" w:eastAsia="Times New Roman" w:hAnsi="Times New Roman" w:cs="Times New Roman"/>
          <w:sz w:val="24"/>
          <w:szCs w:val="24"/>
        </w:rPr>
        <w:t xml:space="preserve">nt in estimating long-term sustainable approaches allows the </w:t>
      </w:r>
      <w:r>
        <w:rPr>
          <w:rFonts w:ascii="Times New Roman" w:eastAsia="Times New Roman" w:hAnsi="Times New Roman" w:cs="Times New Roman"/>
          <w:b/>
          <w:i/>
          <w:sz w:val="24"/>
          <w:szCs w:val="24"/>
        </w:rPr>
        <w:t xml:space="preserve">“British Gas” </w:t>
      </w:r>
      <w:r>
        <w:rPr>
          <w:rFonts w:ascii="Times New Roman" w:eastAsia="Times New Roman" w:hAnsi="Times New Roman" w:cs="Times New Roman"/>
          <w:sz w:val="24"/>
          <w:szCs w:val="24"/>
        </w:rPr>
        <w:t>company to control individual presences and conduct supporting work (</w:t>
      </w:r>
      <w:r>
        <w:rPr>
          <w:rFonts w:ascii="Times New Roman" w:eastAsia="Times New Roman" w:hAnsi="Times New Roman" w:cs="Times New Roman"/>
          <w:color w:val="222222"/>
          <w:sz w:val="24"/>
          <w:szCs w:val="24"/>
          <w:highlight w:val="white"/>
        </w:rPr>
        <w:t xml:space="preserve">Iweka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Overall, the comprehensive procedure for managing the </w:t>
      </w:r>
      <w:r>
        <w:rPr>
          <w:rFonts w:ascii="Times New Roman" w:eastAsia="Times New Roman" w:hAnsi="Times New Roman" w:cs="Times New Roman"/>
          <w:b/>
          <w:i/>
          <w:sz w:val="24"/>
          <w:szCs w:val="24"/>
        </w:rPr>
        <w:t xml:space="preserve">“fire and rehire” </w:t>
      </w:r>
      <w:r>
        <w:rPr>
          <w:rFonts w:ascii="Times New Roman" w:eastAsia="Times New Roman" w:hAnsi="Times New Roman" w:cs="Times New Roman"/>
          <w:sz w:val="24"/>
          <w:szCs w:val="24"/>
        </w:rPr>
        <w:t xml:space="preserve">strategy of </w:t>
      </w:r>
      <w:r>
        <w:rPr>
          <w:rFonts w:ascii="Times New Roman" w:eastAsia="Times New Roman" w:hAnsi="Times New Roman" w:cs="Times New Roman"/>
          <w:b/>
          <w:i/>
          <w:sz w:val="24"/>
          <w:szCs w:val="24"/>
        </w:rPr>
        <w:t>“Britis</w:t>
      </w:r>
      <w:r>
        <w:rPr>
          <w:rFonts w:ascii="Times New Roman" w:eastAsia="Times New Roman" w:hAnsi="Times New Roman" w:cs="Times New Roman"/>
          <w:b/>
          <w:i/>
          <w:sz w:val="24"/>
          <w:szCs w:val="24"/>
        </w:rPr>
        <w:t>h Gas</w:t>
      </w:r>
      <w:r w:rsidR="006962FD">
        <w:rPr>
          <w:rFonts w:ascii="Times New Roman" w:eastAsia="Times New Roman" w:hAnsi="Times New Roman" w:cs="Times New Roman"/>
          <w:b/>
          <w:i/>
          <w:sz w:val="24"/>
          <w:szCs w:val="24"/>
        </w:rPr>
        <w:t xml:space="preserve">” </w:t>
      </w:r>
      <w:r w:rsidR="006962FD">
        <w:rPr>
          <w:rFonts w:ascii="Times New Roman" w:eastAsia="Times New Roman" w:hAnsi="Times New Roman" w:cs="Times New Roman"/>
          <w:sz w:val="24"/>
          <w:szCs w:val="24"/>
        </w:rPr>
        <w:t>and</w:t>
      </w:r>
      <w:r>
        <w:rPr>
          <w:rFonts w:ascii="Times New Roman" w:eastAsia="Times New Roman" w:hAnsi="Times New Roman" w:cs="Times New Roman"/>
          <w:sz w:val="24"/>
          <w:szCs w:val="24"/>
        </w:rPr>
        <w:t xml:space="preserve"> the required possible appliance of mass dismissals and insufficient dismissals represent a complicated approach.</w:t>
      </w:r>
    </w:p>
    <w:p w:rsidR="007A09B2" w:rsidRDefault="00566828">
      <w:pPr>
        <w:pStyle w:val="Heading1"/>
      </w:pPr>
      <w:bookmarkStart w:id="16" w:name="_heading=h.tyjcwt" w:colFirst="0" w:colLast="0"/>
      <w:bookmarkStart w:id="17" w:name="_Toc142319335"/>
      <w:bookmarkEnd w:id="16"/>
      <w:r>
        <w:t>Conclusion</w:t>
      </w:r>
      <w:bookmarkEnd w:id="17"/>
    </w:p>
    <w:p w:rsidR="007A09B2" w:rsidRDefault="00566828">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It has been concluded that </w:t>
      </w:r>
      <w:r>
        <w:rPr>
          <w:rFonts w:ascii="Times New Roman" w:eastAsia="Times New Roman" w:hAnsi="Times New Roman" w:cs="Times New Roman"/>
          <w:b/>
          <w:i/>
          <w:color w:val="000000"/>
          <w:sz w:val="24"/>
          <w:szCs w:val="24"/>
        </w:rPr>
        <w:t xml:space="preserve">“British Gas” </w:t>
      </w:r>
      <w:r>
        <w:rPr>
          <w:rFonts w:ascii="Times New Roman" w:eastAsia="Times New Roman" w:hAnsi="Times New Roman" w:cs="Times New Roman"/>
          <w:color w:val="000000"/>
          <w:sz w:val="24"/>
          <w:szCs w:val="24"/>
        </w:rPr>
        <w:t xml:space="preserve">has been determined with the long-term conflict with the boiler engineer that may engage their regulations and specifications of engagement. In this context, </w:t>
      </w:r>
      <w:r>
        <w:rPr>
          <w:rFonts w:ascii="Times New Roman" w:eastAsia="Times New Roman" w:hAnsi="Times New Roman" w:cs="Times New Roman"/>
          <w:b/>
          <w:i/>
          <w:color w:val="000000"/>
          <w:sz w:val="24"/>
          <w:szCs w:val="24"/>
        </w:rPr>
        <w:t xml:space="preserve">“British Gas” </w:t>
      </w:r>
      <w:r>
        <w:rPr>
          <w:rFonts w:ascii="Times New Roman" w:eastAsia="Times New Roman" w:hAnsi="Times New Roman" w:cs="Times New Roman"/>
          <w:color w:val="000000"/>
          <w:sz w:val="24"/>
          <w:szCs w:val="24"/>
        </w:rPr>
        <w:t>has been demonstrated to confirm more than 2% of staff might have been recognised no</w:t>
      </w:r>
      <w:r>
        <w:rPr>
          <w:rFonts w:ascii="Times New Roman" w:eastAsia="Times New Roman" w:hAnsi="Times New Roman" w:cs="Times New Roman"/>
          <w:color w:val="000000"/>
          <w:sz w:val="24"/>
          <w:szCs w:val="24"/>
        </w:rPr>
        <w:t xml:space="preserve">t to initialise with the new contracts engagement. It can also be observed that the engineers of </w:t>
      </w:r>
      <w:r>
        <w:rPr>
          <w:rFonts w:ascii="Times New Roman" w:eastAsia="Times New Roman" w:hAnsi="Times New Roman" w:cs="Times New Roman"/>
          <w:b/>
          <w:i/>
          <w:color w:val="000000"/>
          <w:sz w:val="24"/>
          <w:szCs w:val="24"/>
        </w:rPr>
        <w:t xml:space="preserve">“British Gas” </w:t>
      </w:r>
      <w:r>
        <w:rPr>
          <w:rFonts w:ascii="Times New Roman" w:eastAsia="Times New Roman" w:hAnsi="Times New Roman" w:cs="Times New Roman"/>
          <w:color w:val="000000"/>
          <w:sz w:val="24"/>
          <w:szCs w:val="24"/>
        </w:rPr>
        <w:t>might not have been produced to agree with the proper engagement and determine with the workers' perspectives would have demonstrated claims agai</w:t>
      </w:r>
      <w:r>
        <w:rPr>
          <w:rFonts w:ascii="Times New Roman" w:eastAsia="Times New Roman" w:hAnsi="Times New Roman" w:cs="Times New Roman"/>
          <w:color w:val="000000"/>
          <w:sz w:val="24"/>
          <w:szCs w:val="24"/>
        </w:rPr>
        <w:t xml:space="preserve">nst </w:t>
      </w:r>
      <w:r>
        <w:rPr>
          <w:rFonts w:ascii="Times New Roman" w:eastAsia="Times New Roman" w:hAnsi="Times New Roman" w:cs="Times New Roman"/>
          <w:b/>
          <w:i/>
          <w:color w:val="000000"/>
          <w:sz w:val="24"/>
          <w:szCs w:val="24"/>
        </w:rPr>
        <w:t xml:space="preserve">“British Gas”. </w:t>
      </w:r>
      <w:r>
        <w:rPr>
          <w:rFonts w:ascii="Times New Roman" w:eastAsia="Times New Roman" w:hAnsi="Times New Roman" w:cs="Times New Roman"/>
          <w:color w:val="000000"/>
          <w:sz w:val="24"/>
          <w:szCs w:val="24"/>
        </w:rPr>
        <w:t xml:space="preserve">This has been evaluated by enabling the requirement of engaging in </w:t>
      </w:r>
      <w:r>
        <w:rPr>
          <w:rFonts w:ascii="Times New Roman" w:eastAsia="Times New Roman" w:hAnsi="Times New Roman" w:cs="Times New Roman"/>
          <w:b/>
          <w:i/>
          <w:color w:val="000000"/>
          <w:sz w:val="24"/>
          <w:szCs w:val="24"/>
        </w:rPr>
        <w:t xml:space="preserve">“ACAS conciliation” </w:t>
      </w:r>
      <w:r>
        <w:rPr>
          <w:rFonts w:ascii="Times New Roman" w:eastAsia="Times New Roman" w:hAnsi="Times New Roman" w:cs="Times New Roman"/>
          <w:color w:val="000000"/>
          <w:sz w:val="24"/>
          <w:szCs w:val="24"/>
        </w:rPr>
        <w:t xml:space="preserve">due to estimate unfair discharge procedures from the engagement perspective. In this context, the </w:t>
      </w:r>
      <w:r>
        <w:rPr>
          <w:rFonts w:ascii="Times New Roman" w:eastAsia="Times New Roman" w:hAnsi="Times New Roman" w:cs="Times New Roman"/>
          <w:b/>
          <w:i/>
          <w:color w:val="000000"/>
          <w:sz w:val="24"/>
          <w:szCs w:val="24"/>
        </w:rPr>
        <w:t>“PESTLE Analysis”, “HARVARD Model”, and “CRAAP Model</w:t>
      </w:r>
      <w:r>
        <w:rPr>
          <w:rFonts w:ascii="Times New Roman" w:eastAsia="Times New Roman" w:hAnsi="Times New Roman" w:cs="Times New Roman"/>
          <w:b/>
          <w:i/>
          <w:color w:val="000000"/>
          <w:sz w:val="24"/>
          <w:szCs w:val="24"/>
        </w:rPr>
        <w:t xml:space="preserve">” </w:t>
      </w:r>
      <w:r>
        <w:rPr>
          <w:rFonts w:ascii="Times New Roman" w:eastAsia="Times New Roman" w:hAnsi="Times New Roman" w:cs="Times New Roman"/>
          <w:color w:val="000000"/>
          <w:sz w:val="24"/>
          <w:szCs w:val="24"/>
        </w:rPr>
        <w:t>has been utilised to determine the exterior environment and better optimisation for the reported study.</w:t>
      </w:r>
    </w:p>
    <w:p w:rsidR="007A09B2" w:rsidRDefault="00566828">
      <w:pPr>
        <w:rPr>
          <w:rFonts w:ascii="Times New Roman" w:eastAsia="Times New Roman" w:hAnsi="Times New Roman" w:cs="Times New Roman"/>
          <w:b/>
          <w:sz w:val="24"/>
          <w:szCs w:val="24"/>
        </w:rPr>
      </w:pPr>
      <w:r>
        <w:br w:type="page"/>
      </w:r>
    </w:p>
    <w:p w:rsidR="007A09B2" w:rsidRDefault="00566828">
      <w:pPr>
        <w:pStyle w:val="Heading1"/>
      </w:pPr>
      <w:bookmarkStart w:id="18" w:name="_heading=h.3dy6vkm" w:colFirst="0" w:colLast="0"/>
      <w:bookmarkStart w:id="19" w:name="_Toc142319336"/>
      <w:bookmarkEnd w:id="18"/>
      <w:r>
        <w:lastRenderedPageBreak/>
        <w:t>Reference List</w:t>
      </w:r>
      <w:bookmarkEnd w:id="19"/>
    </w:p>
    <w:p w:rsidR="006962FD" w:rsidRPr="006962FD" w:rsidRDefault="00566828" w:rsidP="006962FD">
      <w:pPr>
        <w:spacing w:line="360" w:lineRule="auto"/>
        <w:jc w:val="both"/>
        <w:rPr>
          <w:rFonts w:ascii="Times New Roman" w:hAnsi="Times New Roman" w:cs="Times New Roman"/>
          <w:color w:val="222222"/>
          <w:sz w:val="24"/>
          <w:szCs w:val="24"/>
        </w:rPr>
      </w:pPr>
      <w:r w:rsidRPr="006962FD">
        <w:rPr>
          <w:rFonts w:ascii="Times New Roman" w:eastAsia="Times" w:hAnsi="Times New Roman" w:cs="Times New Roman"/>
          <w:color w:val="222222"/>
          <w:sz w:val="24"/>
          <w:szCs w:val="24"/>
        </w:rPr>
        <w:t xml:space="preserve">Aburumman, O., Salleh, A., Omar, K. and Abadi, M., (2020). The impact of human resource management practices and career satisfaction </w:t>
      </w:r>
      <w:r w:rsidRPr="006962FD">
        <w:rPr>
          <w:rFonts w:ascii="Times New Roman" w:eastAsia="Times" w:hAnsi="Times New Roman" w:cs="Times New Roman"/>
          <w:color w:val="222222"/>
          <w:sz w:val="24"/>
          <w:szCs w:val="24"/>
        </w:rPr>
        <w:t xml:space="preserve">on employee’s turnover intention. </w:t>
      </w:r>
      <w:r w:rsidRPr="006962FD">
        <w:rPr>
          <w:rFonts w:ascii="Times New Roman" w:eastAsia="Times" w:hAnsi="Times New Roman" w:cs="Times New Roman"/>
          <w:i/>
          <w:color w:val="222222"/>
          <w:sz w:val="24"/>
          <w:szCs w:val="24"/>
        </w:rPr>
        <w:t>Management Science Letters</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10</w:t>
      </w:r>
      <w:r w:rsidRPr="006962FD">
        <w:rPr>
          <w:rFonts w:ascii="Times New Roman" w:eastAsia="Times" w:hAnsi="Times New Roman" w:cs="Times New Roman"/>
          <w:color w:val="222222"/>
          <w:sz w:val="24"/>
          <w:szCs w:val="24"/>
        </w:rPr>
        <w:t>(3), pp.641-652.</w:t>
      </w:r>
      <w:hyperlink r:id="rId11">
        <w:r w:rsidRPr="006962FD">
          <w:rPr>
            <w:rFonts w:ascii="Times New Roman" w:eastAsia="Times" w:hAnsi="Times New Roman" w:cs="Times New Roman"/>
            <w:color w:val="1155CC"/>
            <w:sz w:val="24"/>
            <w:szCs w:val="24"/>
            <w:u w:val="single"/>
          </w:rPr>
          <w:t>http://m.growingscience.com/msl/Vol10/msl_2019_267.pdf</w:t>
        </w:r>
      </w:hyperlink>
      <w:r w:rsidRPr="006962FD">
        <w:rPr>
          <w:rFonts w:ascii="Times New Roman" w:eastAsia="Times" w:hAnsi="Times New Roman" w:cs="Times New Roman"/>
          <w:color w:val="222222"/>
          <w:sz w:val="24"/>
          <w:szCs w:val="24"/>
        </w:rPr>
        <w:t xml:space="preserve"> </w:t>
      </w:r>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Alzoubi, H.M., Ghazal, T.M., Sahawneh, N. and Al-Kassem, A.H., (2022). Fuzzy assisted human resource management for supply chain management issues. </w:t>
      </w:r>
      <w:r w:rsidRPr="006962FD">
        <w:rPr>
          <w:rFonts w:ascii="Times New Roman" w:eastAsia="Times" w:hAnsi="Times New Roman" w:cs="Times New Roman"/>
          <w:i/>
          <w:color w:val="222222"/>
          <w:sz w:val="24"/>
          <w:szCs w:val="24"/>
        </w:rPr>
        <w:t>Annals of Operations Research</w:t>
      </w:r>
      <w:r w:rsidRPr="006962FD">
        <w:rPr>
          <w:rFonts w:ascii="Times New Roman" w:eastAsia="Times" w:hAnsi="Times New Roman" w:cs="Times New Roman"/>
          <w:color w:val="222222"/>
          <w:sz w:val="24"/>
          <w:szCs w:val="24"/>
        </w:rPr>
        <w:t>.</w:t>
      </w:r>
      <w:hyperlink r:id="rId12">
        <w:r w:rsidRPr="006962FD">
          <w:rPr>
            <w:rFonts w:ascii="Times New Roman" w:eastAsia="Times" w:hAnsi="Times New Roman" w:cs="Times New Roman"/>
            <w:color w:val="1155CC"/>
            <w:sz w:val="24"/>
            <w:szCs w:val="24"/>
            <w:u w:val="single"/>
          </w:rPr>
          <w:t>https://research.skylineuniversity.ac.ae/id/eprint/187/1/58.pdf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Bailey, D.J., (2023). Worker-Led Dissent in the Age of Austerity: Comparing the Conditions of Success. </w:t>
      </w:r>
      <w:r w:rsidRPr="006962FD">
        <w:rPr>
          <w:rFonts w:ascii="Times New Roman" w:eastAsia="Times" w:hAnsi="Times New Roman" w:cs="Times New Roman"/>
          <w:i/>
          <w:color w:val="222222"/>
          <w:sz w:val="24"/>
          <w:szCs w:val="24"/>
        </w:rPr>
        <w:t>Work, Employment and Society</w:t>
      </w:r>
      <w:r w:rsidRPr="006962FD">
        <w:rPr>
          <w:rFonts w:ascii="Times New Roman" w:eastAsia="Times" w:hAnsi="Times New Roman" w:cs="Times New Roman"/>
          <w:color w:val="222222"/>
          <w:sz w:val="24"/>
          <w:szCs w:val="24"/>
        </w:rPr>
        <w:t>, p.09500170231169675.</w:t>
      </w:r>
      <w:hyperlink r:id="rId13">
        <w:r w:rsidRPr="006962FD">
          <w:rPr>
            <w:rFonts w:ascii="Times New Roman" w:eastAsia="Times" w:hAnsi="Times New Roman" w:cs="Times New Roman"/>
            <w:color w:val="1155CC"/>
            <w:sz w:val="24"/>
            <w:szCs w:val="24"/>
            <w:u w:val="single"/>
          </w:rPr>
          <w:t>https://journals.sagepub.com/doi/pdf/10.1177/09500170231169675</w:t>
        </w:r>
      </w:hyperlink>
    </w:p>
    <w:p w:rsidR="006962FD" w:rsidRPr="006962FD" w:rsidRDefault="00566828" w:rsidP="006962FD">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Bratton, J., Gold, J., Bratton, A. and Steele, L. (2021). </w:t>
      </w:r>
      <w:r w:rsidRPr="006962FD">
        <w:rPr>
          <w:rFonts w:ascii="Times New Roman" w:eastAsia="Times New Roman" w:hAnsi="Times New Roman" w:cs="Times New Roman"/>
          <w:i/>
          <w:color w:val="222222"/>
          <w:sz w:val="24"/>
          <w:szCs w:val="24"/>
          <w:highlight w:val="white"/>
        </w:rPr>
        <w:t>Human resource management</w:t>
      </w:r>
      <w:r w:rsidRPr="006962FD">
        <w:rPr>
          <w:rFonts w:ascii="Times New Roman" w:eastAsia="Times New Roman" w:hAnsi="Times New Roman" w:cs="Times New Roman"/>
          <w:color w:val="222222"/>
          <w:sz w:val="24"/>
          <w:szCs w:val="24"/>
          <w:highlight w:val="white"/>
        </w:rPr>
        <w:t xml:space="preserve">. Bloomsbury Publishing. </w:t>
      </w:r>
      <w:hyperlink r:id="rId14">
        <w:r w:rsidRPr="006962FD">
          <w:rPr>
            <w:rFonts w:ascii="Times New Roman" w:eastAsia="Times New Roman" w:hAnsi="Times New Roman" w:cs="Times New Roman"/>
            <w:color w:val="1155CC"/>
            <w:sz w:val="24"/>
            <w:szCs w:val="24"/>
            <w:highlight w:val="white"/>
            <w:u w:val="single"/>
          </w:rPr>
          <w:t>http://online.kottakkalfarookcollege.edu.in:8001/jspui/bitstream/123456789/3795/1/Human%20Resource%20Manageme</w:t>
        </w:r>
        <w:r w:rsidRPr="006962FD">
          <w:rPr>
            <w:rFonts w:ascii="Times New Roman" w:eastAsia="Times New Roman" w:hAnsi="Times New Roman" w:cs="Times New Roman"/>
            <w:color w:val="1155CC"/>
            <w:sz w:val="24"/>
            <w:szCs w:val="24"/>
            <w:highlight w:val="white"/>
            <w:u w:val="single"/>
          </w:rPr>
          <w:t>nt%20Theory%20and%20Practice%20%28%20PDFDrive%20%29.pdf</w:t>
        </w:r>
      </w:hyperlink>
    </w:p>
    <w:p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1155CC"/>
          <w:sz w:val="24"/>
          <w:szCs w:val="24"/>
          <w:highlight w:val="white"/>
          <w:u w:val="single"/>
        </w:rPr>
      </w:pPr>
      <w:r w:rsidRPr="006962FD">
        <w:rPr>
          <w:rFonts w:ascii="Times New Roman" w:eastAsia="Times New Roman" w:hAnsi="Times New Roman" w:cs="Times New Roman"/>
          <w:color w:val="222222"/>
          <w:sz w:val="24"/>
          <w:szCs w:val="24"/>
          <w:highlight w:val="white"/>
        </w:rPr>
        <w:t xml:space="preserve">Capobianco, N., Basile, V., Loia, F. and Vona, R., (2021). Toward a sustainable decommissioning of offshore platforms in the oil and gas industry: A PESTLE analysis. </w:t>
      </w:r>
      <w:r w:rsidRPr="006962FD">
        <w:rPr>
          <w:rFonts w:ascii="Times New Roman" w:eastAsia="Times New Roman" w:hAnsi="Times New Roman" w:cs="Times New Roman"/>
          <w:i/>
          <w:color w:val="222222"/>
          <w:sz w:val="24"/>
          <w:szCs w:val="24"/>
        </w:rPr>
        <w:t>Sustainability</w:t>
      </w:r>
      <w:r w:rsidRPr="006962FD">
        <w:rPr>
          <w:rFonts w:ascii="Times New Roman" w:eastAsia="Times New Roman" w:hAnsi="Times New Roman" w:cs="Times New Roman"/>
          <w:color w:val="222222"/>
          <w:sz w:val="24"/>
          <w:szCs w:val="24"/>
        </w:rPr>
        <w:t xml:space="preserve">, </w:t>
      </w:r>
      <w:r w:rsidRPr="006962FD">
        <w:rPr>
          <w:rFonts w:ascii="Times New Roman" w:eastAsia="Times New Roman" w:hAnsi="Times New Roman" w:cs="Times New Roman"/>
          <w:i/>
          <w:color w:val="222222"/>
          <w:sz w:val="24"/>
          <w:szCs w:val="24"/>
        </w:rPr>
        <w:t>13</w:t>
      </w:r>
      <w:r w:rsidRPr="006962FD">
        <w:rPr>
          <w:rFonts w:ascii="Times New Roman" w:eastAsia="Times New Roman" w:hAnsi="Times New Roman" w:cs="Times New Roman"/>
          <w:color w:val="222222"/>
          <w:sz w:val="24"/>
          <w:szCs w:val="24"/>
        </w:rPr>
        <w:t>(11), p.6266.</w:t>
      </w:r>
      <w:hyperlink r:id="rId15">
        <w:r w:rsidRPr="006962FD">
          <w:rPr>
            <w:rFonts w:ascii="Times New Roman" w:eastAsia="Times New Roman" w:hAnsi="Times New Roman" w:cs="Times New Roman"/>
            <w:color w:val="222222"/>
            <w:sz w:val="24"/>
            <w:szCs w:val="24"/>
          </w:rPr>
          <w:t xml:space="preserve"> </w:t>
        </w:r>
      </w:hyperlink>
      <w:hyperlink r:id="rId16">
        <w:r w:rsidRPr="006962FD">
          <w:rPr>
            <w:rFonts w:ascii="Times New Roman" w:eastAsia="Times New Roman" w:hAnsi="Times New Roman" w:cs="Times New Roman"/>
            <w:color w:val="1155CC"/>
            <w:sz w:val="24"/>
            <w:szCs w:val="24"/>
            <w:highlight w:val="white"/>
            <w:u w:val="single"/>
          </w:rPr>
          <w:t>https://www.mdpi.com/2071-1050/13/11/6266/pdf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Chapman, A., Itaoka, K., Hirose, K., Davidson, F.T., Nagasawa, K., Lloyd, A.C., W</w:t>
      </w:r>
      <w:r w:rsidRPr="006962FD">
        <w:rPr>
          <w:rFonts w:ascii="Times New Roman" w:eastAsia="Times New Roman" w:hAnsi="Times New Roman" w:cs="Times New Roman"/>
          <w:color w:val="222222"/>
          <w:sz w:val="24"/>
          <w:szCs w:val="24"/>
          <w:highlight w:val="white"/>
        </w:rPr>
        <w:t xml:space="preserve">ebber, M.E., Kurban, Z., Managi, S., Tamaki, T. and Lewis, M.C., (2019). A review of four case studies assessing the potential for hydrogen penetration of the future energy system. </w:t>
      </w:r>
      <w:r w:rsidRPr="006962FD">
        <w:rPr>
          <w:rFonts w:ascii="Times New Roman" w:eastAsia="Times New Roman" w:hAnsi="Times New Roman" w:cs="Times New Roman"/>
          <w:i/>
          <w:color w:val="222222"/>
          <w:sz w:val="24"/>
          <w:szCs w:val="24"/>
          <w:highlight w:val="white"/>
        </w:rPr>
        <w:t>International journal of hydrogen energy</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44</w:t>
      </w:r>
      <w:r w:rsidRPr="006962FD">
        <w:rPr>
          <w:rFonts w:ascii="Times New Roman" w:eastAsia="Times New Roman" w:hAnsi="Times New Roman" w:cs="Times New Roman"/>
          <w:color w:val="222222"/>
          <w:sz w:val="24"/>
          <w:szCs w:val="24"/>
          <w:highlight w:val="white"/>
        </w:rPr>
        <w:t xml:space="preserve">(13), pp.6371-6382. </w:t>
      </w:r>
      <w:hyperlink r:id="rId17">
        <w:r w:rsidRPr="006962FD">
          <w:rPr>
            <w:rFonts w:ascii="Times New Roman" w:eastAsia="Times New Roman" w:hAnsi="Times New Roman" w:cs="Times New Roman"/>
            <w:color w:val="1155CC"/>
            <w:sz w:val="24"/>
            <w:szCs w:val="24"/>
            <w:highlight w:val="white"/>
            <w:u w:val="single"/>
          </w:rPr>
          <w:t>https://www.academia.edu/download/59493876/Chapman_et_al._-_(2019)_-_A_review(2019)0602-65714-1guim4r.pdf</w:t>
        </w:r>
      </w:hyperlink>
    </w:p>
    <w:p w:rsidR="006962FD" w:rsidRPr="006962FD" w:rsidRDefault="00566828" w:rsidP="006962FD">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rPr>
      </w:pPr>
      <w:r w:rsidRPr="006962FD">
        <w:rPr>
          <w:rFonts w:ascii="Times New Roman" w:eastAsia="Times New Roman" w:hAnsi="Times New Roman" w:cs="Times New Roman"/>
          <w:color w:val="222222"/>
          <w:sz w:val="24"/>
          <w:szCs w:val="24"/>
          <w:highlight w:val="white"/>
        </w:rPr>
        <w:t xml:space="preserve">Chapman, A., Murray, L., Carpenter, G., Heisse, C. and Prieg, L. (2021). A frequent flyer levy. </w:t>
      </w:r>
      <w:r w:rsidRPr="006962FD">
        <w:rPr>
          <w:rFonts w:ascii="Times New Roman" w:eastAsia="Times New Roman" w:hAnsi="Times New Roman" w:cs="Times New Roman"/>
          <w:i/>
          <w:color w:val="222222"/>
          <w:sz w:val="24"/>
          <w:szCs w:val="24"/>
          <w:highlight w:val="white"/>
        </w:rPr>
        <w:t xml:space="preserve">New Economics Foundation. Available online: https://neweconomics. </w:t>
      </w:r>
      <w:bookmarkStart w:id="20" w:name="_GoBack"/>
      <w:bookmarkEnd w:id="20"/>
      <w:r w:rsidRPr="006962FD">
        <w:rPr>
          <w:rFonts w:ascii="Times New Roman" w:eastAsia="Times New Roman" w:hAnsi="Times New Roman" w:cs="Times New Roman"/>
          <w:i/>
          <w:color w:val="222222"/>
          <w:sz w:val="24"/>
          <w:szCs w:val="24"/>
          <w:highlight w:val="white"/>
        </w:rPr>
        <w:t>org/2021/07/a-frequent-flyer-levy (accessed on 10 November 2022)</w:t>
      </w:r>
      <w:r w:rsidRPr="006962FD">
        <w:rPr>
          <w:rFonts w:ascii="Times New Roman" w:eastAsia="Times New Roman" w:hAnsi="Times New Roman" w:cs="Times New Roman"/>
          <w:color w:val="222222"/>
          <w:sz w:val="24"/>
          <w:szCs w:val="24"/>
          <w:highlight w:val="white"/>
        </w:rPr>
        <w:t xml:space="preserve">. </w:t>
      </w:r>
      <w:hyperlink r:id="rId18">
        <w:r w:rsidRPr="006962FD">
          <w:rPr>
            <w:rFonts w:ascii="Times New Roman" w:eastAsia="Times New Roman" w:hAnsi="Times New Roman" w:cs="Times New Roman"/>
            <w:color w:val="1155CC"/>
            <w:sz w:val="24"/>
            <w:szCs w:val="24"/>
            <w:highlight w:val="white"/>
            <w:u w:val="single"/>
          </w:rPr>
          <w:t>https://neweconomics.org/uploads/files/frequent-flyer-levy.pdf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Chege, S.M. and Wang, D., (2020). The influence of technology innovation on SME performance through environmental sustainability practices </w:t>
      </w:r>
      <w:r w:rsidRPr="006962FD">
        <w:rPr>
          <w:rFonts w:ascii="Times New Roman" w:eastAsia="Times New Roman" w:hAnsi="Times New Roman" w:cs="Times New Roman"/>
          <w:color w:val="222222"/>
          <w:sz w:val="24"/>
          <w:szCs w:val="24"/>
          <w:highlight w:val="white"/>
        </w:rPr>
        <w:t xml:space="preserve">in Kenya. </w:t>
      </w:r>
      <w:r w:rsidRPr="006962FD">
        <w:rPr>
          <w:rFonts w:ascii="Times New Roman" w:eastAsia="Times New Roman" w:hAnsi="Times New Roman" w:cs="Times New Roman"/>
          <w:i/>
          <w:color w:val="222222"/>
          <w:sz w:val="24"/>
          <w:szCs w:val="24"/>
          <w:highlight w:val="white"/>
        </w:rPr>
        <w:t>Technology in Society</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60</w:t>
      </w:r>
      <w:r w:rsidRPr="006962FD">
        <w:rPr>
          <w:rFonts w:ascii="Times New Roman" w:eastAsia="Times New Roman" w:hAnsi="Times New Roman" w:cs="Times New Roman"/>
          <w:color w:val="222222"/>
          <w:sz w:val="24"/>
          <w:szCs w:val="24"/>
          <w:highlight w:val="white"/>
        </w:rPr>
        <w:t xml:space="preserve">, p.101210. </w:t>
      </w:r>
      <w:hyperlink r:id="rId19">
        <w:r w:rsidRPr="006962FD">
          <w:rPr>
            <w:rFonts w:ascii="Times New Roman" w:eastAsia="Times New Roman" w:hAnsi="Times New Roman" w:cs="Times New Roman"/>
            <w:color w:val="1155CC"/>
            <w:sz w:val="24"/>
            <w:szCs w:val="24"/>
            <w:highlight w:val="white"/>
            <w:u w:val="single"/>
          </w:rPr>
          <w:t>https://www.sciencedirect.com/science/article/pii/S0160791X19302428</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lastRenderedPageBreak/>
        <w:t>Cockbain, E. and Posch, K., (2022). Precarious work an</w:t>
      </w:r>
      <w:r w:rsidRPr="006962FD">
        <w:rPr>
          <w:rFonts w:ascii="Times New Roman" w:eastAsia="Times" w:hAnsi="Times New Roman" w:cs="Times New Roman"/>
          <w:color w:val="222222"/>
          <w:sz w:val="24"/>
          <w:szCs w:val="24"/>
        </w:rPr>
        <w:t xml:space="preserve">d labour market abuses: mapping the UK landscape. </w:t>
      </w:r>
      <w:r w:rsidRPr="006962FD">
        <w:rPr>
          <w:rFonts w:ascii="Times New Roman" w:eastAsia="Times" w:hAnsi="Times New Roman" w:cs="Times New Roman"/>
          <w:i/>
          <w:color w:val="222222"/>
          <w:sz w:val="24"/>
          <w:szCs w:val="24"/>
        </w:rPr>
        <w:t>LSE Business Review</w:t>
      </w:r>
      <w:r w:rsidRPr="006962FD">
        <w:rPr>
          <w:rFonts w:ascii="Times New Roman" w:eastAsia="Times" w:hAnsi="Times New Roman" w:cs="Times New Roman"/>
          <w:color w:val="222222"/>
          <w:sz w:val="24"/>
          <w:szCs w:val="24"/>
        </w:rPr>
        <w:t>.</w:t>
      </w:r>
      <w:hyperlink r:id="rId20">
        <w:r w:rsidRPr="006962FD">
          <w:rPr>
            <w:rFonts w:ascii="Times New Roman" w:eastAsia="Times" w:hAnsi="Times New Roman" w:cs="Times New Roman"/>
            <w:color w:val="1155CC"/>
            <w:sz w:val="24"/>
            <w:szCs w:val="24"/>
            <w:u w:val="single"/>
          </w:rPr>
          <w:t>https://eprints.lse.ac.uk/116071/1/businessreview_2022_06_15_</w:t>
        </w:r>
        <w:r w:rsidRPr="006962FD">
          <w:rPr>
            <w:rFonts w:ascii="Times New Roman" w:eastAsia="Times" w:hAnsi="Times New Roman" w:cs="Times New Roman"/>
            <w:color w:val="1155CC"/>
            <w:sz w:val="24"/>
            <w:szCs w:val="24"/>
            <w:u w:val="single"/>
          </w:rPr>
          <w:t>precarious_work_and_labour_market_abuses.pdf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Cruddas, J., (2022). The Political Economy Of Left And Right Populism. </w:t>
      </w:r>
      <w:r w:rsidRPr="006962FD">
        <w:rPr>
          <w:rFonts w:ascii="Times New Roman" w:eastAsia="Times" w:hAnsi="Times New Roman" w:cs="Times New Roman"/>
          <w:i/>
          <w:color w:val="222222"/>
          <w:sz w:val="24"/>
          <w:szCs w:val="24"/>
        </w:rPr>
        <w:t>National Institute Economic Review</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259</w:t>
      </w:r>
      <w:r w:rsidRPr="006962FD">
        <w:rPr>
          <w:rFonts w:ascii="Times New Roman" w:eastAsia="Times" w:hAnsi="Times New Roman" w:cs="Times New Roman"/>
          <w:color w:val="222222"/>
          <w:sz w:val="24"/>
          <w:szCs w:val="24"/>
        </w:rPr>
        <w:t>, pp.10-19.</w:t>
      </w:r>
      <w:hyperlink r:id="rId21">
        <w:r w:rsidRPr="006962FD">
          <w:rPr>
            <w:rFonts w:ascii="Times New Roman" w:eastAsia="Times" w:hAnsi="Times New Roman" w:cs="Times New Roman"/>
            <w:color w:val="1155CC"/>
            <w:sz w:val="24"/>
            <w:szCs w:val="24"/>
            <w:u w:val="single"/>
          </w:rPr>
          <w:t>https://scholar.archive.org/work/4t2svdog3nfh5pllcn2y7fzzzu/access/wayback/https://www.cambridge.org/core/services/aop-cambridge-core/content/view/AD632019F642D143CC06A5EECAA6E468/S0027950122000060a.pdf/div-class-title-</w:t>
        </w:r>
        <w:r w:rsidRPr="006962FD">
          <w:rPr>
            <w:rFonts w:ascii="Times New Roman" w:eastAsia="Times" w:hAnsi="Times New Roman" w:cs="Times New Roman"/>
            <w:color w:val="1155CC"/>
            <w:sz w:val="24"/>
            <w:szCs w:val="24"/>
            <w:u w:val="single"/>
          </w:rPr>
          <w:t>the-political-economy-of-left-and-right-populism-div.pdf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Dagilyte, E., Drydakis, N., Gillin, N., Greenfields, M., Noble, A., Paraskevopoulou, A. and Smith, D.M., (2022). Submission to the Business, Energy and Industrial Strategy Committee’s Inquiry ‘Post-p</w:t>
      </w:r>
      <w:r w:rsidRPr="006962FD">
        <w:rPr>
          <w:rFonts w:ascii="Times New Roman" w:eastAsia="Times" w:hAnsi="Times New Roman" w:cs="Times New Roman"/>
          <w:color w:val="222222"/>
          <w:sz w:val="24"/>
          <w:szCs w:val="24"/>
        </w:rPr>
        <w:t>andemic economic growth: UK labour markets’.</w:t>
      </w:r>
      <w:hyperlink r:id="rId22">
        <w:r w:rsidRPr="006962FD">
          <w:rPr>
            <w:rFonts w:ascii="Times New Roman" w:eastAsia="Times" w:hAnsi="Times New Roman" w:cs="Times New Roman"/>
            <w:color w:val="1155CC"/>
            <w:sz w:val="24"/>
            <w:szCs w:val="24"/>
            <w:u w:val="single"/>
          </w:rPr>
          <w:t>https://arro.anglia.ac.uk/id/eprint/707752/6/Dagilyte_et_al_2022.pdf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Dobbins, T., (2022). Good work: policy and research on </w:t>
      </w:r>
      <w:r w:rsidRPr="006962FD">
        <w:rPr>
          <w:rFonts w:ascii="Times New Roman" w:eastAsia="Times" w:hAnsi="Times New Roman" w:cs="Times New Roman"/>
          <w:color w:val="222222"/>
          <w:sz w:val="24"/>
          <w:szCs w:val="24"/>
        </w:rPr>
        <w:t>the quality of work in the UK.</w:t>
      </w:r>
      <w:hyperlink r:id="rId23">
        <w:r w:rsidRPr="006962FD">
          <w:rPr>
            <w:rFonts w:ascii="Times New Roman" w:eastAsia="Times" w:hAnsi="Times New Roman" w:cs="Times New Roman"/>
            <w:color w:val="1155CC"/>
            <w:sz w:val="24"/>
            <w:szCs w:val="24"/>
            <w:u w:val="single"/>
          </w:rPr>
          <w:t>https://research.birmingham.ac.uk/files/180159610/CBP_9561_Dobbins_Good_Work.pdf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Drosos, D., Kyriakopoulos, G.L., Gkika, E.C.,</w:t>
      </w:r>
      <w:r w:rsidRPr="006962FD">
        <w:rPr>
          <w:rFonts w:ascii="Times New Roman" w:eastAsia="Times New Roman" w:hAnsi="Times New Roman" w:cs="Times New Roman"/>
          <w:color w:val="222222"/>
          <w:sz w:val="24"/>
          <w:szCs w:val="24"/>
          <w:highlight w:val="white"/>
        </w:rPr>
        <w:t xml:space="preserve"> Komisopoulos, F., Skordoulis, M. and Ntanos, S., (2021). Managing Change and Managerial Innovation towards Employees Satisfaction at Workplace. </w:t>
      </w:r>
      <w:r w:rsidRPr="006962FD">
        <w:rPr>
          <w:rFonts w:ascii="Times New Roman" w:eastAsia="Times New Roman" w:hAnsi="Times New Roman" w:cs="Times New Roman"/>
          <w:i/>
          <w:color w:val="222222"/>
          <w:sz w:val="24"/>
          <w:szCs w:val="24"/>
          <w:highlight w:val="white"/>
        </w:rPr>
        <w:t>TEM Journal</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10</w:t>
      </w:r>
      <w:r w:rsidRPr="006962FD">
        <w:rPr>
          <w:rFonts w:ascii="Times New Roman" w:eastAsia="Times New Roman" w:hAnsi="Times New Roman" w:cs="Times New Roman"/>
          <w:color w:val="222222"/>
          <w:sz w:val="24"/>
          <w:szCs w:val="24"/>
          <w:highlight w:val="white"/>
        </w:rPr>
        <w:t xml:space="preserve">(2). </w:t>
      </w:r>
      <w:hyperlink r:id="rId24">
        <w:r w:rsidRPr="006962FD">
          <w:rPr>
            <w:rFonts w:ascii="Times New Roman" w:eastAsia="Times New Roman" w:hAnsi="Times New Roman" w:cs="Times New Roman"/>
            <w:color w:val="1155CC"/>
            <w:sz w:val="24"/>
            <w:szCs w:val="24"/>
            <w:highlight w:val="white"/>
            <w:u w:val="single"/>
          </w:rPr>
          <w:t>https://www.researchgate.net/profile/G</w:t>
        </w:r>
        <w:r w:rsidRPr="006962FD">
          <w:rPr>
            <w:rFonts w:ascii="Times New Roman" w:eastAsia="Times New Roman" w:hAnsi="Times New Roman" w:cs="Times New Roman"/>
            <w:color w:val="1155CC"/>
            <w:sz w:val="24"/>
            <w:szCs w:val="24"/>
            <w:highlight w:val="white"/>
            <w:u w:val="single"/>
          </w:rPr>
          <w:t>rigorios-Kyriakopoulos/publication/352006003_Managing_Change_And_Managerial_Innovation_Towards_Employees_Satisfaction_At_Workplace/links/60b52f3d299bf106f6ed971a/Managing-Change-And-Managerial-Innovation-Towards-Employees-Satisfaction-At-Workplace.pdf</w:t>
        </w:r>
      </w:hyperlink>
    </w:p>
    <w:p w:rsidR="006962FD" w:rsidRPr="006962FD" w:rsidRDefault="00566828" w:rsidP="006962FD">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6962FD">
        <w:rPr>
          <w:rFonts w:ascii="Times New Roman" w:eastAsia="Times New Roman" w:hAnsi="Times New Roman" w:cs="Times New Roman"/>
          <w:color w:val="000000"/>
          <w:sz w:val="24"/>
          <w:szCs w:val="24"/>
        </w:rPr>
        <w:t xml:space="preserve">eleni.lazaraki (2021). </w:t>
      </w:r>
      <w:r w:rsidRPr="006962FD">
        <w:rPr>
          <w:rFonts w:ascii="Times New Roman" w:eastAsia="Times New Roman" w:hAnsi="Times New Roman" w:cs="Times New Roman"/>
          <w:i/>
          <w:color w:val="000000"/>
          <w:sz w:val="24"/>
          <w:szCs w:val="24"/>
        </w:rPr>
        <w:t>British Gas ‘fire and rehire’ boiler engineers resulting in mass dismissals – Unfair Dismissal? - Rosenblatt</w:t>
      </w:r>
      <w:r w:rsidRPr="006962FD">
        <w:rPr>
          <w:rFonts w:ascii="Times New Roman" w:eastAsia="Times New Roman" w:hAnsi="Times New Roman" w:cs="Times New Roman"/>
          <w:color w:val="000000"/>
          <w:sz w:val="24"/>
          <w:szCs w:val="24"/>
        </w:rPr>
        <w:t xml:space="preserve">. [online] Rosenblatt. Available at: </w:t>
      </w:r>
      <w:hyperlink r:id="rId25">
        <w:r w:rsidRPr="006962FD">
          <w:rPr>
            <w:rFonts w:ascii="Times New Roman" w:eastAsia="Times New Roman" w:hAnsi="Times New Roman" w:cs="Times New Roman"/>
            <w:color w:val="1155CC"/>
            <w:sz w:val="24"/>
            <w:szCs w:val="24"/>
            <w:u w:val="single"/>
          </w:rPr>
          <w:t>https://www.rosenblatt-law.co.uk/insight/british-gas-fire-and-rehire-boiler-engineers-resulting-in-mass-dismissals-unfair-dismissal/</w:t>
        </w:r>
      </w:hyperlink>
      <w:r w:rsidRPr="006962FD">
        <w:rPr>
          <w:rFonts w:ascii="Times New Roman" w:eastAsia="Times New Roman" w:hAnsi="Times New Roman" w:cs="Times New Roman"/>
          <w:color w:val="000000"/>
          <w:sz w:val="24"/>
          <w:szCs w:val="24"/>
        </w:rPr>
        <w:t xml:space="preserve"> [Accessed 31 Jul. 2023].</w:t>
      </w:r>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Escrig-Olmedo, E., Fernández-Izqui</w:t>
      </w:r>
      <w:r w:rsidRPr="006962FD">
        <w:rPr>
          <w:rFonts w:ascii="Times New Roman" w:eastAsia="Times" w:hAnsi="Times New Roman" w:cs="Times New Roman"/>
          <w:color w:val="222222"/>
          <w:sz w:val="24"/>
          <w:szCs w:val="24"/>
        </w:rPr>
        <w:t xml:space="preserve">erdo, M.Á., Ferrero-Ferrero, I., Rivera-Lirio, J.M. and Muñoz-Torres, M.J., (2019). Rating the raters: Evaluating how ESG rating agencies integrate sustainability principles. </w:t>
      </w:r>
      <w:r w:rsidRPr="006962FD">
        <w:rPr>
          <w:rFonts w:ascii="Times New Roman" w:eastAsia="Times" w:hAnsi="Times New Roman" w:cs="Times New Roman"/>
          <w:i/>
          <w:color w:val="222222"/>
          <w:sz w:val="24"/>
          <w:szCs w:val="24"/>
        </w:rPr>
        <w:t>Sustainability</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11</w:t>
      </w:r>
      <w:r w:rsidRPr="006962FD">
        <w:rPr>
          <w:rFonts w:ascii="Times New Roman" w:eastAsia="Times" w:hAnsi="Times New Roman" w:cs="Times New Roman"/>
          <w:color w:val="222222"/>
          <w:sz w:val="24"/>
          <w:szCs w:val="24"/>
        </w:rPr>
        <w:t>(3), p.915.</w:t>
      </w:r>
      <w:hyperlink r:id="rId26">
        <w:r w:rsidRPr="006962FD">
          <w:rPr>
            <w:rFonts w:ascii="Times New Roman" w:eastAsia="Times" w:hAnsi="Times New Roman" w:cs="Times New Roman"/>
            <w:color w:val="1155CC"/>
            <w:sz w:val="24"/>
            <w:szCs w:val="24"/>
            <w:u w:val="single"/>
          </w:rPr>
          <w:t>https://www.mdpi.com/2071-1050/11/3/915/pdf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lastRenderedPageBreak/>
        <w:t xml:space="preserve">Farrukh, M., Sajid, M., Lee, J.W.C. and Shahzad, I.A., (2020). The perception of corporate social responsibility and employee engagement: Examining the underlying mechanism. </w:t>
      </w:r>
      <w:r w:rsidRPr="006962FD">
        <w:rPr>
          <w:rFonts w:ascii="Times New Roman" w:eastAsia="Times New Roman" w:hAnsi="Times New Roman" w:cs="Times New Roman"/>
          <w:i/>
          <w:color w:val="222222"/>
          <w:sz w:val="24"/>
          <w:szCs w:val="24"/>
          <w:highlight w:val="white"/>
        </w:rPr>
        <w:t xml:space="preserve">Corporate Social </w:t>
      </w:r>
      <w:r w:rsidRPr="006962FD">
        <w:rPr>
          <w:rFonts w:ascii="Times New Roman" w:eastAsia="Times New Roman" w:hAnsi="Times New Roman" w:cs="Times New Roman"/>
          <w:i/>
          <w:color w:val="222222"/>
          <w:sz w:val="24"/>
          <w:szCs w:val="24"/>
          <w:highlight w:val="white"/>
        </w:rPr>
        <w:t>Responsibility and Environmental Management</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27</w:t>
      </w:r>
      <w:r w:rsidRPr="006962FD">
        <w:rPr>
          <w:rFonts w:ascii="Times New Roman" w:eastAsia="Times New Roman" w:hAnsi="Times New Roman" w:cs="Times New Roman"/>
          <w:color w:val="222222"/>
          <w:sz w:val="24"/>
          <w:szCs w:val="24"/>
          <w:highlight w:val="white"/>
        </w:rPr>
        <w:t xml:space="preserve">(2), pp.760-768. </w:t>
      </w:r>
      <w:hyperlink r:id="rId27">
        <w:r w:rsidRPr="006962FD">
          <w:rPr>
            <w:rFonts w:ascii="Times New Roman" w:eastAsia="Times New Roman" w:hAnsi="Times New Roman" w:cs="Times New Roman"/>
            <w:color w:val="1155CC"/>
            <w:sz w:val="24"/>
            <w:szCs w:val="24"/>
            <w:highlight w:val="white"/>
            <w:u w:val="single"/>
          </w:rPr>
          <w:t>https://onlinelibrary.wiley.com/doi/abs/10.1002/CSR.1842</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Ferri, F., Grifoni, P. and Guzzo, T., (2020). Online learni</w:t>
      </w:r>
      <w:r w:rsidRPr="006962FD">
        <w:rPr>
          <w:rFonts w:ascii="Times New Roman" w:eastAsia="Times" w:hAnsi="Times New Roman" w:cs="Times New Roman"/>
          <w:color w:val="222222"/>
          <w:sz w:val="24"/>
          <w:szCs w:val="24"/>
        </w:rPr>
        <w:t xml:space="preserve">ng and emergency remote teaching: Opportunities and challenges in emergency situations. </w:t>
      </w:r>
      <w:r w:rsidRPr="006962FD">
        <w:rPr>
          <w:rFonts w:ascii="Times New Roman" w:eastAsia="Times" w:hAnsi="Times New Roman" w:cs="Times New Roman"/>
          <w:i/>
          <w:color w:val="222222"/>
          <w:sz w:val="24"/>
          <w:szCs w:val="24"/>
        </w:rPr>
        <w:t>Societies</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10</w:t>
      </w:r>
      <w:r w:rsidRPr="006962FD">
        <w:rPr>
          <w:rFonts w:ascii="Times New Roman" w:eastAsia="Times" w:hAnsi="Times New Roman" w:cs="Times New Roman"/>
          <w:color w:val="222222"/>
          <w:sz w:val="24"/>
          <w:szCs w:val="24"/>
        </w:rPr>
        <w:t>(4), p.86.</w:t>
      </w:r>
      <w:hyperlink r:id="rId28">
        <w:r w:rsidRPr="006962FD">
          <w:rPr>
            <w:rFonts w:ascii="Times New Roman" w:eastAsia="Times" w:hAnsi="Times New Roman" w:cs="Times New Roman"/>
            <w:color w:val="1155CC"/>
            <w:sz w:val="24"/>
            <w:szCs w:val="24"/>
            <w:u w:val="single"/>
          </w:rPr>
          <w:t>https://www.mdpi.com/2075-4698/10/4/86/pdf</w:t>
        </w:r>
      </w:hyperlink>
      <w:r w:rsidRPr="006962FD">
        <w:rPr>
          <w:rFonts w:ascii="Times New Roman" w:eastAsia="Times" w:hAnsi="Times New Roman" w:cs="Times New Roman"/>
          <w:color w:val="222222"/>
          <w:sz w:val="24"/>
          <w:szCs w:val="24"/>
        </w:rPr>
        <w:t xml:space="preserve"> </w:t>
      </w:r>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Gigauri, I. (2020). Effects of Covid-19</w:t>
      </w:r>
      <w:r w:rsidRPr="006962FD">
        <w:rPr>
          <w:rFonts w:ascii="Times New Roman" w:eastAsia="Times" w:hAnsi="Times New Roman" w:cs="Times New Roman"/>
          <w:color w:val="222222"/>
          <w:sz w:val="24"/>
          <w:szCs w:val="24"/>
        </w:rPr>
        <w:t xml:space="preserve"> on Human Resource Management from the Perspective of Digitalization and Work-life-balance. </w:t>
      </w:r>
      <w:r w:rsidRPr="006962FD">
        <w:rPr>
          <w:rFonts w:ascii="Times New Roman" w:eastAsia="Times" w:hAnsi="Times New Roman" w:cs="Times New Roman"/>
          <w:i/>
          <w:color w:val="222222"/>
          <w:sz w:val="24"/>
          <w:szCs w:val="24"/>
        </w:rPr>
        <w:t>International Journal of Innovative Technologies in Economy</w:t>
      </w:r>
      <w:r w:rsidRPr="006962FD">
        <w:rPr>
          <w:rFonts w:ascii="Times New Roman" w:eastAsia="Times" w:hAnsi="Times New Roman" w:cs="Times New Roman"/>
          <w:color w:val="222222"/>
          <w:sz w:val="24"/>
          <w:szCs w:val="24"/>
        </w:rPr>
        <w:t>, (4 (31)).</w:t>
      </w:r>
      <w:hyperlink r:id="rId29">
        <w:r w:rsidRPr="006962FD">
          <w:rPr>
            <w:rFonts w:ascii="Times New Roman" w:eastAsia="Times" w:hAnsi="Times New Roman" w:cs="Times New Roman"/>
            <w:color w:val="1155CC"/>
            <w:sz w:val="24"/>
            <w:szCs w:val="24"/>
            <w:u w:val="single"/>
          </w:rPr>
          <w:t>https://rsglobal.pl/index.php/ijite/article/download/1438/1485</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Gómez, L.F. and Valdés, M.G., (2019). The Evaluation of Teacher Performance in Higher Education. </w:t>
      </w:r>
      <w:r w:rsidRPr="006962FD">
        <w:rPr>
          <w:rFonts w:ascii="Times New Roman" w:eastAsia="Times" w:hAnsi="Times New Roman" w:cs="Times New Roman"/>
          <w:i/>
          <w:color w:val="222222"/>
          <w:sz w:val="24"/>
          <w:szCs w:val="24"/>
        </w:rPr>
        <w:t>Journal of Educational Psychology-Propositos y Representaciones</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7</w:t>
      </w:r>
      <w:r w:rsidRPr="006962FD">
        <w:rPr>
          <w:rFonts w:ascii="Times New Roman" w:eastAsia="Times" w:hAnsi="Times New Roman" w:cs="Times New Roman"/>
          <w:color w:val="222222"/>
          <w:sz w:val="24"/>
          <w:szCs w:val="24"/>
        </w:rPr>
        <w:t>(2), pp.499-515.</w:t>
      </w:r>
      <w:hyperlink r:id="rId30">
        <w:r w:rsidRPr="006962FD">
          <w:rPr>
            <w:rFonts w:ascii="Times New Roman" w:eastAsia="Times" w:hAnsi="Times New Roman" w:cs="Times New Roman"/>
            <w:color w:val="1155CC"/>
            <w:sz w:val="24"/>
            <w:szCs w:val="24"/>
            <w:u w:val="single"/>
          </w:rPr>
          <w:t>https://files.eric.ed.gov/fulltext/EJ1220554.pdf</w:t>
        </w:r>
      </w:hyperlink>
    </w:p>
    <w:p w:rsid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Hosseini, E. and Sabokro, M., (2022). A Systematic Literature Review of the Organizational Voice. </w:t>
      </w:r>
      <w:r w:rsidRPr="006962FD">
        <w:rPr>
          <w:rFonts w:ascii="Times New Roman" w:eastAsia="Times New Roman" w:hAnsi="Times New Roman" w:cs="Times New Roman"/>
          <w:i/>
          <w:color w:val="222222"/>
          <w:sz w:val="24"/>
          <w:szCs w:val="24"/>
          <w:highlight w:val="white"/>
        </w:rPr>
        <w:t>Iranian Journal of Management Studies</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15</w:t>
      </w:r>
      <w:r w:rsidRPr="006962FD">
        <w:rPr>
          <w:rFonts w:ascii="Times New Roman" w:eastAsia="Times New Roman" w:hAnsi="Times New Roman" w:cs="Times New Roman"/>
          <w:color w:val="222222"/>
          <w:sz w:val="24"/>
          <w:szCs w:val="24"/>
          <w:highlight w:val="white"/>
        </w:rPr>
        <w:t xml:space="preserve">(2). </w:t>
      </w:r>
      <w:hyperlink r:id="rId31">
        <w:r w:rsidRPr="006962FD">
          <w:rPr>
            <w:rFonts w:ascii="Times New Roman" w:eastAsia="Times New Roman" w:hAnsi="Times New Roman" w:cs="Times New Roman"/>
            <w:color w:val="1155CC"/>
            <w:sz w:val="24"/>
            <w:szCs w:val="24"/>
            <w:highlight w:val="white"/>
            <w:u w:val="single"/>
          </w:rPr>
          <w:t>https://www.researchgate.net/profile/Elahe-Hosseini-4/publication/359025910_A_Systematic_Literature_Review_of_the_Organizational_Voice/links/62234bda3c53d31ba4a8ef97/A-Systematic-Literature-Review-of-the-Organizatio</w:t>
        </w:r>
        <w:r w:rsidRPr="006962FD">
          <w:rPr>
            <w:rFonts w:ascii="Times New Roman" w:eastAsia="Times New Roman" w:hAnsi="Times New Roman" w:cs="Times New Roman"/>
            <w:color w:val="1155CC"/>
            <w:sz w:val="24"/>
            <w:szCs w:val="24"/>
            <w:highlight w:val="white"/>
            <w:u w:val="single"/>
          </w:rPr>
          <w:t>nal-Voice.pdf?origin=journalDetail&amp;_tp=eyJwYWdlIjoiam91cm5hbERldGFpbCJ9</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Iweka, O., Liu, S., Shukla, A. and Yan, D., (2019). Energy and behaviour at home: A review of intervention methods and practices. </w:t>
      </w:r>
      <w:r w:rsidRPr="006962FD">
        <w:rPr>
          <w:rFonts w:ascii="Times New Roman" w:eastAsia="Times New Roman" w:hAnsi="Times New Roman" w:cs="Times New Roman"/>
          <w:i/>
          <w:color w:val="222222"/>
          <w:sz w:val="24"/>
          <w:szCs w:val="24"/>
          <w:highlight w:val="white"/>
        </w:rPr>
        <w:t>Energy Research &amp; Social Science</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57</w:t>
      </w:r>
      <w:r w:rsidRPr="006962FD">
        <w:rPr>
          <w:rFonts w:ascii="Times New Roman" w:eastAsia="Times New Roman" w:hAnsi="Times New Roman" w:cs="Times New Roman"/>
          <w:color w:val="222222"/>
          <w:sz w:val="24"/>
          <w:szCs w:val="24"/>
          <w:highlight w:val="white"/>
        </w:rPr>
        <w:t xml:space="preserve">, p.101238. </w:t>
      </w:r>
      <w:hyperlink r:id="rId32">
        <w:r w:rsidRPr="006962FD">
          <w:rPr>
            <w:rFonts w:ascii="Times New Roman" w:eastAsia="Times New Roman" w:hAnsi="Times New Roman" w:cs="Times New Roman"/>
            <w:color w:val="1155CC"/>
            <w:sz w:val="24"/>
            <w:szCs w:val="24"/>
            <w:highlight w:val="white"/>
            <w:u w:val="single"/>
          </w:rPr>
          <w:t>https://www.sciencedirect.com/science/article/pii/S2214629619302853</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Karademir, A., Yaman, F. and Saatçioglu, Ö., (2020). Challenges of Higher Education Institutions against COVID-19: The Case of Turkey. </w:t>
      </w:r>
      <w:r w:rsidRPr="006962FD">
        <w:rPr>
          <w:rFonts w:ascii="Times New Roman" w:eastAsia="Times" w:hAnsi="Times New Roman" w:cs="Times New Roman"/>
          <w:i/>
          <w:color w:val="222222"/>
          <w:sz w:val="24"/>
          <w:szCs w:val="24"/>
        </w:rPr>
        <w:t>Journal of Pedagogical Research</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4</w:t>
      </w:r>
      <w:r w:rsidRPr="006962FD">
        <w:rPr>
          <w:rFonts w:ascii="Times New Roman" w:eastAsia="Times" w:hAnsi="Times New Roman" w:cs="Times New Roman"/>
          <w:color w:val="222222"/>
          <w:sz w:val="24"/>
          <w:szCs w:val="24"/>
        </w:rPr>
        <w:t>(4), pp.453-474.</w:t>
      </w:r>
      <w:hyperlink r:id="rId33">
        <w:r w:rsidRPr="006962FD">
          <w:rPr>
            <w:rFonts w:ascii="Times New Roman" w:eastAsia="Times" w:hAnsi="Times New Roman" w:cs="Times New Roman"/>
            <w:color w:val="1155CC"/>
            <w:sz w:val="24"/>
            <w:szCs w:val="24"/>
            <w:u w:val="single"/>
          </w:rPr>
          <w:t>htt</w:t>
        </w:r>
        <w:r w:rsidRPr="006962FD">
          <w:rPr>
            <w:rFonts w:ascii="Times New Roman" w:eastAsia="Times" w:hAnsi="Times New Roman" w:cs="Times New Roman"/>
            <w:color w:val="1155CC"/>
            <w:sz w:val="24"/>
            <w:szCs w:val="24"/>
            <w:u w:val="single"/>
          </w:rPr>
          <w:t>ps://files.eric.ed.gov/fulltext/EJ1282764.pdf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Li, S., Rees, C.J. and Branine, M., (2019). Employees’ perceptions of human resource management practices and employee outcomes: Empirical evidence from small and medium-sized enterprises in China. </w:t>
      </w:r>
      <w:r w:rsidRPr="006962FD">
        <w:rPr>
          <w:rFonts w:ascii="Times New Roman" w:eastAsia="Times New Roman" w:hAnsi="Times New Roman" w:cs="Times New Roman"/>
          <w:i/>
          <w:color w:val="222222"/>
          <w:sz w:val="24"/>
          <w:szCs w:val="24"/>
          <w:highlight w:val="white"/>
        </w:rPr>
        <w:t>Employee Rel</w:t>
      </w:r>
      <w:r w:rsidRPr="006962FD">
        <w:rPr>
          <w:rFonts w:ascii="Times New Roman" w:eastAsia="Times New Roman" w:hAnsi="Times New Roman" w:cs="Times New Roman"/>
          <w:i/>
          <w:color w:val="222222"/>
          <w:sz w:val="24"/>
          <w:szCs w:val="24"/>
          <w:highlight w:val="white"/>
        </w:rPr>
        <w:t>ations: The International Journal</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41</w:t>
      </w:r>
      <w:r w:rsidRPr="006962FD">
        <w:rPr>
          <w:rFonts w:ascii="Times New Roman" w:eastAsia="Times New Roman" w:hAnsi="Times New Roman" w:cs="Times New Roman"/>
          <w:color w:val="222222"/>
          <w:sz w:val="24"/>
          <w:szCs w:val="24"/>
          <w:highlight w:val="white"/>
        </w:rPr>
        <w:t xml:space="preserve">(6), pp.1419-1433. </w:t>
      </w:r>
      <w:hyperlink r:id="rId34">
        <w:r w:rsidRPr="006962FD">
          <w:rPr>
            <w:rFonts w:ascii="Times New Roman" w:eastAsia="Times New Roman" w:hAnsi="Times New Roman" w:cs="Times New Roman"/>
            <w:color w:val="1155CC"/>
            <w:sz w:val="24"/>
            <w:szCs w:val="24"/>
            <w:highlight w:val="white"/>
            <w:u w:val="single"/>
          </w:rPr>
          <w:t>https://rke.abertay.ac.uk/files/16503794/Branine_EmployeesPerceptionsOfHuman_Accepted_(2019).PDF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lastRenderedPageBreak/>
        <w:t>Manzoor, F., Wei, L., Bányai, T., Nurunnabi, M. and Subhan, Q.A., (2019). An examination of sustainable HRM practices on job performance: An application of tra</w:t>
      </w:r>
      <w:r w:rsidRPr="006962FD">
        <w:rPr>
          <w:rFonts w:ascii="Times New Roman" w:eastAsia="Times" w:hAnsi="Times New Roman" w:cs="Times New Roman"/>
          <w:color w:val="222222"/>
          <w:sz w:val="24"/>
          <w:szCs w:val="24"/>
        </w:rPr>
        <w:t xml:space="preserve">ining as a moderator. </w:t>
      </w:r>
      <w:r w:rsidRPr="006962FD">
        <w:rPr>
          <w:rFonts w:ascii="Times New Roman" w:eastAsia="Times" w:hAnsi="Times New Roman" w:cs="Times New Roman"/>
          <w:i/>
          <w:color w:val="222222"/>
          <w:sz w:val="24"/>
          <w:szCs w:val="24"/>
        </w:rPr>
        <w:t>Sustainability</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11</w:t>
      </w:r>
      <w:r w:rsidRPr="006962FD">
        <w:rPr>
          <w:rFonts w:ascii="Times New Roman" w:eastAsia="Times" w:hAnsi="Times New Roman" w:cs="Times New Roman"/>
          <w:color w:val="222222"/>
          <w:sz w:val="24"/>
          <w:szCs w:val="24"/>
        </w:rPr>
        <w:t>(8), p.2263.</w:t>
      </w:r>
      <w:hyperlink r:id="rId35">
        <w:r w:rsidRPr="006962FD">
          <w:rPr>
            <w:rFonts w:ascii="Times New Roman" w:eastAsia="Times" w:hAnsi="Times New Roman" w:cs="Times New Roman"/>
            <w:color w:val="1155CC"/>
            <w:sz w:val="24"/>
            <w:szCs w:val="24"/>
            <w:u w:val="single"/>
          </w:rPr>
          <w:t>https://www.mdpi.com/2071-1050/11/8/2263/pdf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Massaro, M., Secinaro, S., Dal Mas, F., Brescia, V. and Calandra, D., (2021). Industry 4.0 and </w:t>
      </w:r>
      <w:r w:rsidRPr="006962FD">
        <w:rPr>
          <w:rFonts w:ascii="Times New Roman" w:eastAsia="Times New Roman" w:hAnsi="Times New Roman" w:cs="Times New Roman"/>
          <w:color w:val="222222"/>
          <w:sz w:val="24"/>
          <w:szCs w:val="24"/>
          <w:highlight w:val="white"/>
        </w:rPr>
        <w:t xml:space="preserve">circular economy: An exploratory analysis of academic and practitioners' perspectives. </w:t>
      </w:r>
      <w:r w:rsidRPr="006962FD">
        <w:rPr>
          <w:rFonts w:ascii="Times New Roman" w:eastAsia="Times New Roman" w:hAnsi="Times New Roman" w:cs="Times New Roman"/>
          <w:i/>
          <w:color w:val="222222"/>
          <w:sz w:val="24"/>
          <w:szCs w:val="24"/>
          <w:highlight w:val="white"/>
        </w:rPr>
        <w:t>Business Strategy and the Environment</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30</w:t>
      </w:r>
      <w:r w:rsidRPr="006962FD">
        <w:rPr>
          <w:rFonts w:ascii="Times New Roman" w:eastAsia="Times New Roman" w:hAnsi="Times New Roman" w:cs="Times New Roman"/>
          <w:color w:val="222222"/>
          <w:sz w:val="24"/>
          <w:szCs w:val="24"/>
          <w:highlight w:val="white"/>
        </w:rPr>
        <w:t xml:space="preserve">(2), pp.1213-1231. </w:t>
      </w:r>
      <w:hyperlink r:id="rId36">
        <w:r w:rsidRPr="006962FD">
          <w:rPr>
            <w:rFonts w:ascii="Times New Roman" w:eastAsia="Times New Roman" w:hAnsi="Times New Roman" w:cs="Times New Roman"/>
            <w:color w:val="1155CC"/>
            <w:sz w:val="24"/>
            <w:szCs w:val="24"/>
            <w:highlight w:val="white"/>
            <w:u w:val="single"/>
          </w:rPr>
          <w:t>https://onlinelibrary.wiley.com/d</w:t>
        </w:r>
        <w:r w:rsidRPr="006962FD">
          <w:rPr>
            <w:rFonts w:ascii="Times New Roman" w:eastAsia="Times New Roman" w:hAnsi="Times New Roman" w:cs="Times New Roman"/>
            <w:color w:val="1155CC"/>
            <w:sz w:val="24"/>
            <w:szCs w:val="24"/>
            <w:highlight w:val="white"/>
            <w:u w:val="single"/>
          </w:rPr>
          <w:t>oi/abs/10.1002/bse.2680</w:t>
        </w:r>
      </w:hyperlink>
    </w:p>
    <w:p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1155CC"/>
          <w:sz w:val="24"/>
          <w:szCs w:val="24"/>
          <w:highlight w:val="white"/>
          <w:u w:val="single"/>
        </w:rPr>
      </w:pPr>
      <w:r w:rsidRPr="006962FD">
        <w:rPr>
          <w:rFonts w:ascii="Times New Roman" w:eastAsia="Times New Roman" w:hAnsi="Times New Roman" w:cs="Times New Roman"/>
          <w:color w:val="222222"/>
          <w:sz w:val="24"/>
          <w:szCs w:val="24"/>
          <w:highlight w:val="white"/>
        </w:rPr>
        <w:t xml:space="preserve">Muis, K.R., Denton, C. and Dubé, A., (2022). Identifying CRAAP on the Internet: A Source Evaluation Intervention. </w:t>
      </w:r>
      <w:r w:rsidRPr="006962FD">
        <w:rPr>
          <w:rFonts w:ascii="Times New Roman" w:eastAsia="Times New Roman" w:hAnsi="Times New Roman" w:cs="Times New Roman"/>
          <w:i/>
          <w:color w:val="222222"/>
          <w:sz w:val="24"/>
          <w:szCs w:val="24"/>
        </w:rPr>
        <w:t>Advances in Social Sciences Research Journal</w:t>
      </w:r>
      <w:r w:rsidRPr="006962FD">
        <w:rPr>
          <w:rFonts w:ascii="Times New Roman" w:eastAsia="Times New Roman" w:hAnsi="Times New Roman" w:cs="Times New Roman"/>
          <w:color w:val="222222"/>
          <w:sz w:val="24"/>
          <w:szCs w:val="24"/>
        </w:rPr>
        <w:t xml:space="preserve">, </w:t>
      </w:r>
      <w:r w:rsidRPr="006962FD">
        <w:rPr>
          <w:rFonts w:ascii="Times New Roman" w:eastAsia="Times New Roman" w:hAnsi="Times New Roman" w:cs="Times New Roman"/>
          <w:i/>
          <w:color w:val="222222"/>
          <w:sz w:val="24"/>
          <w:szCs w:val="24"/>
        </w:rPr>
        <w:t>9</w:t>
      </w:r>
      <w:r w:rsidRPr="006962FD">
        <w:rPr>
          <w:rFonts w:ascii="Times New Roman" w:eastAsia="Times New Roman" w:hAnsi="Times New Roman" w:cs="Times New Roman"/>
          <w:color w:val="222222"/>
          <w:sz w:val="24"/>
          <w:szCs w:val="24"/>
        </w:rPr>
        <w:t>(7), pp.239-265.</w:t>
      </w:r>
      <w:hyperlink r:id="rId37">
        <w:r w:rsidRPr="006962FD">
          <w:rPr>
            <w:rFonts w:ascii="Times New Roman" w:eastAsia="Times New Roman" w:hAnsi="Times New Roman" w:cs="Times New Roman"/>
            <w:color w:val="222222"/>
            <w:sz w:val="24"/>
            <w:szCs w:val="24"/>
          </w:rPr>
          <w:t xml:space="preserve"> </w:t>
        </w:r>
      </w:hyperlink>
      <w:hyperlink r:id="rId38">
        <w:r w:rsidRPr="006962FD">
          <w:rPr>
            <w:rFonts w:ascii="Times New Roman" w:eastAsia="Times New Roman" w:hAnsi="Times New Roman" w:cs="Times New Roman"/>
            <w:color w:val="1155CC"/>
            <w:sz w:val="24"/>
            <w:szCs w:val="24"/>
            <w:highlight w:val="white"/>
            <w:u w:val="single"/>
          </w:rPr>
          <w:t>https://www.researchgate.net/profile/Adam-Dube/publication/362327098_Identifying_CRAAP_on_the_Internet_A_Source_Evaluation_Intervention/links/62fea0dfceb9764f7206d5a7/Identifying-CRAAP-on-the-Internet-A-Source-Evaluation-Intervention.pdf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Nantee, N. and Su</w:t>
      </w:r>
      <w:r w:rsidRPr="006962FD">
        <w:rPr>
          <w:rFonts w:ascii="Times New Roman" w:eastAsia="Times New Roman" w:hAnsi="Times New Roman" w:cs="Times New Roman"/>
          <w:color w:val="222222"/>
          <w:sz w:val="24"/>
          <w:szCs w:val="24"/>
          <w:highlight w:val="white"/>
        </w:rPr>
        <w:t xml:space="preserve">reeyatanapas, P., (2021). The impact of Logistics 4.0 on corporate sustainability: a performance assessment of automated warehouse operations. </w:t>
      </w:r>
      <w:r w:rsidRPr="006962FD">
        <w:rPr>
          <w:rFonts w:ascii="Times New Roman" w:eastAsia="Times New Roman" w:hAnsi="Times New Roman" w:cs="Times New Roman"/>
          <w:i/>
          <w:color w:val="222222"/>
          <w:sz w:val="24"/>
          <w:szCs w:val="24"/>
          <w:highlight w:val="white"/>
        </w:rPr>
        <w:t>Benchmarking: An International Journal</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28</w:t>
      </w:r>
      <w:r w:rsidRPr="006962FD">
        <w:rPr>
          <w:rFonts w:ascii="Times New Roman" w:eastAsia="Times New Roman" w:hAnsi="Times New Roman" w:cs="Times New Roman"/>
          <w:color w:val="222222"/>
          <w:sz w:val="24"/>
          <w:szCs w:val="24"/>
          <w:highlight w:val="white"/>
        </w:rPr>
        <w:t xml:space="preserve">(10), pp.2865-2895. </w:t>
      </w:r>
      <w:hyperlink r:id="rId39">
        <w:r w:rsidRPr="006962FD">
          <w:rPr>
            <w:rFonts w:ascii="Times New Roman" w:eastAsia="Times New Roman" w:hAnsi="Times New Roman" w:cs="Times New Roman"/>
            <w:color w:val="1155CC"/>
            <w:sz w:val="24"/>
            <w:szCs w:val="24"/>
            <w:highlight w:val="white"/>
            <w:u w:val="single"/>
          </w:rPr>
          <w:t>https://www.emerald.com/insight/content/doi/10.1108/BIJ-11-(2020)-0583</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Pattnaik, L. and Jena, L.K., (2020). Mindfulness, remote engagement and employee morale: conceptual analysis to address the “new normal”. </w:t>
      </w:r>
      <w:r w:rsidRPr="006962FD">
        <w:rPr>
          <w:rFonts w:ascii="Times New Roman" w:eastAsia="Times New Roman" w:hAnsi="Times New Roman" w:cs="Times New Roman"/>
          <w:i/>
          <w:color w:val="222222"/>
          <w:sz w:val="24"/>
          <w:szCs w:val="24"/>
          <w:highlight w:val="white"/>
        </w:rPr>
        <w:t>Internatio</w:t>
      </w:r>
      <w:r w:rsidRPr="006962FD">
        <w:rPr>
          <w:rFonts w:ascii="Times New Roman" w:eastAsia="Times New Roman" w:hAnsi="Times New Roman" w:cs="Times New Roman"/>
          <w:i/>
          <w:color w:val="222222"/>
          <w:sz w:val="24"/>
          <w:szCs w:val="24"/>
          <w:highlight w:val="white"/>
        </w:rPr>
        <w:t>nal Journal of Organizational Analysis</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29</w:t>
      </w:r>
      <w:r w:rsidRPr="006962FD">
        <w:rPr>
          <w:rFonts w:ascii="Times New Roman" w:eastAsia="Times New Roman" w:hAnsi="Times New Roman" w:cs="Times New Roman"/>
          <w:color w:val="222222"/>
          <w:sz w:val="24"/>
          <w:szCs w:val="24"/>
          <w:highlight w:val="white"/>
        </w:rPr>
        <w:t xml:space="preserve">(4), pp.873-890. </w:t>
      </w:r>
      <w:hyperlink r:id="rId40">
        <w:r w:rsidRPr="006962FD">
          <w:rPr>
            <w:rFonts w:ascii="Times New Roman" w:eastAsia="Times New Roman" w:hAnsi="Times New Roman" w:cs="Times New Roman"/>
            <w:color w:val="1155CC"/>
            <w:sz w:val="24"/>
            <w:szCs w:val="24"/>
            <w:highlight w:val="white"/>
            <w:u w:val="single"/>
          </w:rPr>
          <w:t>http://bbemail.s3.amazonaws.com/PROD/ulib/ae3z4l/docs/968b6acf-</w:t>
        </w:r>
        <w:r w:rsidRPr="006962FD">
          <w:rPr>
            <w:rFonts w:ascii="Times New Roman" w:eastAsia="Times New Roman" w:hAnsi="Times New Roman" w:cs="Times New Roman"/>
            <w:color w:val="1155CC"/>
            <w:sz w:val="24"/>
            <w:szCs w:val="24"/>
            <w:highlight w:val="white"/>
            <w:u w:val="single"/>
          </w:rPr>
          <w:t>74e8-89a3-294f-1fa249447687/MoraleandEngagement.pdf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Pham, D.D.T. and Paillé, P., (2020). Green recruitment and selection: an insight into green patterns. </w:t>
      </w:r>
      <w:r w:rsidRPr="006962FD">
        <w:rPr>
          <w:rFonts w:ascii="Times New Roman" w:eastAsia="Times New Roman" w:hAnsi="Times New Roman" w:cs="Times New Roman"/>
          <w:i/>
          <w:color w:val="222222"/>
          <w:sz w:val="24"/>
          <w:szCs w:val="24"/>
          <w:highlight w:val="white"/>
        </w:rPr>
        <w:t>International Journal of Manpower</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41</w:t>
      </w:r>
      <w:r w:rsidRPr="006962FD">
        <w:rPr>
          <w:rFonts w:ascii="Times New Roman" w:eastAsia="Times New Roman" w:hAnsi="Times New Roman" w:cs="Times New Roman"/>
          <w:color w:val="222222"/>
          <w:sz w:val="24"/>
          <w:szCs w:val="24"/>
          <w:highlight w:val="white"/>
        </w:rPr>
        <w:t xml:space="preserve">(3), pp.258-272. </w:t>
      </w:r>
      <w:hyperlink r:id="rId41">
        <w:r w:rsidRPr="006962FD">
          <w:rPr>
            <w:rFonts w:ascii="Times New Roman" w:eastAsia="Times New Roman" w:hAnsi="Times New Roman" w:cs="Times New Roman"/>
            <w:color w:val="1155CC"/>
            <w:sz w:val="24"/>
            <w:szCs w:val="24"/>
            <w:highlight w:val="white"/>
            <w:u w:val="single"/>
          </w:rPr>
          <w:t>ht</w:t>
        </w:r>
        <w:r w:rsidRPr="006962FD">
          <w:rPr>
            <w:rFonts w:ascii="Times New Roman" w:eastAsia="Times New Roman" w:hAnsi="Times New Roman" w:cs="Times New Roman"/>
            <w:color w:val="1155CC"/>
            <w:sz w:val="24"/>
            <w:szCs w:val="24"/>
            <w:highlight w:val="white"/>
            <w:u w:val="single"/>
          </w:rPr>
          <w:t>tps://www.researchgate.net/profile/Do-Dieu-Thu-Pham/publication/344653706_Green_recruitment_and_selection_an_insight_into_green_patterns/links/6366b0112f4bca7fd034ba78/Green-recruitment-and-selection-an-insight-into-green-patterns.pdf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Pham, N.T., Tučková, </w:t>
      </w:r>
      <w:r w:rsidRPr="006962FD">
        <w:rPr>
          <w:rFonts w:ascii="Times New Roman" w:eastAsia="Times New Roman" w:hAnsi="Times New Roman" w:cs="Times New Roman"/>
          <w:color w:val="222222"/>
          <w:sz w:val="24"/>
          <w:szCs w:val="24"/>
          <w:highlight w:val="white"/>
        </w:rPr>
        <w:t xml:space="preserve">Z. and Jabbour, C.J.C., (2019). Greening the hospitality industry: How do green human resource management practices influence organisational citizenship behaviour in </w:t>
      </w:r>
      <w:r w:rsidRPr="006962FD">
        <w:rPr>
          <w:rFonts w:ascii="Times New Roman" w:eastAsia="Times New Roman" w:hAnsi="Times New Roman" w:cs="Times New Roman"/>
          <w:color w:val="222222"/>
          <w:sz w:val="24"/>
          <w:szCs w:val="24"/>
          <w:highlight w:val="white"/>
        </w:rPr>
        <w:lastRenderedPageBreak/>
        <w:t xml:space="preserve">hotels? A mixed-methods study. </w:t>
      </w:r>
      <w:r w:rsidRPr="006962FD">
        <w:rPr>
          <w:rFonts w:ascii="Times New Roman" w:eastAsia="Times New Roman" w:hAnsi="Times New Roman" w:cs="Times New Roman"/>
          <w:i/>
          <w:color w:val="222222"/>
          <w:sz w:val="24"/>
          <w:szCs w:val="24"/>
          <w:highlight w:val="white"/>
        </w:rPr>
        <w:t>Tourism management</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72</w:t>
      </w:r>
      <w:r w:rsidRPr="006962FD">
        <w:rPr>
          <w:rFonts w:ascii="Times New Roman" w:eastAsia="Times New Roman" w:hAnsi="Times New Roman" w:cs="Times New Roman"/>
          <w:color w:val="222222"/>
          <w:sz w:val="24"/>
          <w:szCs w:val="24"/>
          <w:highlight w:val="white"/>
        </w:rPr>
        <w:t xml:space="preserve">, pp.386-399. </w:t>
      </w:r>
      <w:hyperlink r:id="rId42">
        <w:r w:rsidRPr="006962FD">
          <w:rPr>
            <w:rFonts w:ascii="Times New Roman" w:eastAsia="Times New Roman" w:hAnsi="Times New Roman" w:cs="Times New Roman"/>
            <w:color w:val="1155CC"/>
            <w:sz w:val="24"/>
            <w:szCs w:val="24"/>
            <w:highlight w:val="white"/>
            <w:u w:val="single"/>
          </w:rPr>
          <w:t>https://e-tarjome.com/storage/panel/fileuploads/(2019)-08-19/1566214125_E12569-e-tarjome.pdf</w:t>
        </w:r>
      </w:hyperlink>
    </w:p>
    <w:p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1155CC"/>
          <w:sz w:val="24"/>
          <w:szCs w:val="24"/>
          <w:highlight w:val="white"/>
          <w:u w:val="single"/>
        </w:rPr>
      </w:pPr>
      <w:r w:rsidRPr="006962FD">
        <w:rPr>
          <w:rFonts w:ascii="Times New Roman" w:eastAsia="Times New Roman" w:hAnsi="Times New Roman" w:cs="Times New Roman"/>
          <w:color w:val="222222"/>
          <w:sz w:val="24"/>
          <w:szCs w:val="24"/>
          <w:highlight w:val="white"/>
        </w:rPr>
        <w:t xml:space="preserve">Pym, J.G. (2021). </w:t>
      </w:r>
      <w:r w:rsidRPr="006962FD">
        <w:rPr>
          <w:rFonts w:ascii="Times New Roman" w:eastAsia="Times New Roman" w:hAnsi="Times New Roman" w:cs="Times New Roman"/>
          <w:i/>
          <w:color w:val="222222"/>
          <w:sz w:val="24"/>
          <w:szCs w:val="24"/>
        </w:rPr>
        <w:t>Managing Innovation Under Nationalisation: the British Gas</w:t>
      </w:r>
      <w:r w:rsidRPr="006962FD">
        <w:rPr>
          <w:rFonts w:ascii="Times New Roman" w:eastAsia="Times New Roman" w:hAnsi="Times New Roman" w:cs="Times New Roman"/>
          <w:i/>
          <w:color w:val="222222"/>
          <w:sz w:val="24"/>
          <w:szCs w:val="24"/>
        </w:rPr>
        <w:t xml:space="preserve"> industry and the first trans-oceanic transportation of Liquefied Natural Gas: 1954-1959</w:t>
      </w:r>
      <w:r w:rsidRPr="006962FD">
        <w:rPr>
          <w:rFonts w:ascii="Times New Roman" w:eastAsia="Times New Roman" w:hAnsi="Times New Roman" w:cs="Times New Roman"/>
          <w:color w:val="222222"/>
          <w:sz w:val="24"/>
          <w:szCs w:val="24"/>
        </w:rPr>
        <w:t xml:space="preserve"> (Doctoral dissertation, University of Leicester).</w:t>
      </w:r>
      <w:hyperlink r:id="rId43">
        <w:r w:rsidRPr="006962FD">
          <w:rPr>
            <w:rFonts w:ascii="Times New Roman" w:eastAsia="Times New Roman" w:hAnsi="Times New Roman" w:cs="Times New Roman"/>
            <w:color w:val="222222"/>
            <w:sz w:val="24"/>
            <w:szCs w:val="24"/>
          </w:rPr>
          <w:t xml:space="preserve"> </w:t>
        </w:r>
      </w:hyperlink>
      <w:hyperlink r:id="rId44">
        <w:r w:rsidRPr="006962FD">
          <w:rPr>
            <w:rFonts w:ascii="Times New Roman" w:eastAsia="Times New Roman" w:hAnsi="Times New Roman" w:cs="Times New Roman"/>
            <w:color w:val="1155CC"/>
            <w:sz w:val="24"/>
            <w:szCs w:val="24"/>
            <w:highlight w:val="white"/>
            <w:u w:val="single"/>
          </w:rPr>
          <w:t>https://leicester.figshare.com/articles/thesis/Managing_Innovation_Under_Nationalisation_the_British_Gas_industry_and_the_first_trans-oceanic_trans</w:t>
        </w:r>
        <w:r w:rsidRPr="006962FD">
          <w:rPr>
            <w:rFonts w:ascii="Times New Roman" w:eastAsia="Times New Roman" w:hAnsi="Times New Roman" w:cs="Times New Roman"/>
            <w:color w:val="1155CC"/>
            <w:sz w:val="24"/>
            <w:szCs w:val="24"/>
            <w:highlight w:val="white"/>
            <w:u w:val="single"/>
          </w:rPr>
          <w:t>portation_of_Liquefied_Natural_Gas_1954-1959/17099654/1/files/31619294.pdf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Safari, A., Das, N., Langhelle, O., Roy, J. and Assadi, M., (2019). Natural gas: A transition fuel for sustainable energy system transformation? </w:t>
      </w:r>
      <w:r w:rsidRPr="006962FD">
        <w:rPr>
          <w:rFonts w:ascii="Times New Roman" w:eastAsia="Times New Roman" w:hAnsi="Times New Roman" w:cs="Times New Roman"/>
          <w:i/>
          <w:color w:val="222222"/>
          <w:sz w:val="24"/>
          <w:szCs w:val="24"/>
          <w:highlight w:val="white"/>
        </w:rPr>
        <w:t>Energy Science &amp; Engineering</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7</w:t>
      </w:r>
      <w:r w:rsidRPr="006962FD">
        <w:rPr>
          <w:rFonts w:ascii="Times New Roman" w:eastAsia="Times New Roman" w:hAnsi="Times New Roman" w:cs="Times New Roman"/>
          <w:color w:val="222222"/>
          <w:sz w:val="24"/>
          <w:szCs w:val="24"/>
          <w:highlight w:val="white"/>
        </w:rPr>
        <w:t xml:space="preserve">(4), pp.1075-1094. </w:t>
      </w:r>
      <w:hyperlink r:id="rId45">
        <w:r w:rsidRPr="006962FD">
          <w:rPr>
            <w:rFonts w:ascii="Times New Roman" w:eastAsia="Times New Roman" w:hAnsi="Times New Roman" w:cs="Times New Roman"/>
            <w:color w:val="1155CC"/>
            <w:sz w:val="24"/>
            <w:szCs w:val="24"/>
            <w:highlight w:val="white"/>
            <w:u w:val="single"/>
          </w:rPr>
          <w:t>https://onlinelibrary.wiley.com/doi/pdf/10.1002/ese3.380</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Salvioni, D.M. and Almici, A., (2020). Transitioning toward a circular economy: The impact of stakeholde</w:t>
      </w:r>
      <w:r w:rsidRPr="006962FD">
        <w:rPr>
          <w:rFonts w:ascii="Times New Roman" w:eastAsia="Times New Roman" w:hAnsi="Times New Roman" w:cs="Times New Roman"/>
          <w:color w:val="222222"/>
          <w:sz w:val="24"/>
          <w:szCs w:val="24"/>
          <w:highlight w:val="white"/>
        </w:rPr>
        <w:t xml:space="preserve">r engagement on sustainability culture. </w:t>
      </w:r>
      <w:r w:rsidRPr="006962FD">
        <w:rPr>
          <w:rFonts w:ascii="Times New Roman" w:eastAsia="Times New Roman" w:hAnsi="Times New Roman" w:cs="Times New Roman"/>
          <w:i/>
          <w:color w:val="222222"/>
          <w:sz w:val="24"/>
          <w:szCs w:val="24"/>
          <w:highlight w:val="white"/>
        </w:rPr>
        <w:t>Sustainability</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12</w:t>
      </w:r>
      <w:r w:rsidRPr="006962FD">
        <w:rPr>
          <w:rFonts w:ascii="Times New Roman" w:eastAsia="Times New Roman" w:hAnsi="Times New Roman" w:cs="Times New Roman"/>
          <w:color w:val="222222"/>
          <w:sz w:val="24"/>
          <w:szCs w:val="24"/>
          <w:highlight w:val="white"/>
        </w:rPr>
        <w:t xml:space="preserve">(20), p.8641. </w:t>
      </w:r>
      <w:hyperlink r:id="rId46">
        <w:r w:rsidRPr="006962FD">
          <w:rPr>
            <w:rFonts w:ascii="Times New Roman" w:eastAsia="Times New Roman" w:hAnsi="Times New Roman" w:cs="Times New Roman"/>
            <w:color w:val="1155CC"/>
            <w:sz w:val="24"/>
            <w:szCs w:val="24"/>
            <w:highlight w:val="white"/>
            <w:u w:val="single"/>
          </w:rPr>
          <w:t>https://www.mdpi.com/2071-1050/12/20/8641/pdf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Shackleton, L., 2022. Summertime Blues: Unions, strikes and the law in (2</w:t>
      </w:r>
      <w:r w:rsidRPr="006962FD">
        <w:rPr>
          <w:rFonts w:ascii="Times New Roman" w:eastAsia="Times" w:hAnsi="Times New Roman" w:cs="Times New Roman"/>
          <w:color w:val="222222"/>
          <w:sz w:val="24"/>
          <w:szCs w:val="24"/>
        </w:rPr>
        <w:t xml:space="preserve">022). </w:t>
      </w:r>
      <w:r w:rsidRPr="006962FD">
        <w:rPr>
          <w:rFonts w:ascii="Times New Roman" w:eastAsia="Times" w:hAnsi="Times New Roman" w:cs="Times New Roman"/>
          <w:i/>
          <w:color w:val="222222"/>
          <w:sz w:val="24"/>
          <w:szCs w:val="24"/>
        </w:rPr>
        <w:t>Institute of Economic Affairs Monographs, Forthcoming, IEA Briefing Paper</w:t>
      </w:r>
      <w:r w:rsidRPr="006962FD">
        <w:rPr>
          <w:rFonts w:ascii="Times New Roman" w:eastAsia="Times" w:hAnsi="Times New Roman" w:cs="Times New Roman"/>
          <w:color w:val="222222"/>
          <w:sz w:val="24"/>
          <w:szCs w:val="24"/>
        </w:rPr>
        <w:t>.</w:t>
      </w:r>
      <w:hyperlink r:id="rId47">
        <w:r w:rsidRPr="006962FD">
          <w:rPr>
            <w:rFonts w:ascii="Times New Roman" w:eastAsia="Times" w:hAnsi="Times New Roman" w:cs="Times New Roman"/>
            <w:color w:val="1155CC"/>
            <w:sz w:val="24"/>
            <w:szCs w:val="24"/>
            <w:u w:val="single"/>
          </w:rPr>
          <w:t>https://iea.org.uk/wp-content/uploads/2022/07/SUMMERTIME-BLUES-SHACKLETON.pdf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S</w:t>
      </w:r>
      <w:r w:rsidRPr="006962FD">
        <w:rPr>
          <w:rFonts w:ascii="Times New Roman" w:eastAsia="Times New Roman" w:hAnsi="Times New Roman" w:cs="Times New Roman"/>
          <w:color w:val="222222"/>
          <w:sz w:val="24"/>
          <w:szCs w:val="24"/>
          <w:highlight w:val="white"/>
        </w:rPr>
        <w:t xml:space="preserve">hrotryia, V.K. and Dhanda, U. (2019). Content validity of assessment instrument for employee engagement. </w:t>
      </w:r>
      <w:r w:rsidRPr="006962FD">
        <w:rPr>
          <w:rFonts w:ascii="Times New Roman" w:eastAsia="Times New Roman" w:hAnsi="Times New Roman" w:cs="Times New Roman"/>
          <w:i/>
          <w:color w:val="222222"/>
          <w:sz w:val="24"/>
          <w:szCs w:val="24"/>
          <w:highlight w:val="white"/>
        </w:rPr>
        <w:t>Sage Open</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9</w:t>
      </w:r>
      <w:r w:rsidRPr="006962FD">
        <w:rPr>
          <w:rFonts w:ascii="Times New Roman" w:eastAsia="Times New Roman" w:hAnsi="Times New Roman" w:cs="Times New Roman"/>
          <w:color w:val="222222"/>
          <w:sz w:val="24"/>
          <w:szCs w:val="24"/>
          <w:highlight w:val="white"/>
        </w:rPr>
        <w:t xml:space="preserve">(1), p.2158244018821751. </w:t>
      </w:r>
      <w:hyperlink r:id="rId48">
        <w:r w:rsidRPr="006962FD">
          <w:rPr>
            <w:rFonts w:ascii="Times New Roman" w:eastAsia="Times New Roman" w:hAnsi="Times New Roman" w:cs="Times New Roman"/>
            <w:color w:val="1155CC"/>
            <w:sz w:val="24"/>
            <w:szCs w:val="24"/>
            <w:highlight w:val="white"/>
            <w:u w:val="single"/>
          </w:rPr>
          <w:t>https://journals.sagepub.com/doi/full/10.1177/2158244018821751</w:t>
        </w:r>
      </w:hyperlink>
    </w:p>
    <w:p w:rsidR="006962FD" w:rsidRPr="006962FD" w:rsidRDefault="00566828" w:rsidP="006962FD">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6962FD">
        <w:rPr>
          <w:rFonts w:ascii="Times New Roman" w:eastAsia="Times New Roman" w:hAnsi="Times New Roman" w:cs="Times New Roman"/>
          <w:color w:val="000000"/>
          <w:sz w:val="24"/>
          <w:szCs w:val="24"/>
        </w:rPr>
        <w:t xml:space="preserve">Staff, C. (2021). </w:t>
      </w:r>
      <w:r w:rsidRPr="006962FD">
        <w:rPr>
          <w:rFonts w:ascii="Times New Roman" w:eastAsia="Times New Roman" w:hAnsi="Times New Roman" w:cs="Times New Roman"/>
          <w:i/>
          <w:color w:val="000000"/>
          <w:sz w:val="24"/>
          <w:szCs w:val="24"/>
        </w:rPr>
        <w:t>The Ultimate Guide to Human Resources Models and Theories</w:t>
      </w:r>
      <w:r w:rsidRPr="006962FD">
        <w:rPr>
          <w:rFonts w:ascii="Times New Roman" w:eastAsia="Times New Roman" w:hAnsi="Times New Roman" w:cs="Times New Roman"/>
          <w:color w:val="000000"/>
          <w:sz w:val="24"/>
          <w:szCs w:val="24"/>
        </w:rPr>
        <w:t xml:space="preserve">. [online] Contract Recruiter. Available at: </w:t>
      </w:r>
      <w:hyperlink r:id="rId49">
        <w:r w:rsidRPr="006962FD">
          <w:rPr>
            <w:rFonts w:ascii="Times New Roman" w:eastAsia="Times New Roman" w:hAnsi="Times New Roman" w:cs="Times New Roman"/>
            <w:color w:val="1155CC"/>
            <w:sz w:val="24"/>
            <w:szCs w:val="24"/>
            <w:u w:val="single"/>
          </w:rPr>
          <w:t>https://www.contractrecruiter.com/human-resources-models-theories/</w:t>
        </w:r>
      </w:hyperlink>
      <w:r w:rsidRPr="006962FD">
        <w:rPr>
          <w:rFonts w:ascii="Times New Roman" w:eastAsia="Times New Roman" w:hAnsi="Times New Roman" w:cs="Times New Roman"/>
          <w:color w:val="000000"/>
          <w:sz w:val="24"/>
          <w:szCs w:val="24"/>
        </w:rPr>
        <w:t xml:space="preserve"> [Accessed 31 Jul. 2023].</w:t>
      </w:r>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Tennison, I., Roschnik, S., Ashby, B., Boyd, R., Hamilton, I., Oreszczyn, T., Owen, A., Romanello, M., Ruyssevelt, P., Sherman, J.D. and Smith, A.Z., (2021). Health care's response to climate change: a carbon footprint assessment of the NHS in England. </w:t>
      </w:r>
      <w:r w:rsidRPr="006962FD">
        <w:rPr>
          <w:rFonts w:ascii="Times New Roman" w:eastAsia="Times New Roman" w:hAnsi="Times New Roman" w:cs="Times New Roman"/>
          <w:i/>
          <w:color w:val="222222"/>
          <w:sz w:val="24"/>
          <w:szCs w:val="24"/>
          <w:highlight w:val="white"/>
        </w:rPr>
        <w:t>The</w:t>
      </w:r>
      <w:r w:rsidRPr="006962FD">
        <w:rPr>
          <w:rFonts w:ascii="Times New Roman" w:eastAsia="Times New Roman" w:hAnsi="Times New Roman" w:cs="Times New Roman"/>
          <w:i/>
          <w:color w:val="222222"/>
          <w:sz w:val="24"/>
          <w:szCs w:val="24"/>
          <w:highlight w:val="white"/>
        </w:rPr>
        <w:t xml:space="preserve"> Lancet Planetary Health</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5</w:t>
      </w:r>
      <w:r w:rsidRPr="006962FD">
        <w:rPr>
          <w:rFonts w:ascii="Times New Roman" w:eastAsia="Times New Roman" w:hAnsi="Times New Roman" w:cs="Times New Roman"/>
          <w:color w:val="222222"/>
          <w:sz w:val="24"/>
          <w:szCs w:val="24"/>
          <w:highlight w:val="white"/>
        </w:rPr>
        <w:t xml:space="preserve">(2), pp.e84-e92. </w:t>
      </w:r>
      <w:hyperlink r:id="rId50">
        <w:r w:rsidRPr="006962FD">
          <w:rPr>
            <w:rFonts w:ascii="Times New Roman" w:eastAsia="Times New Roman" w:hAnsi="Times New Roman" w:cs="Times New Roman"/>
            <w:color w:val="1155CC"/>
            <w:sz w:val="24"/>
            <w:szCs w:val="24"/>
            <w:highlight w:val="white"/>
            <w:u w:val="single"/>
          </w:rPr>
          <w:t>https://www.thelancet.com/journals/lanplh/article/PIIS2542-5196(20)30271-0/fulltext?ref=tagein</w:t>
        </w:r>
        <w:r w:rsidRPr="006962FD">
          <w:rPr>
            <w:rFonts w:ascii="Times New Roman" w:eastAsia="Times New Roman" w:hAnsi="Times New Roman" w:cs="Times New Roman"/>
            <w:color w:val="1155CC"/>
            <w:sz w:val="24"/>
            <w:szCs w:val="24"/>
            <w:highlight w:val="white"/>
            <w:u w:val="single"/>
          </w:rPr>
          <w:t>s.at</w:t>
        </w:r>
      </w:hyperlink>
    </w:p>
    <w:p w:rsidR="006962FD" w:rsidRPr="006962FD" w:rsidRDefault="00566828" w:rsidP="006962FD">
      <w:pPr>
        <w:pBdr>
          <w:top w:val="nil"/>
          <w:left w:val="nil"/>
          <w:bottom w:val="nil"/>
          <w:right w:val="nil"/>
          <w:between w:val="nil"/>
        </w:pBdr>
        <w:spacing w:after="240" w:line="360" w:lineRule="auto"/>
        <w:jc w:val="both"/>
        <w:rPr>
          <w:rFonts w:ascii="Times New Roman" w:eastAsia="Times New Roman" w:hAnsi="Times New Roman" w:cs="Times New Roman"/>
          <w:color w:val="000000"/>
          <w:sz w:val="24"/>
          <w:szCs w:val="24"/>
        </w:rPr>
      </w:pPr>
      <w:r w:rsidRPr="006962FD">
        <w:rPr>
          <w:rFonts w:ascii="Times New Roman" w:eastAsia="Times New Roman" w:hAnsi="Times New Roman" w:cs="Times New Roman"/>
          <w:color w:val="000000"/>
          <w:sz w:val="24"/>
          <w:szCs w:val="24"/>
        </w:rPr>
        <w:lastRenderedPageBreak/>
        <w:t xml:space="preserve">Tonia Eriksen. (2023). </w:t>
      </w:r>
      <w:r w:rsidRPr="006962FD">
        <w:rPr>
          <w:rFonts w:ascii="Times New Roman" w:eastAsia="Times New Roman" w:hAnsi="Times New Roman" w:cs="Times New Roman"/>
          <w:i/>
          <w:color w:val="000000"/>
          <w:sz w:val="24"/>
          <w:szCs w:val="24"/>
        </w:rPr>
        <w:t>CRAAP</w:t>
      </w:r>
      <w:r w:rsidRPr="006962FD">
        <w:rPr>
          <w:rFonts w:ascii="Times New Roman" w:eastAsia="Times New Roman" w:hAnsi="Times New Roman" w:cs="Times New Roman"/>
          <w:color w:val="000000"/>
          <w:sz w:val="24"/>
          <w:szCs w:val="24"/>
        </w:rPr>
        <w:t xml:space="preserve">. [online] Available at: </w:t>
      </w:r>
      <w:hyperlink r:id="rId51">
        <w:r w:rsidRPr="006962FD">
          <w:rPr>
            <w:rFonts w:ascii="Times New Roman" w:eastAsia="Times New Roman" w:hAnsi="Times New Roman" w:cs="Times New Roman"/>
            <w:color w:val="1155CC"/>
            <w:sz w:val="24"/>
            <w:szCs w:val="24"/>
            <w:u w:val="single"/>
          </w:rPr>
          <w:t>http://toniaeriksen.weebly.com/craap.html</w:t>
        </w:r>
      </w:hyperlink>
      <w:r w:rsidRPr="006962FD">
        <w:rPr>
          <w:rFonts w:ascii="Times New Roman" w:eastAsia="Times New Roman" w:hAnsi="Times New Roman" w:cs="Times New Roman"/>
          <w:color w:val="000000"/>
          <w:sz w:val="24"/>
          <w:szCs w:val="24"/>
        </w:rPr>
        <w:t xml:space="preserve"> [Accessed 31 Jul. 2023].</w:t>
      </w:r>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Usman, M., Javed, U., Shoukat, A. and Bashir, N.A. (2021). Does meaningful work reduce cyberloafing? Important roles of affective commitment and leader-member exchange. </w:t>
      </w:r>
      <w:r w:rsidRPr="006962FD">
        <w:rPr>
          <w:rFonts w:ascii="Times New Roman" w:eastAsia="Times New Roman" w:hAnsi="Times New Roman" w:cs="Times New Roman"/>
          <w:i/>
          <w:color w:val="222222"/>
          <w:sz w:val="24"/>
          <w:szCs w:val="24"/>
          <w:highlight w:val="white"/>
        </w:rPr>
        <w:t>Behaviour &amp; Information Technology</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40</w:t>
      </w:r>
      <w:r w:rsidRPr="006962FD">
        <w:rPr>
          <w:rFonts w:ascii="Times New Roman" w:eastAsia="Times New Roman" w:hAnsi="Times New Roman" w:cs="Times New Roman"/>
          <w:color w:val="222222"/>
          <w:sz w:val="24"/>
          <w:szCs w:val="24"/>
          <w:highlight w:val="white"/>
        </w:rPr>
        <w:t xml:space="preserve">(2), pp.206-220. </w:t>
      </w:r>
      <w:hyperlink r:id="rId52">
        <w:r w:rsidRPr="006962FD">
          <w:rPr>
            <w:rFonts w:ascii="Times New Roman" w:eastAsia="Times New Roman" w:hAnsi="Times New Roman" w:cs="Times New Roman"/>
            <w:color w:val="1155CC"/>
            <w:sz w:val="24"/>
            <w:szCs w:val="24"/>
            <w:highlight w:val="white"/>
            <w:u w:val="single"/>
          </w:rPr>
          <w:t>https://www.researchgate.net/profile/Aftab-Shoukat/publication/336567615_Does_meaningful_work_reduce_cyberloafing_Important_roles_of_affective_commitment_and_leader-member_exchange/links/5f4f539aa6fdcc</w:t>
        </w:r>
        <w:r w:rsidRPr="006962FD">
          <w:rPr>
            <w:rFonts w:ascii="Times New Roman" w:eastAsia="Times New Roman" w:hAnsi="Times New Roman" w:cs="Times New Roman"/>
            <w:color w:val="1155CC"/>
            <w:sz w:val="24"/>
            <w:szCs w:val="24"/>
            <w:highlight w:val="white"/>
            <w:u w:val="single"/>
          </w:rPr>
          <w:t>9879c02afa/Does-meaningful-work-reduce-cyberloafing-Important-roles-of-affective-commitment-and-leader-member-exchange.pdf</w:t>
        </w:r>
      </w:hyperlink>
    </w:p>
    <w:p w:rsidR="006962FD"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Waller, L., Rayner, T., Chilvers, J., Gough, C.A., Lorenzoni, I., Jordan, A. and Vaughan, N. (2020). Contested framings of greenhouse</w:t>
      </w:r>
      <w:r w:rsidRPr="006962FD">
        <w:rPr>
          <w:rFonts w:ascii="Times New Roman" w:eastAsia="Times New Roman" w:hAnsi="Times New Roman" w:cs="Times New Roman"/>
          <w:color w:val="222222"/>
          <w:sz w:val="24"/>
          <w:szCs w:val="24"/>
          <w:highlight w:val="white"/>
        </w:rPr>
        <w:t xml:space="preserve"> gas removal and its feasibility: Social and political dimensions. </w:t>
      </w:r>
      <w:r w:rsidRPr="006962FD">
        <w:rPr>
          <w:rFonts w:ascii="Times New Roman" w:eastAsia="Times New Roman" w:hAnsi="Times New Roman" w:cs="Times New Roman"/>
          <w:i/>
          <w:color w:val="222222"/>
          <w:sz w:val="24"/>
          <w:szCs w:val="24"/>
          <w:highlight w:val="white"/>
        </w:rPr>
        <w:t>Wiley Interdisciplinary Reviews: Climate Change</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11</w:t>
      </w:r>
      <w:r w:rsidRPr="006962FD">
        <w:rPr>
          <w:rFonts w:ascii="Times New Roman" w:eastAsia="Times New Roman" w:hAnsi="Times New Roman" w:cs="Times New Roman"/>
          <w:color w:val="222222"/>
          <w:sz w:val="24"/>
          <w:szCs w:val="24"/>
          <w:highlight w:val="white"/>
        </w:rPr>
        <w:t xml:space="preserve">(4), p.e649. </w:t>
      </w:r>
      <w:hyperlink r:id="rId53">
        <w:r w:rsidRPr="006962FD">
          <w:rPr>
            <w:rFonts w:ascii="Times New Roman" w:eastAsia="Times New Roman" w:hAnsi="Times New Roman" w:cs="Times New Roman"/>
            <w:color w:val="1155CC"/>
            <w:sz w:val="24"/>
            <w:szCs w:val="24"/>
            <w:highlight w:val="white"/>
            <w:u w:val="single"/>
          </w:rPr>
          <w:t>https://wires.onlinelibrary.wiley.com/doi/pdf/10.1002/wcc.649</w:t>
        </w:r>
      </w:hyperlink>
    </w:p>
    <w:p w:rsidR="006962FD" w:rsidRPr="006962FD" w:rsidRDefault="00566828" w:rsidP="006962FD">
      <w:pPr>
        <w:pBdr>
          <w:top w:val="nil"/>
          <w:left w:val="nil"/>
          <w:bottom w:val="nil"/>
          <w:right w:val="nil"/>
          <w:between w:val="nil"/>
        </w:pBdr>
        <w:spacing w:before="240" w:after="240" w:line="360" w:lineRule="auto"/>
        <w:jc w:val="both"/>
        <w:rPr>
          <w:rFonts w:ascii="Times New Roman" w:eastAsia="Times New Roman" w:hAnsi="Times New Roman" w:cs="Times New Roman"/>
          <w:color w:val="000000"/>
          <w:sz w:val="24"/>
          <w:szCs w:val="24"/>
        </w:rPr>
      </w:pPr>
      <w:r w:rsidRPr="006962FD">
        <w:rPr>
          <w:rFonts w:ascii="Times New Roman" w:eastAsia="Times New Roman" w:hAnsi="Times New Roman" w:cs="Times New Roman"/>
          <w:color w:val="222222"/>
          <w:sz w:val="24"/>
          <w:szCs w:val="24"/>
          <w:highlight w:val="white"/>
        </w:rPr>
        <w:t xml:space="preserve">Widarni, E.L. and Bawono, S., (2020). </w:t>
      </w:r>
      <w:r w:rsidRPr="006962FD">
        <w:rPr>
          <w:rFonts w:ascii="Times New Roman" w:eastAsia="Times New Roman" w:hAnsi="Times New Roman" w:cs="Times New Roman"/>
          <w:i/>
          <w:color w:val="222222"/>
          <w:sz w:val="24"/>
          <w:szCs w:val="24"/>
        </w:rPr>
        <w:t>The Basic Of Human Resource Management Book 1</w:t>
      </w:r>
      <w:r w:rsidRPr="006962FD">
        <w:rPr>
          <w:rFonts w:ascii="Times New Roman" w:eastAsia="Times New Roman" w:hAnsi="Times New Roman" w:cs="Times New Roman"/>
          <w:color w:val="222222"/>
          <w:sz w:val="24"/>
          <w:szCs w:val="24"/>
        </w:rPr>
        <w:t>. BookRix.</w:t>
      </w:r>
      <w:hyperlink r:id="rId54">
        <w:r w:rsidRPr="006962FD">
          <w:rPr>
            <w:rFonts w:ascii="Times New Roman" w:eastAsia="Times New Roman" w:hAnsi="Times New Roman" w:cs="Times New Roman"/>
            <w:color w:val="222222"/>
            <w:sz w:val="24"/>
            <w:szCs w:val="24"/>
          </w:rPr>
          <w:t xml:space="preserve"> </w:t>
        </w:r>
      </w:hyperlink>
      <w:hyperlink r:id="rId55">
        <w:r w:rsidRPr="006962FD">
          <w:rPr>
            <w:rFonts w:ascii="Times New Roman" w:eastAsia="Times New Roman" w:hAnsi="Times New Roman" w:cs="Times New Roman"/>
            <w:color w:val="1155CC"/>
            <w:sz w:val="24"/>
            <w:szCs w:val="24"/>
            <w:u w:val="single"/>
          </w:rPr>
          <w:t>https://www.researchgate.net/profile/Suryaning-Bawono-2/publication/355116256_Human_Capital_Investment_For_Better_Busine</w:t>
        </w:r>
        <w:r w:rsidRPr="006962FD">
          <w:rPr>
            <w:rFonts w:ascii="Times New Roman" w:eastAsia="Times New Roman" w:hAnsi="Times New Roman" w:cs="Times New Roman"/>
            <w:color w:val="1155CC"/>
            <w:sz w:val="24"/>
            <w:szCs w:val="24"/>
            <w:u w:val="single"/>
          </w:rPr>
          <w:t>ss_Performance/links/63037e85eb7b135a0e53b77d/Human-Capital-Investment-For-Better-Business-Performance.pdf</w:t>
        </w:r>
      </w:hyperlink>
    </w:p>
    <w:p w:rsidR="006962FD" w:rsidRPr="006962FD" w:rsidRDefault="00566828" w:rsidP="006962FD">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WRIGHT, N. (2021). Unity!. </w:t>
      </w:r>
      <w:r w:rsidRPr="006962FD">
        <w:rPr>
          <w:rFonts w:ascii="Times New Roman" w:eastAsia="Times New Roman" w:hAnsi="Times New Roman" w:cs="Times New Roman"/>
          <w:i/>
          <w:color w:val="222222"/>
          <w:sz w:val="24"/>
          <w:szCs w:val="24"/>
          <w:highlight w:val="white"/>
        </w:rPr>
        <w:t>Young</w:t>
      </w:r>
      <w:r w:rsidRPr="006962FD">
        <w:rPr>
          <w:rFonts w:ascii="Times New Roman" w:eastAsia="Times New Roman" w:hAnsi="Times New Roman" w:cs="Times New Roman"/>
          <w:color w:val="222222"/>
          <w:sz w:val="24"/>
          <w:szCs w:val="24"/>
          <w:highlight w:val="white"/>
        </w:rPr>
        <w:t xml:space="preserve">. </w:t>
      </w:r>
      <w:hyperlink r:id="rId56">
        <w:r w:rsidRPr="006962FD">
          <w:rPr>
            <w:rFonts w:ascii="Times New Roman" w:eastAsia="Times New Roman" w:hAnsi="Times New Roman" w:cs="Times New Roman"/>
            <w:color w:val="1155CC"/>
            <w:sz w:val="24"/>
            <w:szCs w:val="24"/>
            <w:highlight w:val="white"/>
            <w:u w:val="single"/>
          </w:rPr>
          <w:t>https://www.c</w:t>
        </w:r>
        <w:r w:rsidRPr="006962FD">
          <w:rPr>
            <w:rFonts w:ascii="Times New Roman" w:eastAsia="Times New Roman" w:hAnsi="Times New Roman" w:cs="Times New Roman"/>
            <w:color w:val="1155CC"/>
            <w:sz w:val="24"/>
            <w:szCs w:val="24"/>
            <w:highlight w:val="white"/>
            <w:u w:val="single"/>
          </w:rPr>
          <w:t>ommunistparty.org.uk/wp-content/uploads/2021/08/Unity-August-2021.pdf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 xml:space="preserve">Yadav, G., Luthra, S., Huisingh, D., Mangla, S.K., Narkhede, B.E. and Liu, Y. (2020). Development of a lean manufacturing framework to enhance its adoption within manufacturing companies in developing economies. </w:t>
      </w:r>
      <w:r w:rsidRPr="006962FD">
        <w:rPr>
          <w:rFonts w:ascii="Times New Roman" w:eastAsia="Times" w:hAnsi="Times New Roman" w:cs="Times New Roman"/>
          <w:i/>
          <w:color w:val="222222"/>
          <w:sz w:val="24"/>
          <w:szCs w:val="24"/>
        </w:rPr>
        <w:t>Journal of Cleaner Production</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245</w:t>
      </w:r>
      <w:r w:rsidRPr="006962FD">
        <w:rPr>
          <w:rFonts w:ascii="Times New Roman" w:eastAsia="Times" w:hAnsi="Times New Roman" w:cs="Times New Roman"/>
          <w:color w:val="222222"/>
          <w:sz w:val="24"/>
          <w:szCs w:val="24"/>
        </w:rPr>
        <w:t>, p.118726</w:t>
      </w:r>
      <w:r w:rsidRPr="006962FD">
        <w:rPr>
          <w:rFonts w:ascii="Times New Roman" w:eastAsia="Times" w:hAnsi="Times New Roman" w:cs="Times New Roman"/>
          <w:color w:val="222222"/>
          <w:sz w:val="24"/>
          <w:szCs w:val="24"/>
        </w:rPr>
        <w:t xml:space="preserve">. </w:t>
      </w:r>
      <w:hyperlink r:id="rId57">
        <w:r w:rsidRPr="006962FD">
          <w:rPr>
            <w:rFonts w:ascii="Times New Roman" w:eastAsia="Times" w:hAnsi="Times New Roman" w:cs="Times New Roman"/>
            <w:color w:val="1155CC"/>
            <w:sz w:val="24"/>
            <w:szCs w:val="24"/>
            <w:u w:val="single"/>
          </w:rPr>
          <w:t>https://www.diva-portal.org/smash/get/diva2:1384296/FULLTEXT01.pdf</w:t>
        </w:r>
      </w:hyperlink>
    </w:p>
    <w:p w:rsidR="006962FD" w:rsidRPr="006962FD" w:rsidRDefault="00566828" w:rsidP="006962FD">
      <w:pPr>
        <w:spacing w:line="360" w:lineRule="auto"/>
        <w:jc w:val="both"/>
        <w:rPr>
          <w:rFonts w:ascii="Times New Roman" w:eastAsia="Times" w:hAnsi="Times New Roman" w:cs="Times New Roman"/>
          <w:color w:val="222222"/>
          <w:sz w:val="24"/>
          <w:szCs w:val="24"/>
        </w:rPr>
      </w:pPr>
      <w:r w:rsidRPr="006962FD">
        <w:rPr>
          <w:rFonts w:ascii="Times New Roman" w:eastAsia="Times" w:hAnsi="Times New Roman" w:cs="Times New Roman"/>
          <w:color w:val="222222"/>
          <w:sz w:val="24"/>
          <w:szCs w:val="24"/>
        </w:rPr>
        <w:t>Yong, J.Y., Yusliza, M.Y. and Fawehinmi, O.O. (2020). Green human resource management: A systematic l</w:t>
      </w:r>
      <w:r w:rsidRPr="006962FD">
        <w:rPr>
          <w:rFonts w:ascii="Times New Roman" w:eastAsia="Times" w:hAnsi="Times New Roman" w:cs="Times New Roman"/>
          <w:color w:val="222222"/>
          <w:sz w:val="24"/>
          <w:szCs w:val="24"/>
        </w:rPr>
        <w:t xml:space="preserve">iterature review from 2007 to 2019. </w:t>
      </w:r>
      <w:r w:rsidRPr="006962FD">
        <w:rPr>
          <w:rFonts w:ascii="Times New Roman" w:eastAsia="Times" w:hAnsi="Times New Roman" w:cs="Times New Roman"/>
          <w:i/>
          <w:color w:val="222222"/>
          <w:sz w:val="24"/>
          <w:szCs w:val="24"/>
        </w:rPr>
        <w:t>Benchmarking: An International Journal</w:t>
      </w:r>
      <w:r w:rsidRPr="006962FD">
        <w:rPr>
          <w:rFonts w:ascii="Times New Roman" w:eastAsia="Times" w:hAnsi="Times New Roman" w:cs="Times New Roman"/>
          <w:color w:val="222222"/>
          <w:sz w:val="24"/>
          <w:szCs w:val="24"/>
        </w:rPr>
        <w:t xml:space="preserve">, </w:t>
      </w:r>
      <w:r w:rsidRPr="006962FD">
        <w:rPr>
          <w:rFonts w:ascii="Times New Roman" w:eastAsia="Times" w:hAnsi="Times New Roman" w:cs="Times New Roman"/>
          <w:i/>
          <w:color w:val="222222"/>
          <w:sz w:val="24"/>
          <w:szCs w:val="24"/>
        </w:rPr>
        <w:t>27</w:t>
      </w:r>
      <w:r w:rsidRPr="006962FD">
        <w:rPr>
          <w:rFonts w:ascii="Times New Roman" w:eastAsia="Times" w:hAnsi="Times New Roman" w:cs="Times New Roman"/>
          <w:color w:val="222222"/>
          <w:sz w:val="24"/>
          <w:szCs w:val="24"/>
        </w:rPr>
        <w:t>(7), pp.2005-2027.</w:t>
      </w:r>
      <w:hyperlink r:id="rId58">
        <w:r w:rsidRPr="006962FD">
          <w:rPr>
            <w:rFonts w:ascii="Times New Roman" w:eastAsia="Times" w:hAnsi="Times New Roman" w:cs="Times New Roman"/>
            <w:color w:val="1155CC"/>
            <w:sz w:val="24"/>
            <w:szCs w:val="24"/>
            <w:u w:val="single"/>
          </w:rPr>
          <w:t>https://e-tarjome.com/storage/panel/fileuploads/20</w:t>
        </w:r>
        <w:r w:rsidRPr="006962FD">
          <w:rPr>
            <w:rFonts w:ascii="Times New Roman" w:eastAsia="Times" w:hAnsi="Times New Roman" w:cs="Times New Roman"/>
            <w:color w:val="1155CC"/>
            <w:sz w:val="24"/>
            <w:szCs w:val="24"/>
            <w:u w:val="single"/>
          </w:rPr>
          <w:t>19-08-18/1566126765_E12505-e-tarjome.pdf</w:t>
        </w:r>
      </w:hyperlink>
    </w:p>
    <w:p w:rsidR="007A09B2" w:rsidRPr="006962FD" w:rsidRDefault="00566828" w:rsidP="006962FD">
      <w:pPr>
        <w:spacing w:line="360" w:lineRule="auto"/>
        <w:jc w:val="both"/>
        <w:rPr>
          <w:rFonts w:ascii="Times New Roman" w:eastAsia="Times New Roman" w:hAnsi="Times New Roman" w:cs="Times New Roman"/>
          <w:color w:val="222222"/>
          <w:sz w:val="24"/>
          <w:szCs w:val="24"/>
          <w:highlight w:val="white"/>
        </w:rPr>
      </w:pPr>
      <w:r w:rsidRPr="006962FD">
        <w:rPr>
          <w:rFonts w:ascii="Times New Roman" w:eastAsia="Times New Roman" w:hAnsi="Times New Roman" w:cs="Times New Roman"/>
          <w:color w:val="222222"/>
          <w:sz w:val="24"/>
          <w:szCs w:val="24"/>
          <w:highlight w:val="white"/>
        </w:rPr>
        <w:t xml:space="preserve">Zhang, J., Fu, J., Hao, H., Fu, G., Nie, F. and Zhang, W. (2020). Root causes of coal mine accidents: Characteristics of safety culture deficiencies based on accident statistics. </w:t>
      </w:r>
      <w:r w:rsidRPr="006962FD">
        <w:rPr>
          <w:rFonts w:ascii="Times New Roman" w:eastAsia="Times New Roman" w:hAnsi="Times New Roman" w:cs="Times New Roman"/>
          <w:i/>
          <w:color w:val="222222"/>
          <w:sz w:val="24"/>
          <w:szCs w:val="24"/>
          <w:highlight w:val="white"/>
        </w:rPr>
        <w:t xml:space="preserve">Process </w:t>
      </w:r>
      <w:r w:rsidRPr="006962FD">
        <w:rPr>
          <w:rFonts w:ascii="Times New Roman" w:eastAsia="Times New Roman" w:hAnsi="Times New Roman" w:cs="Times New Roman"/>
          <w:i/>
          <w:color w:val="222222"/>
          <w:sz w:val="24"/>
          <w:szCs w:val="24"/>
          <w:highlight w:val="white"/>
        </w:rPr>
        <w:lastRenderedPageBreak/>
        <w:t>Safety and Environmental Pro</w:t>
      </w:r>
      <w:r w:rsidRPr="006962FD">
        <w:rPr>
          <w:rFonts w:ascii="Times New Roman" w:eastAsia="Times New Roman" w:hAnsi="Times New Roman" w:cs="Times New Roman"/>
          <w:i/>
          <w:color w:val="222222"/>
          <w:sz w:val="24"/>
          <w:szCs w:val="24"/>
          <w:highlight w:val="white"/>
        </w:rPr>
        <w:t>tection</w:t>
      </w:r>
      <w:r w:rsidRPr="006962FD">
        <w:rPr>
          <w:rFonts w:ascii="Times New Roman" w:eastAsia="Times New Roman" w:hAnsi="Times New Roman" w:cs="Times New Roman"/>
          <w:color w:val="222222"/>
          <w:sz w:val="24"/>
          <w:szCs w:val="24"/>
          <w:highlight w:val="white"/>
        </w:rPr>
        <w:t xml:space="preserve">, </w:t>
      </w:r>
      <w:r w:rsidRPr="006962FD">
        <w:rPr>
          <w:rFonts w:ascii="Times New Roman" w:eastAsia="Times New Roman" w:hAnsi="Times New Roman" w:cs="Times New Roman"/>
          <w:i/>
          <w:color w:val="222222"/>
          <w:sz w:val="24"/>
          <w:szCs w:val="24"/>
          <w:highlight w:val="white"/>
        </w:rPr>
        <w:t>136</w:t>
      </w:r>
      <w:r w:rsidRPr="006962FD">
        <w:rPr>
          <w:rFonts w:ascii="Times New Roman" w:eastAsia="Times New Roman" w:hAnsi="Times New Roman" w:cs="Times New Roman"/>
          <w:color w:val="222222"/>
          <w:sz w:val="24"/>
          <w:szCs w:val="24"/>
          <w:highlight w:val="white"/>
        </w:rPr>
        <w:t xml:space="preserve">, pp.78-91. </w:t>
      </w:r>
      <w:hyperlink r:id="rId59">
        <w:r w:rsidRPr="006962FD">
          <w:rPr>
            <w:rFonts w:ascii="Times New Roman" w:eastAsia="Times New Roman" w:hAnsi="Times New Roman" w:cs="Times New Roman"/>
            <w:color w:val="1155CC"/>
            <w:sz w:val="24"/>
            <w:szCs w:val="24"/>
            <w:highlight w:val="white"/>
            <w:u w:val="single"/>
          </w:rPr>
          <w:t>https://www.sciencedirect.com/science/article/pii/S095758(2019)310377</w:t>
        </w:r>
      </w:hyperlink>
      <w:r w:rsidR="00891A0E">
        <w:rPr>
          <w:rFonts w:ascii="Times New Roman" w:eastAsia="Times New Roman" w:hAnsi="Times New Roman" w:cs="Times New Roman"/>
          <w:b/>
          <w:color w:val="000000"/>
          <w:sz w:val="24"/>
          <w:szCs w:val="24"/>
        </w:rPr>
        <w:t xml:space="preserve"> </w:t>
      </w:r>
    </w:p>
    <w:sectPr w:rsidR="007A09B2" w:rsidRPr="006962FD" w:rsidSect="00AD500C">
      <w:headerReference w:type="even" r:id="rId60"/>
      <w:headerReference w:type="default" r:id="rId61"/>
      <w:footerReference w:type="even" r:id="rId62"/>
      <w:footerReference w:type="default" r:id="rId63"/>
      <w:headerReference w:type="first" r:id="rId64"/>
      <w:footerReference w:type="first" r:id="rId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828" w:rsidRDefault="00566828">
      <w:pPr>
        <w:spacing w:line="240" w:lineRule="auto"/>
      </w:pPr>
      <w:r>
        <w:separator/>
      </w:r>
    </w:p>
  </w:endnote>
  <w:endnote w:type="continuationSeparator" w:id="0">
    <w:p w:rsidR="00566828" w:rsidRDefault="005668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B2" w:rsidRDefault="007A09B2">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1" w:name="_heading=h.1t3h5sf" w:colFirst="0" w:colLast="0"/>
  <w:bookmarkEnd w:id="21"/>
  <w:p w:rsidR="007A09B2" w:rsidRDefault="00566828">
    <w:pPr>
      <w:pBdr>
        <w:top w:val="nil"/>
        <w:left w:val="nil"/>
        <w:bottom w:val="nil"/>
        <w:right w:val="nil"/>
        <w:between w:val="nil"/>
      </w:pBdr>
      <w:tabs>
        <w:tab w:val="center" w:pos="4513"/>
        <w:tab w:val="right" w:pos="9026"/>
      </w:tabs>
      <w:spacing w:line="360" w:lineRule="auto"/>
      <w:jc w:val="right"/>
      <w:rPr>
        <w:color w:val="000000"/>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8E11EC">
      <w:rPr>
        <w:rFonts w:ascii="Times New Roman" w:eastAsia="Times New Roman" w:hAnsi="Times New Roman" w:cs="Times New Roman"/>
        <w:noProof/>
        <w:color w:val="000000"/>
        <w:sz w:val="24"/>
        <w:szCs w:val="24"/>
      </w:rPr>
      <w:t>22</w:t>
    </w:r>
    <w:r>
      <w:rPr>
        <w:rFonts w:ascii="Times New Roman" w:eastAsia="Times New Roman" w:hAnsi="Times New Roman" w:cs="Times New Roman"/>
        <w:color w:val="000000"/>
        <w:sz w:val="24"/>
        <w:szCs w:val="24"/>
      </w:rPr>
      <w:fldChar w:fldCharType="end"/>
    </w:r>
  </w:p>
  <w:p w:rsidR="007A09B2" w:rsidRDefault="007A09B2">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B2" w:rsidRDefault="007A09B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828" w:rsidRDefault="00566828">
      <w:pPr>
        <w:spacing w:line="240" w:lineRule="auto"/>
      </w:pPr>
      <w:r>
        <w:separator/>
      </w:r>
    </w:p>
  </w:footnote>
  <w:footnote w:type="continuationSeparator" w:id="0">
    <w:p w:rsidR="00566828" w:rsidRDefault="005668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B2" w:rsidRDefault="007A09B2">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B2" w:rsidRDefault="007A09B2">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09B2" w:rsidRDefault="007A09B2">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A1425"/>
    <w:multiLevelType w:val="multilevel"/>
    <w:tmpl w:val="10748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FC63E0"/>
    <w:multiLevelType w:val="multilevel"/>
    <w:tmpl w:val="BE463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0C31AE6"/>
    <w:multiLevelType w:val="multilevel"/>
    <w:tmpl w:val="28023B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5D2AB0"/>
    <w:multiLevelType w:val="multilevel"/>
    <w:tmpl w:val="9514CD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7A5892"/>
    <w:multiLevelType w:val="multilevel"/>
    <w:tmpl w:val="50568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538125F"/>
    <w:multiLevelType w:val="multilevel"/>
    <w:tmpl w:val="F9361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63907D0"/>
    <w:multiLevelType w:val="multilevel"/>
    <w:tmpl w:val="B6069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D96394"/>
    <w:multiLevelType w:val="multilevel"/>
    <w:tmpl w:val="C0F02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8C97445"/>
    <w:multiLevelType w:val="multilevel"/>
    <w:tmpl w:val="AAA05C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CCC3B5E"/>
    <w:multiLevelType w:val="multilevel"/>
    <w:tmpl w:val="82103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9907FE1"/>
    <w:multiLevelType w:val="multilevel"/>
    <w:tmpl w:val="74321B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F490387"/>
    <w:multiLevelType w:val="multilevel"/>
    <w:tmpl w:val="27347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4D05D5"/>
    <w:multiLevelType w:val="multilevel"/>
    <w:tmpl w:val="EC68E4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5272BFC"/>
    <w:multiLevelType w:val="multilevel"/>
    <w:tmpl w:val="28BC2A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8D00CA4"/>
    <w:multiLevelType w:val="multilevel"/>
    <w:tmpl w:val="4ACE48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2486CB1"/>
    <w:multiLevelType w:val="multilevel"/>
    <w:tmpl w:val="462EDA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75A36DE"/>
    <w:multiLevelType w:val="multilevel"/>
    <w:tmpl w:val="565A0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8FC6870"/>
    <w:multiLevelType w:val="multilevel"/>
    <w:tmpl w:val="D3A04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B3D5FCB"/>
    <w:multiLevelType w:val="multilevel"/>
    <w:tmpl w:val="940275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2020B18"/>
    <w:multiLevelType w:val="multilevel"/>
    <w:tmpl w:val="7FE4CF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7055F0D"/>
    <w:multiLevelType w:val="multilevel"/>
    <w:tmpl w:val="76F88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8"/>
  </w:num>
  <w:num w:numId="2">
    <w:abstractNumId w:val="13"/>
  </w:num>
  <w:num w:numId="3">
    <w:abstractNumId w:val="14"/>
  </w:num>
  <w:num w:numId="4">
    <w:abstractNumId w:val="3"/>
  </w:num>
  <w:num w:numId="5">
    <w:abstractNumId w:val="8"/>
  </w:num>
  <w:num w:numId="6">
    <w:abstractNumId w:val="16"/>
  </w:num>
  <w:num w:numId="7">
    <w:abstractNumId w:val="10"/>
  </w:num>
  <w:num w:numId="8">
    <w:abstractNumId w:val="15"/>
  </w:num>
  <w:num w:numId="9">
    <w:abstractNumId w:val="11"/>
  </w:num>
  <w:num w:numId="10">
    <w:abstractNumId w:val="2"/>
  </w:num>
  <w:num w:numId="11">
    <w:abstractNumId w:val="4"/>
  </w:num>
  <w:num w:numId="12">
    <w:abstractNumId w:val="5"/>
  </w:num>
  <w:num w:numId="13">
    <w:abstractNumId w:val="6"/>
  </w:num>
  <w:num w:numId="14">
    <w:abstractNumId w:val="20"/>
  </w:num>
  <w:num w:numId="15">
    <w:abstractNumId w:val="17"/>
  </w:num>
  <w:num w:numId="16">
    <w:abstractNumId w:val="1"/>
  </w:num>
  <w:num w:numId="17">
    <w:abstractNumId w:val="0"/>
  </w:num>
  <w:num w:numId="18">
    <w:abstractNumId w:val="12"/>
  </w:num>
  <w:num w:numId="19">
    <w:abstractNumId w:val="9"/>
  </w:num>
  <w:num w:numId="20">
    <w:abstractNumId w:val="1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rWwMLS0MDY1NTMzMTBX0lEKTi0uzszPAykwrAUADbjOhCwAAAA="/>
  </w:docVars>
  <w:rsids>
    <w:rsidRoot w:val="007A09B2"/>
    <w:rsid w:val="00066C48"/>
    <w:rsid w:val="00566828"/>
    <w:rsid w:val="006962FD"/>
    <w:rsid w:val="007A09B2"/>
    <w:rsid w:val="00891A0E"/>
    <w:rsid w:val="008E11EC"/>
    <w:rsid w:val="00A84E8A"/>
    <w:rsid w:val="00AD500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D9297A-35E1-4597-96E0-A071CDA83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5"/>
  </w:style>
  <w:style w:type="paragraph" w:styleId="Heading1">
    <w:name w:val="heading 1"/>
    <w:basedOn w:val="Normal1"/>
    <w:next w:val="Normal1"/>
    <w:autoRedefine/>
    <w:rsid w:val="00936515"/>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AD500C"/>
    <w:pPr>
      <w:keepNext/>
      <w:keepLines/>
      <w:spacing w:before="360" w:after="120" w:line="360" w:lineRule="auto"/>
      <w:jc w:val="both"/>
      <w:outlineLvl w:val="1"/>
    </w:pPr>
    <w:rPr>
      <w:rFonts w:ascii="Times New Roman" w:hAnsi="Times New Roman"/>
      <w:b/>
      <w:color w:val="000000" w:themeColor="text1"/>
      <w:sz w:val="26"/>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pPr>
      <w:keepNext/>
      <w:keepLines/>
      <w:spacing w:after="60"/>
    </w:pPr>
    <w:rPr>
      <w:sz w:val="52"/>
      <w:szCs w:val="52"/>
    </w:rPr>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365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6515"/>
    <w:rPr>
      <w:rFonts w:ascii="Tahoma" w:hAnsi="Tahoma" w:cs="Tahoma"/>
      <w:sz w:val="16"/>
      <w:szCs w:val="16"/>
    </w:rPr>
  </w:style>
  <w:style w:type="paragraph" w:styleId="Header">
    <w:name w:val="header"/>
    <w:basedOn w:val="Normal"/>
    <w:link w:val="HeaderChar"/>
    <w:uiPriority w:val="99"/>
    <w:unhideWhenUsed/>
    <w:rsid w:val="00936515"/>
    <w:pPr>
      <w:tabs>
        <w:tab w:val="center" w:pos="4513"/>
        <w:tab w:val="right" w:pos="9026"/>
      </w:tabs>
      <w:spacing w:line="240" w:lineRule="auto"/>
    </w:pPr>
  </w:style>
  <w:style w:type="character" w:customStyle="1" w:styleId="HeaderChar">
    <w:name w:val="Header Char"/>
    <w:basedOn w:val="DefaultParagraphFont"/>
    <w:link w:val="Header"/>
    <w:uiPriority w:val="99"/>
    <w:rsid w:val="00936515"/>
  </w:style>
  <w:style w:type="paragraph" w:styleId="Footer">
    <w:name w:val="footer"/>
    <w:basedOn w:val="Normal"/>
    <w:link w:val="FooterChar"/>
    <w:uiPriority w:val="99"/>
    <w:unhideWhenUsed/>
    <w:rsid w:val="00936515"/>
    <w:pPr>
      <w:tabs>
        <w:tab w:val="center" w:pos="4513"/>
        <w:tab w:val="right" w:pos="9026"/>
      </w:tabs>
      <w:spacing w:line="240" w:lineRule="auto"/>
    </w:pPr>
  </w:style>
  <w:style w:type="character" w:customStyle="1" w:styleId="FooterChar">
    <w:name w:val="Footer Char"/>
    <w:basedOn w:val="DefaultParagraphFont"/>
    <w:link w:val="Footer"/>
    <w:uiPriority w:val="99"/>
    <w:rsid w:val="00936515"/>
  </w:style>
  <w:style w:type="paragraph" w:styleId="TOCHeading">
    <w:name w:val="TOC Heading"/>
    <w:basedOn w:val="Heading1"/>
    <w:next w:val="Normal"/>
    <w:uiPriority w:val="39"/>
    <w:semiHidden/>
    <w:unhideWhenUsed/>
    <w:qFormat/>
    <w:rsid w:val="005B0557"/>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ja-JP"/>
    </w:rPr>
  </w:style>
  <w:style w:type="paragraph" w:styleId="TOC1">
    <w:name w:val="toc 1"/>
    <w:basedOn w:val="Normal"/>
    <w:next w:val="Normal"/>
    <w:autoRedefine/>
    <w:uiPriority w:val="39"/>
    <w:unhideWhenUsed/>
    <w:rsid w:val="005B0557"/>
    <w:pPr>
      <w:spacing w:after="100"/>
    </w:pPr>
  </w:style>
  <w:style w:type="paragraph" w:styleId="TOC2">
    <w:name w:val="toc 2"/>
    <w:basedOn w:val="Normal"/>
    <w:next w:val="Normal"/>
    <w:autoRedefine/>
    <w:uiPriority w:val="39"/>
    <w:unhideWhenUsed/>
    <w:rsid w:val="005B0557"/>
    <w:pPr>
      <w:spacing w:after="100"/>
      <w:ind w:left="220"/>
    </w:pPr>
  </w:style>
  <w:style w:type="character" w:styleId="Hyperlink">
    <w:name w:val="Hyperlink"/>
    <w:basedOn w:val="DefaultParagraphFont"/>
    <w:uiPriority w:val="99"/>
    <w:unhideWhenUsed/>
    <w:rsid w:val="005B0557"/>
    <w:rPr>
      <w:color w:val="0000FF" w:themeColor="hyperlink"/>
      <w:u w:val="single"/>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mdpi.com/2071-1050/11/3/915/pdf" TargetMode="External"/><Relationship Id="rId21" Type="http://schemas.openxmlformats.org/officeDocument/2006/relationships/hyperlink" Target="https://scholar.archive.org/work/4t2svdog3nfh5pllcn2y7fzzzu/access/wayback/https://www.cambridge.org/core/services/aop-cambridge-core/content/view/AD632019F642D143CC06A5EECAA6E468/S0027950122000060a.pdf/div-class-title-the-political-economy-of-left-and-right-populism-div.pdf" TargetMode="External"/><Relationship Id="rId34" Type="http://schemas.openxmlformats.org/officeDocument/2006/relationships/hyperlink" Target="https://rke.abertay.ac.uk/files/16503794/Branine_EmployeesPerceptionsOfHuman_Accepted_2019.PDF" TargetMode="External"/><Relationship Id="rId42" Type="http://schemas.openxmlformats.org/officeDocument/2006/relationships/hyperlink" Target="https://e-tarjome.com/storage/panel/fileuploads/2019-08-19/1566214125_E12569-e-tarjome.pdf" TargetMode="External"/><Relationship Id="rId47" Type="http://schemas.openxmlformats.org/officeDocument/2006/relationships/hyperlink" Target="https://iea.org.uk/wp-content/uploads/2022/07/SUMMERTIME-BLUES-SHACKLETON.pdf" TargetMode="External"/><Relationship Id="rId50" Type="http://schemas.openxmlformats.org/officeDocument/2006/relationships/hyperlink" Target="https://www.thelancet.com/journals/lanplh/article/PIIS2542-5196(20)30271-0/fulltext?ref=tageins.at" TargetMode="External"/><Relationship Id="rId55" Type="http://schemas.openxmlformats.org/officeDocument/2006/relationships/hyperlink" Target="https://www.researchgate.net/profile/Suryaning-Bawono-2/publication/355116256_Human_Capital_Investment_For_Better_Business_Performance/links/63037e85eb7b135a0e53b77d/Human-Capital-Investment-For-Better-Business-Performance.pdf" TargetMode="External"/><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mdpi.com/2071-1050/13/11/6266/pdf" TargetMode="External"/><Relationship Id="rId29" Type="http://schemas.openxmlformats.org/officeDocument/2006/relationships/hyperlink" Target="https://rsglobal.pl/index.php/ijite/article/download/1438/1485" TargetMode="External"/><Relationship Id="rId11" Type="http://schemas.openxmlformats.org/officeDocument/2006/relationships/hyperlink" Target="http://m.growingscience.com/msl/Vol10/msl_2019_267.pdf" TargetMode="External"/><Relationship Id="rId24" Type="http://schemas.openxmlformats.org/officeDocument/2006/relationships/hyperlink" Target="https://www.researchgate.net/profile/Grigorios-Kyriakopoulos/publication/352006003_Managing_Change_And_Managerial_Innovation_Towards_Employees_Satisfaction_At_Workplace/links/60b52f3d299bf106f6ed971a/Managing-Change-And-Managerial-Innovation-Towards-Employees-Satisfaction-At-Workplace.pdf" TargetMode="External"/><Relationship Id="rId32" Type="http://schemas.openxmlformats.org/officeDocument/2006/relationships/hyperlink" Target="https://www.sciencedirect.com/science/article/pii/S2214629619302853" TargetMode="External"/><Relationship Id="rId37" Type="http://schemas.openxmlformats.org/officeDocument/2006/relationships/hyperlink" Target="https://www.researchgate.net/profile/Adam-Dube/publication/362327098_Identifying_CRAAP_on_the_Internet_A_Source_Evaluation_Intervention/links/62fea0dfceb9764f7206d5a7/Identifying-CRAAP-on-the-Internet-A-Source-Evaluation-Intervention.pdf" TargetMode="External"/><Relationship Id="rId40" Type="http://schemas.openxmlformats.org/officeDocument/2006/relationships/hyperlink" Target="http://bbemail.s3.amazonaws.com/PROD/ulib/ae3z4l/docs/968b6acf-74e8-89a3-294f-1fa249447687/MoraleandEngagement.pdf" TargetMode="External"/><Relationship Id="rId45" Type="http://schemas.openxmlformats.org/officeDocument/2006/relationships/hyperlink" Target="https://onlinelibrary.wiley.com/doi/pdf/10.1002/ese3.380" TargetMode="External"/><Relationship Id="rId53" Type="http://schemas.openxmlformats.org/officeDocument/2006/relationships/hyperlink" Target="https://wires.onlinelibrary.wiley.com/doi/pdf/10.1002/wcc.649" TargetMode="External"/><Relationship Id="rId58" Type="http://schemas.openxmlformats.org/officeDocument/2006/relationships/hyperlink" Target="https://e-tarjome.com/storage/panel/fileuploads/2019-08-18/1566126765_E12505-e-tarjome.pdf"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eader" Target="header2.xml"/><Relationship Id="rId19" Type="http://schemas.openxmlformats.org/officeDocument/2006/relationships/hyperlink" Target="https://www.sciencedirect.com/science/article/pii/S0160791X19302428" TargetMode="External"/><Relationship Id="rId14" Type="http://schemas.openxmlformats.org/officeDocument/2006/relationships/hyperlink" Target="http://online.kottakkalfarookcollege.edu.in:8001/jspui/bitstream/123456789/3795/1/Human%20Resource%20Management%20Theory%20and%20Practice%20%28%20PDFDrive%20%29.pdf" TargetMode="External"/><Relationship Id="rId22" Type="http://schemas.openxmlformats.org/officeDocument/2006/relationships/hyperlink" Target="https://arro.anglia.ac.uk/id/eprint/707752/6/Dagilyte_et_al_2022.pdf" TargetMode="External"/><Relationship Id="rId27" Type="http://schemas.openxmlformats.org/officeDocument/2006/relationships/hyperlink" Target="https://onlinelibrary.wiley.com/doi/abs/10.1002/CSR.1842" TargetMode="External"/><Relationship Id="rId30" Type="http://schemas.openxmlformats.org/officeDocument/2006/relationships/hyperlink" Target="https://files.eric.ed.gov/fulltext/EJ1220554.pdf" TargetMode="External"/><Relationship Id="rId35" Type="http://schemas.openxmlformats.org/officeDocument/2006/relationships/hyperlink" Target="https://www.mdpi.com/2071-1050/11/8/2263/pdf" TargetMode="External"/><Relationship Id="rId43" Type="http://schemas.openxmlformats.org/officeDocument/2006/relationships/hyperlink" Target="https://leicester.figshare.com/articles/thesis/Managing_Innovation_Under_Nationalisation_the_British_Gas_industry_and_the_first_trans-oceanic_transportation_of_Liquefied_Natural_Gas_1954-1959/17099654/1/files/31619294.pdf" TargetMode="External"/><Relationship Id="rId48" Type="http://schemas.openxmlformats.org/officeDocument/2006/relationships/hyperlink" Target="https://journals.sagepub.com/doi/full/10.1177/2158244018821751" TargetMode="External"/><Relationship Id="rId56" Type="http://schemas.openxmlformats.org/officeDocument/2006/relationships/hyperlink" Target="https://www.communistparty.org.uk/wp-content/uploads/2021/08/Unity-August-2021.pdf" TargetMode="External"/><Relationship Id="rId64" Type="http://schemas.openxmlformats.org/officeDocument/2006/relationships/header" Target="header3.xml"/><Relationship Id="rId8" Type="http://schemas.openxmlformats.org/officeDocument/2006/relationships/endnotes" Target="endnotes.xml"/><Relationship Id="rId51" Type="http://schemas.openxmlformats.org/officeDocument/2006/relationships/hyperlink" Target="http://toniaeriksen.weebly.com/craap.html" TargetMode="External"/><Relationship Id="rId3" Type="http://schemas.openxmlformats.org/officeDocument/2006/relationships/numbering" Target="numbering.xml"/><Relationship Id="rId12" Type="http://schemas.openxmlformats.org/officeDocument/2006/relationships/hyperlink" Target="https://research.skylineuniversity.ac.ae/id/eprint/187/1/58.pdf" TargetMode="External"/><Relationship Id="rId17" Type="http://schemas.openxmlformats.org/officeDocument/2006/relationships/hyperlink" Target="https://www.academia.edu/download/59493876/Chapman_et_al._-_2019_-_A_review20190602-65714-1guim4r.pdf" TargetMode="External"/><Relationship Id="rId25" Type="http://schemas.openxmlformats.org/officeDocument/2006/relationships/hyperlink" Target="https://www.rosenblatt-law.co.uk/insight/british-gas-fire-and-rehire-boiler-engineers-resulting-in-mass-dismissals-unfair-dismissal/" TargetMode="External"/><Relationship Id="rId33" Type="http://schemas.openxmlformats.org/officeDocument/2006/relationships/hyperlink" Target="https://files.eric.ed.gov/fulltext/EJ1282764.pdf" TargetMode="External"/><Relationship Id="rId38" Type="http://schemas.openxmlformats.org/officeDocument/2006/relationships/hyperlink" Target="https://www.researchgate.net/profile/Adam-Dube/publication/362327098_Identifying_CRAAP_on_the_Internet_A_Source_Evaluation_Intervention/links/62fea0dfceb9764f7206d5a7/Identifying-CRAAP-on-the-Internet-A-Source-Evaluation-Intervention.pdf" TargetMode="External"/><Relationship Id="rId46" Type="http://schemas.openxmlformats.org/officeDocument/2006/relationships/hyperlink" Target="https://www.mdpi.com/2071-1050/12/20/8641/pdf" TargetMode="External"/><Relationship Id="rId59" Type="http://schemas.openxmlformats.org/officeDocument/2006/relationships/hyperlink" Target="https://www.sciencedirect.com/science/article/pii/S0957582019310377" TargetMode="External"/><Relationship Id="rId67" Type="http://schemas.openxmlformats.org/officeDocument/2006/relationships/theme" Target="theme/theme1.xml"/><Relationship Id="rId20" Type="http://schemas.openxmlformats.org/officeDocument/2006/relationships/hyperlink" Target="https://eprints.lse.ac.uk/116071/1/businessreview_2022_06_15_precarious_work_and_labour_market_abuses.pdf" TargetMode="External"/><Relationship Id="rId41" Type="http://schemas.openxmlformats.org/officeDocument/2006/relationships/hyperlink" Target="https://www.researchgate.net/profile/Do-Dieu-Thu-Pham/publication/344653706_Green_recruitment_and_selection_an_insight_into_green_patterns/links/6366b0112f4bca7fd034ba78/Green-recruitment-and-selection-an-insight-into-green-patterns.pdf" TargetMode="External"/><Relationship Id="rId54" Type="http://schemas.openxmlformats.org/officeDocument/2006/relationships/hyperlink" Target="https://www.researchgate.net/profile/Suryaning-Bawono-2/publication/355116256_Human_Capital_Investment_For_Better_Business_Performance/links/63037e85eb7b135a0e53b77d/Human-Capital-Investment-For-Better-Business-Performance.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mdpi.com/2071-1050/13/11/6266/pdf" TargetMode="External"/><Relationship Id="rId23" Type="http://schemas.openxmlformats.org/officeDocument/2006/relationships/hyperlink" Target="https://research.birmingham.ac.uk/files/180159610/CBP_9561_Dobbins_Good_Work.pdf" TargetMode="External"/><Relationship Id="rId28" Type="http://schemas.openxmlformats.org/officeDocument/2006/relationships/hyperlink" Target="https://www.mdpi.com/2075-4698/10/4/86/pdf" TargetMode="External"/><Relationship Id="rId36" Type="http://schemas.openxmlformats.org/officeDocument/2006/relationships/hyperlink" Target="https://onlinelibrary.wiley.com/doi/abs/10.1002/bse.2680" TargetMode="External"/><Relationship Id="rId49" Type="http://schemas.openxmlformats.org/officeDocument/2006/relationships/hyperlink" Target="https://www.contractrecruiter.com/human-resources-models-theories/" TargetMode="External"/><Relationship Id="rId57" Type="http://schemas.openxmlformats.org/officeDocument/2006/relationships/hyperlink" Target="https://www.diva-portal.org/smash/get/diva2:1384296/FULLTEXT01.pdf" TargetMode="External"/><Relationship Id="rId10" Type="http://schemas.openxmlformats.org/officeDocument/2006/relationships/image" Target="media/image2.png"/><Relationship Id="rId31" Type="http://schemas.openxmlformats.org/officeDocument/2006/relationships/hyperlink" Target="https://www.researchgate.net/profile/Elahe-Hosseini-4/publication/359025910_A_Systematic_Literature_Review_of_the_Organizational_Voice/links/62234bda3c53d31ba4a8ef97/A-Systematic-Literature-Review-of-the-Organizational-Voice.pdf?origin=journalDetail&amp;_tp=eyJwYWdlIjoiam91cm5hbERldGFpbCJ9" TargetMode="External"/><Relationship Id="rId44" Type="http://schemas.openxmlformats.org/officeDocument/2006/relationships/hyperlink" Target="https://leicester.figshare.com/articles/thesis/Managing_Innovation_Under_Nationalisation_the_British_Gas_industry_and_the_first_trans-oceanic_transportation_of_Liquefied_Natural_Gas_1954-1959/17099654/1/files/31619294.pdf" TargetMode="External"/><Relationship Id="rId52" Type="http://schemas.openxmlformats.org/officeDocument/2006/relationships/hyperlink" Target="https://www.researchgate.net/profile/Aftab-Shoukat/publication/336567615_Does_meaningful_work_reduce_cyberloafing_Important_roles_of_affective_commitment_and_leader-member_exchange/links/5f4f539aa6fdcc9879c02afa/Does-meaningful-work-reduce-cyberloafing-Important-roles-of-affective-commitment-and-leader-member-exchange.pdf" TargetMode="External"/><Relationship Id="rId60" Type="http://schemas.openxmlformats.org/officeDocument/2006/relationships/header" Target="header1.xml"/><Relationship Id="rId65"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s://journals.sagepub.com/doi/pdf/10.1177/09500170231169675" TargetMode="External"/><Relationship Id="rId18" Type="http://schemas.openxmlformats.org/officeDocument/2006/relationships/hyperlink" Target="https://neweconomics.org/uploads/files/frequent-flyer-levy.pdf" TargetMode="External"/><Relationship Id="rId39" Type="http://schemas.openxmlformats.org/officeDocument/2006/relationships/hyperlink" Target="https://www.emerald.com/insight/content/doi/10.1108/BIJ-11-2020-05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wLvIT2PDvawTlRiemhmO75MjBBg==">CgMxLjAyCGguZ2pkZ3hzMgloLjMwajB6bGwyCWguMWZvYjl0ZTIJaC4zem55c2g3MgloLjJldDkycDAyCGgudHlqY3d0MgloLjNkeTZ2a20yCWguMXQzaDVzZjgAciExQ3dGNjFYV3U4eERfZzBnQ3lsaTJLNm1VekF2VXJZYjk=</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3AC626-357A-45B4-B00B-68CAAE1F4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8488</Words>
  <Characters>48387</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 7</cp:lastModifiedBy>
  <cp:revision>3</cp:revision>
  <dcterms:created xsi:type="dcterms:W3CDTF">2023-08-07T11:19:00Z</dcterms:created>
  <dcterms:modified xsi:type="dcterms:W3CDTF">2023-08-07T11:42:00Z</dcterms:modified>
</cp:coreProperties>
</file>