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9E97443" w14:textId="77777777" w:rsidR="001C552F" w:rsidRDefault="001C552F" w:rsidP="001C552F">
      <w:pPr>
        <w:spacing w:line="259" w:lineRule="auto"/>
        <w:jc w:val="center"/>
        <w:rPr>
          <w:rFonts w:ascii="Arial" w:hAnsi="Arial" w:cs="Arial"/>
          <w:b/>
          <w:sz w:val="72"/>
          <w:szCs w:val="72"/>
        </w:rPr>
      </w:pPr>
    </w:p>
    <w:p w14:paraId="7CC13E1B" w14:textId="77777777" w:rsidR="001C552F" w:rsidRDefault="001C552F" w:rsidP="001C552F">
      <w:pPr>
        <w:spacing w:line="259" w:lineRule="auto"/>
        <w:jc w:val="center"/>
        <w:rPr>
          <w:rFonts w:ascii="Arial" w:hAnsi="Arial" w:cs="Arial"/>
          <w:b/>
          <w:sz w:val="72"/>
          <w:szCs w:val="72"/>
        </w:rPr>
      </w:pPr>
    </w:p>
    <w:p w14:paraId="5639096C" w14:textId="77777777" w:rsidR="001C552F" w:rsidRDefault="001C552F" w:rsidP="001C552F">
      <w:pPr>
        <w:spacing w:line="259" w:lineRule="auto"/>
        <w:jc w:val="center"/>
        <w:rPr>
          <w:rFonts w:ascii="Arial" w:hAnsi="Arial" w:cs="Arial"/>
          <w:b/>
          <w:sz w:val="72"/>
          <w:szCs w:val="72"/>
        </w:rPr>
      </w:pPr>
    </w:p>
    <w:p w14:paraId="2D462CFD" w14:textId="77777777" w:rsidR="007E5724" w:rsidRPr="007E5724" w:rsidRDefault="007E5724" w:rsidP="001C552F">
      <w:pPr>
        <w:spacing w:line="259" w:lineRule="auto"/>
        <w:jc w:val="center"/>
        <w:rPr>
          <w:rFonts w:asciiTheme="minorBidi" w:hAnsiTheme="minorBidi"/>
          <w:b/>
          <w:sz w:val="72"/>
          <w:szCs w:val="72"/>
        </w:rPr>
      </w:pPr>
      <w:r w:rsidRPr="007E5724">
        <w:rPr>
          <w:rFonts w:asciiTheme="minorBidi" w:hAnsiTheme="minorBidi"/>
          <w:b/>
          <w:sz w:val="72"/>
          <w:szCs w:val="72"/>
        </w:rPr>
        <w:t>Criminal L</w:t>
      </w:r>
      <w:r w:rsidR="001C552F" w:rsidRPr="007E5724">
        <w:rPr>
          <w:rFonts w:asciiTheme="minorBidi" w:hAnsiTheme="minorBidi"/>
          <w:b/>
          <w:sz w:val="72"/>
          <w:szCs w:val="72"/>
        </w:rPr>
        <w:t>aw</w:t>
      </w:r>
    </w:p>
    <w:p w14:paraId="3F0247DD" w14:textId="77777777" w:rsidR="007E5724" w:rsidRPr="00DD15E0" w:rsidRDefault="007E5724" w:rsidP="001C552F">
      <w:pPr>
        <w:spacing w:line="259" w:lineRule="auto"/>
        <w:jc w:val="center"/>
        <w:rPr>
          <w:rFonts w:asciiTheme="minorBidi" w:hAnsiTheme="minorBidi"/>
          <w:b/>
          <w:sz w:val="52"/>
          <w:szCs w:val="52"/>
        </w:rPr>
      </w:pPr>
      <w:r w:rsidRPr="00DD15E0">
        <w:rPr>
          <w:rFonts w:asciiTheme="minorBidi" w:hAnsiTheme="minorBidi"/>
          <w:b/>
          <w:sz w:val="52"/>
          <w:szCs w:val="52"/>
        </w:rPr>
        <w:t>BMPL4009_CARD</w:t>
      </w:r>
    </w:p>
    <w:p w14:paraId="7426411D" w14:textId="77777777" w:rsidR="007E5724" w:rsidRPr="007E5724" w:rsidRDefault="007E5724" w:rsidP="001C552F">
      <w:pPr>
        <w:spacing w:line="259" w:lineRule="auto"/>
        <w:jc w:val="center"/>
        <w:rPr>
          <w:rFonts w:asciiTheme="minorBidi" w:hAnsiTheme="minorBidi"/>
          <w:b/>
          <w:sz w:val="72"/>
          <w:szCs w:val="72"/>
        </w:rPr>
      </w:pPr>
    </w:p>
    <w:p w14:paraId="1DFFB305" w14:textId="77777777" w:rsidR="0050520B" w:rsidRDefault="007E5724" w:rsidP="001C552F">
      <w:pPr>
        <w:spacing w:line="259" w:lineRule="auto"/>
        <w:jc w:val="center"/>
        <w:rPr>
          <w:sz w:val="72"/>
          <w:szCs w:val="72"/>
        </w:rPr>
      </w:pPr>
      <w:r w:rsidRPr="007E5724">
        <w:rPr>
          <w:rFonts w:asciiTheme="minorBidi" w:hAnsiTheme="minorBidi"/>
          <w:b/>
          <w:sz w:val="72"/>
          <w:szCs w:val="72"/>
        </w:rPr>
        <w:t>Liability by omission</w:t>
      </w:r>
      <w:r w:rsidR="001C552F" w:rsidRPr="001C552F">
        <w:rPr>
          <w:sz w:val="72"/>
          <w:szCs w:val="72"/>
        </w:rPr>
        <w:t xml:space="preserve"> </w:t>
      </w:r>
    </w:p>
    <w:p w14:paraId="5227E7B3" w14:textId="77777777" w:rsidR="0050520B" w:rsidRDefault="0050520B" w:rsidP="001C552F">
      <w:pPr>
        <w:spacing w:line="259" w:lineRule="auto"/>
        <w:jc w:val="center"/>
        <w:rPr>
          <w:sz w:val="72"/>
          <w:szCs w:val="72"/>
        </w:rPr>
      </w:pPr>
    </w:p>
    <w:p w14:paraId="2C3E2E7A" w14:textId="77777777" w:rsidR="0050520B" w:rsidRDefault="0050520B" w:rsidP="001C552F">
      <w:pPr>
        <w:spacing w:line="259" w:lineRule="auto"/>
        <w:jc w:val="center"/>
        <w:rPr>
          <w:sz w:val="72"/>
          <w:szCs w:val="72"/>
        </w:rPr>
      </w:pPr>
    </w:p>
    <w:p w14:paraId="090E8767" w14:textId="77777777" w:rsidR="0050520B" w:rsidRDefault="0050520B" w:rsidP="001C552F">
      <w:pPr>
        <w:spacing w:line="259" w:lineRule="auto"/>
        <w:jc w:val="center"/>
        <w:rPr>
          <w:sz w:val="72"/>
          <w:szCs w:val="72"/>
        </w:rPr>
      </w:pPr>
    </w:p>
    <w:p w14:paraId="5EFF18E6" w14:textId="4E96BB8E" w:rsidR="001C552F" w:rsidRPr="001C552F" w:rsidRDefault="0050520B" w:rsidP="001C552F">
      <w:pPr>
        <w:spacing w:line="259" w:lineRule="auto"/>
        <w:jc w:val="center"/>
        <w:rPr>
          <w:rFonts w:asciiTheme="majorHAnsi" w:eastAsiaTheme="majorEastAsia" w:hAnsiTheme="majorHAnsi" w:cstheme="majorBidi"/>
          <w:color w:val="2F5496" w:themeColor="accent1" w:themeShade="BF"/>
          <w:sz w:val="72"/>
          <w:szCs w:val="72"/>
        </w:rPr>
      </w:pPr>
      <w:r>
        <w:rPr>
          <w:szCs w:val="24"/>
        </w:rPr>
        <w:t xml:space="preserve">Student name: Elena Cristina </w:t>
      </w:r>
      <w:proofErr w:type="spellStart"/>
      <w:r>
        <w:rPr>
          <w:szCs w:val="24"/>
        </w:rPr>
        <w:t>Martinica</w:t>
      </w:r>
      <w:proofErr w:type="spellEnd"/>
      <w:r w:rsidR="001C552F" w:rsidRPr="001C552F">
        <w:rPr>
          <w:sz w:val="72"/>
          <w:szCs w:val="72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color w:val="auto"/>
          <w:kern w:val="2"/>
          <w:sz w:val="24"/>
          <w:szCs w:val="22"/>
          <w:lang w:val="en-GB"/>
          <w14:ligatures w14:val="standardContextual"/>
        </w:rPr>
        <w:id w:val="-176515159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51E643E7" w14:textId="27C974F0" w:rsidR="001C552F" w:rsidRDefault="001C552F">
          <w:pPr>
            <w:pStyle w:val="TOCHeading"/>
          </w:pPr>
          <w:r>
            <w:t>Contents</w:t>
          </w:r>
        </w:p>
        <w:p w14:paraId="2D649244" w14:textId="1B6C0E10" w:rsidR="001C552F" w:rsidRDefault="001C552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8159474" w:history="1">
            <w:r w:rsidRPr="00544FC8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_Toc168159474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4C1260" w14:textId="39CD9E84" w:rsidR="001C552F" w:rsidRDefault="00000000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168159475" w:history="1">
            <w:r w:rsidR="001C552F" w:rsidRPr="00544FC8">
              <w:rPr>
                <w:rStyle w:val="Hyperlink"/>
                <w:noProof/>
              </w:rPr>
              <w:t>1.</w:t>
            </w:r>
            <w:r w:rsidR="001C552F">
              <w:rPr>
                <w:noProof/>
              </w:rPr>
              <w:tab/>
            </w:r>
            <w:r w:rsidR="001C552F" w:rsidRPr="00544FC8">
              <w:rPr>
                <w:rStyle w:val="Hyperlink"/>
                <w:noProof/>
              </w:rPr>
              <w:t>Is there a general duty to act in criminal law?</w:t>
            </w:r>
            <w:r w:rsidR="001C552F">
              <w:rPr>
                <w:noProof/>
                <w:webHidden/>
              </w:rPr>
              <w:tab/>
            </w:r>
            <w:r w:rsidR="001C552F">
              <w:rPr>
                <w:noProof/>
                <w:webHidden/>
              </w:rPr>
              <w:fldChar w:fldCharType="begin"/>
            </w:r>
            <w:r w:rsidR="001C552F">
              <w:rPr>
                <w:noProof/>
                <w:webHidden/>
              </w:rPr>
              <w:instrText xml:space="preserve"> PAGEREF _Toc168159475 \h </w:instrText>
            </w:r>
            <w:r w:rsidR="001C552F">
              <w:rPr>
                <w:noProof/>
                <w:webHidden/>
              </w:rPr>
            </w:r>
            <w:r w:rsidR="001C552F">
              <w:rPr>
                <w:noProof/>
                <w:webHidden/>
              </w:rPr>
              <w:fldChar w:fldCharType="separate"/>
            </w:r>
            <w:r w:rsidR="001C552F">
              <w:rPr>
                <w:noProof/>
                <w:webHidden/>
              </w:rPr>
              <w:t>3</w:t>
            </w:r>
            <w:r w:rsidR="001C552F">
              <w:rPr>
                <w:noProof/>
                <w:webHidden/>
              </w:rPr>
              <w:fldChar w:fldCharType="end"/>
            </w:r>
          </w:hyperlink>
        </w:p>
        <w:p w14:paraId="2F698DEB" w14:textId="4E422ADA" w:rsidR="001C552F" w:rsidRDefault="00000000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168159476" w:history="1">
            <w:r w:rsidR="001C552F" w:rsidRPr="00544FC8">
              <w:rPr>
                <w:rStyle w:val="Hyperlink"/>
                <w:noProof/>
              </w:rPr>
              <w:t>2.</w:t>
            </w:r>
            <w:r w:rsidR="001C552F">
              <w:rPr>
                <w:noProof/>
              </w:rPr>
              <w:tab/>
            </w:r>
            <w:r w:rsidR="001C552F" w:rsidRPr="00544FC8">
              <w:rPr>
                <w:rStyle w:val="Hyperlink"/>
                <w:noProof/>
              </w:rPr>
              <w:t>What are the requirements for a crime to be committed by omission?</w:t>
            </w:r>
            <w:r w:rsidR="001C552F">
              <w:rPr>
                <w:noProof/>
                <w:webHidden/>
              </w:rPr>
              <w:tab/>
            </w:r>
            <w:r w:rsidR="001C552F">
              <w:rPr>
                <w:noProof/>
                <w:webHidden/>
              </w:rPr>
              <w:fldChar w:fldCharType="begin"/>
            </w:r>
            <w:r w:rsidR="001C552F">
              <w:rPr>
                <w:noProof/>
                <w:webHidden/>
              </w:rPr>
              <w:instrText xml:space="preserve"> PAGEREF _Toc168159476 \h </w:instrText>
            </w:r>
            <w:r w:rsidR="001C552F">
              <w:rPr>
                <w:noProof/>
                <w:webHidden/>
              </w:rPr>
            </w:r>
            <w:r w:rsidR="001C552F">
              <w:rPr>
                <w:noProof/>
                <w:webHidden/>
              </w:rPr>
              <w:fldChar w:fldCharType="separate"/>
            </w:r>
            <w:r w:rsidR="001C552F">
              <w:rPr>
                <w:noProof/>
                <w:webHidden/>
              </w:rPr>
              <w:t>3</w:t>
            </w:r>
            <w:r w:rsidR="001C552F">
              <w:rPr>
                <w:noProof/>
                <w:webHidden/>
              </w:rPr>
              <w:fldChar w:fldCharType="end"/>
            </w:r>
          </w:hyperlink>
        </w:p>
        <w:p w14:paraId="7F764E2E" w14:textId="5F0A45DE" w:rsidR="001C552F" w:rsidRDefault="00000000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168159477" w:history="1">
            <w:r w:rsidR="001C552F" w:rsidRPr="00544FC8">
              <w:rPr>
                <w:rStyle w:val="Hyperlink"/>
                <w:noProof/>
              </w:rPr>
              <w:t>3.</w:t>
            </w:r>
            <w:r w:rsidR="001C552F">
              <w:rPr>
                <w:noProof/>
              </w:rPr>
              <w:tab/>
            </w:r>
            <w:r w:rsidR="001C552F" w:rsidRPr="00544FC8">
              <w:rPr>
                <w:rStyle w:val="Hyperlink"/>
                <w:noProof/>
              </w:rPr>
              <w:t>When might a statutory duty to act be present?</w:t>
            </w:r>
            <w:r w:rsidR="001C552F">
              <w:rPr>
                <w:noProof/>
                <w:webHidden/>
              </w:rPr>
              <w:tab/>
            </w:r>
            <w:r w:rsidR="001C552F">
              <w:rPr>
                <w:noProof/>
                <w:webHidden/>
              </w:rPr>
              <w:fldChar w:fldCharType="begin"/>
            </w:r>
            <w:r w:rsidR="001C552F">
              <w:rPr>
                <w:noProof/>
                <w:webHidden/>
              </w:rPr>
              <w:instrText xml:space="preserve"> PAGEREF _Toc168159477 \h </w:instrText>
            </w:r>
            <w:r w:rsidR="001C552F">
              <w:rPr>
                <w:noProof/>
                <w:webHidden/>
              </w:rPr>
            </w:r>
            <w:r w:rsidR="001C552F">
              <w:rPr>
                <w:noProof/>
                <w:webHidden/>
              </w:rPr>
              <w:fldChar w:fldCharType="separate"/>
            </w:r>
            <w:r w:rsidR="001C552F">
              <w:rPr>
                <w:noProof/>
                <w:webHidden/>
              </w:rPr>
              <w:t>3</w:t>
            </w:r>
            <w:r w:rsidR="001C552F">
              <w:rPr>
                <w:noProof/>
                <w:webHidden/>
              </w:rPr>
              <w:fldChar w:fldCharType="end"/>
            </w:r>
          </w:hyperlink>
        </w:p>
        <w:p w14:paraId="78A2246E" w14:textId="749F3F95" w:rsidR="001C552F" w:rsidRDefault="00000000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168159478" w:history="1">
            <w:r w:rsidR="001C552F" w:rsidRPr="00544FC8">
              <w:rPr>
                <w:rStyle w:val="Hyperlink"/>
                <w:noProof/>
              </w:rPr>
              <w:t>4.</w:t>
            </w:r>
            <w:r w:rsidR="001C552F">
              <w:rPr>
                <w:noProof/>
              </w:rPr>
              <w:tab/>
            </w:r>
            <w:r w:rsidR="001C552F" w:rsidRPr="00544FC8">
              <w:rPr>
                <w:rStyle w:val="Hyperlink"/>
                <w:noProof/>
              </w:rPr>
              <w:t>When might a contractual/ duty based on office be present?</w:t>
            </w:r>
            <w:r w:rsidR="001C552F">
              <w:rPr>
                <w:noProof/>
                <w:webHidden/>
              </w:rPr>
              <w:tab/>
            </w:r>
            <w:r w:rsidR="001C552F">
              <w:rPr>
                <w:noProof/>
                <w:webHidden/>
              </w:rPr>
              <w:fldChar w:fldCharType="begin"/>
            </w:r>
            <w:r w:rsidR="001C552F">
              <w:rPr>
                <w:noProof/>
                <w:webHidden/>
              </w:rPr>
              <w:instrText xml:space="preserve"> PAGEREF _Toc168159478 \h </w:instrText>
            </w:r>
            <w:r w:rsidR="001C552F">
              <w:rPr>
                <w:noProof/>
                <w:webHidden/>
              </w:rPr>
            </w:r>
            <w:r w:rsidR="001C552F">
              <w:rPr>
                <w:noProof/>
                <w:webHidden/>
              </w:rPr>
              <w:fldChar w:fldCharType="separate"/>
            </w:r>
            <w:r w:rsidR="001C552F">
              <w:rPr>
                <w:noProof/>
                <w:webHidden/>
              </w:rPr>
              <w:t>4</w:t>
            </w:r>
            <w:r w:rsidR="001C552F">
              <w:rPr>
                <w:noProof/>
                <w:webHidden/>
              </w:rPr>
              <w:fldChar w:fldCharType="end"/>
            </w:r>
          </w:hyperlink>
        </w:p>
        <w:p w14:paraId="7F5C9B8C" w14:textId="1317D589" w:rsidR="001C552F" w:rsidRDefault="00000000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168159479" w:history="1">
            <w:r w:rsidR="001C552F" w:rsidRPr="00544FC8">
              <w:rPr>
                <w:rStyle w:val="Hyperlink"/>
                <w:noProof/>
              </w:rPr>
              <w:t>5.</w:t>
            </w:r>
            <w:r w:rsidR="001C552F">
              <w:rPr>
                <w:noProof/>
              </w:rPr>
              <w:tab/>
            </w:r>
            <w:r w:rsidR="001C552F" w:rsidRPr="00544FC8">
              <w:rPr>
                <w:rStyle w:val="Hyperlink"/>
                <w:noProof/>
              </w:rPr>
              <w:t>When might a duty to act arise from assumed responsibility?</w:t>
            </w:r>
            <w:r w:rsidR="001C552F">
              <w:rPr>
                <w:noProof/>
                <w:webHidden/>
              </w:rPr>
              <w:tab/>
            </w:r>
            <w:r w:rsidR="001C552F">
              <w:rPr>
                <w:noProof/>
                <w:webHidden/>
              </w:rPr>
              <w:fldChar w:fldCharType="begin"/>
            </w:r>
            <w:r w:rsidR="001C552F">
              <w:rPr>
                <w:noProof/>
                <w:webHidden/>
              </w:rPr>
              <w:instrText xml:space="preserve"> PAGEREF _Toc168159479 \h </w:instrText>
            </w:r>
            <w:r w:rsidR="001C552F">
              <w:rPr>
                <w:noProof/>
                <w:webHidden/>
              </w:rPr>
            </w:r>
            <w:r w:rsidR="001C552F">
              <w:rPr>
                <w:noProof/>
                <w:webHidden/>
              </w:rPr>
              <w:fldChar w:fldCharType="separate"/>
            </w:r>
            <w:r w:rsidR="001C552F">
              <w:rPr>
                <w:noProof/>
                <w:webHidden/>
              </w:rPr>
              <w:t>4</w:t>
            </w:r>
            <w:r w:rsidR="001C552F">
              <w:rPr>
                <w:noProof/>
                <w:webHidden/>
              </w:rPr>
              <w:fldChar w:fldCharType="end"/>
            </w:r>
          </w:hyperlink>
        </w:p>
        <w:p w14:paraId="1EC85959" w14:textId="566641F1" w:rsidR="001C552F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8159480" w:history="1">
            <w:r w:rsidR="001C552F" w:rsidRPr="00544FC8">
              <w:rPr>
                <w:rStyle w:val="Hyperlink"/>
                <w:noProof/>
              </w:rPr>
              <w:t>Task 2</w:t>
            </w:r>
            <w:r w:rsidR="001C552F">
              <w:rPr>
                <w:noProof/>
                <w:webHidden/>
              </w:rPr>
              <w:tab/>
            </w:r>
            <w:r w:rsidR="001C552F">
              <w:rPr>
                <w:noProof/>
                <w:webHidden/>
              </w:rPr>
              <w:fldChar w:fldCharType="begin"/>
            </w:r>
            <w:r w:rsidR="001C552F">
              <w:rPr>
                <w:noProof/>
                <w:webHidden/>
              </w:rPr>
              <w:instrText xml:space="preserve"> PAGEREF _Toc168159480 \h </w:instrText>
            </w:r>
            <w:r w:rsidR="001C552F">
              <w:rPr>
                <w:noProof/>
                <w:webHidden/>
              </w:rPr>
            </w:r>
            <w:r w:rsidR="001C552F">
              <w:rPr>
                <w:noProof/>
                <w:webHidden/>
              </w:rPr>
              <w:fldChar w:fldCharType="separate"/>
            </w:r>
            <w:r w:rsidR="001C552F">
              <w:rPr>
                <w:noProof/>
                <w:webHidden/>
              </w:rPr>
              <w:t>5</w:t>
            </w:r>
            <w:r w:rsidR="001C552F">
              <w:rPr>
                <w:noProof/>
                <w:webHidden/>
              </w:rPr>
              <w:fldChar w:fldCharType="end"/>
            </w:r>
          </w:hyperlink>
        </w:p>
        <w:p w14:paraId="07187F2E" w14:textId="0AED5EF6" w:rsidR="001C552F" w:rsidRDefault="00000000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168159481" w:history="1">
            <w:r w:rsidR="001C552F" w:rsidRPr="00544FC8">
              <w:rPr>
                <w:rStyle w:val="Hyperlink"/>
                <w:noProof/>
              </w:rPr>
              <w:t>6.</w:t>
            </w:r>
            <w:r w:rsidR="001C552F">
              <w:rPr>
                <w:noProof/>
              </w:rPr>
              <w:tab/>
            </w:r>
            <w:r w:rsidR="001C552F" w:rsidRPr="00544FC8">
              <w:rPr>
                <w:rStyle w:val="Hyperlink"/>
                <w:noProof/>
              </w:rPr>
              <w:t xml:space="preserve">Should there be a general duty to act within </w:t>
            </w:r>
            <w:r w:rsidR="0050520B">
              <w:rPr>
                <w:rStyle w:val="Hyperlink"/>
                <w:noProof/>
              </w:rPr>
              <w:t>the criminal law of England and Wales?</w:t>
            </w:r>
            <w:r w:rsidR="001C552F" w:rsidRPr="00544FC8">
              <w:rPr>
                <w:rStyle w:val="Hyperlink"/>
                <w:noProof/>
              </w:rPr>
              <w:t xml:space="preserve"> What are the arguments for and against this?</w:t>
            </w:r>
            <w:r w:rsidR="001C552F">
              <w:rPr>
                <w:noProof/>
                <w:webHidden/>
              </w:rPr>
              <w:tab/>
            </w:r>
            <w:r w:rsidR="001C552F">
              <w:rPr>
                <w:noProof/>
                <w:webHidden/>
              </w:rPr>
              <w:fldChar w:fldCharType="begin"/>
            </w:r>
            <w:r w:rsidR="001C552F">
              <w:rPr>
                <w:noProof/>
                <w:webHidden/>
              </w:rPr>
              <w:instrText xml:space="preserve"> PAGEREF _Toc168159481 \h </w:instrText>
            </w:r>
            <w:r w:rsidR="001C552F">
              <w:rPr>
                <w:noProof/>
                <w:webHidden/>
              </w:rPr>
            </w:r>
            <w:r w:rsidR="001C552F">
              <w:rPr>
                <w:noProof/>
                <w:webHidden/>
              </w:rPr>
              <w:fldChar w:fldCharType="separate"/>
            </w:r>
            <w:r w:rsidR="001C552F">
              <w:rPr>
                <w:noProof/>
                <w:webHidden/>
              </w:rPr>
              <w:t>5</w:t>
            </w:r>
            <w:r w:rsidR="001C552F">
              <w:rPr>
                <w:noProof/>
                <w:webHidden/>
              </w:rPr>
              <w:fldChar w:fldCharType="end"/>
            </w:r>
          </w:hyperlink>
        </w:p>
        <w:p w14:paraId="51D3C500" w14:textId="7F9848C7" w:rsidR="001C552F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8159482" w:history="1">
            <w:r w:rsidR="001C552F" w:rsidRPr="00544FC8">
              <w:rPr>
                <w:rStyle w:val="Hyperlink"/>
                <w:noProof/>
              </w:rPr>
              <w:t>Reference:</w:t>
            </w:r>
            <w:r w:rsidR="001C552F">
              <w:rPr>
                <w:noProof/>
                <w:webHidden/>
              </w:rPr>
              <w:tab/>
            </w:r>
            <w:r w:rsidR="001C552F">
              <w:rPr>
                <w:noProof/>
                <w:webHidden/>
              </w:rPr>
              <w:fldChar w:fldCharType="begin"/>
            </w:r>
            <w:r w:rsidR="001C552F">
              <w:rPr>
                <w:noProof/>
                <w:webHidden/>
              </w:rPr>
              <w:instrText xml:space="preserve"> PAGEREF _Toc168159482 \h </w:instrText>
            </w:r>
            <w:r w:rsidR="001C552F">
              <w:rPr>
                <w:noProof/>
                <w:webHidden/>
              </w:rPr>
            </w:r>
            <w:r w:rsidR="001C552F">
              <w:rPr>
                <w:noProof/>
                <w:webHidden/>
              </w:rPr>
              <w:fldChar w:fldCharType="separate"/>
            </w:r>
            <w:r w:rsidR="001C552F">
              <w:rPr>
                <w:noProof/>
                <w:webHidden/>
              </w:rPr>
              <w:t>7</w:t>
            </w:r>
            <w:r w:rsidR="001C552F">
              <w:rPr>
                <w:noProof/>
                <w:webHidden/>
              </w:rPr>
              <w:fldChar w:fldCharType="end"/>
            </w:r>
          </w:hyperlink>
        </w:p>
        <w:p w14:paraId="09C7CD1D" w14:textId="102CF541" w:rsidR="001C552F" w:rsidRDefault="001C552F">
          <w:r>
            <w:rPr>
              <w:b/>
              <w:bCs/>
              <w:noProof/>
            </w:rPr>
            <w:fldChar w:fldCharType="end"/>
          </w:r>
        </w:p>
      </w:sdtContent>
    </w:sdt>
    <w:p w14:paraId="56A45EB9" w14:textId="77777777" w:rsidR="001C552F" w:rsidRDefault="001C552F">
      <w:pPr>
        <w:spacing w:line="259" w:lineRule="auto"/>
        <w:jc w:val="left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6195072" w14:textId="7B6B18D3" w:rsidR="002708B7" w:rsidRPr="00AB618F" w:rsidRDefault="007025C9" w:rsidP="007F2889">
      <w:pPr>
        <w:pStyle w:val="Heading1"/>
        <w:spacing w:line="480" w:lineRule="auto"/>
      </w:pPr>
      <w:bookmarkStart w:id="0" w:name="_Toc168159474"/>
      <w:r w:rsidRPr="00AB618F">
        <w:lastRenderedPageBreak/>
        <w:t>Task 1</w:t>
      </w:r>
      <w:bookmarkEnd w:id="0"/>
    </w:p>
    <w:p w14:paraId="7F3DA23E" w14:textId="77777777" w:rsidR="007025C9" w:rsidRPr="00AB618F" w:rsidRDefault="007025C9" w:rsidP="007F2889">
      <w:pPr>
        <w:pStyle w:val="Heading2"/>
        <w:spacing w:line="480" w:lineRule="auto"/>
      </w:pPr>
      <w:bookmarkStart w:id="1" w:name="_Toc168159475"/>
      <w:r w:rsidRPr="00AB618F">
        <w:t>1.</w:t>
      </w:r>
      <w:r w:rsidRPr="00AB618F">
        <w:tab/>
        <w:t>Is there a general duty to act in criminal law?</w:t>
      </w:r>
      <w:bookmarkEnd w:id="1"/>
    </w:p>
    <w:p w14:paraId="662F3AF4" w14:textId="75DA76C7" w:rsidR="007025C9" w:rsidRPr="00AB618F" w:rsidRDefault="0064025F" w:rsidP="007F2889">
      <w:pPr>
        <w:spacing w:line="480" w:lineRule="auto"/>
        <w:rPr>
          <w:rFonts w:ascii="Arial" w:hAnsi="Arial" w:cs="Arial"/>
        </w:rPr>
      </w:pPr>
      <w:r w:rsidRPr="00AB618F">
        <w:rPr>
          <w:rFonts w:ascii="Arial" w:hAnsi="Arial" w:cs="Arial"/>
        </w:rPr>
        <w:t xml:space="preserve">The general duties to act in a critical law are contractual or statutory duty, special relationship, voluntary assumption of responsibility, and contribution or creation of dangerous </w:t>
      </w:r>
      <w:r w:rsidR="0050520B">
        <w:rPr>
          <w:rFonts w:ascii="Arial" w:hAnsi="Arial" w:cs="Arial"/>
        </w:rPr>
        <w:t>situations</w:t>
      </w:r>
      <w:r w:rsidRPr="00AB618F">
        <w:rPr>
          <w:rFonts w:ascii="Arial" w:hAnsi="Arial" w:cs="Arial"/>
        </w:rPr>
        <w:t xml:space="preserve">. As per the contractual or statutory duty, it could be imposed by the statute. It is applicable in cases where failure to meet a contractual term evolves </w:t>
      </w:r>
      <w:r w:rsidR="0050520B">
        <w:rPr>
          <w:rFonts w:ascii="Arial" w:hAnsi="Arial" w:cs="Arial"/>
        </w:rPr>
        <w:t xml:space="preserve">into a </w:t>
      </w:r>
      <w:r w:rsidRPr="00AB618F">
        <w:rPr>
          <w:rFonts w:ascii="Arial" w:hAnsi="Arial" w:cs="Arial"/>
        </w:rPr>
        <w:t xml:space="preserve">risk of death. In such </w:t>
      </w:r>
      <w:r w:rsidR="0050520B">
        <w:rPr>
          <w:rFonts w:ascii="Arial" w:hAnsi="Arial" w:cs="Arial"/>
        </w:rPr>
        <w:t>cases,</w:t>
      </w:r>
      <w:r w:rsidRPr="00AB618F">
        <w:rPr>
          <w:rFonts w:ascii="Arial" w:hAnsi="Arial" w:cs="Arial"/>
        </w:rPr>
        <w:t xml:space="preserve"> a duty to act is executed. It is evident from the case example of </w:t>
      </w:r>
      <w:r w:rsidRPr="00AB618F">
        <w:rPr>
          <w:rFonts w:ascii="Arial" w:hAnsi="Arial" w:cs="Arial"/>
          <w:i/>
          <w:iCs/>
        </w:rPr>
        <w:t>R v Pittwood (1902) 19 TLR 37</w:t>
      </w:r>
      <w:r w:rsidRPr="00AB618F">
        <w:rPr>
          <w:rFonts w:ascii="Arial" w:hAnsi="Arial" w:cs="Arial"/>
        </w:rPr>
        <w:t xml:space="preserve">. </w:t>
      </w:r>
      <w:r w:rsidR="0050520B">
        <w:rPr>
          <w:rFonts w:ascii="Arial" w:hAnsi="Arial" w:cs="Arial"/>
        </w:rPr>
        <w:t xml:space="preserve">The special relationship is the duty that evolves from a </w:t>
      </w:r>
      <w:r w:rsidR="005572D2" w:rsidRPr="00AB618F">
        <w:rPr>
          <w:rFonts w:ascii="Arial" w:hAnsi="Arial" w:cs="Arial"/>
        </w:rPr>
        <w:t xml:space="preserve">close relationship. However, this relationship is only extended to parents and their </w:t>
      </w:r>
      <w:r w:rsidR="00F96482" w:rsidRPr="00AB618F">
        <w:rPr>
          <w:rFonts w:ascii="Arial" w:hAnsi="Arial" w:cs="Arial"/>
        </w:rPr>
        <w:t xml:space="preserve">children. </w:t>
      </w:r>
      <w:r w:rsidR="0050520B">
        <w:rPr>
          <w:rFonts w:ascii="Arial" w:hAnsi="Arial" w:cs="Arial"/>
        </w:rPr>
        <w:t>The voluntary assumption of responsibility takes place when one takes the initiative to take responsibility for others who are not able to take self–care</w:t>
      </w:r>
      <w:r w:rsidR="00F96482" w:rsidRPr="00AB618F">
        <w:rPr>
          <w:rFonts w:ascii="Arial" w:hAnsi="Arial" w:cs="Arial"/>
        </w:rPr>
        <w:t xml:space="preserve"> due to illness or age. Here, a duty is imposed</w:t>
      </w:r>
      <w:r w:rsidR="00AB618F">
        <w:rPr>
          <w:rFonts w:ascii="Arial" w:hAnsi="Arial" w:cs="Arial"/>
        </w:rPr>
        <w:t xml:space="preserve"> (</w:t>
      </w:r>
      <w:r w:rsidR="00AB618F" w:rsidRPr="004142F2">
        <w:rPr>
          <w:rFonts w:ascii="Arial" w:hAnsi="Arial" w:cs="Arial"/>
          <w:color w:val="222222"/>
          <w:szCs w:val="24"/>
          <w:shd w:val="clear" w:color="auto" w:fill="FFFFFF"/>
        </w:rPr>
        <w:t>Dunbar</w:t>
      </w:r>
      <w:r w:rsidR="00AB618F">
        <w:rPr>
          <w:rFonts w:ascii="Arial" w:hAnsi="Arial" w:cs="Arial"/>
          <w:color w:val="222222"/>
          <w:szCs w:val="24"/>
          <w:shd w:val="clear" w:color="auto" w:fill="FFFFFF"/>
        </w:rPr>
        <w:t>, 2012</w:t>
      </w:r>
      <w:r w:rsidR="00AB618F">
        <w:rPr>
          <w:rFonts w:ascii="Arial" w:hAnsi="Arial" w:cs="Arial"/>
        </w:rPr>
        <w:t>)</w:t>
      </w:r>
      <w:r w:rsidR="00F96482" w:rsidRPr="00AB618F">
        <w:rPr>
          <w:rFonts w:ascii="Arial" w:hAnsi="Arial" w:cs="Arial"/>
        </w:rPr>
        <w:t xml:space="preserve">. It is evident from the case law of </w:t>
      </w:r>
      <w:r w:rsidR="00F96482" w:rsidRPr="00AB618F">
        <w:rPr>
          <w:rFonts w:ascii="Arial" w:hAnsi="Arial" w:cs="Arial"/>
          <w:i/>
          <w:iCs/>
        </w:rPr>
        <w:t>R v Stone and Dobinson [1977] QB 354</w:t>
      </w:r>
      <w:r w:rsidR="00F96482" w:rsidRPr="00AB618F">
        <w:rPr>
          <w:rFonts w:ascii="Arial" w:hAnsi="Arial" w:cs="Arial"/>
        </w:rPr>
        <w:t xml:space="preserve">. </w:t>
      </w:r>
      <w:r w:rsidR="0050520B">
        <w:rPr>
          <w:rFonts w:ascii="Arial" w:hAnsi="Arial" w:cs="Arial"/>
        </w:rPr>
        <w:t xml:space="preserve">The creation of a </w:t>
      </w:r>
      <w:r w:rsidR="00DB6752" w:rsidRPr="00AB618F">
        <w:rPr>
          <w:rFonts w:ascii="Arial" w:hAnsi="Arial" w:cs="Arial"/>
        </w:rPr>
        <w:t xml:space="preserve">dangerous situation takes place when one is inadvertently </w:t>
      </w:r>
      <w:r w:rsidR="000B396E" w:rsidRPr="00AB618F">
        <w:rPr>
          <w:rFonts w:ascii="Arial" w:hAnsi="Arial" w:cs="Arial"/>
        </w:rPr>
        <w:t>evolving</w:t>
      </w:r>
      <w:r w:rsidR="00DB6752" w:rsidRPr="00AB618F">
        <w:rPr>
          <w:rFonts w:ascii="Arial" w:hAnsi="Arial" w:cs="Arial"/>
        </w:rPr>
        <w:t xml:space="preserve"> a </w:t>
      </w:r>
      <w:r w:rsidR="000B396E" w:rsidRPr="00AB618F">
        <w:rPr>
          <w:rFonts w:ascii="Arial" w:hAnsi="Arial" w:cs="Arial"/>
        </w:rPr>
        <w:t>dangerous circumstance</w:t>
      </w:r>
      <w:r w:rsidR="00DB6752" w:rsidRPr="00AB618F">
        <w:rPr>
          <w:rFonts w:ascii="Arial" w:hAnsi="Arial" w:cs="Arial"/>
        </w:rPr>
        <w:t xml:space="preserve">. Here, that individual has the duty to rectify the situation. </w:t>
      </w:r>
    </w:p>
    <w:p w14:paraId="7A862193" w14:textId="77777777" w:rsidR="007025C9" w:rsidRPr="00AB618F" w:rsidRDefault="007025C9" w:rsidP="007F2889">
      <w:pPr>
        <w:pStyle w:val="Heading2"/>
        <w:spacing w:line="480" w:lineRule="auto"/>
      </w:pPr>
      <w:bookmarkStart w:id="2" w:name="_Toc168159476"/>
      <w:r w:rsidRPr="00AB618F">
        <w:t>2.</w:t>
      </w:r>
      <w:r w:rsidRPr="00AB618F">
        <w:tab/>
        <w:t>What are the requirements for a crime to be committed by omission?</w:t>
      </w:r>
      <w:bookmarkEnd w:id="2"/>
    </w:p>
    <w:p w14:paraId="3247BA40" w14:textId="4B527534" w:rsidR="007025C9" w:rsidRPr="00AB618F" w:rsidRDefault="0005750A" w:rsidP="007F2889">
      <w:pPr>
        <w:spacing w:line="480" w:lineRule="auto"/>
        <w:rPr>
          <w:rFonts w:ascii="Arial" w:hAnsi="Arial" w:cs="Arial"/>
        </w:rPr>
      </w:pPr>
      <w:r w:rsidRPr="00AB618F">
        <w:rPr>
          <w:rFonts w:ascii="Arial" w:hAnsi="Arial" w:cs="Arial"/>
        </w:rPr>
        <w:t xml:space="preserve">There is no specific act of omission that needs to be proved. However, </w:t>
      </w:r>
      <w:r w:rsidR="0050520B">
        <w:rPr>
          <w:rFonts w:ascii="Arial" w:hAnsi="Arial" w:cs="Arial"/>
        </w:rPr>
        <w:t>three situations need to be proved for a crime to be committed by omission, and they are – the victim needs to be a human; secondly, the killing should take place in peacetime</w:t>
      </w:r>
      <w:r w:rsidRPr="00AB618F">
        <w:rPr>
          <w:rFonts w:ascii="Arial" w:hAnsi="Arial" w:cs="Arial"/>
        </w:rPr>
        <w:t>; and finally, the killing should be unlawful. There should also be a common result</w:t>
      </w:r>
      <w:r w:rsidR="0050520B">
        <w:rPr>
          <w:rFonts w:ascii="Arial" w:hAnsi="Arial" w:cs="Arial"/>
        </w:rPr>
        <w:t xml:space="preserve">, and that is the </w:t>
      </w:r>
      <w:r w:rsidRPr="00AB618F">
        <w:rPr>
          <w:rFonts w:ascii="Arial" w:hAnsi="Arial" w:cs="Arial"/>
        </w:rPr>
        <w:t xml:space="preserve">death of the victim. </w:t>
      </w:r>
      <w:r w:rsidR="00BD5AD2" w:rsidRPr="00AB618F">
        <w:rPr>
          <w:rFonts w:ascii="Arial" w:hAnsi="Arial" w:cs="Arial"/>
        </w:rPr>
        <w:t xml:space="preserve">Omission is the inability to act. The system of law concentrates on </w:t>
      </w:r>
      <w:r w:rsidR="0050520B">
        <w:rPr>
          <w:rFonts w:ascii="Arial" w:hAnsi="Arial" w:cs="Arial"/>
        </w:rPr>
        <w:t xml:space="preserve">the </w:t>
      </w:r>
      <w:r w:rsidR="00BD5AD2" w:rsidRPr="00AB618F">
        <w:rPr>
          <w:rFonts w:ascii="Arial" w:hAnsi="Arial" w:cs="Arial"/>
        </w:rPr>
        <w:t xml:space="preserve">prohibition of specific acts. The common position </w:t>
      </w:r>
      <w:r w:rsidR="0050520B">
        <w:rPr>
          <w:rFonts w:ascii="Arial" w:hAnsi="Arial" w:cs="Arial"/>
        </w:rPr>
        <w:t xml:space="preserve">is </w:t>
      </w:r>
      <w:r w:rsidR="00BD5AD2" w:rsidRPr="00AB618F">
        <w:rPr>
          <w:rFonts w:ascii="Arial" w:hAnsi="Arial" w:cs="Arial"/>
        </w:rPr>
        <w:t>that one is not liable for crimes with subject to failure to act</w:t>
      </w:r>
      <w:r w:rsidR="00AA5B8D">
        <w:rPr>
          <w:rFonts w:ascii="Arial" w:hAnsi="Arial" w:cs="Arial"/>
        </w:rPr>
        <w:t xml:space="preserve"> (</w:t>
      </w:r>
      <w:r w:rsidR="00AA5B8D" w:rsidRPr="004142F2">
        <w:rPr>
          <w:rFonts w:ascii="Arial" w:hAnsi="Arial" w:cs="Arial"/>
          <w:color w:val="000000" w:themeColor="text1"/>
          <w:szCs w:val="24"/>
          <w:shd w:val="clear" w:color="auto" w:fill="FFFFFF"/>
        </w:rPr>
        <w:t>Campbell</w:t>
      </w:r>
      <w:r w:rsidR="00AA5B8D">
        <w:rPr>
          <w:rFonts w:ascii="Arial" w:hAnsi="Arial" w:cs="Arial"/>
          <w:color w:val="000000" w:themeColor="text1"/>
          <w:szCs w:val="24"/>
          <w:shd w:val="clear" w:color="auto" w:fill="FFFFFF"/>
        </w:rPr>
        <w:t>, 2018</w:t>
      </w:r>
      <w:r w:rsidR="00AA5B8D">
        <w:rPr>
          <w:rFonts w:ascii="Arial" w:hAnsi="Arial" w:cs="Arial"/>
        </w:rPr>
        <w:t>)</w:t>
      </w:r>
      <w:r w:rsidR="00BD5AD2" w:rsidRPr="00AB618F">
        <w:rPr>
          <w:rFonts w:ascii="Arial" w:hAnsi="Arial" w:cs="Arial"/>
        </w:rPr>
        <w:t xml:space="preserve">. The processes involved in omission </w:t>
      </w:r>
      <w:r w:rsidR="00BD5AD2" w:rsidRPr="00AB618F">
        <w:rPr>
          <w:rFonts w:ascii="Arial" w:hAnsi="Arial" w:cs="Arial"/>
        </w:rPr>
        <w:lastRenderedPageBreak/>
        <w:t>liability are that could the offence be committed by omission, was there a considered duty to act, and finally</w:t>
      </w:r>
      <w:r w:rsidR="0050520B">
        <w:rPr>
          <w:rFonts w:ascii="Arial" w:hAnsi="Arial" w:cs="Arial"/>
        </w:rPr>
        <w:t>,</w:t>
      </w:r>
      <w:r w:rsidR="00BD5AD2" w:rsidRPr="00AB618F">
        <w:rPr>
          <w:rFonts w:ascii="Arial" w:hAnsi="Arial" w:cs="Arial"/>
        </w:rPr>
        <w:t xml:space="preserve"> was there a duty to act discharged. </w:t>
      </w:r>
    </w:p>
    <w:p w14:paraId="06C30AC1" w14:textId="77777777" w:rsidR="007025C9" w:rsidRPr="00AB618F" w:rsidRDefault="007025C9" w:rsidP="007F2889">
      <w:pPr>
        <w:pStyle w:val="Heading2"/>
        <w:spacing w:line="480" w:lineRule="auto"/>
      </w:pPr>
      <w:bookmarkStart w:id="3" w:name="_Toc168159477"/>
      <w:r w:rsidRPr="00AB618F">
        <w:t>3.</w:t>
      </w:r>
      <w:r w:rsidRPr="00AB618F">
        <w:tab/>
        <w:t>When might a statutory duty to act be present?</w:t>
      </w:r>
      <w:bookmarkEnd w:id="3"/>
    </w:p>
    <w:p w14:paraId="7B559E63" w14:textId="6299591A" w:rsidR="007025C9" w:rsidRPr="00AB618F" w:rsidRDefault="00D07467" w:rsidP="007F2889">
      <w:pPr>
        <w:spacing w:line="480" w:lineRule="auto"/>
        <w:rPr>
          <w:rFonts w:ascii="Arial" w:hAnsi="Arial" w:cs="Arial"/>
        </w:rPr>
      </w:pPr>
      <w:r w:rsidRPr="00AB618F">
        <w:rPr>
          <w:rFonts w:ascii="Arial" w:hAnsi="Arial" w:cs="Arial"/>
        </w:rPr>
        <w:t xml:space="preserve">In order to proceed in criminal law, a claimant </w:t>
      </w:r>
      <w:r w:rsidR="0050520B">
        <w:rPr>
          <w:rFonts w:ascii="Arial" w:hAnsi="Arial" w:cs="Arial"/>
        </w:rPr>
        <w:t>needs to develop damage or injury of a certain kind that must come under statutory law,</w:t>
      </w:r>
      <w:r w:rsidRPr="00AB618F">
        <w:rPr>
          <w:rFonts w:ascii="Arial" w:hAnsi="Arial" w:cs="Arial"/>
        </w:rPr>
        <w:t xml:space="preserve"> and it is designed to give protection by the law. The claimant must be able to prove that </w:t>
      </w:r>
      <w:r w:rsidR="0050520B">
        <w:rPr>
          <w:rFonts w:ascii="Arial" w:hAnsi="Arial" w:cs="Arial"/>
        </w:rPr>
        <w:t xml:space="preserve">a </w:t>
      </w:r>
      <w:r w:rsidRPr="00AB618F">
        <w:rPr>
          <w:rFonts w:ascii="Arial" w:hAnsi="Arial" w:cs="Arial"/>
        </w:rPr>
        <w:t xml:space="preserve">breach of statutory obligation has taken place or materials have been contributed towards it that has caused damage and injury. In addition to it, other torts </w:t>
      </w:r>
      <w:r w:rsidR="0050520B">
        <w:rPr>
          <w:rFonts w:ascii="Arial" w:hAnsi="Arial" w:cs="Arial"/>
        </w:rPr>
        <w:t>state</w:t>
      </w:r>
      <w:r w:rsidRPr="00AB618F">
        <w:rPr>
          <w:rFonts w:ascii="Arial" w:hAnsi="Arial" w:cs="Arial"/>
        </w:rPr>
        <w:t xml:space="preserve"> that the damage that has taken place must not be too remote. The individual in breach </w:t>
      </w:r>
      <w:r w:rsidR="0050520B">
        <w:rPr>
          <w:rFonts w:ascii="Arial" w:hAnsi="Arial" w:cs="Arial"/>
        </w:rPr>
        <w:t>of</w:t>
      </w:r>
      <w:r w:rsidRPr="00AB618F">
        <w:rPr>
          <w:rFonts w:ascii="Arial" w:hAnsi="Arial" w:cs="Arial"/>
        </w:rPr>
        <w:t xml:space="preserve"> statutory duty is liable to criminal penalties as stated by statute</w:t>
      </w:r>
      <w:r w:rsidR="00AA5B8D">
        <w:rPr>
          <w:rFonts w:ascii="Arial" w:hAnsi="Arial" w:cs="Arial"/>
        </w:rPr>
        <w:t xml:space="preserve"> (</w:t>
      </w:r>
      <w:r w:rsidR="00AA5B8D" w:rsidRPr="004142F2">
        <w:rPr>
          <w:rFonts w:ascii="Arial" w:hAnsi="Arial" w:cs="Arial"/>
          <w:color w:val="000000" w:themeColor="text1"/>
          <w:szCs w:val="24"/>
        </w:rPr>
        <w:t>Finch and Fafinski</w:t>
      </w:r>
      <w:r w:rsidR="00AA5B8D">
        <w:rPr>
          <w:rFonts w:ascii="Arial" w:hAnsi="Arial" w:cs="Arial"/>
          <w:color w:val="000000" w:themeColor="text1"/>
          <w:szCs w:val="24"/>
        </w:rPr>
        <w:t>, 2021</w:t>
      </w:r>
      <w:r w:rsidR="00AA5B8D">
        <w:rPr>
          <w:rFonts w:ascii="Arial" w:hAnsi="Arial" w:cs="Arial"/>
        </w:rPr>
        <w:t>)</w:t>
      </w:r>
      <w:r w:rsidRPr="00AB618F">
        <w:rPr>
          <w:rFonts w:ascii="Arial" w:hAnsi="Arial" w:cs="Arial"/>
        </w:rPr>
        <w:t xml:space="preserve">. The individual is also liable to pay damages caused due to the injury. </w:t>
      </w:r>
    </w:p>
    <w:p w14:paraId="03803574" w14:textId="77777777" w:rsidR="007025C9" w:rsidRPr="00AB618F" w:rsidRDefault="007025C9" w:rsidP="007F2889">
      <w:pPr>
        <w:pStyle w:val="Heading2"/>
        <w:spacing w:line="480" w:lineRule="auto"/>
      </w:pPr>
      <w:bookmarkStart w:id="4" w:name="_Toc168159478"/>
      <w:r w:rsidRPr="00AB618F">
        <w:t>4.</w:t>
      </w:r>
      <w:r w:rsidRPr="00AB618F">
        <w:tab/>
        <w:t>When might a contractual/ duty based on office be present?</w:t>
      </w:r>
      <w:bookmarkEnd w:id="4"/>
    </w:p>
    <w:p w14:paraId="02911DDB" w14:textId="03137923" w:rsidR="007025C9" w:rsidRPr="00AB618F" w:rsidRDefault="00F86818" w:rsidP="007F2889">
      <w:pPr>
        <w:spacing w:line="480" w:lineRule="auto"/>
        <w:rPr>
          <w:rFonts w:ascii="Arial" w:hAnsi="Arial" w:cs="Arial"/>
        </w:rPr>
      </w:pPr>
      <w:r w:rsidRPr="00AB618F">
        <w:rPr>
          <w:rFonts w:ascii="Arial" w:hAnsi="Arial" w:cs="Arial"/>
        </w:rPr>
        <w:t xml:space="preserve">A Contractual duty should be imposed by </w:t>
      </w:r>
      <w:r w:rsidR="0050520B">
        <w:rPr>
          <w:rFonts w:ascii="Arial" w:hAnsi="Arial" w:cs="Arial"/>
        </w:rPr>
        <w:t>statute</w:t>
      </w:r>
      <w:r w:rsidRPr="00AB618F">
        <w:rPr>
          <w:rFonts w:ascii="Arial" w:hAnsi="Arial" w:cs="Arial"/>
        </w:rPr>
        <w:t xml:space="preserve">. It takes place when an individual fails to meet contractual </w:t>
      </w:r>
      <w:r w:rsidR="0050520B">
        <w:rPr>
          <w:rFonts w:ascii="Arial" w:hAnsi="Arial" w:cs="Arial"/>
        </w:rPr>
        <w:t>terms</w:t>
      </w:r>
      <w:r w:rsidRPr="00AB618F">
        <w:rPr>
          <w:rFonts w:ascii="Arial" w:hAnsi="Arial" w:cs="Arial"/>
        </w:rPr>
        <w:t xml:space="preserve"> and evolves circumstances to risk of death. In such cases, </w:t>
      </w:r>
      <w:r w:rsidR="000B396E" w:rsidRPr="00AB618F">
        <w:rPr>
          <w:rFonts w:ascii="Arial" w:hAnsi="Arial" w:cs="Arial"/>
        </w:rPr>
        <w:t>a</w:t>
      </w:r>
      <w:r w:rsidRPr="00AB618F">
        <w:rPr>
          <w:rFonts w:ascii="Arial" w:hAnsi="Arial" w:cs="Arial"/>
        </w:rPr>
        <w:t xml:space="preserve"> duty to act is implemented. As in </w:t>
      </w:r>
      <w:r w:rsidR="0050520B">
        <w:rPr>
          <w:rFonts w:ascii="Arial" w:hAnsi="Arial" w:cs="Arial"/>
        </w:rPr>
        <w:t xml:space="preserve">the case law of R v </w:t>
      </w:r>
      <w:proofErr w:type="spellStart"/>
      <w:r w:rsidR="0050520B">
        <w:rPr>
          <w:rFonts w:ascii="Arial" w:hAnsi="Arial" w:cs="Arial"/>
        </w:rPr>
        <w:t>Pittwood</w:t>
      </w:r>
      <w:proofErr w:type="spellEnd"/>
      <w:r w:rsidR="0050520B">
        <w:rPr>
          <w:rFonts w:ascii="Arial" w:hAnsi="Arial" w:cs="Arial"/>
        </w:rPr>
        <w:t xml:space="preserve"> (1902) 19 TLR 37, in this case,</w:t>
      </w:r>
      <w:r w:rsidRPr="00AB618F">
        <w:rPr>
          <w:rFonts w:ascii="Arial" w:hAnsi="Arial" w:cs="Arial"/>
        </w:rPr>
        <w:t xml:space="preserve"> a railway staff did not </w:t>
      </w:r>
      <w:r w:rsidR="000B396E" w:rsidRPr="00AB618F">
        <w:rPr>
          <w:rFonts w:ascii="Arial" w:hAnsi="Arial" w:cs="Arial"/>
        </w:rPr>
        <w:t>close</w:t>
      </w:r>
      <w:r w:rsidRPr="00AB618F">
        <w:rPr>
          <w:rFonts w:ascii="Arial" w:hAnsi="Arial" w:cs="Arial"/>
        </w:rPr>
        <w:t xml:space="preserve"> the rail gate to avoid the railway line getting crossed by others when the train was arriving. A passerby was hit by the train and died due to it in the tracks. The statutory duty in office also takes place in the case law of </w:t>
      </w:r>
      <w:r w:rsidRPr="00AB618F">
        <w:rPr>
          <w:rFonts w:ascii="Arial" w:hAnsi="Arial" w:cs="Arial"/>
          <w:i/>
          <w:iCs/>
        </w:rPr>
        <w:t>R v Dytham [1979] QB 722</w:t>
      </w:r>
      <w:r w:rsidRPr="00AB618F">
        <w:rPr>
          <w:rFonts w:ascii="Arial" w:hAnsi="Arial" w:cs="Arial"/>
        </w:rPr>
        <w:t xml:space="preserve">, when </w:t>
      </w:r>
      <w:r w:rsidR="0050520B">
        <w:rPr>
          <w:rFonts w:ascii="Arial" w:hAnsi="Arial" w:cs="Arial"/>
        </w:rPr>
        <w:t>policemen</w:t>
      </w:r>
      <w:r w:rsidRPr="00AB618F">
        <w:rPr>
          <w:rFonts w:ascii="Arial" w:hAnsi="Arial" w:cs="Arial"/>
        </w:rPr>
        <w:t xml:space="preserve"> observed a man beaten and did not react accordingly. </w:t>
      </w:r>
      <w:r w:rsidR="0050520B">
        <w:rPr>
          <w:rFonts w:ascii="Arial" w:hAnsi="Arial" w:cs="Arial"/>
        </w:rPr>
        <w:t>They died as a</w:t>
      </w:r>
      <w:r w:rsidRPr="00AB618F">
        <w:rPr>
          <w:rFonts w:ascii="Arial" w:hAnsi="Arial" w:cs="Arial"/>
        </w:rPr>
        <w:t xml:space="preserve"> result</w:t>
      </w:r>
      <w:r w:rsidR="00AA5B8D">
        <w:rPr>
          <w:rFonts w:ascii="Arial" w:hAnsi="Arial" w:cs="Arial"/>
        </w:rPr>
        <w:t xml:space="preserve"> (</w:t>
      </w:r>
      <w:r w:rsidR="00AA5B8D" w:rsidRPr="004142F2">
        <w:rPr>
          <w:rFonts w:ascii="Arial" w:hAnsi="Arial" w:cs="Arial"/>
          <w:color w:val="000000" w:themeColor="text1"/>
          <w:szCs w:val="24"/>
        </w:rPr>
        <w:t>Macdonald</w:t>
      </w:r>
      <w:r w:rsidR="00AA5B8D">
        <w:rPr>
          <w:rFonts w:ascii="Arial" w:hAnsi="Arial" w:cs="Arial"/>
          <w:color w:val="000000" w:themeColor="text1"/>
          <w:szCs w:val="24"/>
        </w:rPr>
        <w:t>, 2018</w:t>
      </w:r>
      <w:r w:rsidR="00AA5B8D">
        <w:rPr>
          <w:rFonts w:ascii="Arial" w:hAnsi="Arial" w:cs="Arial"/>
        </w:rPr>
        <w:t>)</w:t>
      </w:r>
      <w:r w:rsidRPr="00AB618F">
        <w:rPr>
          <w:rFonts w:ascii="Arial" w:hAnsi="Arial" w:cs="Arial"/>
        </w:rPr>
        <w:t xml:space="preserve">. The </w:t>
      </w:r>
      <w:r w:rsidR="0050520B">
        <w:rPr>
          <w:rFonts w:ascii="Arial" w:hAnsi="Arial" w:cs="Arial"/>
        </w:rPr>
        <w:t>officer</w:t>
      </w:r>
      <w:r w:rsidRPr="00AB618F">
        <w:rPr>
          <w:rFonts w:ascii="Arial" w:hAnsi="Arial" w:cs="Arial"/>
        </w:rPr>
        <w:t xml:space="preserve"> was supposed to act as per the duty </w:t>
      </w:r>
      <w:r w:rsidR="0050520B">
        <w:rPr>
          <w:rFonts w:ascii="Arial" w:hAnsi="Arial" w:cs="Arial"/>
        </w:rPr>
        <w:t>by</w:t>
      </w:r>
      <w:r w:rsidRPr="00AB618F">
        <w:rPr>
          <w:rFonts w:ascii="Arial" w:hAnsi="Arial" w:cs="Arial"/>
        </w:rPr>
        <w:t xml:space="preserve"> his duty and position. It followed contractual obligation in his duty and his position in the public office. </w:t>
      </w:r>
    </w:p>
    <w:p w14:paraId="688F647A" w14:textId="77777777" w:rsidR="007025C9" w:rsidRPr="00AB618F" w:rsidRDefault="007025C9" w:rsidP="007F2889">
      <w:pPr>
        <w:pStyle w:val="Heading2"/>
        <w:spacing w:line="480" w:lineRule="auto"/>
      </w:pPr>
      <w:bookmarkStart w:id="5" w:name="_Toc168159479"/>
      <w:r w:rsidRPr="00AB618F">
        <w:lastRenderedPageBreak/>
        <w:t>5.</w:t>
      </w:r>
      <w:r w:rsidRPr="00AB618F">
        <w:tab/>
        <w:t>When might a duty to act arise from assumed responsibility?</w:t>
      </w:r>
      <w:bookmarkEnd w:id="5"/>
    </w:p>
    <w:p w14:paraId="06D653A1" w14:textId="6721FD07" w:rsidR="007025C9" w:rsidRPr="00AB618F" w:rsidRDefault="0050520B" w:rsidP="007F288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 special relationship takes place when a duty evolves from a close relationship between</w:t>
      </w:r>
      <w:r w:rsidR="00CF2187" w:rsidRPr="00AB618F">
        <w:rPr>
          <w:rFonts w:ascii="Arial" w:hAnsi="Arial" w:cs="Arial"/>
        </w:rPr>
        <w:t xml:space="preserve"> parents and young children. It is evident from the case law of </w:t>
      </w:r>
      <w:r w:rsidR="00CF2187" w:rsidRPr="00AB618F">
        <w:rPr>
          <w:rFonts w:ascii="Arial" w:hAnsi="Arial" w:cs="Arial"/>
          <w:i/>
          <w:iCs/>
        </w:rPr>
        <w:t>R v Gibbins and Proctor (1919) 13 Cr App R 134</w:t>
      </w:r>
      <w:r w:rsidR="00CF2187" w:rsidRPr="00AB618F">
        <w:rPr>
          <w:rFonts w:ascii="Arial" w:hAnsi="Arial" w:cs="Arial"/>
        </w:rPr>
        <w:t>, when a father along with his partner deliberately starved their child to death</w:t>
      </w:r>
      <w:r w:rsidR="00AA5B8D">
        <w:rPr>
          <w:rFonts w:ascii="Arial" w:hAnsi="Arial" w:cs="Arial"/>
        </w:rPr>
        <w:t xml:space="preserve"> (</w:t>
      </w:r>
      <w:r w:rsidR="00AA5B8D" w:rsidRPr="004142F2">
        <w:rPr>
          <w:rFonts w:ascii="Arial" w:hAnsi="Arial" w:cs="Arial"/>
          <w:color w:val="000000" w:themeColor="text1"/>
          <w:szCs w:val="24"/>
        </w:rPr>
        <w:t>Taylor</w:t>
      </w:r>
      <w:r w:rsidR="00AA5B8D">
        <w:rPr>
          <w:rFonts w:ascii="Arial" w:hAnsi="Arial" w:cs="Arial"/>
          <w:color w:val="000000" w:themeColor="text1"/>
          <w:szCs w:val="24"/>
        </w:rPr>
        <w:t>, 2018</w:t>
      </w:r>
      <w:r w:rsidR="00AA5B8D">
        <w:rPr>
          <w:rFonts w:ascii="Arial" w:hAnsi="Arial" w:cs="Arial"/>
        </w:rPr>
        <w:t>)</w:t>
      </w:r>
      <w:r w:rsidR="00CF2187" w:rsidRPr="00AB618F">
        <w:rPr>
          <w:rFonts w:ascii="Arial" w:hAnsi="Arial" w:cs="Arial"/>
        </w:rPr>
        <w:t>. In this case</w:t>
      </w:r>
      <w:r>
        <w:rPr>
          <w:rFonts w:ascii="Arial" w:hAnsi="Arial" w:cs="Arial"/>
        </w:rPr>
        <w:t>, the father was convicted of</w:t>
      </w:r>
      <w:r w:rsidR="00CF2187" w:rsidRPr="00AB618F">
        <w:rPr>
          <w:rFonts w:ascii="Arial" w:hAnsi="Arial" w:cs="Arial"/>
        </w:rPr>
        <w:t xml:space="preserve"> the charges of murder because he was supposed to have the duty to take care of the child as a father. The partner was also considered the liability to assume the responsibility for taking care of the child. </w:t>
      </w:r>
      <w:r w:rsidR="00D902FC" w:rsidRPr="00AB618F">
        <w:rPr>
          <w:rFonts w:ascii="Arial" w:hAnsi="Arial" w:cs="Arial"/>
        </w:rPr>
        <w:t>Likewise</w:t>
      </w:r>
      <w:r>
        <w:rPr>
          <w:rFonts w:ascii="Arial" w:hAnsi="Arial" w:cs="Arial"/>
        </w:rPr>
        <w:t xml:space="preserve">, </w:t>
      </w:r>
      <w:r w:rsidR="00D902FC" w:rsidRPr="00AB618F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the</w:t>
      </w:r>
      <w:r w:rsidR="00D902FC" w:rsidRPr="00AB618F">
        <w:rPr>
          <w:rFonts w:ascii="Arial" w:hAnsi="Arial" w:cs="Arial"/>
        </w:rPr>
        <w:t xml:space="preserve"> case law of </w:t>
      </w:r>
      <w:r w:rsidR="00D902FC" w:rsidRPr="00AB618F">
        <w:rPr>
          <w:rFonts w:ascii="Arial" w:hAnsi="Arial" w:cs="Arial"/>
          <w:i/>
          <w:iCs/>
        </w:rPr>
        <w:t>R v Stone and Dobinson [1977] QB 354,</w:t>
      </w:r>
      <w:r w:rsidR="00D902FC" w:rsidRPr="00AB618F">
        <w:rPr>
          <w:rFonts w:ascii="Arial" w:hAnsi="Arial" w:cs="Arial"/>
        </w:rPr>
        <w:t xml:space="preserve"> Fanny, </w:t>
      </w:r>
      <w:r>
        <w:rPr>
          <w:rFonts w:ascii="Arial" w:hAnsi="Arial" w:cs="Arial"/>
        </w:rPr>
        <w:t xml:space="preserve">the </w:t>
      </w:r>
      <w:r w:rsidR="00D902FC" w:rsidRPr="00AB618F">
        <w:rPr>
          <w:rFonts w:ascii="Arial" w:hAnsi="Arial" w:cs="Arial"/>
        </w:rPr>
        <w:t xml:space="preserve">sister of Stone came to live with Stone and his partner. Stone and his partner were mentally unstable, while Fanny suffered from anorexia. However, the couple </w:t>
      </w:r>
      <w:r>
        <w:rPr>
          <w:rFonts w:ascii="Arial" w:hAnsi="Arial" w:cs="Arial"/>
        </w:rPr>
        <w:t>cared for Fanny in the initial days, but as her condition worsened</w:t>
      </w:r>
      <w:r w:rsidR="00D902FC" w:rsidRPr="00AB618F">
        <w:rPr>
          <w:rFonts w:ascii="Arial" w:hAnsi="Arial" w:cs="Arial"/>
        </w:rPr>
        <w:t>, the couple were unable to manage</w:t>
      </w:r>
      <w:r w:rsidR="00AA5B8D">
        <w:rPr>
          <w:rFonts w:ascii="Arial" w:hAnsi="Arial" w:cs="Arial"/>
        </w:rPr>
        <w:t xml:space="preserve"> (</w:t>
      </w:r>
      <w:r w:rsidR="00AA5B8D" w:rsidRPr="004142F2">
        <w:rPr>
          <w:rFonts w:ascii="Arial" w:hAnsi="Arial" w:cs="Arial"/>
          <w:color w:val="000000" w:themeColor="text1"/>
          <w:szCs w:val="24"/>
          <w:shd w:val="clear" w:color="auto" w:fill="FFFFFF"/>
        </w:rPr>
        <w:t>Williams</w:t>
      </w:r>
      <w:r w:rsidR="00AA5B8D">
        <w:rPr>
          <w:rFonts w:ascii="Arial" w:hAnsi="Arial" w:cs="Arial"/>
          <w:color w:val="000000" w:themeColor="text1"/>
          <w:szCs w:val="24"/>
          <w:shd w:val="clear" w:color="auto" w:fill="FFFFFF"/>
        </w:rPr>
        <w:t>, 2022</w:t>
      </w:r>
      <w:r w:rsidR="00AA5B8D">
        <w:rPr>
          <w:rFonts w:ascii="Arial" w:hAnsi="Arial" w:cs="Arial"/>
        </w:rPr>
        <w:t>)</w:t>
      </w:r>
      <w:r w:rsidR="00D902FC" w:rsidRPr="00AB618F">
        <w:rPr>
          <w:rFonts w:ascii="Arial" w:hAnsi="Arial" w:cs="Arial"/>
        </w:rPr>
        <w:t>. Likewise, they stopped taking care of Fanny</w:t>
      </w:r>
      <w:r>
        <w:rPr>
          <w:rFonts w:ascii="Arial" w:hAnsi="Arial" w:cs="Arial"/>
        </w:rPr>
        <w:t>, and as a result,</w:t>
      </w:r>
      <w:r w:rsidR="00D902FC" w:rsidRPr="00AB618F">
        <w:rPr>
          <w:rFonts w:ascii="Arial" w:hAnsi="Arial" w:cs="Arial"/>
        </w:rPr>
        <w:t xml:space="preserve"> she died. Therefore, the couple was condemned </w:t>
      </w:r>
      <w:r>
        <w:rPr>
          <w:rFonts w:ascii="Arial" w:hAnsi="Arial" w:cs="Arial"/>
        </w:rPr>
        <w:t>for</w:t>
      </w:r>
      <w:r w:rsidR="00D902FC" w:rsidRPr="00AB618F">
        <w:rPr>
          <w:rFonts w:ascii="Arial" w:hAnsi="Arial" w:cs="Arial"/>
        </w:rPr>
        <w:t xml:space="preserve"> gross negligence murder. </w:t>
      </w:r>
    </w:p>
    <w:p w14:paraId="72B546F4" w14:textId="77777777" w:rsidR="007025C9" w:rsidRPr="00AB618F" w:rsidRDefault="007025C9" w:rsidP="007F2889">
      <w:pPr>
        <w:spacing w:line="480" w:lineRule="auto"/>
        <w:rPr>
          <w:rFonts w:ascii="Arial" w:hAnsi="Arial" w:cs="Arial"/>
        </w:rPr>
      </w:pPr>
    </w:p>
    <w:p w14:paraId="77B5A905" w14:textId="35186370" w:rsidR="007025C9" w:rsidRPr="00AB618F" w:rsidRDefault="007025C9" w:rsidP="007F2889">
      <w:pPr>
        <w:pStyle w:val="Heading1"/>
        <w:spacing w:line="480" w:lineRule="auto"/>
      </w:pPr>
      <w:bookmarkStart w:id="6" w:name="_Toc168159480"/>
      <w:r w:rsidRPr="00AB618F">
        <w:t>Task 2</w:t>
      </w:r>
      <w:bookmarkEnd w:id="6"/>
    </w:p>
    <w:p w14:paraId="6656626F" w14:textId="5864FEFD" w:rsidR="007025C9" w:rsidRPr="00AB618F" w:rsidRDefault="007025C9" w:rsidP="007F2889">
      <w:pPr>
        <w:pStyle w:val="Heading2"/>
        <w:spacing w:line="480" w:lineRule="auto"/>
      </w:pPr>
      <w:bookmarkStart w:id="7" w:name="_Toc168159481"/>
      <w:r w:rsidRPr="00AB618F">
        <w:t>6.</w:t>
      </w:r>
      <w:r w:rsidRPr="00AB618F">
        <w:tab/>
        <w:t xml:space="preserve">Should there be a general duty to act within </w:t>
      </w:r>
      <w:r w:rsidR="0050520B">
        <w:t>the criminal law of England and Wales?</w:t>
      </w:r>
      <w:r w:rsidRPr="00AB618F">
        <w:t xml:space="preserve"> What are the arguments for and against this?</w:t>
      </w:r>
      <w:bookmarkEnd w:id="7"/>
    </w:p>
    <w:p w14:paraId="6282DB66" w14:textId="0EB0D70D" w:rsidR="007025C9" w:rsidRPr="00AB618F" w:rsidRDefault="00446663" w:rsidP="007F2889">
      <w:pPr>
        <w:spacing w:line="480" w:lineRule="auto"/>
        <w:rPr>
          <w:rFonts w:ascii="Arial" w:hAnsi="Arial" w:cs="Arial"/>
        </w:rPr>
      </w:pPr>
      <w:r w:rsidRPr="00AB618F">
        <w:rPr>
          <w:rFonts w:ascii="Arial" w:hAnsi="Arial" w:cs="Arial"/>
        </w:rPr>
        <w:t xml:space="preserve">Imposing a general duty to act upon citizens </w:t>
      </w:r>
      <w:r w:rsidR="0050520B">
        <w:rPr>
          <w:rFonts w:ascii="Arial" w:hAnsi="Arial" w:cs="Arial"/>
        </w:rPr>
        <w:t>leaves</w:t>
      </w:r>
      <w:r w:rsidRPr="00AB618F">
        <w:rPr>
          <w:rFonts w:ascii="Arial" w:hAnsi="Arial" w:cs="Arial"/>
        </w:rPr>
        <w:t xml:space="preserve"> them with heavy duty as there increases the area of obligation to help others</w:t>
      </w:r>
      <w:r w:rsidR="00AA5B8D">
        <w:rPr>
          <w:rFonts w:ascii="Arial" w:hAnsi="Arial" w:cs="Arial"/>
        </w:rPr>
        <w:t xml:space="preserve"> (</w:t>
      </w:r>
      <w:r w:rsidR="00AA5B8D" w:rsidRPr="004142F2">
        <w:rPr>
          <w:rFonts w:ascii="Arial" w:hAnsi="Arial" w:cs="Arial"/>
          <w:color w:val="000000" w:themeColor="text1"/>
          <w:szCs w:val="24"/>
          <w:shd w:val="clear" w:color="auto" w:fill="FFFFFF"/>
        </w:rPr>
        <w:t>Robinson</w:t>
      </w:r>
      <w:r w:rsidR="00AA5B8D">
        <w:rPr>
          <w:rFonts w:ascii="Arial" w:hAnsi="Arial" w:cs="Arial"/>
          <w:color w:val="000000" w:themeColor="text1"/>
          <w:szCs w:val="24"/>
          <w:shd w:val="clear" w:color="auto" w:fill="FFFFFF"/>
        </w:rPr>
        <w:t>, 2017</w:t>
      </w:r>
      <w:r w:rsidR="00AA5B8D">
        <w:rPr>
          <w:rFonts w:ascii="Arial" w:hAnsi="Arial" w:cs="Arial"/>
        </w:rPr>
        <w:t>)</w:t>
      </w:r>
      <w:r w:rsidRPr="00AB618F">
        <w:rPr>
          <w:rFonts w:ascii="Arial" w:hAnsi="Arial" w:cs="Arial"/>
        </w:rPr>
        <w:t xml:space="preserve">. Moreover, there are certain situations when it becomes tougher to prove causation. In such cases, </w:t>
      </w:r>
      <w:r w:rsidR="0050520B">
        <w:rPr>
          <w:rFonts w:ascii="Arial" w:hAnsi="Arial" w:cs="Arial"/>
        </w:rPr>
        <w:t>the general duty to act opens the floodgates</w:t>
      </w:r>
      <w:r w:rsidRPr="00AB618F">
        <w:rPr>
          <w:rFonts w:ascii="Arial" w:hAnsi="Arial" w:cs="Arial"/>
        </w:rPr>
        <w:t xml:space="preserve"> to various numbers of </w:t>
      </w:r>
      <w:r w:rsidR="00856D0C" w:rsidRPr="00AB618F">
        <w:rPr>
          <w:rFonts w:ascii="Arial" w:hAnsi="Arial" w:cs="Arial"/>
        </w:rPr>
        <w:t>unfair</w:t>
      </w:r>
      <w:r w:rsidRPr="00AB618F">
        <w:rPr>
          <w:rFonts w:ascii="Arial" w:hAnsi="Arial" w:cs="Arial"/>
        </w:rPr>
        <w:t xml:space="preserve"> prosecutions. </w:t>
      </w:r>
      <w:r w:rsidR="007B54C8" w:rsidRPr="00AB618F">
        <w:rPr>
          <w:rFonts w:ascii="Arial" w:hAnsi="Arial" w:cs="Arial"/>
        </w:rPr>
        <w:t xml:space="preserve">However, criminal liability related to omission could be justified in some of the cases when one person is found liable to fail an act when that person is under the legal </w:t>
      </w:r>
      <w:r w:rsidR="007B54C8" w:rsidRPr="00AB618F">
        <w:rPr>
          <w:rFonts w:ascii="Arial" w:hAnsi="Arial" w:cs="Arial"/>
        </w:rPr>
        <w:lastRenderedPageBreak/>
        <w:t>obligation of duty to act. Meanwhile, it requires some closeness and relationship between the defend</w:t>
      </w:r>
      <w:r w:rsidR="00136D66" w:rsidRPr="00AB618F">
        <w:rPr>
          <w:rFonts w:ascii="Arial" w:hAnsi="Arial" w:cs="Arial"/>
        </w:rPr>
        <w:t>ant</w:t>
      </w:r>
      <w:r w:rsidR="007B54C8" w:rsidRPr="00AB618F">
        <w:rPr>
          <w:rFonts w:ascii="Arial" w:hAnsi="Arial" w:cs="Arial"/>
        </w:rPr>
        <w:t xml:space="preserve"> and claimant</w:t>
      </w:r>
      <w:r w:rsidR="00AA5B8D">
        <w:rPr>
          <w:rFonts w:ascii="Arial" w:hAnsi="Arial" w:cs="Arial"/>
        </w:rPr>
        <w:t xml:space="preserve"> (</w:t>
      </w:r>
      <w:r w:rsidR="00AA5B8D" w:rsidRPr="004142F2">
        <w:rPr>
          <w:rFonts w:ascii="Arial" w:hAnsi="Arial" w:cs="Arial"/>
          <w:color w:val="000000" w:themeColor="text1"/>
          <w:szCs w:val="24"/>
          <w:shd w:val="clear" w:color="auto" w:fill="FFFFFF"/>
        </w:rPr>
        <w:t>Sepinwall</w:t>
      </w:r>
      <w:r w:rsidR="00AA5B8D">
        <w:rPr>
          <w:rFonts w:ascii="Arial" w:hAnsi="Arial" w:cs="Arial"/>
          <w:color w:val="000000" w:themeColor="text1"/>
          <w:szCs w:val="24"/>
          <w:shd w:val="clear" w:color="auto" w:fill="FFFFFF"/>
        </w:rPr>
        <w:t>, 2017</w:t>
      </w:r>
      <w:r w:rsidR="00AA5B8D">
        <w:rPr>
          <w:rFonts w:ascii="Arial" w:hAnsi="Arial" w:cs="Arial"/>
        </w:rPr>
        <w:t>)</w:t>
      </w:r>
      <w:r w:rsidR="007B54C8" w:rsidRPr="00AB618F">
        <w:rPr>
          <w:rFonts w:ascii="Arial" w:hAnsi="Arial" w:cs="Arial"/>
        </w:rPr>
        <w:t xml:space="preserve">. </w:t>
      </w:r>
      <w:r w:rsidR="00C63FAD" w:rsidRPr="00AB618F">
        <w:rPr>
          <w:rFonts w:ascii="Arial" w:hAnsi="Arial" w:cs="Arial"/>
        </w:rPr>
        <w:t xml:space="preserve">There are also some situations when some of the acts are not directly necessary but </w:t>
      </w:r>
      <w:r w:rsidR="0050520B">
        <w:rPr>
          <w:rFonts w:ascii="Arial" w:hAnsi="Arial" w:cs="Arial"/>
        </w:rPr>
        <w:t xml:space="preserve">are </w:t>
      </w:r>
      <w:r w:rsidR="00C63FAD" w:rsidRPr="00AB618F">
        <w:rPr>
          <w:rFonts w:ascii="Arial" w:hAnsi="Arial" w:cs="Arial"/>
        </w:rPr>
        <w:t xml:space="preserve">considered immoral than omission. </w:t>
      </w:r>
    </w:p>
    <w:p w14:paraId="5F739693" w14:textId="5CD195BC" w:rsidR="00136D66" w:rsidRPr="00AB618F" w:rsidRDefault="0050520B" w:rsidP="007F288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duty to act needs to have a reasonable response with respect to the defendant. However, another point arises in this context: It comes with limitless liability that evolves when a general duty persists. There are practical difficulties to enforce those laws. Several authors and professionals have also highlighted the significance of protecting one’s freedom and the risk associated with identifying a </w:t>
      </w:r>
      <w:r w:rsidR="00136D66" w:rsidRPr="00AB618F">
        <w:rPr>
          <w:rFonts w:ascii="Arial" w:hAnsi="Arial" w:cs="Arial"/>
        </w:rPr>
        <w:t>general duty to act</w:t>
      </w:r>
      <w:r w:rsidR="00AA5B8D">
        <w:rPr>
          <w:rFonts w:ascii="Arial" w:hAnsi="Arial" w:cs="Arial"/>
        </w:rPr>
        <w:t xml:space="preserve"> (</w:t>
      </w:r>
      <w:r w:rsidR="00AA5B8D" w:rsidRPr="004142F2">
        <w:rPr>
          <w:rFonts w:ascii="Arial" w:hAnsi="Arial" w:cs="Arial"/>
          <w:color w:val="000000" w:themeColor="text1"/>
          <w:szCs w:val="24"/>
          <w:shd w:val="clear" w:color="auto" w:fill="FFFFFF"/>
        </w:rPr>
        <w:t>Robinson,</w:t>
      </w:r>
      <w:r w:rsidR="00AA5B8D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2019</w:t>
      </w:r>
      <w:r w:rsidR="00AA5B8D">
        <w:rPr>
          <w:rFonts w:ascii="Arial" w:hAnsi="Arial" w:cs="Arial"/>
        </w:rPr>
        <w:t>)</w:t>
      </w:r>
      <w:r w:rsidR="00136D66" w:rsidRPr="00AB618F">
        <w:rPr>
          <w:rFonts w:ascii="Arial" w:hAnsi="Arial" w:cs="Arial"/>
        </w:rPr>
        <w:t xml:space="preserve">. It shall </w:t>
      </w:r>
      <w:r w:rsidR="005C03FD" w:rsidRPr="00AB618F">
        <w:rPr>
          <w:rFonts w:ascii="Arial" w:hAnsi="Arial" w:cs="Arial"/>
        </w:rPr>
        <w:t>challenge</w:t>
      </w:r>
      <w:r w:rsidR="00136D66" w:rsidRPr="00AB618F">
        <w:rPr>
          <w:rFonts w:ascii="Arial" w:hAnsi="Arial" w:cs="Arial"/>
        </w:rPr>
        <w:t xml:space="preserve"> freedom and implement collective responsibility. </w:t>
      </w:r>
    </w:p>
    <w:p w14:paraId="18D6F39D" w14:textId="3EC4E04D" w:rsidR="005C03FD" w:rsidRPr="00AB618F" w:rsidRDefault="0050520B" w:rsidP="007F288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Lastly, it is in the interest of the people in </w:t>
      </w:r>
      <w:r w:rsidR="005C03FD" w:rsidRPr="00AB618F">
        <w:rPr>
          <w:rFonts w:ascii="Arial" w:hAnsi="Arial" w:cs="Arial"/>
        </w:rPr>
        <w:t xml:space="preserve">society to help one another. The question related to </w:t>
      </w:r>
      <w:r>
        <w:rPr>
          <w:rFonts w:ascii="Arial" w:hAnsi="Arial" w:cs="Arial"/>
        </w:rPr>
        <w:t>the duty to act arises when moral obligation turns into</w:t>
      </w:r>
      <w:r w:rsidR="005C03FD" w:rsidRPr="00AB618F">
        <w:rPr>
          <w:rFonts w:ascii="Arial" w:hAnsi="Arial" w:cs="Arial"/>
        </w:rPr>
        <w:t xml:space="preserve"> a legal duty. </w:t>
      </w:r>
      <w:r>
        <w:rPr>
          <w:rFonts w:ascii="Arial" w:hAnsi="Arial" w:cs="Arial"/>
        </w:rPr>
        <w:t xml:space="preserve">English criminal law approaches a legal duty to act in a particular situation rather than </w:t>
      </w:r>
      <w:r w:rsidR="005C03FD" w:rsidRPr="00AB618F">
        <w:rPr>
          <w:rFonts w:ascii="Arial" w:hAnsi="Arial" w:cs="Arial"/>
        </w:rPr>
        <w:t>formulating a general duty to act</w:t>
      </w:r>
      <w:r w:rsidR="00AA5B8D">
        <w:rPr>
          <w:rFonts w:ascii="Arial" w:hAnsi="Arial" w:cs="Arial"/>
        </w:rPr>
        <w:t xml:space="preserve"> (</w:t>
      </w:r>
      <w:proofErr w:type="spellStart"/>
      <w:r w:rsidR="00AA5B8D" w:rsidRPr="004142F2">
        <w:rPr>
          <w:rFonts w:ascii="Arial" w:hAnsi="Arial" w:cs="Arial"/>
          <w:color w:val="222222"/>
          <w:szCs w:val="24"/>
          <w:shd w:val="clear" w:color="auto" w:fill="FFFFFF"/>
        </w:rPr>
        <w:t>Bronitt</w:t>
      </w:r>
      <w:proofErr w:type="spellEnd"/>
      <w:r w:rsidR="00AA5B8D" w:rsidRPr="004142F2">
        <w:rPr>
          <w:rFonts w:ascii="Arial" w:hAnsi="Arial" w:cs="Arial"/>
          <w:color w:val="222222"/>
          <w:szCs w:val="24"/>
          <w:shd w:val="clear" w:color="auto" w:fill="FFFFFF"/>
        </w:rPr>
        <w:t xml:space="preserve"> &amp; McSherry</w:t>
      </w:r>
      <w:r w:rsidR="00AA5B8D">
        <w:rPr>
          <w:rFonts w:ascii="Arial" w:hAnsi="Arial" w:cs="Arial"/>
          <w:color w:val="222222"/>
          <w:szCs w:val="24"/>
          <w:shd w:val="clear" w:color="auto" w:fill="FFFFFF"/>
        </w:rPr>
        <w:t>, 2017</w:t>
      </w:r>
      <w:r w:rsidR="00AA5B8D">
        <w:rPr>
          <w:rFonts w:ascii="Arial" w:hAnsi="Arial" w:cs="Arial"/>
        </w:rPr>
        <w:t>)</w:t>
      </w:r>
      <w:r w:rsidR="005C03FD" w:rsidRPr="00AB618F">
        <w:rPr>
          <w:rFonts w:ascii="Arial" w:hAnsi="Arial" w:cs="Arial"/>
        </w:rPr>
        <w:t xml:space="preserve">. For instance, in a special relationship, one could set down </w:t>
      </w:r>
      <w:r>
        <w:rPr>
          <w:rFonts w:ascii="Arial" w:hAnsi="Arial" w:cs="Arial"/>
        </w:rPr>
        <w:t>a</w:t>
      </w:r>
      <w:r w:rsidR="005C03FD" w:rsidRPr="00AB618F">
        <w:rPr>
          <w:rFonts w:ascii="Arial" w:hAnsi="Arial" w:cs="Arial"/>
        </w:rPr>
        <w:t xml:space="preserve"> </w:t>
      </w:r>
      <w:r w:rsidR="001E2D2C" w:rsidRPr="00AB618F">
        <w:rPr>
          <w:rFonts w:ascii="Arial" w:hAnsi="Arial" w:cs="Arial"/>
        </w:rPr>
        <w:t>decree</w:t>
      </w:r>
      <w:r w:rsidR="005C03FD" w:rsidRPr="00AB618F">
        <w:rPr>
          <w:rFonts w:ascii="Arial" w:hAnsi="Arial" w:cs="Arial"/>
        </w:rPr>
        <w:t xml:space="preserve">. </w:t>
      </w:r>
      <w:r w:rsidR="001E2D2C" w:rsidRPr="00AB618F">
        <w:rPr>
          <w:rFonts w:ascii="Arial" w:hAnsi="Arial" w:cs="Arial"/>
        </w:rPr>
        <w:t xml:space="preserve">The main circumstances </w:t>
      </w:r>
      <w:r>
        <w:rPr>
          <w:rFonts w:ascii="Arial" w:hAnsi="Arial" w:cs="Arial"/>
        </w:rPr>
        <w:t>occur</w:t>
      </w:r>
      <w:r w:rsidR="001E2D2C" w:rsidRPr="00AB618F">
        <w:rPr>
          <w:rFonts w:ascii="Arial" w:hAnsi="Arial" w:cs="Arial"/>
        </w:rPr>
        <w:t xml:space="preserve"> when </w:t>
      </w:r>
      <w:r>
        <w:rPr>
          <w:rFonts w:ascii="Arial" w:hAnsi="Arial" w:cs="Arial"/>
        </w:rPr>
        <w:t>the defendants in duty to act come</w:t>
      </w:r>
      <w:r w:rsidR="001E2D2C" w:rsidRPr="00AB618F">
        <w:rPr>
          <w:rFonts w:ascii="Arial" w:hAnsi="Arial" w:cs="Arial"/>
        </w:rPr>
        <w:t xml:space="preserve"> from duties stated as per the Act of Parliament. For example, the offence of child negligence is under section 1 </w:t>
      </w:r>
      <w:r>
        <w:rPr>
          <w:rFonts w:ascii="Arial" w:hAnsi="Arial" w:cs="Arial"/>
        </w:rPr>
        <w:t>of</w:t>
      </w:r>
      <w:r w:rsidR="001E2D2C" w:rsidRPr="00AB618F">
        <w:rPr>
          <w:rFonts w:ascii="Arial" w:hAnsi="Arial" w:cs="Arial"/>
        </w:rPr>
        <w:t xml:space="preserve"> the Children and Young Persons Act 1933</w:t>
      </w:r>
      <w:r w:rsidR="00AA5B8D">
        <w:rPr>
          <w:rFonts w:ascii="Arial" w:hAnsi="Arial" w:cs="Arial"/>
        </w:rPr>
        <w:t xml:space="preserve"> (</w:t>
      </w:r>
      <w:r w:rsidR="00AA5B8D" w:rsidRPr="004142F2">
        <w:rPr>
          <w:rFonts w:ascii="Arial" w:hAnsi="Arial" w:cs="Arial"/>
          <w:color w:val="000000" w:themeColor="text1"/>
          <w:szCs w:val="24"/>
          <w:shd w:val="clear" w:color="auto" w:fill="FFFFFF"/>
        </w:rPr>
        <w:t>Herring</w:t>
      </w:r>
      <w:r w:rsidR="00AA5B8D">
        <w:rPr>
          <w:rFonts w:ascii="Arial" w:hAnsi="Arial" w:cs="Arial"/>
          <w:color w:val="000000" w:themeColor="text1"/>
          <w:szCs w:val="24"/>
          <w:shd w:val="clear" w:color="auto" w:fill="FFFFFF"/>
        </w:rPr>
        <w:t>, 2021</w:t>
      </w:r>
      <w:r w:rsidR="00AA5B8D">
        <w:rPr>
          <w:rFonts w:ascii="Arial" w:hAnsi="Arial" w:cs="Arial"/>
        </w:rPr>
        <w:t>)</w:t>
      </w:r>
      <w:r w:rsidR="001E2D2C" w:rsidRPr="00AB618F">
        <w:rPr>
          <w:rFonts w:ascii="Arial" w:hAnsi="Arial" w:cs="Arial"/>
        </w:rPr>
        <w:t xml:space="preserve">. It </w:t>
      </w:r>
      <w:r>
        <w:rPr>
          <w:rFonts w:ascii="Arial" w:hAnsi="Arial" w:cs="Arial"/>
        </w:rPr>
        <w:t>is an offence for the parents or the guardians to fail</w:t>
      </w:r>
      <w:r w:rsidR="001E2D2C" w:rsidRPr="00AB618F">
        <w:rPr>
          <w:rFonts w:ascii="Arial" w:hAnsi="Arial" w:cs="Arial"/>
        </w:rPr>
        <w:t xml:space="preserve"> to deliver proper food, medical aid, clothing, and lodging for the children who are under their care. </w:t>
      </w:r>
    </w:p>
    <w:p w14:paraId="1D37A7BF" w14:textId="796952BD" w:rsidR="00F31BC3" w:rsidRPr="00AB618F" w:rsidRDefault="00F31BC3" w:rsidP="007F2889">
      <w:pPr>
        <w:spacing w:line="480" w:lineRule="auto"/>
        <w:rPr>
          <w:rFonts w:ascii="Arial" w:hAnsi="Arial" w:cs="Arial"/>
        </w:rPr>
      </w:pPr>
      <w:r w:rsidRPr="00AB618F">
        <w:rPr>
          <w:rFonts w:ascii="Arial" w:hAnsi="Arial" w:cs="Arial"/>
        </w:rPr>
        <w:t xml:space="preserve">A duty to act is also considered as common law. When it is referred </w:t>
      </w:r>
      <w:r w:rsidR="0050520B">
        <w:rPr>
          <w:rFonts w:ascii="Arial" w:hAnsi="Arial" w:cs="Arial"/>
        </w:rPr>
        <w:t xml:space="preserve">to as common law, it means that law comes from the decision of the courts or judges that is in </w:t>
      </w:r>
      <w:r w:rsidRPr="00AB618F">
        <w:rPr>
          <w:rFonts w:ascii="Arial" w:hAnsi="Arial" w:cs="Arial"/>
        </w:rPr>
        <w:t xml:space="preserve">opposition to the law developed by the Parliament. The judges have considered several </w:t>
      </w:r>
      <w:r w:rsidR="000B396E" w:rsidRPr="00AB618F">
        <w:rPr>
          <w:rFonts w:ascii="Arial" w:hAnsi="Arial" w:cs="Arial"/>
        </w:rPr>
        <w:t>numbers</w:t>
      </w:r>
      <w:r w:rsidRPr="00AB618F">
        <w:rPr>
          <w:rFonts w:ascii="Arial" w:hAnsi="Arial" w:cs="Arial"/>
        </w:rPr>
        <w:t xml:space="preserve"> of cases when </w:t>
      </w:r>
      <w:r w:rsidR="0050520B">
        <w:rPr>
          <w:rFonts w:ascii="Arial" w:hAnsi="Arial" w:cs="Arial"/>
        </w:rPr>
        <w:t xml:space="preserve">the </w:t>
      </w:r>
      <w:r w:rsidRPr="00AB618F">
        <w:rPr>
          <w:rFonts w:ascii="Arial" w:hAnsi="Arial" w:cs="Arial"/>
        </w:rPr>
        <w:t xml:space="preserve">duty to act persists. As per the case of </w:t>
      </w:r>
      <w:r w:rsidRPr="00AB618F">
        <w:rPr>
          <w:rFonts w:ascii="Arial" w:hAnsi="Arial" w:cs="Arial"/>
          <w:i/>
          <w:iCs/>
        </w:rPr>
        <w:t>Miller (1983)</w:t>
      </w:r>
      <w:r w:rsidRPr="00AB618F">
        <w:rPr>
          <w:rFonts w:ascii="Arial" w:hAnsi="Arial" w:cs="Arial"/>
        </w:rPr>
        <w:t xml:space="preserve">, the judges </w:t>
      </w:r>
      <w:r w:rsidRPr="00AB618F">
        <w:rPr>
          <w:rFonts w:ascii="Arial" w:hAnsi="Arial" w:cs="Arial"/>
        </w:rPr>
        <w:lastRenderedPageBreak/>
        <w:t xml:space="preserve">have found the defendant eligible for the criminal damage of omission. The initial act in the case was to start </w:t>
      </w:r>
      <w:r w:rsidR="00A00D2F">
        <w:rPr>
          <w:rFonts w:ascii="Arial" w:hAnsi="Arial" w:cs="Arial"/>
        </w:rPr>
        <w:t>the accidental fire</w:t>
      </w:r>
      <w:r w:rsidRPr="00AB618F">
        <w:rPr>
          <w:rFonts w:ascii="Arial" w:hAnsi="Arial" w:cs="Arial"/>
        </w:rPr>
        <w:t xml:space="preserve">. However, further </w:t>
      </w:r>
      <w:r w:rsidR="00A00D2F">
        <w:rPr>
          <w:rFonts w:ascii="Arial" w:hAnsi="Arial" w:cs="Arial"/>
        </w:rPr>
        <w:t>acts</w:t>
      </w:r>
      <w:r w:rsidRPr="00AB618F">
        <w:rPr>
          <w:rFonts w:ascii="Arial" w:hAnsi="Arial" w:cs="Arial"/>
        </w:rPr>
        <w:t xml:space="preserve"> subsequently failed to summon assistance or any attempts to put the fire off</w:t>
      </w:r>
      <w:r w:rsidR="00AA5B8D">
        <w:rPr>
          <w:rFonts w:ascii="Arial" w:hAnsi="Arial" w:cs="Arial"/>
        </w:rPr>
        <w:t xml:space="preserve"> (</w:t>
      </w:r>
      <w:r w:rsidR="00AA5B8D" w:rsidRPr="004142F2">
        <w:rPr>
          <w:rFonts w:ascii="Arial" w:hAnsi="Arial" w:cs="Arial"/>
          <w:color w:val="000000" w:themeColor="text1"/>
          <w:szCs w:val="24"/>
          <w:shd w:val="clear" w:color="auto" w:fill="FFFFFF"/>
        </w:rPr>
        <w:t>Kaplan</w:t>
      </w:r>
      <w:r w:rsidR="00AA5B8D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2021</w:t>
      </w:r>
      <w:r w:rsidR="00AA5B8D">
        <w:rPr>
          <w:rFonts w:ascii="Arial" w:hAnsi="Arial" w:cs="Arial"/>
        </w:rPr>
        <w:t>)</w:t>
      </w:r>
      <w:r w:rsidRPr="00AB618F">
        <w:rPr>
          <w:rFonts w:ascii="Arial" w:hAnsi="Arial" w:cs="Arial"/>
        </w:rPr>
        <w:t xml:space="preserve">. It resulted </w:t>
      </w:r>
      <w:r w:rsidR="00A00D2F">
        <w:rPr>
          <w:rFonts w:ascii="Arial" w:hAnsi="Arial" w:cs="Arial"/>
        </w:rPr>
        <w:t>in</w:t>
      </w:r>
      <w:r w:rsidRPr="00AB618F">
        <w:rPr>
          <w:rFonts w:ascii="Arial" w:hAnsi="Arial" w:cs="Arial"/>
        </w:rPr>
        <w:t xml:space="preserve"> an offence. This created </w:t>
      </w:r>
      <w:r w:rsidR="000B396E" w:rsidRPr="00AB618F">
        <w:rPr>
          <w:rFonts w:ascii="Arial" w:hAnsi="Arial" w:cs="Arial"/>
        </w:rPr>
        <w:t>a</w:t>
      </w:r>
      <w:r w:rsidRPr="00AB618F">
        <w:rPr>
          <w:rFonts w:ascii="Arial" w:hAnsi="Arial" w:cs="Arial"/>
        </w:rPr>
        <w:t xml:space="preserve"> dangerous situation. In this case, Miller had </w:t>
      </w:r>
      <w:r w:rsidR="00A00D2F">
        <w:rPr>
          <w:rFonts w:ascii="Arial" w:hAnsi="Arial" w:cs="Arial"/>
        </w:rPr>
        <w:t xml:space="preserve">a duty to act and failed to do anything, rather going to the </w:t>
      </w:r>
      <w:r w:rsidRPr="00AB618F">
        <w:rPr>
          <w:rFonts w:ascii="Arial" w:hAnsi="Arial" w:cs="Arial"/>
        </w:rPr>
        <w:t xml:space="preserve">other part of the house and going to sleep. </w:t>
      </w:r>
    </w:p>
    <w:p w14:paraId="45A20C50" w14:textId="645BA661" w:rsidR="003E4AFB" w:rsidRPr="00AB618F" w:rsidRDefault="003E4AFB" w:rsidP="007F2889">
      <w:pPr>
        <w:spacing w:line="480" w:lineRule="auto"/>
        <w:rPr>
          <w:rFonts w:ascii="Arial" w:hAnsi="Arial" w:cs="Arial"/>
        </w:rPr>
      </w:pPr>
      <w:r w:rsidRPr="00AB618F">
        <w:rPr>
          <w:rFonts w:ascii="Arial" w:hAnsi="Arial" w:cs="Arial"/>
        </w:rPr>
        <w:t xml:space="preserve">However, it could be </w:t>
      </w:r>
      <w:r w:rsidR="00A00D2F">
        <w:rPr>
          <w:rFonts w:ascii="Arial" w:hAnsi="Arial" w:cs="Arial"/>
        </w:rPr>
        <w:t>argued</w:t>
      </w:r>
      <w:r w:rsidRPr="00AB618F">
        <w:rPr>
          <w:rFonts w:ascii="Arial" w:hAnsi="Arial" w:cs="Arial"/>
        </w:rPr>
        <w:t xml:space="preserve"> that </w:t>
      </w:r>
      <w:r w:rsidR="00A00D2F">
        <w:rPr>
          <w:rFonts w:ascii="Arial" w:hAnsi="Arial" w:cs="Arial"/>
        </w:rPr>
        <w:t xml:space="preserve">the benefit of liability subject to omission is that offences </w:t>
      </w:r>
      <w:r w:rsidRPr="00AB618F">
        <w:rPr>
          <w:rFonts w:ascii="Arial" w:hAnsi="Arial" w:cs="Arial"/>
        </w:rPr>
        <w:t xml:space="preserve">are easy to prove. It is easy for the court to establish that the defendants were not able to act, </w:t>
      </w:r>
      <w:r w:rsidR="00A00D2F">
        <w:rPr>
          <w:rFonts w:ascii="Arial" w:hAnsi="Arial" w:cs="Arial"/>
        </w:rPr>
        <w:t xml:space="preserve">or </w:t>
      </w:r>
      <w:r w:rsidRPr="00AB618F">
        <w:rPr>
          <w:rFonts w:ascii="Arial" w:hAnsi="Arial" w:cs="Arial"/>
        </w:rPr>
        <w:t xml:space="preserve">else they carried out another act. It was argued that criminal offences by omission assures that </w:t>
      </w:r>
      <w:r w:rsidR="00A00D2F">
        <w:rPr>
          <w:rFonts w:ascii="Arial" w:hAnsi="Arial" w:cs="Arial"/>
        </w:rPr>
        <w:t>responsibility is</w:t>
      </w:r>
      <w:r w:rsidRPr="00AB618F">
        <w:rPr>
          <w:rFonts w:ascii="Arial" w:hAnsi="Arial" w:cs="Arial"/>
        </w:rPr>
        <w:t xml:space="preserve"> </w:t>
      </w:r>
      <w:r w:rsidR="003F299E" w:rsidRPr="00AB618F">
        <w:rPr>
          <w:rFonts w:ascii="Arial" w:hAnsi="Arial" w:cs="Arial"/>
        </w:rPr>
        <w:t>answerable</w:t>
      </w:r>
      <w:r w:rsidRPr="00AB618F">
        <w:rPr>
          <w:rFonts w:ascii="Arial" w:hAnsi="Arial" w:cs="Arial"/>
        </w:rPr>
        <w:t xml:space="preserve"> for one’s behaviour and does not go off free so easily</w:t>
      </w:r>
      <w:r w:rsidR="00AA5B8D">
        <w:rPr>
          <w:rFonts w:ascii="Arial" w:hAnsi="Arial" w:cs="Arial"/>
        </w:rPr>
        <w:t xml:space="preserve"> (</w:t>
      </w:r>
      <w:proofErr w:type="spellStart"/>
      <w:r w:rsidR="00AA5B8D" w:rsidRPr="004142F2">
        <w:rPr>
          <w:rFonts w:ascii="Arial" w:hAnsi="Arial" w:cs="Arial"/>
          <w:color w:val="000000" w:themeColor="text1"/>
          <w:szCs w:val="24"/>
          <w:shd w:val="clear" w:color="auto" w:fill="FFFFFF"/>
        </w:rPr>
        <w:t>Bassiouni</w:t>
      </w:r>
      <w:proofErr w:type="spellEnd"/>
      <w:r w:rsidR="00AA5B8D" w:rsidRPr="004142F2">
        <w:rPr>
          <w:rFonts w:ascii="Arial" w:hAnsi="Arial" w:cs="Arial"/>
          <w:color w:val="000000" w:themeColor="text1"/>
          <w:szCs w:val="24"/>
          <w:shd w:val="clear" w:color="auto" w:fill="FFFFFF"/>
        </w:rPr>
        <w:t>,</w:t>
      </w:r>
      <w:r w:rsidR="00AA5B8D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2023</w:t>
      </w:r>
      <w:r w:rsidR="00AA5B8D">
        <w:rPr>
          <w:rFonts w:ascii="Arial" w:hAnsi="Arial" w:cs="Arial"/>
        </w:rPr>
        <w:t>)</w:t>
      </w:r>
      <w:r w:rsidRPr="00AB618F">
        <w:rPr>
          <w:rFonts w:ascii="Arial" w:hAnsi="Arial" w:cs="Arial"/>
        </w:rPr>
        <w:t xml:space="preserve">. </w:t>
      </w:r>
      <w:r w:rsidR="003F299E" w:rsidRPr="00AB618F">
        <w:rPr>
          <w:rFonts w:ascii="Arial" w:hAnsi="Arial" w:cs="Arial"/>
        </w:rPr>
        <w:t xml:space="preserve">A </w:t>
      </w:r>
      <w:r w:rsidR="00A00D2F">
        <w:rPr>
          <w:rFonts w:ascii="Arial" w:hAnsi="Arial" w:cs="Arial"/>
        </w:rPr>
        <w:t xml:space="preserve">counterargument could be made that a general duty to act would be implemented with an </w:t>
      </w:r>
      <w:r w:rsidR="003F299E" w:rsidRPr="00AB618F">
        <w:rPr>
          <w:rFonts w:ascii="Arial" w:hAnsi="Arial" w:cs="Arial"/>
        </w:rPr>
        <w:t xml:space="preserve">unfair burden upon common citizens and should be very restrictive on their regular lives. </w:t>
      </w:r>
    </w:p>
    <w:p w14:paraId="254B80B1" w14:textId="55BC2C7A" w:rsidR="003F299E" w:rsidRPr="00AB618F" w:rsidRDefault="003F299E" w:rsidP="007F2889">
      <w:pPr>
        <w:spacing w:line="480" w:lineRule="auto"/>
        <w:rPr>
          <w:rFonts w:ascii="Arial" w:hAnsi="Arial" w:cs="Arial"/>
        </w:rPr>
      </w:pPr>
      <w:r w:rsidRPr="00AB618F">
        <w:rPr>
          <w:rFonts w:ascii="Arial" w:hAnsi="Arial" w:cs="Arial"/>
        </w:rPr>
        <w:t xml:space="preserve">Crimes related to omission are mainly useful in association </w:t>
      </w:r>
      <w:r w:rsidR="00A00D2F">
        <w:rPr>
          <w:rFonts w:ascii="Arial" w:hAnsi="Arial" w:cs="Arial"/>
        </w:rPr>
        <w:t xml:space="preserve">with the </w:t>
      </w:r>
      <w:r w:rsidRPr="00AB618F">
        <w:rPr>
          <w:rFonts w:ascii="Arial" w:hAnsi="Arial" w:cs="Arial"/>
        </w:rPr>
        <w:t xml:space="preserve">regulation of businesses. There are various situations in which people fail to act and face </w:t>
      </w:r>
      <w:r w:rsidR="00A00D2F">
        <w:rPr>
          <w:rFonts w:ascii="Arial" w:hAnsi="Arial" w:cs="Arial"/>
        </w:rPr>
        <w:t>far-reaching</w:t>
      </w:r>
      <w:r w:rsidRPr="00AB618F">
        <w:rPr>
          <w:rFonts w:ascii="Arial" w:hAnsi="Arial" w:cs="Arial"/>
        </w:rPr>
        <w:t xml:space="preserve"> circumstances for their other members in the surroundings. So, it is essential that organisations could prosecute their inactions. </w:t>
      </w:r>
      <w:r w:rsidR="00A00D2F">
        <w:rPr>
          <w:rFonts w:ascii="Arial" w:hAnsi="Arial" w:cs="Arial"/>
        </w:rPr>
        <w:t>Organisations have the resources to deal</w:t>
      </w:r>
      <w:r w:rsidRPr="00AB618F">
        <w:rPr>
          <w:rFonts w:ascii="Arial" w:hAnsi="Arial" w:cs="Arial"/>
        </w:rPr>
        <w:t xml:space="preserve"> with critical situations and shield people</w:t>
      </w:r>
      <w:r w:rsidR="00AA5B8D">
        <w:rPr>
          <w:rFonts w:ascii="Arial" w:hAnsi="Arial" w:cs="Arial"/>
        </w:rPr>
        <w:t xml:space="preserve"> (</w:t>
      </w:r>
      <w:r w:rsidR="00AA5B8D" w:rsidRPr="004142F2">
        <w:rPr>
          <w:rFonts w:ascii="Arial" w:hAnsi="Arial" w:cs="Arial"/>
          <w:color w:val="000000" w:themeColor="text1"/>
          <w:szCs w:val="24"/>
          <w:shd w:val="clear" w:color="auto" w:fill="FFFFFF"/>
        </w:rPr>
        <w:t>Robinson &amp; Darley</w:t>
      </w:r>
      <w:r w:rsidR="00AA5B8D">
        <w:rPr>
          <w:rFonts w:ascii="Arial" w:hAnsi="Arial" w:cs="Arial"/>
          <w:color w:val="000000" w:themeColor="text1"/>
          <w:szCs w:val="24"/>
          <w:shd w:val="clear" w:color="auto" w:fill="FFFFFF"/>
        </w:rPr>
        <w:t>, 2019</w:t>
      </w:r>
      <w:r w:rsidR="00AA5B8D">
        <w:rPr>
          <w:rFonts w:ascii="Arial" w:hAnsi="Arial" w:cs="Arial"/>
        </w:rPr>
        <w:t>)</w:t>
      </w:r>
      <w:r w:rsidRPr="00AB618F">
        <w:rPr>
          <w:rFonts w:ascii="Arial" w:hAnsi="Arial" w:cs="Arial"/>
        </w:rPr>
        <w:t xml:space="preserve">. Moreover, the presence of </w:t>
      </w:r>
      <w:r w:rsidR="00A00D2F">
        <w:rPr>
          <w:rFonts w:ascii="Arial" w:hAnsi="Arial" w:cs="Arial"/>
        </w:rPr>
        <w:t xml:space="preserve">a duty to act could enhance standards and would provide greater benefits towards </w:t>
      </w:r>
      <w:r w:rsidRPr="00AB618F">
        <w:rPr>
          <w:rFonts w:ascii="Arial" w:hAnsi="Arial" w:cs="Arial"/>
        </w:rPr>
        <w:t xml:space="preserve">society. </w:t>
      </w:r>
    </w:p>
    <w:p w14:paraId="00E4766B" w14:textId="77777777" w:rsidR="004071FF" w:rsidRPr="00AB618F" w:rsidRDefault="004071FF" w:rsidP="00AB618F">
      <w:pPr>
        <w:rPr>
          <w:rFonts w:ascii="Arial" w:hAnsi="Arial" w:cs="Arial"/>
        </w:rPr>
      </w:pPr>
    </w:p>
    <w:p w14:paraId="1FD05FD9" w14:textId="394DC38A" w:rsidR="009F0F9E" w:rsidRDefault="009F0F9E">
      <w:pPr>
        <w:spacing w:line="259" w:lineRule="auto"/>
        <w:jc w:val="left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7535F6B" w14:textId="3F0A8FE0" w:rsidR="007025C9" w:rsidRDefault="009F0F9E" w:rsidP="00715DD6">
      <w:pPr>
        <w:pStyle w:val="Heading1"/>
      </w:pPr>
      <w:bookmarkStart w:id="8" w:name="_Toc168159482"/>
      <w:r>
        <w:lastRenderedPageBreak/>
        <w:t>Reference:</w:t>
      </w:r>
      <w:bookmarkEnd w:id="8"/>
    </w:p>
    <w:p w14:paraId="69AD465C" w14:textId="77777777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</w:rPr>
      </w:pPr>
      <w:bookmarkStart w:id="9" w:name="_Hlk168159155"/>
      <w:proofErr w:type="spellStart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Bassiouni</w:t>
      </w:r>
      <w:proofErr w:type="spellEnd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,</w:t>
      </w:r>
      <w:bookmarkEnd w:id="9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M. C. (2023).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Crimes against humanity in international criminal law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. BRILL.</w:t>
      </w:r>
    </w:p>
    <w:p w14:paraId="37711455" w14:textId="60C8C2A5" w:rsidR="009F0F9E" w:rsidRPr="009F0F9E" w:rsidRDefault="009F0F9E" w:rsidP="009F0F9E">
      <w:pPr>
        <w:rPr>
          <w:rFonts w:ascii="Arial" w:hAnsi="Arial" w:cs="Arial"/>
          <w:color w:val="000000" w:themeColor="text1"/>
          <w:sz w:val="32"/>
          <w:szCs w:val="32"/>
        </w:rPr>
      </w:pPr>
      <w:bookmarkStart w:id="10" w:name="_Hlk168159287"/>
      <w:proofErr w:type="spellStart"/>
      <w:r w:rsidRPr="009F0F9E">
        <w:rPr>
          <w:rFonts w:ascii="Arial" w:hAnsi="Arial" w:cs="Arial"/>
          <w:color w:val="222222"/>
          <w:szCs w:val="24"/>
          <w:shd w:val="clear" w:color="auto" w:fill="FFFFFF"/>
        </w:rPr>
        <w:t>Bronitt</w:t>
      </w:r>
      <w:proofErr w:type="spellEnd"/>
      <w:r w:rsidRPr="009F0F9E">
        <w:rPr>
          <w:rFonts w:ascii="Arial" w:hAnsi="Arial" w:cs="Arial"/>
          <w:color w:val="222222"/>
          <w:szCs w:val="24"/>
          <w:shd w:val="clear" w:color="auto" w:fill="FFFFFF"/>
        </w:rPr>
        <w:t>, S., &amp; McSherry</w:t>
      </w:r>
      <w:bookmarkEnd w:id="10"/>
      <w:r w:rsidRPr="009F0F9E">
        <w:rPr>
          <w:rFonts w:ascii="Arial" w:hAnsi="Arial" w:cs="Arial"/>
          <w:color w:val="222222"/>
          <w:szCs w:val="24"/>
          <w:shd w:val="clear" w:color="auto" w:fill="FFFFFF"/>
        </w:rPr>
        <w:t>, B. (2017). Principles of criminal law 4e. </w:t>
      </w:r>
      <w:r w:rsidRPr="009F0F9E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Thomson Reuters</w:t>
      </w:r>
      <w:r w:rsidRPr="009F0F9E">
        <w:rPr>
          <w:rFonts w:ascii="Arial" w:hAnsi="Arial" w:cs="Arial"/>
          <w:color w:val="222222"/>
          <w:szCs w:val="24"/>
          <w:shd w:val="clear" w:color="auto" w:fill="FFFFFF"/>
        </w:rPr>
        <w:t>.</w:t>
      </w:r>
    </w:p>
    <w:p w14:paraId="0825E3B7" w14:textId="058AEB51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bookmarkStart w:id="11" w:name="_Hlk168158833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Campbell</w:t>
      </w:r>
      <w:bookmarkEnd w:id="11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, L. (2018). Corporate liability and the criminalisation of failure.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Law and Financial Markets Review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12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(2), 57-70.</w:t>
      </w:r>
    </w:p>
    <w:p w14:paraId="309D86FF" w14:textId="70E596B3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bookmarkStart w:id="12" w:name="_Hlk168158803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Dunbar</w:t>
      </w:r>
      <w:bookmarkEnd w:id="12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, J. R. (2012).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Criminal liability for omissions in Scots law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 (Doctoral dissertation, University of Glasgow).</w:t>
      </w:r>
    </w:p>
    <w:p w14:paraId="2650C239" w14:textId="1C5A0B32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</w:rPr>
      </w:pPr>
      <w:bookmarkStart w:id="13" w:name="_Hlk168158859"/>
      <w:r w:rsidRPr="009F0F9E">
        <w:rPr>
          <w:rFonts w:ascii="Arial" w:hAnsi="Arial" w:cs="Arial"/>
          <w:color w:val="000000" w:themeColor="text1"/>
          <w:szCs w:val="24"/>
        </w:rPr>
        <w:t>Finch, E. and Fafinski</w:t>
      </w:r>
      <w:bookmarkEnd w:id="13"/>
      <w:r w:rsidRPr="009F0F9E">
        <w:rPr>
          <w:rFonts w:ascii="Arial" w:hAnsi="Arial" w:cs="Arial"/>
          <w:color w:val="000000" w:themeColor="text1"/>
          <w:szCs w:val="24"/>
        </w:rPr>
        <w:t>, S. (2021) Criminal law. 8th edition. Harlow, England: Pearson.</w:t>
      </w:r>
    </w:p>
    <w:p w14:paraId="0337D988" w14:textId="4B15C08E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</w:rPr>
      </w:pPr>
      <w:bookmarkStart w:id="14" w:name="_Hlk168159098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Herring</w:t>
      </w:r>
      <w:bookmarkEnd w:id="14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, J. (2021).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Criminal law: The basics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. Routledge.</w:t>
      </w:r>
    </w:p>
    <w:p w14:paraId="10A0DB33" w14:textId="77777777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</w:rPr>
      </w:pPr>
      <w:r w:rsidRPr="009F0F9E">
        <w:rPr>
          <w:rFonts w:ascii="Arial" w:hAnsi="Arial" w:cs="Arial"/>
          <w:color w:val="000000" w:themeColor="text1"/>
          <w:szCs w:val="24"/>
        </w:rPr>
        <w:t>Herring, J. (2022) Criminal law : text, cases, and materials. Tenth edition. Oxford: Oxford University Press.</w:t>
      </w:r>
    </w:p>
    <w:p w14:paraId="0605EE21" w14:textId="356B6972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</w:rPr>
      </w:pPr>
      <w:bookmarkStart w:id="15" w:name="_Hlk168159121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Kaplan</w:t>
      </w:r>
      <w:bookmarkEnd w:id="15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, J., Weisberg, R., &amp; Binder, G. (2021).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Criminal law: Cases and materials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. Aspen Publishing.</w:t>
      </w:r>
    </w:p>
    <w:p w14:paraId="2C8D0DC1" w14:textId="5DF6A405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</w:rPr>
      </w:pPr>
      <w:bookmarkStart w:id="16" w:name="_Hlk168158884"/>
      <w:r w:rsidRPr="009F0F9E">
        <w:rPr>
          <w:rFonts w:ascii="Arial" w:hAnsi="Arial" w:cs="Arial"/>
          <w:color w:val="000000" w:themeColor="text1"/>
          <w:szCs w:val="24"/>
        </w:rPr>
        <w:t>Macdonald</w:t>
      </w:r>
      <w:bookmarkEnd w:id="16"/>
      <w:r w:rsidRPr="009F0F9E">
        <w:rPr>
          <w:rFonts w:ascii="Arial" w:hAnsi="Arial" w:cs="Arial"/>
          <w:color w:val="000000" w:themeColor="text1"/>
          <w:szCs w:val="24"/>
        </w:rPr>
        <w:t>, S.K. (2018) Text, cases, and materials on criminal law. Second edition. Harlow, England: Pearson Education Limited.</w:t>
      </w:r>
    </w:p>
    <w:p w14:paraId="3A556D92" w14:textId="069F8AAA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</w:rPr>
      </w:pPr>
      <w:bookmarkStart w:id="17" w:name="_Hlk168158999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Robinson</w:t>
      </w:r>
      <w:bookmarkEnd w:id="17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, P. H. (2017). Imputed criminal liability. In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The Structure and Limits of Criminal Law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 (pp. 29-96). Routledge.</w:t>
      </w:r>
    </w:p>
    <w:p w14:paraId="7A594650" w14:textId="3E687178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</w:rPr>
      </w:pPr>
      <w:bookmarkStart w:id="18" w:name="_Hlk168159071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Robinson,</w:t>
      </w:r>
      <w:bookmarkEnd w:id="18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P. H. (2019).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Justice, liability, and blame: Community views and the criminal law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. Routledge.</w:t>
      </w:r>
    </w:p>
    <w:p w14:paraId="4DEB67D1" w14:textId="09B55588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bookmarkStart w:id="19" w:name="_Hlk168159191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Robinson, P. H., &amp; Darley</w:t>
      </w:r>
      <w:bookmarkEnd w:id="19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, J. M. (2019). The role of deterrence in the formulation of criminal law rules: At its worst when doing its best. In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Deterrence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 (pp. 3-56). Routledge.</w:t>
      </w:r>
    </w:p>
    <w:p w14:paraId="5AFAA766" w14:textId="0B303B71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</w:rPr>
      </w:pPr>
      <w:bookmarkStart w:id="20" w:name="_Hlk168159025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Sepinwall, </w:t>
      </w:r>
      <w:bookmarkEnd w:id="20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A. J. (2017). Faultless Guilt: Toward a Relationship-Based Account of Criminal Liability.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Am. Crim. L. Rev.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54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, 521.</w:t>
      </w:r>
    </w:p>
    <w:p w14:paraId="5CF4D22A" w14:textId="2BD13992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</w:rPr>
      </w:pPr>
      <w:bookmarkStart w:id="21" w:name="_Hlk168158903"/>
      <w:r w:rsidRPr="009F0F9E">
        <w:rPr>
          <w:rFonts w:ascii="Arial" w:hAnsi="Arial" w:cs="Arial"/>
          <w:color w:val="000000" w:themeColor="text1"/>
          <w:szCs w:val="24"/>
        </w:rPr>
        <w:t>Taylor</w:t>
      </w:r>
      <w:bookmarkEnd w:id="21"/>
      <w:r w:rsidRPr="009F0F9E">
        <w:rPr>
          <w:rFonts w:ascii="Arial" w:hAnsi="Arial" w:cs="Arial"/>
          <w:color w:val="000000" w:themeColor="text1"/>
          <w:szCs w:val="24"/>
        </w:rPr>
        <w:t>, L. (2018) Elliott and Quinn’s criminal law. Twelfth edition. Harlow, England ; Pearson Education Limited.</w:t>
      </w:r>
    </w:p>
    <w:p w14:paraId="57AED84F" w14:textId="2D960F23" w:rsidR="009F0F9E" w:rsidRPr="009F0F9E" w:rsidRDefault="009F0F9E" w:rsidP="009F0F9E">
      <w:pPr>
        <w:rPr>
          <w:rFonts w:ascii="Arial" w:hAnsi="Arial" w:cs="Arial"/>
          <w:color w:val="000000" w:themeColor="text1"/>
          <w:szCs w:val="24"/>
        </w:rPr>
      </w:pPr>
      <w:bookmarkStart w:id="22" w:name="_Hlk168158973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Williams</w:t>
      </w:r>
      <w:bookmarkEnd w:id="22"/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, G. (2022). What is Fundamental in Criminal Law?.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Criminal Justice Ethics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9F0F9E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41</w:t>
      </w:r>
      <w:r w:rsidRPr="009F0F9E">
        <w:rPr>
          <w:rFonts w:ascii="Arial" w:hAnsi="Arial" w:cs="Arial"/>
          <w:color w:val="000000" w:themeColor="text1"/>
          <w:szCs w:val="24"/>
          <w:shd w:val="clear" w:color="auto" w:fill="FFFFFF"/>
        </w:rPr>
        <w:t>(3), 278-290.</w:t>
      </w:r>
    </w:p>
    <w:sectPr w:rsidR="009F0F9E" w:rsidRPr="009F0F9E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4DE2A5" w14:textId="77777777" w:rsidR="00416984" w:rsidRDefault="00416984" w:rsidP="007025C9">
      <w:pPr>
        <w:spacing w:after="0" w:line="240" w:lineRule="auto"/>
      </w:pPr>
      <w:r>
        <w:separator/>
      </w:r>
    </w:p>
  </w:endnote>
  <w:endnote w:type="continuationSeparator" w:id="0">
    <w:p w14:paraId="02BAA24C" w14:textId="77777777" w:rsidR="00416984" w:rsidRDefault="00416984" w:rsidP="007025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290938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49FD49" w14:textId="38D4E978" w:rsidR="007025C9" w:rsidRDefault="007025C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D15E0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24EFBC60" w14:textId="77777777" w:rsidR="007025C9" w:rsidRDefault="007025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4E915F7" w14:textId="77777777" w:rsidR="00416984" w:rsidRDefault="00416984" w:rsidP="007025C9">
      <w:pPr>
        <w:spacing w:after="0" w:line="240" w:lineRule="auto"/>
      </w:pPr>
      <w:r>
        <w:separator/>
      </w:r>
    </w:p>
  </w:footnote>
  <w:footnote w:type="continuationSeparator" w:id="0">
    <w:p w14:paraId="2AD03866" w14:textId="77777777" w:rsidR="00416984" w:rsidRDefault="00416984" w:rsidP="007025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13B7E90"/>
    <w:multiLevelType w:val="hybridMultilevel"/>
    <w:tmpl w:val="519423E4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95040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F2C55"/>
    <w:rsid w:val="0005750A"/>
    <w:rsid w:val="00087115"/>
    <w:rsid w:val="000A0EBD"/>
    <w:rsid w:val="000B396E"/>
    <w:rsid w:val="00102BF8"/>
    <w:rsid w:val="001252DC"/>
    <w:rsid w:val="00136D66"/>
    <w:rsid w:val="001C552F"/>
    <w:rsid w:val="001E2D2C"/>
    <w:rsid w:val="002708B7"/>
    <w:rsid w:val="00272AB4"/>
    <w:rsid w:val="002F2C55"/>
    <w:rsid w:val="003E4AFB"/>
    <w:rsid w:val="003F299E"/>
    <w:rsid w:val="004071FF"/>
    <w:rsid w:val="00416984"/>
    <w:rsid w:val="00446663"/>
    <w:rsid w:val="0050520B"/>
    <w:rsid w:val="005572D2"/>
    <w:rsid w:val="005C03FD"/>
    <w:rsid w:val="0064025F"/>
    <w:rsid w:val="006C1DE3"/>
    <w:rsid w:val="007025C9"/>
    <w:rsid w:val="00715DD6"/>
    <w:rsid w:val="007B54C8"/>
    <w:rsid w:val="007E5724"/>
    <w:rsid w:val="007F2889"/>
    <w:rsid w:val="00856D0C"/>
    <w:rsid w:val="009F0F9E"/>
    <w:rsid w:val="00A00D2F"/>
    <w:rsid w:val="00A64ED8"/>
    <w:rsid w:val="00AA5B8D"/>
    <w:rsid w:val="00AB618F"/>
    <w:rsid w:val="00AF5E61"/>
    <w:rsid w:val="00BD5AD2"/>
    <w:rsid w:val="00C438C4"/>
    <w:rsid w:val="00C63FAD"/>
    <w:rsid w:val="00CF2187"/>
    <w:rsid w:val="00D07467"/>
    <w:rsid w:val="00D618C7"/>
    <w:rsid w:val="00D902FC"/>
    <w:rsid w:val="00DB6752"/>
    <w:rsid w:val="00DD15E0"/>
    <w:rsid w:val="00F31BC3"/>
    <w:rsid w:val="00F86818"/>
    <w:rsid w:val="00F96482"/>
    <w:rsid w:val="00FE4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4B6A04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25C9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E5724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5724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025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25C9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025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25C9"/>
    <w:rPr>
      <w:rFonts w:ascii="Times New Roman" w:hAnsi="Times New Roman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9F0F9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E5724"/>
    <w:rPr>
      <w:rFonts w:ascii="Arial" w:eastAsiaTheme="majorEastAsia" w:hAnsi="Arial" w:cstheme="majorBidi"/>
      <w:b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7E5724"/>
    <w:rPr>
      <w:rFonts w:ascii="Arial" w:eastAsiaTheme="majorEastAsia" w:hAnsi="Arial" w:cstheme="majorBidi"/>
      <w:b/>
      <w:color w:val="2F5496" w:themeColor="accent1" w:themeShade="BF"/>
      <w:sz w:val="26"/>
      <w:szCs w:val="26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C552F"/>
    <w:pPr>
      <w:spacing w:line="259" w:lineRule="auto"/>
      <w:jc w:val="left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C552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C552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C552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2D798C-DA49-6E4D-952B-D11BCD84DC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</TotalTime>
  <Pages>8</Pages>
  <Words>1866</Words>
  <Characters>9122</Characters>
  <Application>Microsoft Office Word</Application>
  <DocSecurity>0</DocSecurity>
  <Lines>168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10951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29</cp:revision>
  <dcterms:created xsi:type="dcterms:W3CDTF">2024-06-01T05:25:00Z</dcterms:created>
  <dcterms:modified xsi:type="dcterms:W3CDTF">2024-06-07T22:01:00Z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f3e0d27a6b3768dc65e09e2b97d50475e99ee42c53d902c3288757761b57b220</vt:lpwstr>
  </property>
</Properties>
</file>