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FF84" w14:textId="77777777" w:rsidR="576062CF" w:rsidRDefault="576062CF" w:rsidP="00E23DEA">
      <w:pPr>
        <w:jc w:val="both"/>
      </w:pPr>
      <w:bookmarkStart w:id="0" w:name="_Hlk141339053"/>
      <w:bookmarkEnd w:id="0"/>
    </w:p>
    <w:p w14:paraId="50F54145" w14:textId="77777777" w:rsidR="576062CF" w:rsidRDefault="576062CF" w:rsidP="00E23DEA">
      <w:pPr>
        <w:jc w:val="both"/>
      </w:pPr>
    </w:p>
    <w:p w14:paraId="6BD5D77E" w14:textId="77777777" w:rsidR="576062CF" w:rsidRDefault="576062CF" w:rsidP="00E23DEA">
      <w:pPr>
        <w:jc w:val="both"/>
      </w:pPr>
    </w:p>
    <w:p w14:paraId="05B8FE67" w14:textId="77777777" w:rsidR="576062CF" w:rsidRDefault="576062CF" w:rsidP="00E23DEA">
      <w:pPr>
        <w:jc w:val="both"/>
      </w:pPr>
    </w:p>
    <w:p w14:paraId="7AC38156" w14:textId="77777777" w:rsidR="00C60C3C" w:rsidRDefault="00C60C3C" w:rsidP="00E23DEA">
      <w:pPr>
        <w:pStyle w:val="Title"/>
      </w:pPr>
      <w:r>
        <w:t xml:space="preserve">EVALUATING MANUFACTURIGNG SYSTEMS AND A STRATEGIC APPROACH ON ADOPTING </w:t>
      </w:r>
    </w:p>
    <w:p w14:paraId="25047230" w14:textId="245562FE" w:rsidR="576062CF" w:rsidRPr="00FD478C" w:rsidRDefault="00C60C3C" w:rsidP="00E23DEA">
      <w:pPr>
        <w:pStyle w:val="Title"/>
      </w:pPr>
      <w:r>
        <w:t xml:space="preserve">INDUSTRY 4.0 </w:t>
      </w:r>
    </w:p>
    <w:p w14:paraId="369D5AD4" w14:textId="5E788CDA" w:rsidR="576062CF" w:rsidRDefault="576062CF" w:rsidP="00E23DEA">
      <w:pPr>
        <w:pStyle w:val="Subtitle"/>
      </w:pPr>
    </w:p>
    <w:p w14:paraId="4DB2441E" w14:textId="7EB5E79A" w:rsidR="00FD478C" w:rsidRDefault="0001726F" w:rsidP="00E23DEA">
      <w:pPr>
        <w:pStyle w:val="Subtitle"/>
      </w:pPr>
      <w:r>
        <w:t>P</w:t>
      </w:r>
      <w:r w:rsidR="009C5BF7">
        <w:t>RAVEEN R. PILLAI</w:t>
      </w:r>
    </w:p>
    <w:p w14:paraId="4AEC0937" w14:textId="498426F8" w:rsidR="00FD478C" w:rsidRDefault="0001726F" w:rsidP="00E23DEA">
      <w:pPr>
        <w:pStyle w:val="Subtitle"/>
      </w:pPr>
      <w:r>
        <w:t>UNIVERSITY OF WALES TRINITY SAINT DAVIS</w:t>
      </w:r>
    </w:p>
    <w:p w14:paraId="5C2A6669" w14:textId="6F1D2611" w:rsidR="00FD478C" w:rsidRDefault="00876D68" w:rsidP="00E23DEA">
      <w:pPr>
        <w:pStyle w:val="Subtitle"/>
      </w:pPr>
      <w:sdt>
        <w:sdtPr>
          <w:id w:val="-269631415"/>
          <w:placeholder>
            <w:docPart w:val="1F877482189F44F2AC02158AA47590E4"/>
          </w:placeholder>
          <w:temporary/>
          <w:showingPlcHdr/>
          <w15:appearance w15:val="hidden"/>
        </w:sdtPr>
        <w:sdtEndPr/>
        <w:sdtContent>
          <w:r w:rsidR="00FD478C">
            <w:t>Course Number:</w:t>
          </w:r>
        </w:sdtContent>
      </w:sdt>
      <w:r w:rsidR="00FD478C" w:rsidRPr="00FD478C">
        <w:t xml:space="preserve"> </w:t>
      </w:r>
      <w:r w:rsidR="0001726F">
        <w:t>MADE L7K ACPA7000 ANDVANED MANUFACTURING (INDUSTRY 4.0)</w:t>
      </w:r>
    </w:p>
    <w:p w14:paraId="61A7A568" w14:textId="77777777" w:rsidR="576062CF" w:rsidRDefault="576062CF" w:rsidP="00E23DEA">
      <w:pPr>
        <w:jc w:val="both"/>
      </w:pPr>
    </w:p>
    <w:p w14:paraId="778169C2" w14:textId="77777777" w:rsidR="717E282B" w:rsidRDefault="717E282B" w:rsidP="00E23DEA">
      <w:pPr>
        <w:jc w:val="both"/>
      </w:pPr>
    </w:p>
    <w:p w14:paraId="3AC335A8" w14:textId="77777777" w:rsidR="717E282B" w:rsidRDefault="717E282B" w:rsidP="00E23DEA">
      <w:pPr>
        <w:jc w:val="both"/>
      </w:pPr>
    </w:p>
    <w:p w14:paraId="6DEE435F" w14:textId="77777777" w:rsidR="717E282B" w:rsidRDefault="717E282B" w:rsidP="00E23DEA">
      <w:pPr>
        <w:jc w:val="both"/>
      </w:pPr>
    </w:p>
    <w:p w14:paraId="689B8F71" w14:textId="77777777" w:rsidR="717E282B" w:rsidRDefault="717E282B" w:rsidP="00E23DEA">
      <w:pPr>
        <w:jc w:val="both"/>
      </w:pPr>
    </w:p>
    <w:p w14:paraId="32DACCAD" w14:textId="77777777" w:rsidR="709762D6" w:rsidRDefault="709762D6" w:rsidP="00E23DEA">
      <w:pPr>
        <w:jc w:val="both"/>
      </w:pPr>
    </w:p>
    <w:p w14:paraId="0EEACE89" w14:textId="77777777" w:rsidR="709762D6" w:rsidRDefault="709762D6" w:rsidP="00E23DEA">
      <w:pPr>
        <w:jc w:val="both"/>
      </w:pPr>
    </w:p>
    <w:p w14:paraId="61020E65" w14:textId="77777777" w:rsidR="717E282B" w:rsidRDefault="717E282B" w:rsidP="00E23DEA">
      <w:pPr>
        <w:jc w:val="both"/>
      </w:pPr>
    </w:p>
    <w:p w14:paraId="26EF347A" w14:textId="77777777" w:rsidR="5643BF48" w:rsidRDefault="5643BF48" w:rsidP="00E23DEA">
      <w:pPr>
        <w:jc w:val="both"/>
      </w:pPr>
    </w:p>
    <w:p w14:paraId="41BCE27E" w14:textId="77777777" w:rsidR="733B038C" w:rsidRDefault="733B038C" w:rsidP="00E23DEA">
      <w:pPr>
        <w:jc w:val="both"/>
      </w:pPr>
    </w:p>
    <w:p w14:paraId="0649E221" w14:textId="77777777" w:rsidR="717E282B" w:rsidRDefault="717E282B" w:rsidP="00E23DEA">
      <w:pPr>
        <w:jc w:val="both"/>
      </w:pPr>
    </w:p>
    <w:p w14:paraId="37B06188" w14:textId="77777777" w:rsidR="576062CF" w:rsidRDefault="576062CF" w:rsidP="00E23DEA">
      <w:pPr>
        <w:jc w:val="both"/>
      </w:pPr>
      <w:r>
        <w:br w:type="page"/>
      </w:r>
    </w:p>
    <w:p w14:paraId="049A5D80" w14:textId="77777777" w:rsidR="00904DBE" w:rsidRDefault="00876D68" w:rsidP="00E23DEA">
      <w:pPr>
        <w:pStyle w:val="SectionTitle"/>
        <w:jc w:val="both"/>
      </w:pPr>
      <w:sdt>
        <w:sdtPr>
          <w:id w:val="-1254123792"/>
          <w:placeholder>
            <w:docPart w:val="5E8B44E967F14DF59DF06ADE37B35437"/>
          </w:placeholder>
          <w:temporary/>
          <w:showingPlcHdr/>
          <w15:appearance w15:val="hidden"/>
        </w:sdtPr>
        <w:sdtEndPr/>
        <w:sdtContent>
          <w:r w:rsidR="00904DBE" w:rsidRPr="576062CF">
            <w:t>Abstract</w:t>
          </w:r>
        </w:sdtContent>
      </w:sdt>
      <w:r w:rsidR="00904DBE" w:rsidRPr="00FD478C">
        <w:t xml:space="preserve"> </w:t>
      </w:r>
    </w:p>
    <w:p w14:paraId="2A4919C8" w14:textId="1A0FC917" w:rsidR="00C60C3C" w:rsidRDefault="00C60C3C" w:rsidP="002916EE">
      <w:pPr>
        <w:jc w:val="both"/>
      </w:pPr>
      <w:r w:rsidRPr="00C60C3C">
        <w:t>This report provides a critical assessment of manufacturing systems at a strategic level to identify opportunities for new and emerging technologies that will enable Industry 4.0</w:t>
      </w:r>
      <w:r>
        <w:t>.</w:t>
      </w:r>
    </w:p>
    <w:p w14:paraId="03CD9FA8" w14:textId="04D78E4E" w:rsidR="002F5DFF" w:rsidRDefault="002F5DFF" w:rsidP="002916EE">
      <w:pPr>
        <w:jc w:val="both"/>
      </w:pPr>
      <w:r w:rsidRPr="002F5DFF">
        <w:t>This report examines the adoption of Industry 4.0 from a data perspective and the use of a common reference model.</w:t>
      </w:r>
    </w:p>
    <w:p w14:paraId="27B2CE60" w14:textId="7B156B44" w:rsidR="576062CF" w:rsidRDefault="576062CF" w:rsidP="00E23DEA">
      <w:pPr>
        <w:jc w:val="both"/>
      </w:pPr>
    </w:p>
    <w:p w14:paraId="11A3F472" w14:textId="77777777" w:rsidR="576062CF" w:rsidRDefault="576062CF" w:rsidP="00E23DEA">
      <w:pPr>
        <w:jc w:val="both"/>
      </w:pPr>
      <w:r>
        <w:br w:type="page"/>
      </w:r>
    </w:p>
    <w:p w14:paraId="59E57C66" w14:textId="2635AAE8" w:rsidR="00500997" w:rsidRDefault="00974769" w:rsidP="002C13FD">
      <w:pPr>
        <w:pStyle w:val="Heading1"/>
        <w:jc w:val="both"/>
      </w:pPr>
      <w:r>
        <w:lastRenderedPageBreak/>
        <w:t>INDUSTRY 4.0</w:t>
      </w:r>
      <w:r w:rsidR="00500997" w:rsidRPr="00FD478C">
        <w:t xml:space="preserve"> </w:t>
      </w:r>
    </w:p>
    <w:p w14:paraId="241DA5FA" w14:textId="77777777" w:rsidR="006C1D76" w:rsidRDefault="006C1D76" w:rsidP="00E23DEA">
      <w:pPr>
        <w:pStyle w:val="Default"/>
        <w:jc w:val="both"/>
      </w:pPr>
    </w:p>
    <w:p w14:paraId="2DCD1938" w14:textId="631B546B" w:rsidR="0001726F" w:rsidRDefault="006C1D76" w:rsidP="00E23DEA">
      <w:pPr>
        <w:jc w:val="both"/>
        <w:rPr>
          <w:rStyle w:val="A2"/>
        </w:rPr>
      </w:pPr>
      <w:r>
        <w:t xml:space="preserve"> </w:t>
      </w:r>
      <w:r w:rsidRPr="00ED6739">
        <w:t>Industry 4.0—</w:t>
      </w:r>
      <w:r w:rsidR="00565B70">
        <w:t xml:space="preserve"> the </w:t>
      </w:r>
      <w:r w:rsidRPr="00ED6739">
        <w:t>Fourth Industrial Revolution or 4IR—</w:t>
      </w:r>
      <w:r w:rsidR="00565B70">
        <w:t xml:space="preserve"> is a term widely used today to </w:t>
      </w:r>
      <w:r w:rsidR="00BD3DDD">
        <w:t>define the advancement of technology in the industrial domain</w:t>
      </w:r>
      <w:r w:rsidR="006D46CC">
        <w:t>; based on various use cases, this platform may also be</w:t>
      </w:r>
      <w:r w:rsidR="00BD3DDD">
        <w:t xml:space="preserve"> </w:t>
      </w:r>
      <w:r w:rsidR="00484C46">
        <w:t xml:space="preserve">referred as </w:t>
      </w:r>
      <w:r w:rsidR="00BD3DDD">
        <w:t>SMART Manufacturing</w:t>
      </w:r>
      <w:r w:rsidR="00484C46">
        <w:t xml:space="preserve"> or SMART FACTORY</w:t>
      </w:r>
      <w:r w:rsidR="00BD3DDD">
        <w:t xml:space="preserve">. The concept involves adoption of one or more </w:t>
      </w:r>
      <w:r w:rsidR="00484C46">
        <w:t>technologies to</w:t>
      </w:r>
      <w:r w:rsidR="00BD3DDD">
        <w:t xml:space="preserve"> optimize or</w:t>
      </w:r>
      <w:r w:rsidR="002A1231">
        <w:t>/ and</w:t>
      </w:r>
      <w:r w:rsidR="00BD3DDD">
        <w:t xml:space="preserve"> improve the efficiency of an industrial process, </w:t>
      </w:r>
      <w:r w:rsidR="002A1231">
        <w:t xml:space="preserve">assets, and people.  These digitization or even digital transformation </w:t>
      </w:r>
      <w:r w:rsidR="00BD3DDD">
        <w:t>technolog</w:t>
      </w:r>
      <w:r w:rsidR="002A1231">
        <w:t xml:space="preserve">ies were driven by the advancement in Data handling capability, connectivity of systems from shop floor to </w:t>
      </w:r>
      <w:r w:rsidR="003C0020">
        <w:t>cloud, Data</w:t>
      </w:r>
      <w:r w:rsidR="002A1231">
        <w:t xml:space="preserve"> analytics </w:t>
      </w:r>
      <w:r w:rsidR="00A16C02">
        <w:t>capability, robotics</w:t>
      </w:r>
      <w:r w:rsidR="002A1231">
        <w:t xml:space="preserve"> to name a few. (M</w:t>
      </w:r>
      <w:r w:rsidR="00E4732B">
        <w:t>CKINSEY</w:t>
      </w:r>
      <w:r w:rsidR="002A1231">
        <w:t xml:space="preserve">, 2022) </w:t>
      </w:r>
    </w:p>
    <w:p w14:paraId="75A66332" w14:textId="00787092" w:rsidR="00ED6739" w:rsidRDefault="003C5699" w:rsidP="00E23DEA">
      <w:pPr>
        <w:jc w:val="both"/>
      </w:pPr>
      <w:r w:rsidRPr="00ED6739">
        <w:t>In the words of German Chancellor Angela Merkel, Industry 4.0 is 'the comprehensive transformation of the whole sphere of industrial production through the merging of digital technology and the internet with conventional industry'</w:t>
      </w:r>
      <w:r w:rsidR="00AF79AA">
        <w:t xml:space="preserve"> (European Union, 2015)</w:t>
      </w:r>
      <w:r w:rsidRPr="00ED6739">
        <w:t>. The term Industry 4.0</w:t>
      </w:r>
      <w:r w:rsidR="00FC53C4" w:rsidRPr="00ED6739">
        <w:t xml:space="preserve"> </w:t>
      </w:r>
      <w:r w:rsidRPr="00ED6739">
        <w:t xml:space="preserve">originated in Germany, but the concept largely overlaps </w:t>
      </w:r>
      <w:r w:rsidR="00DA4FEE" w:rsidRPr="00ED6739">
        <w:t xml:space="preserve">with </w:t>
      </w:r>
      <w:r w:rsidRPr="00ED6739">
        <w:t xml:space="preserve">Smart factories, the Industrial Internet of Things, Smart industry, or Advanced </w:t>
      </w:r>
      <w:r w:rsidR="00ED6739" w:rsidRPr="00ED6739">
        <w:t>manufacturing.</w:t>
      </w:r>
      <w:r w:rsidR="00ED6739">
        <w:t xml:space="preserve"> </w:t>
      </w:r>
    </w:p>
    <w:p w14:paraId="75AA8A58" w14:textId="634D32EB" w:rsidR="003C5699" w:rsidRPr="00A16C02" w:rsidRDefault="00A16C02" w:rsidP="00A16C02">
      <w:pPr>
        <w:jc w:val="both"/>
      </w:pPr>
      <w:r>
        <w:rPr>
          <w:noProof/>
        </w:rPr>
        <w:drawing>
          <wp:anchor distT="0" distB="0" distL="114300" distR="114300" simplePos="0" relativeHeight="251658240" behindDoc="0" locked="0" layoutInCell="1" allowOverlap="1" wp14:anchorId="59354899" wp14:editId="73C3B801">
            <wp:simplePos x="0" y="0"/>
            <wp:positionH relativeFrom="column">
              <wp:posOffset>9525</wp:posOffset>
            </wp:positionH>
            <wp:positionV relativeFrom="paragraph">
              <wp:posOffset>569595</wp:posOffset>
            </wp:positionV>
            <wp:extent cx="3596640" cy="3133725"/>
            <wp:effectExtent l="0" t="0" r="3810" b="9525"/>
            <wp:wrapSquare wrapText="bothSides"/>
            <wp:docPr id="1" name="Picture 1" descr="A circular diagram of indus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ular diagram of industr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6640" cy="3133725"/>
                    </a:xfrm>
                    <a:prstGeom prst="rect">
                      <a:avLst/>
                    </a:prstGeom>
                  </pic:spPr>
                </pic:pic>
              </a:graphicData>
            </a:graphic>
            <wp14:sizeRelH relativeFrom="margin">
              <wp14:pctWidth>0</wp14:pctWidth>
            </wp14:sizeRelH>
            <wp14:sizeRelV relativeFrom="margin">
              <wp14:pctHeight>0</wp14:pctHeight>
            </wp14:sizeRelV>
          </wp:anchor>
        </w:drawing>
      </w:r>
      <w:r w:rsidR="003C5699" w:rsidRPr="00ED6739">
        <w:t>A</w:t>
      </w:r>
      <w:r w:rsidR="003C5699" w:rsidRPr="00A16C02">
        <w:t xml:space="preserve">s per the report </w:t>
      </w:r>
      <w:r w:rsidR="00DA4FEE" w:rsidRPr="00A16C02">
        <w:t>from the BCG Consulting group</w:t>
      </w:r>
      <w:r w:rsidR="00C341EE" w:rsidRPr="00A16C02">
        <w:t xml:space="preserve"> </w:t>
      </w:r>
      <w:r w:rsidR="00DA4FEE" w:rsidRPr="00A16C02">
        <w:t xml:space="preserve">there </w:t>
      </w:r>
      <w:r w:rsidR="00AF79AA">
        <w:t>are multiple</w:t>
      </w:r>
      <w:r w:rsidR="00DA4FEE" w:rsidRPr="00A16C02">
        <w:t xml:space="preserve"> technology trends that forms the foundation of Industry </w:t>
      </w:r>
      <w:r w:rsidR="00ED6739" w:rsidRPr="00A16C02">
        <w:t>4.0,</w:t>
      </w:r>
      <w:r w:rsidR="00DA4FEE" w:rsidRPr="00A16C02">
        <w:t xml:space="preserve"> and these technologies can transform business. These include</w:t>
      </w:r>
      <w:r w:rsidR="00AF79AA">
        <w:t xml:space="preserve"> </w:t>
      </w:r>
      <w:r w:rsidR="00AF79AA" w:rsidRPr="00A16C02">
        <w:t>Augmented Reality</w:t>
      </w:r>
      <w:r w:rsidR="00AF79AA">
        <w:t>, Big Data and Analytics,</w:t>
      </w:r>
      <w:r w:rsidR="00DA4FEE" w:rsidRPr="00A16C02">
        <w:t xml:space="preserve"> </w:t>
      </w:r>
      <w:r w:rsidR="00ED6739" w:rsidRPr="00A16C02">
        <w:t xml:space="preserve">Additive Manufacturing, Autonomous Robots, Simulation, The Industrial Internet of Things, </w:t>
      </w:r>
      <w:r w:rsidR="00AF79AA" w:rsidRPr="00A16C02">
        <w:t xml:space="preserve">Horizontal and Vertical System Integration, </w:t>
      </w:r>
      <w:r w:rsidR="00ED6739" w:rsidRPr="00A16C02">
        <w:t xml:space="preserve">Cybersecurity, The Cloud. </w:t>
      </w:r>
      <w:r w:rsidRPr="00A16C02">
        <w:t>(Boston Consulting Group, 2015)</w:t>
      </w:r>
    </w:p>
    <w:p w14:paraId="4A85AFA4" w14:textId="6F6444CF" w:rsidR="00DA4FEE" w:rsidRDefault="00DA4FEE" w:rsidP="00E23DEA">
      <w:pPr>
        <w:jc w:val="both"/>
      </w:pPr>
    </w:p>
    <w:p w14:paraId="0D1F5D4A" w14:textId="77777777" w:rsidR="00A16C02" w:rsidRDefault="00A16C02" w:rsidP="00E23DEA">
      <w:pPr>
        <w:jc w:val="both"/>
        <w:rPr>
          <w:rFonts w:ascii="Agency FB" w:hAnsi="Agency FB"/>
        </w:rPr>
      </w:pPr>
    </w:p>
    <w:p w14:paraId="4360984E" w14:textId="26215AFB" w:rsidR="00DA4FEE" w:rsidRPr="00AE326E" w:rsidRDefault="00DA4FEE" w:rsidP="00E23DEA">
      <w:pPr>
        <w:jc w:val="both"/>
        <w:rPr>
          <w:rFonts w:cstheme="minorHAnsi"/>
        </w:rPr>
      </w:pPr>
      <w:r w:rsidRPr="00AE326E">
        <w:rPr>
          <w:rFonts w:cstheme="minorHAnsi"/>
        </w:rPr>
        <w:t xml:space="preserve">Figure: Nine Technologies are Transforming Industrial Production. </w:t>
      </w:r>
      <w:r w:rsidR="00AE326E" w:rsidRPr="00AE326E">
        <w:rPr>
          <w:rFonts w:cstheme="minorHAnsi"/>
        </w:rPr>
        <w:t>(Boston</w:t>
      </w:r>
      <w:r w:rsidR="003C0020" w:rsidRPr="00AE326E">
        <w:rPr>
          <w:rFonts w:cstheme="minorHAnsi"/>
        </w:rPr>
        <w:t xml:space="preserve"> Consulting Group, 2015)</w:t>
      </w:r>
    </w:p>
    <w:p w14:paraId="1204042F" w14:textId="3AC834F6" w:rsidR="00CB0EC2" w:rsidRDefault="00E53691" w:rsidP="0029105F">
      <w:pPr>
        <w:jc w:val="both"/>
      </w:pPr>
      <w:r>
        <w:t xml:space="preserve">Over the years, the technology advancement </w:t>
      </w:r>
      <w:r w:rsidR="002D1BA0">
        <w:t xml:space="preserve">contributed to incorporate new emerging technologies into industry 4.0. State of art technologies such as 5G and Quantum computing has been added. </w:t>
      </w:r>
      <w:r w:rsidR="0001726F" w:rsidRPr="00ED6739">
        <w:t xml:space="preserve">As per Stylianos, the following emerging technologies </w:t>
      </w:r>
      <w:r w:rsidR="00AF79AA">
        <w:t>will be key players that define</w:t>
      </w:r>
      <w:r w:rsidR="0001726F" w:rsidRPr="00ED6739">
        <w:t xml:space="preserve"> new business models in industry 4.0 </w:t>
      </w:r>
      <w:r w:rsidR="002D1BA0">
        <w:t>(STYLIANOS, 2022)</w:t>
      </w:r>
    </w:p>
    <w:p w14:paraId="774F8062" w14:textId="3FFD2B89" w:rsidR="00CB0EC2" w:rsidRDefault="00CB0EC2" w:rsidP="0029105F">
      <w:pPr>
        <w:jc w:val="both"/>
      </w:pPr>
    </w:p>
    <w:p w14:paraId="6E7BEB07" w14:textId="77777777" w:rsidR="00CB0EC2" w:rsidRPr="0029105F" w:rsidRDefault="00CB0EC2" w:rsidP="0029105F">
      <w:pPr>
        <w:jc w:val="both"/>
      </w:pPr>
    </w:p>
    <w:p w14:paraId="2966FF42" w14:textId="501C318D" w:rsidR="576062CF" w:rsidRPr="002F5DFF" w:rsidRDefault="002F5DFF" w:rsidP="002F5DFF">
      <w:pPr>
        <w:pStyle w:val="Heading1"/>
        <w:ind w:left="431" w:hanging="431"/>
        <w:jc w:val="left"/>
      </w:pPr>
      <w:r w:rsidRPr="002F5DFF">
        <w:t>Challenges with existing Manufacturing eco-system</w:t>
      </w:r>
    </w:p>
    <w:p w14:paraId="534B71D7" w14:textId="535E55CE" w:rsidR="002F5DFF" w:rsidRDefault="002F5DFF" w:rsidP="002F5DFF">
      <w:pPr>
        <w:pStyle w:val="Heading2"/>
      </w:pPr>
      <w:r>
        <w:t>D</w:t>
      </w:r>
      <w:r w:rsidRPr="002F5DFF">
        <w:t>isparate</w:t>
      </w:r>
      <w:r w:rsidRPr="002F5DFF">
        <w:t xml:space="preserve"> Systems and Database</w:t>
      </w:r>
    </w:p>
    <w:p w14:paraId="650E90AE" w14:textId="398D8A2C" w:rsidR="002F5DFF" w:rsidRPr="002F5DFF" w:rsidRDefault="002F5DFF" w:rsidP="002F5DFF">
      <w:r w:rsidRPr="002F5DFF">
        <w:t xml:space="preserve">Most large manufacturing facilities typically grow over time through mergers and acquisitions. From an enterprise perspective, this introduces several </w:t>
      </w:r>
      <w:r w:rsidR="00C60C3C">
        <w:t xml:space="preserve">application and database </w:t>
      </w:r>
      <w:r w:rsidRPr="002F5DFF">
        <w:t>systems into the portfolio, alongside</w:t>
      </w:r>
      <w:r>
        <w:t xml:space="preserve">. </w:t>
      </w:r>
      <w:r w:rsidRPr="002F5DFF">
        <w:t>At many times, it is not feasible to remove and replace these systems due to various constraints, including financial investment, operational downtime, and operator training requirements etc.</w:t>
      </w:r>
    </w:p>
    <w:p w14:paraId="105B2E0B" w14:textId="05FA99BF" w:rsidR="002F5DFF" w:rsidRDefault="002F5DFF" w:rsidP="002F5DFF">
      <w:pPr>
        <w:pStyle w:val="Heading2"/>
      </w:pPr>
      <w:r w:rsidRPr="002F5DFF">
        <w:t xml:space="preserve">Multiple ERPs and MES systems </w:t>
      </w:r>
    </w:p>
    <w:p w14:paraId="5DF74416" w14:textId="2B961932" w:rsidR="00C60C3C" w:rsidRDefault="00C60C3C" w:rsidP="00C60C3C">
      <w:pPr>
        <w:pStyle w:val="Heading2"/>
        <w:numPr>
          <w:ilvl w:val="0"/>
          <w:numId w:val="0"/>
        </w:numPr>
        <w:rPr>
          <w:b w:val="0"/>
          <w:bCs w:val="0"/>
        </w:rPr>
      </w:pPr>
      <w:r w:rsidRPr="00C60C3C">
        <w:rPr>
          <w:b w:val="0"/>
          <w:bCs w:val="0"/>
        </w:rPr>
        <w:t xml:space="preserve">Prior to the introduction of cloud-based ERP and MES systems, manufacturing companies often deployed individual ERP and MES systems based on specific use cases, such as supply chain, operations, finance, and inventory management. These systems typically have separate databases and protocols, making it difficult to integrate them with other systems, which poses a challenge for creating a single source of truth for </w:t>
      </w:r>
      <w:r w:rsidRPr="00C60C3C">
        <w:rPr>
          <w:b w:val="0"/>
          <w:bCs w:val="0"/>
        </w:rPr>
        <w:t>visualization</w:t>
      </w:r>
      <w:r w:rsidRPr="00C60C3C">
        <w:rPr>
          <w:b w:val="0"/>
          <w:bCs w:val="0"/>
        </w:rPr>
        <w:t xml:space="preserve"> and decision-making capabilities.  </w:t>
      </w:r>
    </w:p>
    <w:p w14:paraId="385169C8" w14:textId="77777777" w:rsidR="00C60C3C" w:rsidRPr="00C60C3C" w:rsidRDefault="00C60C3C" w:rsidP="00C60C3C"/>
    <w:p w14:paraId="195B95E7" w14:textId="7B4E3DD2" w:rsidR="002F5DFF" w:rsidRDefault="002F5DFF" w:rsidP="002F5DFF">
      <w:pPr>
        <w:pStyle w:val="Heading2"/>
      </w:pPr>
      <w:r w:rsidRPr="002F5DFF">
        <w:t xml:space="preserve">Managing Operation Data is complex (AVEVA- include display) </w:t>
      </w:r>
    </w:p>
    <w:p w14:paraId="4AEEF7B9" w14:textId="77777777" w:rsidR="00C60C3C" w:rsidRDefault="00C60C3C" w:rsidP="00C60C3C">
      <w:pPr>
        <w:rPr>
          <w:noProof/>
        </w:rPr>
      </w:pPr>
      <w:r>
        <w:rPr>
          <w:noProof/>
        </w:rPr>
        <w:lastRenderedPageBreak/>
        <w:t xml:space="preserve">There are various sources of operational data, including instruments, IIoT sensors and gateways, controllers, PLCs, SCADAs, and DCS systems. This data typically feeds into historians, cloud systems, or laboratory information management systems through different protocols such as OPC UA, XML or similar flat files or manual transfer. Data is processed and consumed through various tools such as spreadsheets, planning and scheduling systems, and Business Intelligence software. </w:t>
      </w:r>
    </w:p>
    <w:p w14:paraId="14175948" w14:textId="4CA2625A" w:rsidR="00C60C3C" w:rsidRDefault="00C60C3C" w:rsidP="00C60C3C">
      <w:pPr>
        <w:rPr>
          <w:noProof/>
        </w:rPr>
      </w:pPr>
      <w:r>
        <w:rPr>
          <w:noProof/>
        </w:rPr>
        <w:t>Consequently, the accuracy of the original data source may become blurred over time and during the processing stages.</w:t>
      </w:r>
    </w:p>
    <w:p w14:paraId="59A15E62" w14:textId="77777777" w:rsidR="00C60C3C" w:rsidRDefault="00C60C3C" w:rsidP="00C60C3C">
      <w:pPr>
        <w:pStyle w:val="Heading1"/>
        <w:numPr>
          <w:ilvl w:val="0"/>
          <w:numId w:val="0"/>
        </w:numPr>
        <w:ind w:left="431"/>
        <w:jc w:val="left"/>
        <w:rPr>
          <w:noProof/>
        </w:rPr>
      </w:pPr>
    </w:p>
    <w:p w14:paraId="41014BB5" w14:textId="1EAEC493" w:rsidR="00C60C3C" w:rsidRDefault="00C60C3C" w:rsidP="00C60C3C">
      <w:pPr>
        <w:pStyle w:val="Heading1"/>
        <w:numPr>
          <w:ilvl w:val="0"/>
          <w:numId w:val="0"/>
        </w:numPr>
        <w:jc w:val="left"/>
      </w:pPr>
      <w:r>
        <w:rPr>
          <w:noProof/>
        </w:rPr>
        <w:drawing>
          <wp:inline distT="0" distB="0" distL="0" distR="0" wp14:anchorId="0BE7BA4A" wp14:editId="0DCC5898">
            <wp:extent cx="5943600" cy="2595880"/>
            <wp:effectExtent l="0" t="0" r="0" b="0"/>
            <wp:docPr id="17" name="Picture 17" descr="A diagram of a complex syst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diagram of a complex system&#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943600" cy="2595880"/>
                    </a:xfrm>
                    <a:prstGeom prst="rect">
                      <a:avLst/>
                    </a:prstGeom>
                  </pic:spPr>
                </pic:pic>
              </a:graphicData>
            </a:graphic>
          </wp:inline>
        </w:drawing>
      </w:r>
    </w:p>
    <w:p w14:paraId="31B7EF41" w14:textId="4554EA93" w:rsidR="00C60C3C" w:rsidRDefault="00C60C3C" w:rsidP="00C60C3C">
      <w:r>
        <w:t>Source: AVEVA, 2021</w:t>
      </w:r>
    </w:p>
    <w:p w14:paraId="65B7E4E3" w14:textId="77777777" w:rsidR="00C60C3C" w:rsidRPr="00C60C3C" w:rsidRDefault="00C60C3C" w:rsidP="00C60C3C"/>
    <w:p w14:paraId="79F6A100" w14:textId="389ED940" w:rsidR="002F5DFF" w:rsidRDefault="002F5DFF" w:rsidP="002F5DFF">
      <w:pPr>
        <w:pStyle w:val="Heading1"/>
        <w:ind w:left="431" w:hanging="431"/>
        <w:jc w:val="left"/>
      </w:pPr>
      <w:r w:rsidRPr="002F5DFF">
        <w:t>Building Digital Manufacturing Capability</w:t>
      </w:r>
    </w:p>
    <w:p w14:paraId="3FF94F02" w14:textId="1A308ECA" w:rsidR="002F5DFF" w:rsidRDefault="002F5DFF" w:rsidP="002F5DFF">
      <w:r>
        <w:t xml:space="preserve">Industry 4.0 should not be viewed as an objective but a means to achieve our objectives </w:t>
      </w:r>
      <w:r w:rsidR="00C60C3C">
        <w:t>of</w:t>
      </w:r>
      <w:r>
        <w:t xml:space="preserve"> Smart Manufacturing. </w:t>
      </w:r>
      <w:r w:rsidR="00C60C3C" w:rsidRPr="00C60C3C">
        <w:t>There are numerous measures that can be implemented to embrace Industry 4.0 in the manufacturing industry. This section delves into a selection of industry practices that promote this requirement.</w:t>
      </w:r>
    </w:p>
    <w:p w14:paraId="6C8ED44F" w14:textId="77777777" w:rsidR="002F5DFF" w:rsidRPr="002F5DFF" w:rsidRDefault="002F5DFF" w:rsidP="002F5DFF">
      <w:pPr>
        <w:pStyle w:val="Heading2"/>
      </w:pPr>
      <w:r w:rsidRPr="002F5DFF">
        <w:t xml:space="preserve">Identify Industry4 / Industrial IoT Maturity Status </w:t>
      </w:r>
    </w:p>
    <w:p w14:paraId="76559B9A" w14:textId="3F4175D4" w:rsidR="002F5DFF" w:rsidRDefault="00C60C3C" w:rsidP="002F5DFF">
      <w:pPr>
        <w:rPr>
          <w:rFonts w:ascii="Calibri" w:hAnsi="Calibri" w:cs="Calibri"/>
        </w:rPr>
      </w:pPr>
      <w:r w:rsidRPr="00C60C3C">
        <w:rPr>
          <w:rFonts w:ascii="Calibri" w:hAnsi="Calibri" w:cs="Calibri"/>
        </w:rPr>
        <w:lastRenderedPageBreak/>
        <w:t>This</w:t>
      </w:r>
      <w:r>
        <w:rPr>
          <w:rFonts w:ascii="Calibri" w:hAnsi="Calibri" w:cs="Calibri"/>
        </w:rPr>
        <w:t xml:space="preserve"> exercise</w:t>
      </w:r>
      <w:r w:rsidRPr="00C60C3C">
        <w:rPr>
          <w:rFonts w:ascii="Calibri" w:hAnsi="Calibri" w:cs="Calibri"/>
        </w:rPr>
        <w:t xml:space="preserve"> can be</w:t>
      </w:r>
      <w:r>
        <w:rPr>
          <w:rFonts w:ascii="Calibri" w:hAnsi="Calibri" w:cs="Calibri"/>
        </w:rPr>
        <w:t xml:space="preserve"> executed at enterprise level, </w:t>
      </w:r>
      <w:r w:rsidRPr="00C60C3C">
        <w:rPr>
          <w:rFonts w:ascii="Calibri" w:hAnsi="Calibri" w:cs="Calibri"/>
        </w:rPr>
        <w:t xml:space="preserve">company, </w:t>
      </w:r>
      <w:r w:rsidRPr="00C60C3C">
        <w:rPr>
          <w:rFonts w:ascii="Calibri" w:hAnsi="Calibri" w:cs="Calibri"/>
        </w:rPr>
        <w:t>division,</w:t>
      </w:r>
      <w:r w:rsidRPr="00C60C3C">
        <w:rPr>
          <w:rFonts w:ascii="Calibri" w:hAnsi="Calibri" w:cs="Calibri"/>
        </w:rPr>
        <w:t xml:space="preserve"> or individual plant level.</w:t>
      </w:r>
      <w:r>
        <w:rPr>
          <w:rFonts w:ascii="Calibri" w:hAnsi="Calibri" w:cs="Calibri"/>
        </w:rPr>
        <w:t xml:space="preserve"> </w:t>
      </w:r>
      <w:r w:rsidRPr="00C60C3C">
        <w:rPr>
          <w:rFonts w:ascii="Calibri" w:hAnsi="Calibri" w:cs="Calibri"/>
        </w:rPr>
        <w:t>However, it is always advisable to implement it at the enterprise level.</w:t>
      </w:r>
    </w:p>
    <w:p w14:paraId="522CD084" w14:textId="4D521AAF" w:rsidR="002F5DFF" w:rsidRPr="00C60C3C" w:rsidRDefault="002F5DFF" w:rsidP="00C60C3C">
      <w:pPr>
        <w:pStyle w:val="Heading3"/>
      </w:pPr>
      <w:r w:rsidRPr="00C60C3C">
        <w:t xml:space="preserve">IIoT Readiness Assessment </w:t>
      </w:r>
    </w:p>
    <w:p w14:paraId="0C22998F" w14:textId="77777777" w:rsidR="00C60C3C" w:rsidRPr="00C60C3C" w:rsidRDefault="00C60C3C" w:rsidP="00C60C3C">
      <w:r w:rsidRPr="00C60C3C">
        <w:t xml:space="preserve">The Industrial IoT Readiness Assessment can help to comprehend the current company infrastructure in relation to the Internet of Things (IoT). </w:t>
      </w:r>
    </w:p>
    <w:p w14:paraId="2669C902" w14:textId="77777777" w:rsidR="00C60C3C" w:rsidRPr="00C60C3C" w:rsidRDefault="00C60C3C" w:rsidP="00C60C3C">
      <w:pPr>
        <w:spacing w:line="240" w:lineRule="auto"/>
        <w:textAlignment w:val="center"/>
      </w:pPr>
    </w:p>
    <w:p w14:paraId="2DAC1206" w14:textId="5532D42B" w:rsidR="00C60C3C" w:rsidRPr="00C60C3C" w:rsidRDefault="00C60C3C" w:rsidP="00C60C3C">
      <w:r w:rsidRPr="00C60C3C">
        <w:t>This comprises of the company's vision and strategy for IoT, willingness to invest in IoT-based</w:t>
      </w:r>
      <w:r w:rsidRPr="00C60C3C">
        <w:t xml:space="preserve"> i</w:t>
      </w:r>
      <w:r w:rsidRPr="00C60C3C">
        <w:t>nfrastructure, and evolution</w:t>
      </w:r>
      <w:r w:rsidRPr="00C60C3C">
        <w:t xml:space="preserve"> </w:t>
      </w:r>
      <w:r w:rsidRPr="00C60C3C">
        <w:t xml:space="preserve">of design for IoT in product and service management. </w:t>
      </w:r>
      <w:r w:rsidRPr="00C60C3C">
        <w:t xml:space="preserve"> </w:t>
      </w:r>
      <w:r w:rsidRPr="00C60C3C">
        <w:t>Additionally, the assessment considers other IoT enablement capabilities.</w:t>
      </w:r>
    </w:p>
    <w:p w14:paraId="7CC3CBDB" w14:textId="0D9748BD" w:rsidR="002F5DFF" w:rsidRDefault="002F5DFF" w:rsidP="002F5DFF"/>
    <w:p w14:paraId="5ECEEB59" w14:textId="51D53B6D" w:rsidR="00C60C3C" w:rsidRDefault="00C60C3C" w:rsidP="00C60C3C">
      <w:r w:rsidRPr="00C60C3C">
        <w:t xml:space="preserve">A report can be generated from the readiness assessment, outlining the mentioned </w:t>
      </w:r>
      <w:r w:rsidRPr="00C60C3C">
        <w:t>capabilities,</w:t>
      </w:r>
      <w:r w:rsidRPr="00C60C3C">
        <w:t xml:space="preserve"> and conforming to industry standards. This report will serve as a useful reference guide. Normally, this can be presented using spider charts. A standard illustration is provided below from NOVENTUM,</w:t>
      </w:r>
      <w:r>
        <w:t xml:space="preserve"> 2023</w:t>
      </w:r>
      <w:r w:rsidRPr="00C60C3C">
        <w:t xml:space="preserve"> an assessment organization. </w:t>
      </w:r>
      <w:r w:rsidR="002F5DFF">
        <w:rPr>
          <w:noProof/>
        </w:rPr>
        <w:drawing>
          <wp:inline distT="0" distB="0" distL="0" distR="0" wp14:anchorId="761591D8" wp14:editId="3488F38C">
            <wp:extent cx="4744112" cy="271500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44112" cy="2715004"/>
                    </a:xfrm>
                    <a:prstGeom prst="rect">
                      <a:avLst/>
                    </a:prstGeom>
                  </pic:spPr>
                </pic:pic>
              </a:graphicData>
            </a:graphic>
          </wp:inline>
        </w:drawing>
      </w:r>
    </w:p>
    <w:p w14:paraId="65364B85" w14:textId="4E7FB9D2" w:rsidR="00C60C3C" w:rsidRDefault="00C60C3C" w:rsidP="00C60C3C">
      <w:r>
        <w:t>(Source: NOVENTUM, 2023)</w:t>
      </w:r>
    </w:p>
    <w:p w14:paraId="4327952A" w14:textId="122F1B45" w:rsidR="00C60C3C" w:rsidRPr="00C60C3C" w:rsidRDefault="00C60C3C" w:rsidP="00C60C3C">
      <w:pPr>
        <w:pStyle w:val="Heading3"/>
      </w:pPr>
      <w:r w:rsidRPr="00C60C3C">
        <w:t xml:space="preserve">OT/IT </w:t>
      </w:r>
      <w:r w:rsidRPr="00C60C3C">
        <w:t xml:space="preserve">Convergence and </w:t>
      </w:r>
      <w:r w:rsidRPr="00C60C3C">
        <w:t>Security Posture</w:t>
      </w:r>
    </w:p>
    <w:p w14:paraId="1152C5C0" w14:textId="77777777" w:rsidR="00C60C3C" w:rsidRPr="00C60C3C" w:rsidRDefault="00C60C3C" w:rsidP="00C60C3C">
      <w:r w:rsidRPr="00C60C3C">
        <w:lastRenderedPageBreak/>
        <w:t xml:space="preserve">Identifying the convergence of IT and OT, as well as establishing a secure posture, holds paramount importance in every manufacturing sector.  This should involve identifying the areas where IT and OT overlap. This document should outline the necessary connections between various systems, including Human Machine Interfaces, Manufacturing Execution Systems, DCS, and SCADA systems on the OT side to improve Operational Intelligence. </w:t>
      </w:r>
    </w:p>
    <w:p w14:paraId="3D974A7A" w14:textId="77777777" w:rsidR="00C60C3C" w:rsidRPr="00C60C3C" w:rsidRDefault="00C60C3C" w:rsidP="00C60C3C">
      <w:r w:rsidRPr="00C60C3C">
        <w:t>On the IT side, we also have systems that offer Business Intelligence through actionable insights from reports, dashboards, trends, KPI boards, and interfaces for machine learning and predictive capabilities.</w:t>
      </w:r>
    </w:p>
    <w:p w14:paraId="686C89AC" w14:textId="51F1A016" w:rsidR="00C60C3C" w:rsidRDefault="00C60C3C" w:rsidP="00C60C3C">
      <w:pPr>
        <w:pStyle w:val="NormalWeb"/>
        <w:spacing w:before="0" w:beforeAutospacing="0" w:after="0" w:afterAutospacing="0"/>
        <w:rPr>
          <w:rFonts w:ascii="Calibri" w:hAnsi="Calibri" w:cs="Calibri"/>
          <w:sz w:val="22"/>
          <w:szCs w:val="22"/>
        </w:rPr>
      </w:pPr>
      <w:r w:rsidRPr="00C60C3C">
        <w:rPr>
          <w:rFonts w:ascii="Calibri" w:eastAsiaTheme="minorHAnsi" w:hAnsi="Calibri" w:cs="Calibri"/>
          <w:sz w:val="22"/>
          <w:szCs w:val="22"/>
          <w:lang w:val="en-US" w:eastAsia="en-US"/>
        </w:rPr>
        <w:t xml:space="preserve"> </w:t>
      </w:r>
      <w:r>
        <w:rPr>
          <w:rFonts w:ascii="Calibri" w:hAnsi="Calibri" w:cs="Calibri"/>
          <w:noProof/>
          <w:sz w:val="22"/>
          <w:szCs w:val="22"/>
        </w:rPr>
        <w:drawing>
          <wp:inline distT="0" distB="0" distL="0" distR="0" wp14:anchorId="2908A25D" wp14:editId="6CF69198">
            <wp:extent cx="5943600" cy="2121535"/>
            <wp:effectExtent l="0" t="0" r="0" b="0"/>
            <wp:docPr id="18" name="Picture 18"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diagram of a company&#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943600" cy="2121535"/>
                    </a:xfrm>
                    <a:prstGeom prst="rect">
                      <a:avLst/>
                    </a:prstGeom>
                  </pic:spPr>
                </pic:pic>
              </a:graphicData>
            </a:graphic>
          </wp:inline>
        </w:drawing>
      </w:r>
    </w:p>
    <w:p w14:paraId="40667582" w14:textId="2246DCCB" w:rsidR="002F5DFF" w:rsidRDefault="00C60C3C" w:rsidP="002F5DFF">
      <w:r>
        <w:t>(Source: AVEVA, 2021)</w:t>
      </w:r>
    </w:p>
    <w:p w14:paraId="3F40DC60" w14:textId="7FAE6D6A" w:rsidR="002F5DFF" w:rsidRDefault="002F5DFF" w:rsidP="002F5DFF">
      <w:pPr>
        <w:pStyle w:val="Heading2"/>
      </w:pPr>
      <w:r>
        <w:t>Adopting Industry4.0 / Digital Manufacturing</w:t>
      </w:r>
    </w:p>
    <w:p w14:paraId="7DDD91C9" w14:textId="77777777" w:rsidR="002F5DFF" w:rsidRDefault="002F5DFF" w:rsidP="002F5DFF">
      <w:pPr>
        <w:pStyle w:val="Heading3"/>
        <w:numPr>
          <w:ilvl w:val="0"/>
          <w:numId w:val="0"/>
        </w:numPr>
        <w:ind w:left="720" w:hanging="720"/>
        <w:rPr>
          <w:b w:val="0"/>
          <w:bCs w:val="0"/>
          <w:i/>
          <w:iCs w:val="0"/>
        </w:rPr>
      </w:pPr>
      <w:r w:rsidRPr="002F5DFF">
        <w:rPr>
          <w:b w:val="0"/>
          <w:bCs w:val="0"/>
          <w:iCs w:val="0"/>
        </w:rPr>
        <w:t xml:space="preserve">This section examines the primary components of Industry 4.0 from an adoption standpoint. </w:t>
      </w:r>
    </w:p>
    <w:p w14:paraId="43F8DB53" w14:textId="1E7ADC4F" w:rsidR="002F5DFF" w:rsidRDefault="002F5DFF" w:rsidP="002F5DFF">
      <w:pPr>
        <w:pStyle w:val="Heading3"/>
      </w:pPr>
      <w:r w:rsidRPr="002F5DFF">
        <w:t>Industry4.0 Framework</w:t>
      </w:r>
    </w:p>
    <w:p w14:paraId="23B4DB66" w14:textId="6C51A441" w:rsidR="00C60C3C" w:rsidRDefault="00C60C3C" w:rsidP="002F5DFF">
      <w:r w:rsidRPr="00C60C3C">
        <w:t>There are several Industry 4.0 frameworks to choose from. However, RAMI 4.0 is the most popularly adopted framework, which is extensively discussed in this report.</w:t>
      </w:r>
      <w:r>
        <w:t xml:space="preserve"> </w:t>
      </w:r>
    </w:p>
    <w:p w14:paraId="3C59D932" w14:textId="06DB3CB7" w:rsidR="002F5DFF" w:rsidRDefault="002F5DFF" w:rsidP="002F5DFF">
      <w:r>
        <w:rPr>
          <w:noProof/>
        </w:rPr>
        <w:lastRenderedPageBreak/>
        <w:drawing>
          <wp:inline distT="0" distB="0" distL="0" distR="0" wp14:anchorId="7ED41834" wp14:editId="4253EBAA">
            <wp:extent cx="4306616" cy="3215888"/>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15023" cy="3222165"/>
                    </a:xfrm>
                    <a:prstGeom prst="rect">
                      <a:avLst/>
                    </a:prstGeom>
                  </pic:spPr>
                </pic:pic>
              </a:graphicData>
            </a:graphic>
          </wp:inline>
        </w:drawing>
      </w:r>
    </w:p>
    <w:p w14:paraId="09431339" w14:textId="1E14AE06" w:rsidR="00C60C3C" w:rsidRPr="00C60C3C" w:rsidRDefault="00C60C3C" w:rsidP="00C60C3C">
      <w:r w:rsidRPr="00C60C3C">
        <w:t>The RAMI 4.0 utilises a 3-axis model. The Hierarchy Levels Axis of ISA95 has been expanded to incorporate work pieces identified as a PRODUCT and a CONNECTED WORLD for the Connection to Internet of Things.</w:t>
      </w:r>
    </w:p>
    <w:p w14:paraId="6D4531C5" w14:textId="1A64E150" w:rsidR="00C60C3C" w:rsidRPr="00C60C3C" w:rsidRDefault="00C60C3C" w:rsidP="00C60C3C">
      <w:r w:rsidRPr="00C60C3C">
        <w:t>The Life</w:t>
      </w:r>
      <w:r w:rsidRPr="00C60C3C">
        <w:t xml:space="preserve"> </w:t>
      </w:r>
      <w:r w:rsidRPr="00C60C3C">
        <w:t>Cycle &amp; Value Stream Axis has TYPES and INSTANCES.</w:t>
      </w:r>
    </w:p>
    <w:p w14:paraId="12933806" w14:textId="77777777" w:rsidR="00C60C3C" w:rsidRPr="00C60C3C" w:rsidRDefault="00C60C3C" w:rsidP="00C60C3C">
      <w:r w:rsidRPr="00C60C3C">
        <w:t>TYPES is used for design and prototyping, whereas INSTANCES refers to the actual product when it is manufactured.</w:t>
      </w:r>
    </w:p>
    <w:p w14:paraId="150AB37F" w14:textId="016B0F54" w:rsidR="002F5DFF" w:rsidRPr="00C60C3C" w:rsidRDefault="00C60C3C" w:rsidP="00C60C3C">
      <w:r w:rsidRPr="00C60C3C">
        <w:t>The LAYERS Axis represents the virtual representation of the machine.</w:t>
      </w:r>
      <w:r w:rsidR="002F5DFF" w:rsidRPr="002F5DFF">
        <w:t> </w:t>
      </w:r>
    </w:p>
    <w:p w14:paraId="77D0B757" w14:textId="1D167D9E" w:rsidR="002F5DFF" w:rsidRDefault="002F5DFF" w:rsidP="002F5DFF"/>
    <w:p w14:paraId="02DDD75E" w14:textId="292BDCB1" w:rsidR="002F5DFF" w:rsidRDefault="002F5DFF" w:rsidP="002F5DFF">
      <w:pPr>
        <w:pStyle w:val="Heading3"/>
      </w:pPr>
      <w:r>
        <w:t>DATA</w:t>
      </w:r>
    </w:p>
    <w:p w14:paraId="64D04AA0" w14:textId="77777777" w:rsidR="002F5DFF" w:rsidRPr="002F5DFF" w:rsidRDefault="002F5DFF" w:rsidP="002F5DFF">
      <w:pPr>
        <w:spacing w:line="240" w:lineRule="auto"/>
        <w:rPr>
          <w:rFonts w:ascii="Calibri" w:eastAsia="Times New Roman" w:hAnsi="Calibri" w:cs="Calibri"/>
          <w:lang w:val="en-GB" w:eastAsia="en-GB"/>
        </w:rPr>
      </w:pPr>
      <w:r w:rsidRPr="002F5DFF">
        <w:rPr>
          <w:rFonts w:ascii="Calibri" w:eastAsia="Times New Roman" w:hAnsi="Calibri" w:cs="Calibri"/>
          <w:lang w:val="en-GB" w:eastAsia="en-GB"/>
        </w:rPr>
        <w:t> </w:t>
      </w:r>
    </w:p>
    <w:p w14:paraId="608BE842" w14:textId="77777777" w:rsidR="002F5DFF" w:rsidRPr="000E316B" w:rsidRDefault="002F5DFF" w:rsidP="002F5DFF">
      <w:pPr>
        <w:jc w:val="both"/>
      </w:pPr>
      <w:r w:rsidRPr="002F5DFF">
        <w:rPr>
          <w:rFonts w:ascii="Calibri" w:eastAsia="Times New Roman" w:hAnsi="Calibri" w:cs="Calibri"/>
          <w:lang w:val="en-GB" w:eastAsia="en-GB"/>
        </w:rPr>
        <w:t>Data is the most crucial element for adopting Industry 4.0.</w:t>
      </w:r>
      <w:r>
        <w:rPr>
          <w:rFonts w:ascii="Calibri" w:eastAsia="Times New Roman" w:hAnsi="Calibri" w:cs="Calibri"/>
          <w:lang w:val="en-GB" w:eastAsia="en-GB"/>
        </w:rPr>
        <w:t xml:space="preserve"> </w:t>
      </w:r>
      <w:r>
        <w:t>The flexibility of handling enterprise level data and managing infrastructure is a technological advancement in the field on industry 4.0. Gartner Research has predicted that by 2026, about 75% of the organization will utilize the cloud platform for modelling their digital transformation journey</w:t>
      </w:r>
      <w:r w:rsidRPr="00C60C3C">
        <w:t>. (GARTNER RESEARCH, 2023)</w:t>
      </w:r>
      <w:r>
        <w:t xml:space="preserve"> </w:t>
      </w:r>
    </w:p>
    <w:p w14:paraId="25CBCE9E" w14:textId="725A1ED7" w:rsidR="002F5DFF" w:rsidRPr="002F5DFF" w:rsidRDefault="002F5DFF" w:rsidP="002F5DFF">
      <w:pPr>
        <w:spacing w:line="240" w:lineRule="auto"/>
        <w:rPr>
          <w:rFonts w:ascii="Calibri" w:eastAsia="Times New Roman" w:hAnsi="Calibri" w:cs="Calibri"/>
          <w:lang w:val="en-GB" w:eastAsia="en-GB"/>
        </w:rPr>
      </w:pPr>
    </w:p>
    <w:p w14:paraId="16C24BDB" w14:textId="5B9BFA84" w:rsidR="002F5DFF" w:rsidRDefault="002F5DFF" w:rsidP="002F5DFF">
      <w:pPr>
        <w:spacing w:line="240" w:lineRule="auto"/>
        <w:rPr>
          <w:rFonts w:ascii="Calibri" w:eastAsia="Times New Roman" w:hAnsi="Calibri" w:cs="Calibri"/>
          <w:lang w:val="en-GB" w:eastAsia="en-GB"/>
        </w:rPr>
      </w:pPr>
      <w:r w:rsidRPr="002F5DFF">
        <w:rPr>
          <w:rFonts w:ascii="Calibri" w:eastAsia="Times New Roman" w:hAnsi="Calibri" w:cs="Calibri"/>
          <w:lang w:val="en-GB" w:eastAsia="en-GB"/>
        </w:rPr>
        <w:lastRenderedPageBreak/>
        <w:t xml:space="preserve">A structured approach to data would greatly shift operations from being inactive, where decisions are made based on experience and best guesses, to innovative, where data can be accessed in real time or near real time. This would enable the business to leverage prescriptive analytics, as well as machine learning and artificial intelligence capabilities.  </w:t>
      </w:r>
    </w:p>
    <w:p w14:paraId="09E6730C" w14:textId="77777777" w:rsidR="002F5DFF" w:rsidRDefault="002F5DFF" w:rsidP="002F5DFF">
      <w:pPr>
        <w:spacing w:line="240" w:lineRule="auto"/>
        <w:rPr>
          <w:rFonts w:ascii="Calibri" w:eastAsia="Times New Roman" w:hAnsi="Calibri" w:cs="Calibri"/>
          <w:lang w:val="en-GB" w:eastAsia="en-GB"/>
        </w:rPr>
      </w:pPr>
    </w:p>
    <w:p w14:paraId="29CC765E" w14:textId="6AC21C52" w:rsidR="002F5DFF" w:rsidRDefault="002F5DFF" w:rsidP="002F5DFF">
      <w:pPr>
        <w:spacing w:line="240" w:lineRule="auto"/>
        <w:rPr>
          <w:rFonts w:ascii="Calibri" w:eastAsia="Times New Roman" w:hAnsi="Calibri" w:cs="Calibri"/>
          <w:lang w:val="en-GB" w:eastAsia="en-GB"/>
        </w:rPr>
      </w:pPr>
      <w:r>
        <w:rPr>
          <w:noProof/>
        </w:rPr>
        <w:drawing>
          <wp:inline distT="0" distB="0" distL="0" distR="0" wp14:anchorId="33C564E9" wp14:editId="4074CAFC">
            <wp:extent cx="5943600" cy="29679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967990"/>
                    </a:xfrm>
                    <a:prstGeom prst="rect">
                      <a:avLst/>
                    </a:prstGeom>
                  </pic:spPr>
                </pic:pic>
              </a:graphicData>
            </a:graphic>
          </wp:inline>
        </w:drawing>
      </w:r>
    </w:p>
    <w:p w14:paraId="1CE21BCD" w14:textId="29514DAF" w:rsidR="002F5DFF" w:rsidRDefault="002F5DFF" w:rsidP="002F5DFF">
      <w:pPr>
        <w:spacing w:line="240" w:lineRule="auto"/>
        <w:rPr>
          <w:rFonts w:ascii="Calibri" w:eastAsia="Times New Roman" w:hAnsi="Calibri" w:cs="Calibri"/>
          <w:lang w:val="en-GB" w:eastAsia="en-GB"/>
        </w:rPr>
      </w:pPr>
    </w:p>
    <w:p w14:paraId="6A5DD040" w14:textId="780D3950" w:rsidR="002F5DFF" w:rsidRPr="002F5DFF" w:rsidRDefault="002F5DFF" w:rsidP="002F5DFF">
      <w:pPr>
        <w:pStyle w:val="Heading4"/>
        <w:rPr>
          <w:rFonts w:eastAsia="Times New Roman"/>
          <w:lang w:val="en-GB" w:eastAsia="en-GB"/>
        </w:rPr>
      </w:pPr>
      <w:r>
        <w:t xml:space="preserve">A structured </w:t>
      </w:r>
      <w:r>
        <w:t>approach</w:t>
      </w:r>
      <w:r>
        <w:t xml:space="preserve"> to data</w:t>
      </w:r>
    </w:p>
    <w:p w14:paraId="76CE29C8" w14:textId="559C78B0" w:rsidR="002F5DFF" w:rsidRDefault="002F5DFF" w:rsidP="002F5DFF">
      <w:r>
        <w:t xml:space="preserve">A structured approach to data is a crucial element in the path towards smart manufacturing. </w:t>
      </w:r>
      <w:r>
        <w:t xml:space="preserve">Data </w:t>
      </w:r>
      <w:r>
        <w:t>centralization</w:t>
      </w:r>
      <w:r>
        <w:t xml:space="preserve"> should be </w:t>
      </w:r>
      <w:r>
        <w:t>prioritized</w:t>
      </w:r>
      <w:r>
        <w:t xml:space="preserve"> as it is challenging to </w:t>
      </w:r>
      <w:r>
        <w:t>utilize</w:t>
      </w:r>
      <w:r>
        <w:t xml:space="preserve"> data systematically without a</w:t>
      </w:r>
    </w:p>
    <w:p w14:paraId="5E25D3F7" w14:textId="77777777" w:rsidR="002F5DFF" w:rsidRDefault="002F5DFF" w:rsidP="002F5DFF">
      <w:r>
        <w:t>singular source of truth and data residing on a single platform.</w:t>
      </w:r>
    </w:p>
    <w:p w14:paraId="4BF7335A" w14:textId="2F2D0E6C" w:rsidR="002F5DFF" w:rsidRDefault="002F5DFF" w:rsidP="002F5DFF">
      <w:r>
        <w:t xml:space="preserve">After </w:t>
      </w:r>
      <w:r>
        <w:t>centralization</w:t>
      </w:r>
      <w:r>
        <w:t xml:space="preserve">, a vast amount of data is accessible to users, and data </w:t>
      </w:r>
      <w:r>
        <w:t>democratization</w:t>
      </w:r>
      <w:r>
        <w:t xml:space="preserve"> frequently follows as </w:t>
      </w:r>
      <w:r>
        <w:t>organizations</w:t>
      </w:r>
      <w:r>
        <w:t xml:space="preserve"> deal with the complications of granting widespread data access while preventing </w:t>
      </w:r>
      <w:r>
        <w:t>unauthorized</w:t>
      </w:r>
      <w:r>
        <w:t xml:space="preserve"> usage.</w:t>
      </w:r>
    </w:p>
    <w:p w14:paraId="6E8F1F25" w14:textId="03AACD73" w:rsidR="00C60C3C" w:rsidRDefault="00C60C3C" w:rsidP="002F5DFF"/>
    <w:p w14:paraId="4A9863C2" w14:textId="0B32A84E" w:rsidR="00C60C3C" w:rsidRDefault="00C60C3C" w:rsidP="002F5DFF">
      <w:r w:rsidRPr="00C60C3C">
        <w:drawing>
          <wp:inline distT="0" distB="0" distL="0" distR="0" wp14:anchorId="72704259" wp14:editId="57AE516F">
            <wp:extent cx="2732437" cy="1304389"/>
            <wp:effectExtent l="0" t="0" r="0" b="0"/>
            <wp:docPr id="19" name="Content Placeholder 7" descr="A diagram of data processing&#10;&#10;Description automatically generated">
              <a:extLst xmlns:a="http://schemas.openxmlformats.org/drawingml/2006/main">
                <a:ext uri="{FF2B5EF4-FFF2-40B4-BE49-F238E27FC236}">
                  <a16:creationId xmlns:a16="http://schemas.microsoft.com/office/drawing/2014/main" id="{C09B84A3-2B97-424A-A768-8DC81E29D5D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7" descr="A diagram of data processing&#10;&#10;Description automatically generated">
                      <a:extLst>
                        <a:ext uri="{FF2B5EF4-FFF2-40B4-BE49-F238E27FC236}">
                          <a16:creationId xmlns:a16="http://schemas.microsoft.com/office/drawing/2014/main" id="{C09B84A3-2B97-424A-A768-8DC81E29D5DF}"/>
                        </a:ext>
                      </a:extLst>
                    </pic:cNvPr>
                    <pic:cNvPicPr>
                      <a:picLocks noGrp="1"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32437" cy="1304389"/>
                    </a:xfrm>
                    <a:prstGeom prst="rect">
                      <a:avLst/>
                    </a:prstGeom>
                  </pic:spPr>
                </pic:pic>
              </a:graphicData>
            </a:graphic>
          </wp:inline>
        </w:drawing>
      </w:r>
    </w:p>
    <w:p w14:paraId="316F7780" w14:textId="0891F9F3" w:rsidR="00C60C3C" w:rsidRDefault="00C60C3C" w:rsidP="002F5DFF">
      <w:r>
        <w:lastRenderedPageBreak/>
        <w:t xml:space="preserve">Source: </w:t>
      </w:r>
      <w:proofErr w:type="spellStart"/>
      <w:r>
        <w:t>FiveTran</w:t>
      </w:r>
      <w:proofErr w:type="spellEnd"/>
      <w:r>
        <w:t>, 2023</w:t>
      </w:r>
    </w:p>
    <w:p w14:paraId="3A8A411B" w14:textId="14384842" w:rsidR="00C60C3C" w:rsidRDefault="00C60C3C" w:rsidP="002F5DFF"/>
    <w:p w14:paraId="12A71ABE" w14:textId="5175AA03" w:rsidR="002F5DFF" w:rsidRDefault="00C60C3C" w:rsidP="002F5DFF">
      <w:r>
        <w:t xml:space="preserve">Manufacturing Data Layer will be a central repository for all operations data </w:t>
      </w:r>
      <w:r w:rsidRPr="00C60C3C">
        <w:t>that can be leveraged for Visualization and Decision Support</w:t>
      </w:r>
      <w:r>
        <w:t xml:space="preserve">. </w:t>
      </w:r>
    </w:p>
    <w:p w14:paraId="203A79DA" w14:textId="3580AAC0" w:rsidR="002F5DFF" w:rsidRDefault="002F5DFF" w:rsidP="002F5DFF">
      <w:pPr>
        <w:pStyle w:val="Heading5"/>
      </w:pPr>
      <w:r w:rsidRPr="002F5DFF">
        <w:t>DATA CENTRALIZATION</w:t>
      </w:r>
    </w:p>
    <w:p w14:paraId="242350E2" w14:textId="59AD1D23" w:rsidR="002F5DFF" w:rsidRDefault="002F5DFF" w:rsidP="002F5DFF">
      <w:r w:rsidRPr="002F5DFF">
        <w:t xml:space="preserve">The primary objective facilitated by data </w:t>
      </w:r>
      <w:r w:rsidRPr="002F5DFF">
        <w:t>centralization</w:t>
      </w:r>
      <w:r w:rsidRPr="002F5DFF">
        <w:t xml:space="preserve"> is to merge records from</w:t>
      </w:r>
      <w:r>
        <w:t xml:space="preserve"> disparate</w:t>
      </w:r>
      <w:r w:rsidRPr="002F5DFF">
        <w:t xml:space="preserve"> data sources into</w:t>
      </w:r>
      <w:r>
        <w:t xml:space="preserve"> centralized </w:t>
      </w:r>
      <w:r w:rsidRPr="002F5DFF">
        <w:t>data models.</w:t>
      </w:r>
      <w:r>
        <w:t xml:space="preserve"> </w:t>
      </w:r>
      <w:r w:rsidR="00C60C3C">
        <w:t xml:space="preserve">The typical format for data routing is a </w:t>
      </w:r>
      <w:proofErr w:type="gramStart"/>
      <w:r w:rsidR="00C60C3C">
        <w:t>follows</w:t>
      </w:r>
      <w:proofErr w:type="gramEnd"/>
      <w:r w:rsidR="00C60C3C">
        <w:t xml:space="preserve">. </w:t>
      </w:r>
    </w:p>
    <w:p w14:paraId="630AF429" w14:textId="15F3BDD8" w:rsidR="002F5DFF" w:rsidRDefault="002F5DFF" w:rsidP="002F5DFF">
      <w:r>
        <w:rPr>
          <w:noProof/>
        </w:rPr>
        <w:drawing>
          <wp:inline distT="0" distB="0" distL="0" distR="0" wp14:anchorId="01DF119E" wp14:editId="1A7F051C">
            <wp:extent cx="5943600" cy="34340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434080"/>
                    </a:xfrm>
                    <a:prstGeom prst="rect">
                      <a:avLst/>
                    </a:prstGeom>
                  </pic:spPr>
                </pic:pic>
              </a:graphicData>
            </a:graphic>
          </wp:inline>
        </w:drawing>
      </w:r>
    </w:p>
    <w:p w14:paraId="42C6C390" w14:textId="47CB4FF5" w:rsidR="002F5DFF" w:rsidRDefault="00C60C3C" w:rsidP="002F5DFF">
      <w:r>
        <w:t>(Source: FIVETRAN, 2023)</w:t>
      </w:r>
    </w:p>
    <w:p w14:paraId="5DC739F3" w14:textId="3F071836" w:rsidR="00C60C3C" w:rsidRDefault="00C60C3C" w:rsidP="002F5DFF"/>
    <w:p w14:paraId="0E38AFE7" w14:textId="22C9B87A" w:rsidR="00C60C3C" w:rsidRDefault="00C60C3C" w:rsidP="002F5DFF">
      <w:r>
        <w:t xml:space="preserve">A common Manufacturing Data Layer as mentioned in SAP digital Manufacturing architecture below would provide data centralization capability for manufacturing domain. </w:t>
      </w:r>
    </w:p>
    <w:p w14:paraId="6DA1339F" w14:textId="7C1B4F76" w:rsidR="00C60C3C" w:rsidRDefault="00C60C3C" w:rsidP="002F5DFF">
      <w:r>
        <w:rPr>
          <w:noProof/>
        </w:rPr>
        <w:lastRenderedPageBreak/>
        <w:drawing>
          <wp:inline distT="0" distB="0" distL="0" distR="0" wp14:anchorId="27972D3D" wp14:editId="570F2C17">
            <wp:extent cx="5943600" cy="283654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836545"/>
                    </a:xfrm>
                    <a:prstGeom prst="rect">
                      <a:avLst/>
                    </a:prstGeom>
                  </pic:spPr>
                </pic:pic>
              </a:graphicData>
            </a:graphic>
          </wp:inline>
        </w:drawing>
      </w:r>
    </w:p>
    <w:p w14:paraId="3EC44B4B" w14:textId="3178CF67" w:rsidR="00C60C3C" w:rsidRDefault="00C60C3C" w:rsidP="002F5DFF">
      <w:r>
        <w:t>(Source: SAP, 2023)</w:t>
      </w:r>
    </w:p>
    <w:p w14:paraId="789D5B7A" w14:textId="77777777" w:rsidR="00C60C3C" w:rsidRDefault="00C60C3C" w:rsidP="002F5DFF"/>
    <w:p w14:paraId="290CCD49" w14:textId="7B6C6AB0" w:rsidR="002F5DFF" w:rsidRDefault="002F5DFF" w:rsidP="002F5DFF">
      <w:pPr>
        <w:pStyle w:val="Heading5"/>
      </w:pPr>
      <w:r>
        <w:t>DATA DEMOCRATIZATION</w:t>
      </w:r>
    </w:p>
    <w:p w14:paraId="0945DF85" w14:textId="7612C0A4" w:rsidR="00C60C3C" w:rsidRDefault="00C60C3C" w:rsidP="00C60C3C">
      <w:r>
        <w:t xml:space="preserve">This provides the capability of sharing data between multiple use cases, </w:t>
      </w:r>
      <w:proofErr w:type="gramStart"/>
      <w:r>
        <w:t>visualization</w:t>
      </w:r>
      <w:proofErr w:type="gramEnd"/>
      <w:r>
        <w:t xml:space="preserve"> and further analytics. </w:t>
      </w:r>
    </w:p>
    <w:p w14:paraId="5EB07E5B" w14:textId="70A72F6A" w:rsidR="00C60C3C" w:rsidRPr="00C60C3C" w:rsidRDefault="00C60C3C" w:rsidP="00C60C3C">
      <w:r w:rsidRPr="00C60C3C">
        <w:drawing>
          <wp:inline distT="0" distB="0" distL="0" distR="0" wp14:anchorId="58D2E30D" wp14:editId="3782F043">
            <wp:extent cx="5943600" cy="2838450"/>
            <wp:effectExtent l="0" t="0" r="0" b="0"/>
            <wp:docPr id="6" name="Picture 5" descr="A diagram of a company&#10;&#10;Description automatically generated">
              <a:extLst xmlns:a="http://schemas.openxmlformats.org/drawingml/2006/main">
                <a:ext uri="{FF2B5EF4-FFF2-40B4-BE49-F238E27FC236}">
                  <a16:creationId xmlns:a16="http://schemas.microsoft.com/office/drawing/2014/main" id="{886E8197-3B9B-4D58-9303-BE591BA88A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company&#10;&#10;Description automatically generated">
                      <a:extLst>
                        <a:ext uri="{FF2B5EF4-FFF2-40B4-BE49-F238E27FC236}">
                          <a16:creationId xmlns:a16="http://schemas.microsoft.com/office/drawing/2014/main" id="{886E8197-3B9B-4D58-9303-BE591BA88A33}"/>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943600" cy="2838450"/>
                    </a:xfrm>
                    <a:prstGeom prst="rect">
                      <a:avLst/>
                    </a:prstGeom>
                  </pic:spPr>
                </pic:pic>
              </a:graphicData>
            </a:graphic>
          </wp:inline>
        </w:drawing>
      </w:r>
    </w:p>
    <w:p w14:paraId="1180A856" w14:textId="77777777" w:rsidR="00C60C3C" w:rsidRDefault="00C60C3C" w:rsidP="00C60C3C">
      <w:r>
        <w:t>(Source: FIVETRAN, 2023)</w:t>
      </w:r>
    </w:p>
    <w:p w14:paraId="6140B9E0" w14:textId="0B27C322" w:rsidR="002F5DFF" w:rsidRDefault="002F5DFF" w:rsidP="002F5DFF"/>
    <w:p w14:paraId="0F75B364" w14:textId="3C98E1F2" w:rsidR="002F5DFF" w:rsidRDefault="002F5DFF" w:rsidP="002F5DFF">
      <w:pPr>
        <w:pStyle w:val="Heading5"/>
      </w:pPr>
      <w:r>
        <w:t>BUILDING DATA SOLUTION</w:t>
      </w:r>
    </w:p>
    <w:p w14:paraId="5020CA0B" w14:textId="1D3D5303" w:rsidR="00C60C3C" w:rsidRPr="00C60C3C" w:rsidRDefault="00C60C3C" w:rsidP="00C60C3C">
      <w:r>
        <w:t xml:space="preserve">Once the data is democratized, it is possible to build multiple data solutions based on this environment. </w:t>
      </w:r>
    </w:p>
    <w:p w14:paraId="2DE6E048" w14:textId="1BEB6E92" w:rsidR="002F5DFF" w:rsidRDefault="00C60C3C" w:rsidP="002F5DFF">
      <w:r w:rsidRPr="00C60C3C">
        <w:drawing>
          <wp:inline distT="0" distB="0" distL="0" distR="0" wp14:anchorId="031B90CF" wp14:editId="40F1B3FC">
            <wp:extent cx="5943600" cy="2162175"/>
            <wp:effectExtent l="0" t="0" r="0" b="9525"/>
            <wp:docPr id="20" name="Picture 4" descr="A diagram of a diagram of a data flow&#10;&#10;Description automatically generated">
              <a:extLst xmlns:a="http://schemas.openxmlformats.org/drawingml/2006/main">
                <a:ext uri="{FF2B5EF4-FFF2-40B4-BE49-F238E27FC236}">
                  <a16:creationId xmlns:a16="http://schemas.microsoft.com/office/drawing/2014/main" id="{E0560FEF-58EF-4968-8031-2C5C807678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diagram of a data flow&#10;&#10;Description automatically generated">
                      <a:extLst>
                        <a:ext uri="{FF2B5EF4-FFF2-40B4-BE49-F238E27FC236}">
                          <a16:creationId xmlns:a16="http://schemas.microsoft.com/office/drawing/2014/main" id="{E0560FEF-58EF-4968-8031-2C5C8076783D}"/>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943600" cy="2162175"/>
                    </a:xfrm>
                    <a:prstGeom prst="rect">
                      <a:avLst/>
                    </a:prstGeom>
                  </pic:spPr>
                </pic:pic>
              </a:graphicData>
            </a:graphic>
          </wp:inline>
        </w:drawing>
      </w:r>
    </w:p>
    <w:p w14:paraId="06D5AA7B" w14:textId="77777777" w:rsidR="00C60C3C" w:rsidRDefault="00C60C3C" w:rsidP="00C60C3C">
      <w:r>
        <w:t>(Source: FIVETRAN, 2023)</w:t>
      </w:r>
    </w:p>
    <w:p w14:paraId="31FDA20B" w14:textId="77777777" w:rsidR="00C60C3C" w:rsidRDefault="00C60C3C" w:rsidP="002F5DFF"/>
    <w:p w14:paraId="0F17A80D" w14:textId="472285A9" w:rsidR="002F5DFF" w:rsidRDefault="002F5DFF" w:rsidP="002F5DFF">
      <w:pPr>
        <w:pStyle w:val="Heading5"/>
      </w:pPr>
      <w:r>
        <w:t>INFRASTRUCTURE MODERNISATION</w:t>
      </w:r>
    </w:p>
    <w:p w14:paraId="7DF5A23F" w14:textId="56D7F16B" w:rsidR="002F5DFF" w:rsidRDefault="002F5DFF" w:rsidP="002F5DFF">
      <w:pPr>
        <w:rPr>
          <w:rFonts w:ascii="Calibri" w:hAnsi="Calibri" w:cs="Calibri"/>
        </w:rPr>
      </w:pPr>
      <w:r w:rsidRPr="002F5DFF">
        <w:rPr>
          <w:rFonts w:ascii="Calibri" w:hAnsi="Calibri" w:cs="Calibri"/>
        </w:rPr>
        <w:t>Effective manufacturing infrastructure is crucial in producing high-quality and dependable manufacturing/operational data</w:t>
      </w:r>
      <w:r>
        <w:rPr>
          <w:rFonts w:ascii="Calibri" w:hAnsi="Calibri" w:cs="Calibri"/>
        </w:rPr>
        <w:t>.</w:t>
      </w:r>
      <w:r w:rsidR="00C60C3C">
        <w:rPr>
          <w:rFonts w:ascii="Calibri" w:hAnsi="Calibri" w:cs="Calibri"/>
        </w:rPr>
        <w:t xml:space="preserve"> </w:t>
      </w:r>
      <w:proofErr w:type="gramStart"/>
      <w:r w:rsidRPr="002F5DFF">
        <w:rPr>
          <w:rFonts w:ascii="Calibri" w:hAnsi="Calibri" w:cs="Calibri"/>
        </w:rPr>
        <w:t>Many</w:t>
      </w:r>
      <w:proofErr w:type="gramEnd"/>
      <w:r w:rsidRPr="002F5DFF">
        <w:rPr>
          <w:rFonts w:ascii="Calibri" w:hAnsi="Calibri" w:cs="Calibri"/>
        </w:rPr>
        <w:t xml:space="preserve"> Manufacturing facilities have outdated legacy systems that do not comply with modern infrastructure and security standards. These systems are mostly either already at or approaching their end of support</w:t>
      </w:r>
      <w:r w:rsidR="00C60C3C">
        <w:rPr>
          <w:rFonts w:ascii="Calibri" w:hAnsi="Calibri" w:cs="Calibri"/>
        </w:rPr>
        <w:t xml:space="preserve"> </w:t>
      </w:r>
      <w:r w:rsidRPr="002F5DFF">
        <w:rPr>
          <w:rFonts w:ascii="Calibri" w:hAnsi="Calibri" w:cs="Calibri"/>
        </w:rPr>
        <w:t xml:space="preserve">and must be migrated or upgraded to modern platforms. </w:t>
      </w:r>
    </w:p>
    <w:p w14:paraId="07FB69D1" w14:textId="4B14B167" w:rsidR="002F5DFF" w:rsidRDefault="002F5DFF" w:rsidP="002F5DFF">
      <w:r w:rsidRPr="002F5DFF">
        <w:rPr>
          <w:rFonts w:ascii="Calibri" w:hAnsi="Calibri" w:cs="Calibri"/>
        </w:rPr>
        <w:t xml:space="preserve">Details of </w:t>
      </w:r>
      <w:r w:rsidRPr="002F5DFF">
        <w:rPr>
          <w:rFonts w:ascii="Calibri" w:hAnsi="Calibri" w:cs="Calibri"/>
        </w:rPr>
        <w:t>infrastructure</w:t>
      </w:r>
      <w:r w:rsidRPr="002F5DFF">
        <w:rPr>
          <w:rFonts w:ascii="Calibri" w:hAnsi="Calibri" w:cs="Calibri"/>
        </w:rPr>
        <w:t xml:space="preserve"> </w:t>
      </w:r>
      <w:r w:rsidRPr="002F5DFF">
        <w:rPr>
          <w:rFonts w:ascii="Calibri" w:hAnsi="Calibri" w:cs="Calibri"/>
        </w:rPr>
        <w:t>modernization</w:t>
      </w:r>
      <w:r w:rsidRPr="002F5DFF">
        <w:rPr>
          <w:rFonts w:ascii="Calibri" w:hAnsi="Calibri" w:cs="Calibri"/>
        </w:rPr>
        <w:t xml:space="preserve"> is outside the scope of this report.</w:t>
      </w:r>
    </w:p>
    <w:p w14:paraId="7138E6F9" w14:textId="2F01C9FB" w:rsidR="002F5DFF" w:rsidRDefault="002F5DFF" w:rsidP="002F5DFF"/>
    <w:p w14:paraId="72AE6ED5" w14:textId="72BB2AC3" w:rsidR="002F5DFF" w:rsidRPr="00C60C3C" w:rsidRDefault="002F5DFF" w:rsidP="002F5DFF">
      <w:pPr>
        <w:pStyle w:val="Heading3"/>
      </w:pPr>
      <w:r w:rsidRPr="00C60C3C">
        <w:t>D</w:t>
      </w:r>
      <w:r w:rsidR="00C60C3C">
        <w:t>IGITAL TWIN FOR MANUFACTURING</w:t>
      </w:r>
    </w:p>
    <w:p w14:paraId="0FF400CB" w14:textId="1ECF2478" w:rsidR="002F5DFF" w:rsidRPr="002F5DFF" w:rsidRDefault="002F5DFF" w:rsidP="002F5DFF">
      <w:r>
        <w:t>“</w:t>
      </w:r>
      <w:r>
        <w:rPr>
          <w:sz w:val="23"/>
          <w:szCs w:val="23"/>
        </w:rPr>
        <w:t xml:space="preserve">Digital twins can be used as a means to systematically collect, aggregate and manage data of manufacturing assets of multiple types, such as products, production devices, equipment, cells, plants and supply chains.” as defined in the Architecture Alignment and interoperability between Industrie4.0 and Industrial Internet Consortium </w:t>
      </w:r>
      <w:r w:rsidRPr="00C60C3C">
        <w:rPr>
          <w:sz w:val="23"/>
          <w:szCs w:val="23"/>
        </w:rPr>
        <w:t>(Industry 4.0 &amp; IIC, 2017)</w:t>
      </w:r>
    </w:p>
    <w:p w14:paraId="1DC18650" w14:textId="335971EE" w:rsidR="002F5DFF" w:rsidRDefault="002F5DFF" w:rsidP="002F5DFF">
      <w:r>
        <w:rPr>
          <w:noProof/>
        </w:rPr>
        <w:lastRenderedPageBreak/>
        <w:drawing>
          <wp:inline distT="0" distB="0" distL="0" distR="0" wp14:anchorId="2609D6BF" wp14:editId="0CEE770A">
            <wp:extent cx="5943600" cy="2882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882900"/>
                    </a:xfrm>
                    <a:prstGeom prst="rect">
                      <a:avLst/>
                    </a:prstGeom>
                  </pic:spPr>
                </pic:pic>
              </a:graphicData>
            </a:graphic>
          </wp:inline>
        </w:drawing>
      </w:r>
    </w:p>
    <w:p w14:paraId="09749340" w14:textId="7F48D40E" w:rsidR="002F5DFF" w:rsidRPr="002F5DFF" w:rsidRDefault="00C60C3C" w:rsidP="002F5DFF">
      <w:r>
        <w:t>The following system provides a one-to-one mapping of physical world with digital twins. (Source: SAP Digital Manufacturing, 2023)</w:t>
      </w:r>
    </w:p>
    <w:p w14:paraId="2F60090D" w14:textId="5F1DF075" w:rsidR="002F5DFF" w:rsidRPr="002F5DFF" w:rsidRDefault="002F5DFF" w:rsidP="002F5DFF">
      <w:r>
        <w:rPr>
          <w:noProof/>
        </w:rPr>
        <w:drawing>
          <wp:inline distT="0" distB="0" distL="0" distR="0" wp14:anchorId="1A9E9917" wp14:editId="65C73485">
            <wp:extent cx="5943600" cy="32359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235960"/>
                    </a:xfrm>
                    <a:prstGeom prst="rect">
                      <a:avLst/>
                    </a:prstGeom>
                  </pic:spPr>
                </pic:pic>
              </a:graphicData>
            </a:graphic>
          </wp:inline>
        </w:drawing>
      </w:r>
    </w:p>
    <w:p w14:paraId="78C2430D" w14:textId="77777777" w:rsidR="002F5DFF" w:rsidRDefault="002F5DFF" w:rsidP="002F5DFF"/>
    <w:p w14:paraId="5CA82789" w14:textId="2E3E6C61" w:rsidR="002F5DFF" w:rsidRDefault="002F5DFF" w:rsidP="002F5DFF">
      <w:pPr>
        <w:pStyle w:val="Heading3"/>
      </w:pPr>
      <w:r>
        <w:t>Industrial Internet of Things (IIOT)</w:t>
      </w:r>
    </w:p>
    <w:p w14:paraId="2BD082AE" w14:textId="793224F3" w:rsidR="002F5DFF" w:rsidRDefault="002F5DFF" w:rsidP="002F5DFF"/>
    <w:p w14:paraId="520E20EB" w14:textId="4837F02D" w:rsidR="002F5DFF" w:rsidRDefault="002F5DFF" w:rsidP="002F5DFF">
      <w:pPr>
        <w:jc w:val="both"/>
      </w:pPr>
      <w:r>
        <w:lastRenderedPageBreak/>
        <w:t>"IIoT technologies are playing an important role in facilitating the integration of IT and IIoT, improving productivity, efficiency, and oversight in manufacturing organizations."</w:t>
      </w:r>
      <w:r>
        <w:t xml:space="preserve"> </w:t>
      </w:r>
      <w:r>
        <w:t>The key technologies involved in Internet of Things include 1. Small, low-power processors 2. Latest generation sensors 3. Low consumption communication. (FRAN, 2017)</w:t>
      </w:r>
    </w:p>
    <w:p w14:paraId="13C07305" w14:textId="77777777" w:rsidR="002F5DFF" w:rsidRPr="002F5DFF" w:rsidRDefault="002F5DFF" w:rsidP="002F5DFF"/>
    <w:p w14:paraId="6ADA930E" w14:textId="674F76F5" w:rsidR="002F5DFF" w:rsidRDefault="002F5DFF" w:rsidP="002F5DFF">
      <w:pPr>
        <w:pStyle w:val="Heading4"/>
      </w:pPr>
      <w:r>
        <w:t>Protocols for Production Environment</w:t>
      </w:r>
    </w:p>
    <w:p w14:paraId="6E938BEA" w14:textId="7F6BCBAF" w:rsidR="002F5DFF" w:rsidRPr="002F5DFF" w:rsidRDefault="002F5DFF" w:rsidP="002F5DFF">
      <w:r w:rsidRPr="002F5DFF">
        <w:rPr>
          <w:noProof/>
        </w:rPr>
        <w:drawing>
          <wp:inline distT="0" distB="0" distL="0" distR="0" wp14:anchorId="279DF3FF" wp14:editId="5DB99321">
            <wp:extent cx="5943600" cy="2457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457450"/>
                    </a:xfrm>
                    <a:prstGeom prst="rect">
                      <a:avLst/>
                    </a:prstGeom>
                    <a:noFill/>
                    <a:ln>
                      <a:noFill/>
                    </a:ln>
                  </pic:spPr>
                </pic:pic>
              </a:graphicData>
            </a:graphic>
          </wp:inline>
        </w:drawing>
      </w:r>
    </w:p>
    <w:p w14:paraId="1A88F56F" w14:textId="6CBAE604" w:rsidR="002F5DFF" w:rsidRDefault="002F5DFF" w:rsidP="002F5DFF">
      <w:r>
        <w:t>Typical use case</w:t>
      </w:r>
      <w:r w:rsidR="00C60C3C">
        <w:t xml:space="preserve"> of Industrial IoT would be extraction of energy data using IIOT sensors and Gateways, feeding these data to Cloud facilities and displaying this in Dashboards as shown below (AWS, 2023)</w:t>
      </w:r>
    </w:p>
    <w:p w14:paraId="5091C15C" w14:textId="11F10BB1" w:rsidR="002F5DFF" w:rsidRDefault="002F5DFF" w:rsidP="002F5DFF">
      <w:r>
        <w:rPr>
          <w:noProof/>
        </w:rPr>
        <w:drawing>
          <wp:inline distT="0" distB="0" distL="0" distR="0" wp14:anchorId="387BAAD1" wp14:editId="5870907A">
            <wp:extent cx="5943600" cy="223964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239645"/>
                    </a:xfrm>
                    <a:prstGeom prst="rect">
                      <a:avLst/>
                    </a:prstGeom>
                  </pic:spPr>
                </pic:pic>
              </a:graphicData>
            </a:graphic>
          </wp:inline>
        </w:drawing>
      </w:r>
    </w:p>
    <w:p w14:paraId="675A534D" w14:textId="1DB9FD2B" w:rsidR="00C60C3C" w:rsidRDefault="00C60C3C" w:rsidP="002F5DFF">
      <w:r>
        <w:t>SOURCE: AWS 2023</w:t>
      </w:r>
    </w:p>
    <w:p w14:paraId="55CD1F77" w14:textId="16AAE713" w:rsidR="002F5DFF" w:rsidRDefault="002F5DFF" w:rsidP="002F5DFF">
      <w:r>
        <w:rPr>
          <w:noProof/>
        </w:rPr>
        <w:lastRenderedPageBreak/>
        <w:drawing>
          <wp:inline distT="0" distB="0" distL="0" distR="0" wp14:anchorId="356F7462" wp14:editId="0ADB7A8B">
            <wp:extent cx="5943600" cy="46748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4674870"/>
                    </a:xfrm>
                    <a:prstGeom prst="rect">
                      <a:avLst/>
                    </a:prstGeom>
                  </pic:spPr>
                </pic:pic>
              </a:graphicData>
            </a:graphic>
          </wp:inline>
        </w:drawing>
      </w:r>
    </w:p>
    <w:p w14:paraId="797842E4" w14:textId="484339AA" w:rsidR="002F5DFF" w:rsidRDefault="00C60C3C" w:rsidP="002F5DFF">
      <w:r>
        <w:t>SOURCE: AWS 2023</w:t>
      </w:r>
    </w:p>
    <w:p w14:paraId="1284BED7" w14:textId="0999EFD3" w:rsidR="00C26B8E" w:rsidRDefault="00C26B8E" w:rsidP="00E23DEA">
      <w:pPr>
        <w:jc w:val="both"/>
      </w:pPr>
    </w:p>
    <w:p w14:paraId="719225D6" w14:textId="77777777" w:rsidR="00C26B8E" w:rsidRPr="00C26B8E" w:rsidRDefault="00C26B8E" w:rsidP="00E23DEA">
      <w:pPr>
        <w:jc w:val="both"/>
      </w:pPr>
    </w:p>
    <w:p w14:paraId="0875C7DC" w14:textId="77777777" w:rsidR="576062CF" w:rsidRDefault="576062CF" w:rsidP="00E23DEA">
      <w:pPr>
        <w:jc w:val="both"/>
      </w:pPr>
      <w:r>
        <w:br w:type="page"/>
      </w:r>
    </w:p>
    <w:p w14:paraId="71069E77" w14:textId="0C2FD4BB" w:rsidR="00DA4FEE" w:rsidRDefault="00876D68" w:rsidP="008730F6">
      <w:pPr>
        <w:pStyle w:val="SectionTitle"/>
        <w:jc w:val="both"/>
      </w:pPr>
      <w:sdt>
        <w:sdtPr>
          <w:id w:val="682713825"/>
          <w:placeholder>
            <w:docPart w:val="74AF4F73ADFF4B818FB6C56BC6F419F8"/>
          </w:placeholder>
          <w:temporary/>
          <w:showingPlcHdr/>
          <w15:appearance w15:val="hidden"/>
        </w:sdtPr>
        <w:sdtEndPr/>
        <w:sdtContent>
          <w:r w:rsidR="00FA4C9E" w:rsidRPr="576062CF">
            <w:t>References</w:t>
          </w:r>
        </w:sdtContent>
      </w:sdt>
      <w:r w:rsidR="576062CF" w:rsidRPr="576062CF">
        <w:t xml:space="preserve"> </w:t>
      </w:r>
    </w:p>
    <w:p w14:paraId="20D1DB01" w14:textId="01B60D71" w:rsidR="008730F6" w:rsidRPr="002916EE" w:rsidRDefault="00E4732B" w:rsidP="00C341EE">
      <w:pPr>
        <w:pStyle w:val="ListParagraph"/>
        <w:numPr>
          <w:ilvl w:val="0"/>
          <w:numId w:val="3"/>
        </w:numPr>
        <w:autoSpaceDE w:val="0"/>
        <w:autoSpaceDN w:val="0"/>
        <w:adjustRightInd w:val="0"/>
        <w:spacing w:line="240" w:lineRule="auto"/>
        <w:jc w:val="both"/>
        <w:rPr>
          <w:rStyle w:val="A2"/>
          <w:rFonts w:cstheme="minorHAnsi"/>
          <w:color w:val="000000" w:themeColor="text1"/>
          <w:sz w:val="22"/>
          <w:szCs w:val="22"/>
          <w:lang w:val="en-GB"/>
        </w:rPr>
      </w:pPr>
      <w:r w:rsidRPr="002916EE">
        <w:rPr>
          <w:rFonts w:cstheme="minorHAnsi"/>
          <w:color w:val="000000" w:themeColor="text1"/>
        </w:rPr>
        <w:t>McKinsey</w:t>
      </w:r>
      <w:r w:rsidR="003C0020" w:rsidRPr="002916EE">
        <w:rPr>
          <w:rFonts w:cstheme="minorHAnsi"/>
          <w:color w:val="000000" w:themeColor="text1"/>
        </w:rPr>
        <w:t>,</w:t>
      </w:r>
      <w:r w:rsidRPr="002916EE">
        <w:rPr>
          <w:rFonts w:cstheme="minorHAnsi"/>
          <w:color w:val="000000" w:themeColor="text1"/>
        </w:rPr>
        <w:t xml:space="preserve"> August 202</w:t>
      </w:r>
      <w:r w:rsidR="003C0020" w:rsidRPr="002916EE">
        <w:rPr>
          <w:rFonts w:cstheme="minorHAnsi"/>
          <w:color w:val="000000" w:themeColor="text1"/>
        </w:rPr>
        <w:t>2.</w:t>
      </w:r>
      <w:r w:rsidRPr="002916EE">
        <w:rPr>
          <w:rFonts w:cstheme="minorHAnsi"/>
          <w:color w:val="000000" w:themeColor="text1"/>
        </w:rPr>
        <w:t xml:space="preserve"> What are Industry 4.0, the Fourth Industrial Revolution, and 4IR</w:t>
      </w:r>
      <w:r w:rsidRPr="002916EE">
        <w:rPr>
          <w:rStyle w:val="A2"/>
          <w:rFonts w:cstheme="minorHAnsi"/>
          <w:color w:val="000000" w:themeColor="text1"/>
        </w:rPr>
        <w:t xml:space="preserve"> </w:t>
      </w:r>
      <w:r w:rsidRPr="002916EE">
        <w:rPr>
          <w:rStyle w:val="A2"/>
          <w:rFonts w:cstheme="minorHAnsi"/>
          <w:color w:val="000000" w:themeColor="text1"/>
          <w:sz w:val="22"/>
          <w:szCs w:val="22"/>
        </w:rPr>
        <w:t>[</w:t>
      </w:r>
      <w:hyperlink r:id="rId26" w:history="1">
        <w:r w:rsidRPr="002916EE">
          <w:rPr>
            <w:rStyle w:val="Hyperlink"/>
            <w:rFonts w:cstheme="minorHAnsi"/>
            <w:color w:val="000000" w:themeColor="text1"/>
          </w:rPr>
          <w:t>https://www.mckinsey.com/featured-insights/mckinsey-explainers/what-are-industry-4-0-the-fourth-industrial-revolution-and-4ir</w:t>
        </w:r>
      </w:hyperlink>
      <w:r w:rsidRPr="002916EE">
        <w:rPr>
          <w:rStyle w:val="A2"/>
          <w:rFonts w:cstheme="minorHAnsi"/>
          <w:color w:val="000000" w:themeColor="text1"/>
          <w:sz w:val="22"/>
          <w:szCs w:val="22"/>
        </w:rPr>
        <w:t xml:space="preserve"> ]</w:t>
      </w:r>
      <w:r w:rsidRPr="002916EE">
        <w:rPr>
          <w:rStyle w:val="A2"/>
          <w:rFonts w:cstheme="minorHAnsi"/>
          <w:color w:val="000000" w:themeColor="text1"/>
        </w:rPr>
        <w:t xml:space="preserve"> </w:t>
      </w:r>
    </w:p>
    <w:p w14:paraId="2DCB6685" w14:textId="730FF22F" w:rsidR="008730F6" w:rsidRDefault="003C0020" w:rsidP="00C60C3C">
      <w:pPr>
        <w:pStyle w:val="ListParagraph"/>
        <w:numPr>
          <w:ilvl w:val="0"/>
          <w:numId w:val="3"/>
        </w:numPr>
        <w:autoSpaceDE w:val="0"/>
        <w:autoSpaceDN w:val="0"/>
        <w:adjustRightInd w:val="0"/>
        <w:spacing w:line="240" w:lineRule="auto"/>
        <w:jc w:val="both"/>
        <w:rPr>
          <w:rStyle w:val="Hyperlink"/>
          <w:rFonts w:cstheme="minorHAnsi"/>
          <w:color w:val="000000" w:themeColor="text1"/>
        </w:rPr>
      </w:pPr>
      <w:r w:rsidRPr="00C60C3C">
        <w:rPr>
          <w:rStyle w:val="Hyperlink"/>
          <w:rFonts w:cstheme="minorHAnsi"/>
          <w:color w:val="000000" w:themeColor="text1"/>
          <w:u w:val="none"/>
        </w:rPr>
        <w:t xml:space="preserve">Boston Consulting Group, April 09, 2015. Industry 4.0: The Future of Productivity and Growth in Manufacturing Industries (bcg.com) </w:t>
      </w:r>
      <w:r w:rsidRPr="00C60C3C">
        <w:rPr>
          <w:rStyle w:val="Hyperlink"/>
          <w:rFonts w:cstheme="minorHAnsi"/>
          <w:color w:val="000000" w:themeColor="text1"/>
        </w:rPr>
        <w:t>[https://www.bcg.com/publications/2015/engineered_products_project_business_industry_4_future_productivity_growth_manufacturing_industries]</w:t>
      </w:r>
    </w:p>
    <w:p w14:paraId="45CAF14E" w14:textId="7C559B96" w:rsidR="00C60C3C" w:rsidRDefault="00C60C3C" w:rsidP="00C60C3C">
      <w:pPr>
        <w:pStyle w:val="ListParagraph"/>
        <w:numPr>
          <w:ilvl w:val="0"/>
          <w:numId w:val="3"/>
        </w:numPr>
        <w:autoSpaceDE w:val="0"/>
        <w:autoSpaceDN w:val="0"/>
        <w:adjustRightInd w:val="0"/>
        <w:spacing w:line="240" w:lineRule="auto"/>
        <w:jc w:val="both"/>
        <w:rPr>
          <w:rStyle w:val="Hyperlink"/>
          <w:rFonts w:cstheme="minorHAnsi"/>
          <w:color w:val="000000" w:themeColor="text1"/>
        </w:rPr>
      </w:pPr>
      <w:r w:rsidRPr="00C60C3C">
        <w:rPr>
          <w:rStyle w:val="Hyperlink"/>
          <w:rFonts w:cstheme="minorHAnsi"/>
          <w:color w:val="000000" w:themeColor="text1"/>
          <w:u w:val="none"/>
        </w:rPr>
        <w:t>NOVENTUM IoT Readiness Assessment</w:t>
      </w:r>
      <w:r>
        <w:rPr>
          <w:rStyle w:val="Hyperlink"/>
          <w:rFonts w:cstheme="minorHAnsi"/>
          <w:color w:val="000000" w:themeColor="text1"/>
          <w:u w:val="none"/>
        </w:rPr>
        <w:t>, 2023</w:t>
      </w:r>
      <w:r w:rsidRPr="00C60C3C">
        <w:rPr>
          <w:rStyle w:val="Hyperlink"/>
          <w:rFonts w:cstheme="minorHAnsi"/>
          <w:color w:val="000000" w:themeColor="text1"/>
          <w:u w:val="none"/>
        </w:rPr>
        <w:t>.</w:t>
      </w:r>
      <w:r>
        <w:rPr>
          <w:rStyle w:val="Hyperlink"/>
          <w:rFonts w:cstheme="minorHAnsi"/>
          <w:color w:val="000000" w:themeColor="text1"/>
          <w:u w:val="none"/>
        </w:rPr>
        <w:t xml:space="preserve"> </w:t>
      </w:r>
      <w:r>
        <w:rPr>
          <w:rStyle w:val="Hyperlink"/>
          <w:rFonts w:cstheme="minorHAnsi"/>
          <w:color w:val="000000" w:themeColor="text1"/>
        </w:rPr>
        <w:t>[</w:t>
      </w:r>
      <w:r w:rsidRPr="00C60C3C">
        <w:rPr>
          <w:rStyle w:val="Hyperlink"/>
          <w:rFonts w:cstheme="minorHAnsi"/>
          <w:color w:val="000000" w:themeColor="text1"/>
        </w:rPr>
        <w:t>https://www.noventum.eu/noventum/service-tools/iot-readiness-assessment</w:t>
      </w:r>
      <w:r>
        <w:rPr>
          <w:rStyle w:val="Hyperlink"/>
          <w:rFonts w:cstheme="minorHAnsi"/>
          <w:color w:val="000000" w:themeColor="text1"/>
        </w:rPr>
        <w:t>]</w:t>
      </w:r>
    </w:p>
    <w:p w14:paraId="3A8EC9CB" w14:textId="580ABA6C" w:rsidR="00C60C3C" w:rsidRPr="00C60C3C" w:rsidRDefault="00C60C3C" w:rsidP="00C60C3C">
      <w:pPr>
        <w:pStyle w:val="ListParagraph"/>
        <w:numPr>
          <w:ilvl w:val="0"/>
          <w:numId w:val="3"/>
        </w:numPr>
        <w:autoSpaceDE w:val="0"/>
        <w:autoSpaceDN w:val="0"/>
        <w:adjustRightInd w:val="0"/>
        <w:spacing w:line="240" w:lineRule="auto"/>
        <w:jc w:val="both"/>
        <w:rPr>
          <w:rStyle w:val="Hyperlink"/>
          <w:rFonts w:cstheme="minorHAnsi"/>
          <w:color w:val="000000" w:themeColor="text1"/>
          <w:u w:val="none"/>
        </w:rPr>
      </w:pPr>
      <w:r>
        <w:t xml:space="preserve">AVEVA PI WORLD, </w:t>
      </w:r>
      <w:r>
        <w:t>Turning operations data into intelligence</w:t>
      </w:r>
      <w:r>
        <w:t xml:space="preserve"> 2021. </w:t>
      </w:r>
      <w:r w:rsidRPr="00C60C3C">
        <w:rPr>
          <w:u w:val="single"/>
        </w:rPr>
        <w:t>[</w:t>
      </w:r>
      <w:r w:rsidRPr="00C60C3C">
        <w:rPr>
          <w:rFonts w:ascii="Calibri" w:hAnsi="Calibri" w:cs="Calibri"/>
          <w:u w:val="single"/>
        </w:rPr>
        <w:t>https://www.aveva.com/content/dam/aveva/documents/white-papers/Whitepaper-The-Data-Driven-Foundation.pdf.coredownload.inline.pdf</w:t>
      </w:r>
      <w:r w:rsidRPr="00C60C3C">
        <w:rPr>
          <w:rFonts w:ascii="Calibri" w:hAnsi="Calibri" w:cs="Calibri"/>
          <w:u w:val="single"/>
        </w:rPr>
        <w:t>]</w:t>
      </w:r>
      <w:r>
        <w:rPr>
          <w:rFonts w:ascii="Calibri" w:hAnsi="Calibri" w:cs="Calibri"/>
        </w:rPr>
        <w:t xml:space="preserve"> </w:t>
      </w:r>
    </w:p>
    <w:p w14:paraId="0ABCCF4D" w14:textId="2296E64B" w:rsidR="00F74DA9" w:rsidRPr="002916EE" w:rsidRDefault="00C341EE" w:rsidP="00F74DA9">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 xml:space="preserve">FRAN YANEZ, </w:t>
      </w:r>
      <w:r w:rsidR="00555684" w:rsidRPr="002916EE">
        <w:rPr>
          <w:rFonts w:cstheme="minorHAnsi"/>
          <w:color w:val="000000" w:themeColor="text1"/>
        </w:rPr>
        <w:t xml:space="preserve">2017. </w:t>
      </w:r>
      <w:r w:rsidRPr="002916EE">
        <w:rPr>
          <w:rFonts w:cstheme="minorHAnsi"/>
          <w:color w:val="000000" w:themeColor="text1"/>
        </w:rPr>
        <w:t xml:space="preserve">THE GOAL IS Industry 4.0: Technologies and Trends of the Fourth Industrial Revolution  </w:t>
      </w:r>
    </w:p>
    <w:p w14:paraId="4438FAAD" w14:textId="632E8198" w:rsidR="00C341EE" w:rsidRPr="00C60C3C" w:rsidRDefault="00F74DA9" w:rsidP="00C341EE">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 xml:space="preserve">Cambridge University, 2023 Smart Infrastructure: Getting more from strategic assets  </w:t>
      </w:r>
      <w:hyperlink r:id="rId27" w:history="1">
        <w:r w:rsidRPr="002916EE">
          <w:rPr>
            <w:rStyle w:val="Hyperlink"/>
            <w:rFonts w:cstheme="minorHAnsi"/>
            <w:color w:val="000000" w:themeColor="text1"/>
          </w:rPr>
          <w:t>https://www-smartinfrastructure.eng.cam.ac.uk/system/files/documents/the-smart-infrastructure-paper.pdf</w:t>
        </w:r>
      </w:hyperlink>
      <w:r w:rsidRPr="002916EE">
        <w:rPr>
          <w:rFonts w:cstheme="minorHAnsi"/>
          <w:color w:val="000000" w:themeColor="text1"/>
        </w:rPr>
        <w:t xml:space="preserve"> , 2023</w:t>
      </w:r>
    </w:p>
    <w:p w14:paraId="0A2E8568" w14:textId="7586DA67" w:rsidR="00C60C3C" w:rsidRPr="002916EE" w:rsidRDefault="00C60C3C" w:rsidP="00C341EE">
      <w:pPr>
        <w:pStyle w:val="ListParagraph"/>
        <w:numPr>
          <w:ilvl w:val="0"/>
          <w:numId w:val="3"/>
        </w:numPr>
        <w:autoSpaceDE w:val="0"/>
        <w:autoSpaceDN w:val="0"/>
        <w:adjustRightInd w:val="0"/>
        <w:spacing w:line="240" w:lineRule="auto"/>
        <w:jc w:val="both"/>
        <w:rPr>
          <w:rFonts w:cstheme="minorHAnsi"/>
          <w:color w:val="000000" w:themeColor="text1"/>
          <w:u w:val="single"/>
        </w:rPr>
      </w:pPr>
      <w:proofErr w:type="spellStart"/>
      <w:r w:rsidRPr="00C60C3C">
        <w:rPr>
          <w:rFonts w:cstheme="minorHAnsi"/>
          <w:color w:val="000000" w:themeColor="text1"/>
        </w:rPr>
        <w:t>FiveTran</w:t>
      </w:r>
      <w:proofErr w:type="spellEnd"/>
      <w:r w:rsidRPr="00C60C3C">
        <w:rPr>
          <w:rFonts w:cstheme="minorHAnsi"/>
          <w:color w:val="000000" w:themeColor="text1"/>
        </w:rPr>
        <w:t>, 2023</w:t>
      </w:r>
      <w:r>
        <w:rPr>
          <w:rFonts w:cstheme="minorHAnsi"/>
          <w:color w:val="000000" w:themeColor="text1"/>
          <w:u w:val="single"/>
        </w:rPr>
        <w:t xml:space="preserve"> [</w:t>
      </w:r>
      <w:r w:rsidRPr="00C60C3C">
        <w:rPr>
          <w:rFonts w:cstheme="minorHAnsi"/>
          <w:color w:val="000000" w:themeColor="text1"/>
          <w:u w:val="single"/>
        </w:rPr>
        <w:t>https://www.fivetran.com/blog/why-data-centralization-matters-for-retail</w:t>
      </w:r>
      <w:r>
        <w:rPr>
          <w:rFonts w:cstheme="minorHAnsi"/>
          <w:color w:val="000000" w:themeColor="text1"/>
          <w:u w:val="single"/>
        </w:rPr>
        <w:t>]</w:t>
      </w:r>
    </w:p>
    <w:p w14:paraId="680EEA6E" w14:textId="7205B24C" w:rsidR="00B3797E" w:rsidRPr="002916EE" w:rsidRDefault="00B3797E" w:rsidP="00C341EE">
      <w:pPr>
        <w:pStyle w:val="ListParagraph"/>
        <w:numPr>
          <w:ilvl w:val="0"/>
          <w:numId w:val="3"/>
        </w:numPr>
        <w:autoSpaceDE w:val="0"/>
        <w:autoSpaceDN w:val="0"/>
        <w:adjustRightInd w:val="0"/>
        <w:spacing w:line="240" w:lineRule="auto"/>
        <w:jc w:val="both"/>
        <w:rPr>
          <w:rFonts w:cstheme="minorHAnsi"/>
          <w:color w:val="000000" w:themeColor="text1"/>
          <w:u w:val="single"/>
        </w:rPr>
      </w:pPr>
      <w:proofErr w:type="spellStart"/>
      <w:r w:rsidRPr="002916EE">
        <w:rPr>
          <w:rFonts w:cstheme="minorHAnsi"/>
          <w:color w:val="000000" w:themeColor="text1"/>
        </w:rPr>
        <w:t>Industrie</w:t>
      </w:r>
      <w:proofErr w:type="spellEnd"/>
      <w:r w:rsidRPr="002916EE">
        <w:rPr>
          <w:rFonts w:cstheme="minorHAnsi"/>
          <w:color w:val="000000" w:themeColor="text1"/>
        </w:rPr>
        <w:t xml:space="preserve"> 4.0, 2017 </w:t>
      </w:r>
      <w:r w:rsidR="0069370D" w:rsidRPr="002916EE">
        <w:rPr>
          <w:rFonts w:cstheme="minorHAnsi"/>
          <w:color w:val="000000" w:themeColor="text1"/>
        </w:rPr>
        <w:t>Architecture</w:t>
      </w:r>
      <w:r w:rsidRPr="002916EE">
        <w:rPr>
          <w:rFonts w:cstheme="minorHAnsi"/>
          <w:color w:val="000000" w:themeColor="text1"/>
        </w:rPr>
        <w:t xml:space="preserve"> Alignment and </w:t>
      </w:r>
      <w:r w:rsidR="0069370D" w:rsidRPr="002916EE">
        <w:rPr>
          <w:rFonts w:cstheme="minorHAnsi"/>
          <w:color w:val="000000" w:themeColor="text1"/>
        </w:rPr>
        <w:t>Interoperability</w:t>
      </w:r>
      <w:r w:rsidRPr="002916EE">
        <w:rPr>
          <w:rFonts w:cstheme="minorHAnsi"/>
          <w:color w:val="000000" w:themeColor="text1"/>
        </w:rPr>
        <w:t xml:space="preserve"> </w:t>
      </w:r>
      <w:hyperlink r:id="rId28" w:history="1">
        <w:r w:rsidRPr="002916EE">
          <w:rPr>
            <w:rStyle w:val="Hyperlink"/>
            <w:rFonts w:cstheme="minorHAnsi"/>
            <w:color w:val="000000" w:themeColor="text1"/>
          </w:rPr>
          <w:t>https://www.plattform-i40.de/IP/Redaktion/EN/Downloads/Publikation/whitepaper-iic-pi40.pdf?__blob=publicationFile&amp;v=1</w:t>
        </w:r>
      </w:hyperlink>
      <w:r w:rsidRPr="002916EE">
        <w:rPr>
          <w:rFonts w:cstheme="minorHAnsi"/>
          <w:color w:val="000000" w:themeColor="text1"/>
        </w:rPr>
        <w:t xml:space="preserve"> </w:t>
      </w:r>
    </w:p>
    <w:p w14:paraId="5B4E461C" w14:textId="654B7DE9" w:rsidR="00C341EE" w:rsidRPr="002916EE" w:rsidRDefault="00555684" w:rsidP="00C341EE">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 xml:space="preserve">Errol S, 2020. </w:t>
      </w:r>
      <w:r w:rsidR="00C341EE" w:rsidRPr="002916EE">
        <w:rPr>
          <w:rFonts w:cstheme="minorHAnsi"/>
          <w:color w:val="000000" w:themeColor="text1"/>
        </w:rPr>
        <w:t xml:space="preserve">Emerging Technologies: Blockchain of Intelligent Things to Boost Revenues By: Errol S. van </w:t>
      </w:r>
      <w:proofErr w:type="spellStart"/>
      <w:r w:rsidR="00C341EE" w:rsidRPr="002916EE">
        <w:rPr>
          <w:rFonts w:cstheme="minorHAnsi"/>
          <w:color w:val="000000" w:themeColor="text1"/>
        </w:rPr>
        <w:t>Engelen</w:t>
      </w:r>
      <w:proofErr w:type="spellEnd"/>
      <w:r w:rsidR="00C341EE" w:rsidRPr="002916EE">
        <w:rPr>
          <w:rFonts w:cstheme="minorHAnsi"/>
          <w:color w:val="000000" w:themeColor="text1"/>
        </w:rPr>
        <w:t xml:space="preserve"> Publisher: Business Expert Press </w:t>
      </w:r>
    </w:p>
    <w:p w14:paraId="43C63996" w14:textId="163E88B2" w:rsidR="00C341EE" w:rsidRPr="002916EE" w:rsidRDefault="00C341EE" w:rsidP="00C341EE">
      <w:pPr>
        <w:pStyle w:val="ListParagraph"/>
        <w:numPr>
          <w:ilvl w:val="0"/>
          <w:numId w:val="3"/>
        </w:numPr>
        <w:spacing w:line="240" w:lineRule="auto"/>
        <w:jc w:val="both"/>
        <w:rPr>
          <w:rFonts w:cstheme="minorHAnsi"/>
          <w:color w:val="000000" w:themeColor="text1"/>
        </w:rPr>
      </w:pPr>
      <w:r w:rsidRPr="002916EE">
        <w:rPr>
          <w:rFonts w:cstheme="minorHAnsi"/>
          <w:color w:val="000000" w:themeColor="text1"/>
        </w:rPr>
        <w:t xml:space="preserve">Supply Chain 4.0: Improving Supply Chains with Analytics and Industry 4.0 </w:t>
      </w:r>
      <w:r w:rsidR="0069370D" w:rsidRPr="002916EE">
        <w:rPr>
          <w:rFonts w:cstheme="minorHAnsi"/>
          <w:color w:val="000000" w:themeColor="text1"/>
        </w:rPr>
        <w:t>Technologies By</w:t>
      </w:r>
      <w:r w:rsidRPr="002916EE">
        <w:rPr>
          <w:rFonts w:cstheme="minorHAnsi"/>
          <w:color w:val="000000" w:themeColor="text1"/>
        </w:rPr>
        <w:t xml:space="preserve">: </w:t>
      </w:r>
      <w:proofErr w:type="spellStart"/>
      <w:r w:rsidRPr="002916EE">
        <w:rPr>
          <w:rFonts w:cstheme="minorHAnsi"/>
          <w:color w:val="000000" w:themeColor="text1"/>
        </w:rPr>
        <w:t>Ioannis</w:t>
      </w:r>
      <w:proofErr w:type="spellEnd"/>
      <w:r w:rsidRPr="002916EE">
        <w:rPr>
          <w:rFonts w:cstheme="minorHAnsi"/>
          <w:color w:val="000000" w:themeColor="text1"/>
        </w:rPr>
        <w:t xml:space="preserve"> Minis, Vasileios </w:t>
      </w:r>
      <w:proofErr w:type="spellStart"/>
      <w:r w:rsidRPr="002916EE">
        <w:rPr>
          <w:rFonts w:cstheme="minorHAnsi"/>
          <w:color w:val="000000" w:themeColor="text1"/>
        </w:rPr>
        <w:t>Zeimpekis</w:t>
      </w:r>
      <w:proofErr w:type="spellEnd"/>
      <w:r w:rsidRPr="002916EE">
        <w:rPr>
          <w:rFonts w:cstheme="minorHAnsi"/>
          <w:color w:val="000000" w:themeColor="text1"/>
        </w:rPr>
        <w:t xml:space="preserve">, </w:t>
      </w:r>
      <w:proofErr w:type="spellStart"/>
      <w:r w:rsidRPr="002916EE">
        <w:rPr>
          <w:rFonts w:cstheme="minorHAnsi"/>
          <w:color w:val="000000" w:themeColor="text1"/>
        </w:rPr>
        <w:t>Emel</w:t>
      </w:r>
      <w:proofErr w:type="spellEnd"/>
      <w:r w:rsidRPr="002916EE">
        <w:rPr>
          <w:rFonts w:cstheme="minorHAnsi"/>
          <w:color w:val="000000" w:themeColor="text1"/>
        </w:rPr>
        <w:t xml:space="preserve"> </w:t>
      </w:r>
      <w:proofErr w:type="spellStart"/>
      <w:r w:rsidRPr="002916EE">
        <w:rPr>
          <w:rFonts w:cstheme="minorHAnsi"/>
          <w:color w:val="000000" w:themeColor="text1"/>
        </w:rPr>
        <w:t>Aktas</w:t>
      </w:r>
      <w:proofErr w:type="spellEnd"/>
      <w:r w:rsidRPr="002916EE">
        <w:rPr>
          <w:rFonts w:cstheme="minorHAnsi"/>
          <w:color w:val="000000" w:themeColor="text1"/>
        </w:rPr>
        <w:t xml:space="preserve">, Michael </w:t>
      </w:r>
      <w:proofErr w:type="spellStart"/>
      <w:r w:rsidRPr="002916EE">
        <w:rPr>
          <w:rFonts w:cstheme="minorHAnsi"/>
          <w:color w:val="000000" w:themeColor="text1"/>
        </w:rPr>
        <w:t>Bourlakis</w:t>
      </w:r>
      <w:proofErr w:type="spellEnd"/>
    </w:p>
    <w:p w14:paraId="79BE36BC" w14:textId="077661D8" w:rsidR="00555684" w:rsidRPr="002916EE" w:rsidRDefault="00C341EE" w:rsidP="00555684">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 xml:space="preserve">Business Models in Emerging Technologies: Data Science, AI, and Blockchain By: Stylianos </w:t>
      </w:r>
      <w:proofErr w:type="spellStart"/>
      <w:r w:rsidRPr="002916EE">
        <w:rPr>
          <w:rFonts w:cstheme="minorHAnsi"/>
          <w:color w:val="000000" w:themeColor="text1"/>
        </w:rPr>
        <w:t>Kampakis</w:t>
      </w:r>
      <w:proofErr w:type="spellEnd"/>
      <w:r w:rsidRPr="002916EE">
        <w:rPr>
          <w:rFonts w:cstheme="minorHAnsi"/>
          <w:color w:val="000000" w:themeColor="text1"/>
        </w:rPr>
        <w:t xml:space="preserve">, </w:t>
      </w:r>
      <w:proofErr w:type="spellStart"/>
      <w:r w:rsidRPr="002916EE">
        <w:rPr>
          <w:rFonts w:cstheme="minorHAnsi"/>
          <w:color w:val="000000" w:themeColor="text1"/>
        </w:rPr>
        <w:t>Theodosis</w:t>
      </w:r>
      <w:proofErr w:type="spellEnd"/>
      <w:r w:rsidRPr="002916EE">
        <w:rPr>
          <w:rFonts w:cstheme="minorHAnsi"/>
          <w:color w:val="000000" w:themeColor="text1"/>
        </w:rPr>
        <w:t xml:space="preserve"> </w:t>
      </w:r>
      <w:proofErr w:type="spellStart"/>
      <w:r w:rsidRPr="002916EE">
        <w:rPr>
          <w:rFonts w:cstheme="minorHAnsi"/>
          <w:color w:val="000000" w:themeColor="text1"/>
        </w:rPr>
        <w:t>Mourouzis</w:t>
      </w:r>
      <w:proofErr w:type="spellEnd"/>
      <w:r w:rsidRPr="002916EE">
        <w:rPr>
          <w:rFonts w:cstheme="minorHAnsi"/>
          <w:color w:val="000000" w:themeColor="text1"/>
        </w:rPr>
        <w:t xml:space="preserve">, Gerard Cardoso, </w:t>
      </w:r>
      <w:proofErr w:type="spellStart"/>
      <w:r w:rsidRPr="002916EE">
        <w:rPr>
          <w:rFonts w:cstheme="minorHAnsi"/>
          <w:color w:val="000000" w:themeColor="text1"/>
        </w:rPr>
        <w:t>Marialena</w:t>
      </w:r>
      <w:proofErr w:type="spellEnd"/>
      <w:r w:rsidRPr="002916EE">
        <w:rPr>
          <w:rFonts w:cstheme="minorHAnsi"/>
          <w:color w:val="000000" w:themeColor="text1"/>
        </w:rPr>
        <w:t xml:space="preserve"> </w:t>
      </w:r>
      <w:proofErr w:type="spellStart"/>
      <w:r w:rsidRPr="002916EE">
        <w:rPr>
          <w:rFonts w:cstheme="minorHAnsi"/>
          <w:color w:val="000000" w:themeColor="text1"/>
        </w:rPr>
        <w:t>Zinopoulou</w:t>
      </w:r>
      <w:proofErr w:type="spellEnd"/>
      <w:r w:rsidRPr="002916EE">
        <w:rPr>
          <w:rFonts w:cstheme="minorHAnsi"/>
          <w:color w:val="000000" w:themeColor="text1"/>
        </w:rPr>
        <w:t xml:space="preserve"> - Publisher: Business Expert Press © 2022]</w:t>
      </w:r>
    </w:p>
    <w:p w14:paraId="63945250" w14:textId="3C33DFA9" w:rsidR="00BA4D01" w:rsidRPr="002916EE" w:rsidRDefault="00BA4D01" w:rsidP="00555684">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rPr>
        <w:t>[Hermann, M et al (2016) Design principles for Industry 4.0 scenarios, 49th Hawaii International Conference on System Sciences]</w:t>
      </w:r>
    </w:p>
    <w:p w14:paraId="1E5C39F0" w14:textId="29EDC8C9" w:rsidR="00BA4D01" w:rsidRPr="002916EE" w:rsidRDefault="000E316B" w:rsidP="0069370D">
      <w:pPr>
        <w:pStyle w:val="ListParagraph"/>
        <w:numPr>
          <w:ilvl w:val="0"/>
          <w:numId w:val="3"/>
        </w:numPr>
        <w:spacing w:line="240" w:lineRule="auto"/>
        <w:rPr>
          <w:rFonts w:eastAsia="Times New Roman" w:cstheme="minorHAnsi"/>
          <w:color w:val="000000" w:themeColor="text1"/>
        </w:rPr>
      </w:pPr>
      <w:r w:rsidRPr="002916EE">
        <w:rPr>
          <w:rFonts w:eastAsia="Times New Roman" w:cstheme="minorHAnsi"/>
          <w:color w:val="000000" w:themeColor="text1"/>
        </w:rPr>
        <w:t>Gartner Research, 2023. Over 100 Data and Analytics Predictions through 2028</w:t>
      </w:r>
      <w:r w:rsidR="0069370D" w:rsidRPr="002916EE">
        <w:rPr>
          <w:rFonts w:eastAsia="Times New Roman" w:cstheme="minorHAnsi"/>
          <w:color w:val="000000" w:themeColor="text1"/>
        </w:rPr>
        <w:t xml:space="preserve"> </w:t>
      </w:r>
      <w:hyperlink r:id="rId29" w:history="1">
        <w:r w:rsidR="0069370D" w:rsidRPr="002916EE">
          <w:rPr>
            <w:rStyle w:val="Hyperlink"/>
            <w:rFonts w:eastAsia="Times New Roman" w:cstheme="minorHAnsi"/>
            <w:color w:val="000000" w:themeColor="text1"/>
          </w:rPr>
          <w:t>https://emtemp.gcom.cloud/ngw/globalassets/en/doc/documents/over-100-data-and-analytics-predictions-through-2028-1.pdf</w:t>
        </w:r>
      </w:hyperlink>
    </w:p>
    <w:p w14:paraId="2D182E36" w14:textId="6EB2B32C" w:rsidR="00BA4D01" w:rsidRDefault="00AF79AA" w:rsidP="00555684">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2916EE">
        <w:rPr>
          <w:rFonts w:cstheme="minorHAnsi"/>
          <w:color w:val="000000" w:themeColor="text1"/>
          <w:u w:val="single"/>
        </w:rPr>
        <w:t xml:space="preserve">European Union, 2015. Industry 4.0 </w:t>
      </w:r>
      <w:proofErr w:type="spellStart"/>
      <w:r w:rsidRPr="002916EE">
        <w:rPr>
          <w:rFonts w:cstheme="minorHAnsi"/>
          <w:color w:val="000000" w:themeColor="text1"/>
          <w:u w:val="single"/>
        </w:rPr>
        <w:t>Digitalisation</w:t>
      </w:r>
      <w:proofErr w:type="spellEnd"/>
      <w:r w:rsidRPr="002916EE">
        <w:rPr>
          <w:rFonts w:cstheme="minorHAnsi"/>
          <w:color w:val="000000" w:themeColor="text1"/>
          <w:u w:val="single"/>
        </w:rPr>
        <w:t xml:space="preserve"> for productivity and growth </w:t>
      </w:r>
      <w:hyperlink r:id="rId30" w:history="1">
        <w:r w:rsidR="00C60C3C" w:rsidRPr="006A6DD3">
          <w:rPr>
            <w:rStyle w:val="Hyperlink"/>
            <w:rFonts w:cstheme="minorHAnsi"/>
          </w:rPr>
          <w:t>https://www.europarl.europa.eu/RegData/etudes/BRIE/2015/568337/EPRS_BRI(2015)568337_EN.pdf</w:t>
        </w:r>
      </w:hyperlink>
    </w:p>
    <w:p w14:paraId="2DAE115F" w14:textId="0E7B8445" w:rsidR="00C60C3C" w:rsidRPr="002916EE" w:rsidRDefault="00C60C3C" w:rsidP="00555684">
      <w:pPr>
        <w:pStyle w:val="ListParagraph"/>
        <w:numPr>
          <w:ilvl w:val="0"/>
          <w:numId w:val="3"/>
        </w:numPr>
        <w:autoSpaceDE w:val="0"/>
        <w:autoSpaceDN w:val="0"/>
        <w:adjustRightInd w:val="0"/>
        <w:spacing w:line="240" w:lineRule="auto"/>
        <w:jc w:val="both"/>
        <w:rPr>
          <w:rFonts w:cstheme="minorHAnsi"/>
          <w:color w:val="000000" w:themeColor="text1"/>
          <w:u w:val="single"/>
        </w:rPr>
      </w:pPr>
      <w:r w:rsidRPr="00C60C3C">
        <w:rPr>
          <w:rFonts w:cstheme="minorHAnsi"/>
          <w:color w:val="000000" w:themeColor="text1"/>
        </w:rPr>
        <w:t>AWS 2023</w:t>
      </w:r>
      <w:r>
        <w:rPr>
          <w:rFonts w:cstheme="minorHAnsi"/>
          <w:color w:val="000000" w:themeColor="text1"/>
          <w:u w:val="single"/>
        </w:rPr>
        <w:t xml:space="preserve"> [</w:t>
      </w:r>
      <w:r w:rsidRPr="00C60C3C">
        <w:rPr>
          <w:rFonts w:cstheme="minorHAnsi"/>
          <w:color w:val="000000" w:themeColor="text1"/>
          <w:u w:val="single"/>
        </w:rPr>
        <w:t>https://docs.aws.amazon.com/iot-sitewise/latest/userguide/what-is-sitewise.html</w:t>
      </w:r>
      <w:r>
        <w:rPr>
          <w:rFonts w:cstheme="minorHAnsi"/>
          <w:color w:val="000000" w:themeColor="text1"/>
          <w:u w:val="single"/>
        </w:rPr>
        <w:t>]</w:t>
      </w:r>
    </w:p>
    <w:p w14:paraId="2302FA92" w14:textId="77777777" w:rsidR="00555684" w:rsidRPr="00555684" w:rsidRDefault="00555684" w:rsidP="00555684">
      <w:pPr>
        <w:pStyle w:val="ListParagraph"/>
        <w:autoSpaceDE w:val="0"/>
        <w:autoSpaceDN w:val="0"/>
        <w:adjustRightInd w:val="0"/>
        <w:spacing w:line="240" w:lineRule="auto"/>
        <w:jc w:val="both"/>
        <w:rPr>
          <w:rStyle w:val="Hyperlink"/>
          <w:rFonts w:ascii="Agency FB" w:hAnsi="Agency FB" w:cs="McKinsey Sans Light"/>
          <w:color w:val="auto"/>
        </w:rPr>
      </w:pPr>
    </w:p>
    <w:sectPr w:rsidR="00555684" w:rsidRPr="00555684">
      <w:headerReference w:type="default" r:id="rId31"/>
      <w:footerReference w:type="default" r:id="rId32"/>
      <w:headerReference w:type="first" r:id="rId33"/>
      <w:foot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5F85" w14:textId="77777777" w:rsidR="00876D68" w:rsidRDefault="00876D68">
      <w:pPr>
        <w:spacing w:line="240" w:lineRule="auto"/>
      </w:pPr>
      <w:r>
        <w:separator/>
      </w:r>
    </w:p>
  </w:endnote>
  <w:endnote w:type="continuationSeparator" w:id="0">
    <w:p w14:paraId="370C0D22" w14:textId="77777777" w:rsidR="00876D68" w:rsidRDefault="00876D68">
      <w:pPr>
        <w:spacing w:line="240" w:lineRule="auto"/>
      </w:pPr>
      <w:r>
        <w:continuationSeparator/>
      </w:r>
    </w:p>
  </w:endnote>
  <w:endnote w:type="continuationNotice" w:id="1">
    <w:p w14:paraId="6D26B65D" w14:textId="77777777" w:rsidR="00876D68" w:rsidRDefault="00876D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cKinsey Sans Light">
    <w:altName w:val="Calibri"/>
    <w:panose1 w:val="00000000000000000000"/>
    <w:charset w:val="00"/>
    <w:family w:val="swiss"/>
    <w:notTrueType/>
    <w:pitch w:val="default"/>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253"/>
      <w:gridCol w:w="567"/>
      <w:gridCol w:w="4540"/>
    </w:tblGrid>
    <w:tr w:rsidR="733B038C" w14:paraId="6DB5FDDA" w14:textId="77777777" w:rsidTr="003A11EB">
      <w:tc>
        <w:tcPr>
          <w:tcW w:w="4253" w:type="dxa"/>
        </w:tcPr>
        <w:p w14:paraId="02E553C7" w14:textId="21FA6BD0" w:rsidR="733B038C" w:rsidRDefault="00556ED2" w:rsidP="733B038C">
          <w:pPr>
            <w:pStyle w:val="Header"/>
            <w:ind w:left="-115"/>
          </w:pPr>
          <w:r>
            <w:rPr>
              <w:rFonts w:ascii="Arial" w:hAnsi="Arial" w:cs="Arial"/>
              <w:bCs/>
            </w:rPr>
            <w:t xml:space="preserve">ACPA7000- </w:t>
          </w:r>
          <w:r w:rsidR="003A11EB">
            <w:rPr>
              <w:rFonts w:ascii="Arial" w:hAnsi="Arial" w:cs="Arial"/>
              <w:bCs/>
            </w:rPr>
            <w:t>Advanced Industry 4.0</w:t>
          </w:r>
        </w:p>
      </w:tc>
      <w:tc>
        <w:tcPr>
          <w:tcW w:w="567" w:type="dxa"/>
        </w:tcPr>
        <w:p w14:paraId="32CBB4CA" w14:textId="03ED5402" w:rsidR="733B038C" w:rsidRDefault="00556ED2" w:rsidP="00556ED2">
          <w:pPr>
            <w:pStyle w:val="Header"/>
            <w:tabs>
              <w:tab w:val="left" w:pos="502"/>
            </w:tabs>
          </w:pPr>
          <w:r>
            <w:tab/>
          </w:r>
        </w:p>
      </w:tc>
      <w:tc>
        <w:tcPr>
          <w:tcW w:w="4540" w:type="dxa"/>
        </w:tcPr>
        <w:p w14:paraId="4BE36567" w14:textId="3A5C59C9" w:rsidR="733B038C" w:rsidRDefault="00556ED2" w:rsidP="00556ED2">
          <w:pPr>
            <w:pStyle w:val="Header"/>
            <w:tabs>
              <w:tab w:val="left" w:pos="904"/>
            </w:tabs>
            <w:ind w:right="-115"/>
          </w:pPr>
          <w:r>
            <w:tab/>
          </w:r>
          <w:r w:rsidR="003A11EB">
            <w:t>University of Wales Trinity Saint David</w:t>
          </w:r>
        </w:p>
      </w:tc>
    </w:tr>
  </w:tbl>
  <w:p w14:paraId="79D88170" w14:textId="77777777" w:rsidR="733B038C" w:rsidRDefault="733B038C" w:rsidP="733B0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3B038C" w14:paraId="647229DC" w14:textId="77777777" w:rsidTr="733B038C">
      <w:tc>
        <w:tcPr>
          <w:tcW w:w="3120" w:type="dxa"/>
        </w:tcPr>
        <w:p w14:paraId="1C79EEE7" w14:textId="77777777" w:rsidR="733B038C" w:rsidRDefault="733B038C" w:rsidP="733B038C">
          <w:pPr>
            <w:pStyle w:val="Header"/>
            <w:ind w:left="-115"/>
          </w:pPr>
        </w:p>
      </w:tc>
      <w:tc>
        <w:tcPr>
          <w:tcW w:w="3120" w:type="dxa"/>
        </w:tcPr>
        <w:p w14:paraId="0CCEC380" w14:textId="77777777" w:rsidR="733B038C" w:rsidRDefault="733B038C" w:rsidP="733B038C">
          <w:pPr>
            <w:pStyle w:val="Header"/>
            <w:jc w:val="center"/>
          </w:pPr>
        </w:p>
      </w:tc>
      <w:tc>
        <w:tcPr>
          <w:tcW w:w="3120" w:type="dxa"/>
        </w:tcPr>
        <w:p w14:paraId="732EC616" w14:textId="77777777" w:rsidR="733B038C" w:rsidRDefault="733B038C" w:rsidP="733B038C">
          <w:pPr>
            <w:pStyle w:val="Header"/>
            <w:ind w:right="-115"/>
            <w:jc w:val="right"/>
          </w:pPr>
        </w:p>
      </w:tc>
    </w:tr>
  </w:tbl>
  <w:p w14:paraId="0ABCBE1C" w14:textId="77777777" w:rsidR="733B038C" w:rsidRDefault="733B038C" w:rsidP="733B0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FD808" w14:textId="77777777" w:rsidR="00876D68" w:rsidRDefault="00876D68">
      <w:pPr>
        <w:spacing w:line="240" w:lineRule="auto"/>
      </w:pPr>
      <w:r>
        <w:separator/>
      </w:r>
    </w:p>
  </w:footnote>
  <w:footnote w:type="continuationSeparator" w:id="0">
    <w:p w14:paraId="452A7792" w14:textId="77777777" w:rsidR="00876D68" w:rsidRDefault="00876D68">
      <w:pPr>
        <w:spacing w:line="240" w:lineRule="auto"/>
      </w:pPr>
      <w:r>
        <w:continuationSeparator/>
      </w:r>
    </w:p>
  </w:footnote>
  <w:footnote w:type="continuationNotice" w:id="1">
    <w:p w14:paraId="0CDD29F8" w14:textId="77777777" w:rsidR="00876D68" w:rsidRDefault="00876D6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904DBE" w14:paraId="2E4EEEBF" w14:textId="77777777" w:rsidTr="008830C9">
      <w:tc>
        <w:tcPr>
          <w:tcW w:w="3120" w:type="dxa"/>
        </w:tcPr>
        <w:p w14:paraId="45164AF9" w14:textId="352743CD" w:rsidR="00604652" w:rsidRDefault="00604652" w:rsidP="00604652">
          <w:pPr>
            <w:pStyle w:val="Header"/>
          </w:pPr>
        </w:p>
      </w:tc>
      <w:tc>
        <w:tcPr>
          <w:tcW w:w="3120" w:type="dxa"/>
        </w:tcPr>
        <w:p w14:paraId="03471DFC" w14:textId="77777777" w:rsidR="00904DBE" w:rsidRDefault="00904DBE" w:rsidP="00904DBE">
          <w:pPr>
            <w:pStyle w:val="Header"/>
            <w:jc w:val="center"/>
          </w:pPr>
        </w:p>
      </w:tc>
      <w:tc>
        <w:tcPr>
          <w:tcW w:w="3120" w:type="dxa"/>
        </w:tcPr>
        <w:p w14:paraId="5A55F2C2" w14:textId="77777777" w:rsidR="00904DBE" w:rsidRDefault="00904DBE" w:rsidP="00904DBE">
          <w:pPr>
            <w:pStyle w:val="Header"/>
            <w:ind w:right="-115"/>
            <w:jc w:val="right"/>
          </w:pPr>
          <w:r>
            <w:fldChar w:fldCharType="begin"/>
          </w:r>
          <w:r>
            <w:instrText>PAGE</w:instrText>
          </w:r>
          <w:r>
            <w:fldChar w:fldCharType="separate"/>
          </w:r>
          <w:r w:rsidR="00DA395D">
            <w:rPr>
              <w:noProof/>
            </w:rPr>
            <w:t>2</w:t>
          </w:r>
          <w:r>
            <w:fldChar w:fldCharType="end"/>
          </w:r>
        </w:p>
      </w:tc>
    </w:tr>
  </w:tbl>
  <w:p w14:paraId="2529DFF1" w14:textId="77777777" w:rsidR="733B038C" w:rsidRDefault="733B038C" w:rsidP="733B0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600" w:firstRow="0" w:lastRow="0" w:firstColumn="0" w:lastColumn="0" w:noHBand="1" w:noVBand="1"/>
    </w:tblPr>
    <w:tblGrid>
      <w:gridCol w:w="3120"/>
      <w:gridCol w:w="3120"/>
      <w:gridCol w:w="3120"/>
    </w:tblGrid>
    <w:tr w:rsidR="733B038C" w14:paraId="021C9759" w14:textId="77777777" w:rsidTr="00FD478C">
      <w:tc>
        <w:tcPr>
          <w:tcW w:w="3120" w:type="dxa"/>
        </w:tcPr>
        <w:p w14:paraId="20F97871" w14:textId="2CD9AF1A" w:rsidR="733B038C" w:rsidRPr="00FD478C" w:rsidRDefault="00556ED2" w:rsidP="00FD478C">
          <w:pPr>
            <w:pStyle w:val="Header"/>
          </w:pPr>
          <w:r>
            <w:rPr>
              <w:rFonts w:ascii="Arial" w:hAnsi="Arial" w:cs="Arial"/>
              <w:bCs/>
            </w:rPr>
            <w:t>ACPA7000- Assignment1</w:t>
          </w:r>
        </w:p>
      </w:tc>
      <w:tc>
        <w:tcPr>
          <w:tcW w:w="3120" w:type="dxa"/>
        </w:tcPr>
        <w:p w14:paraId="1D8E41F3" w14:textId="5D06689F" w:rsidR="733B038C" w:rsidRDefault="00556ED2" w:rsidP="733B038C">
          <w:pPr>
            <w:pStyle w:val="Header"/>
            <w:jc w:val="center"/>
          </w:pPr>
          <w:r>
            <w:t>INDUSTRY 4.0 Business Models</w:t>
          </w:r>
        </w:p>
      </w:tc>
      <w:tc>
        <w:tcPr>
          <w:tcW w:w="3120" w:type="dxa"/>
        </w:tcPr>
        <w:p w14:paraId="7584C8E9" w14:textId="77777777" w:rsidR="733B038C" w:rsidRDefault="733B038C" w:rsidP="733B038C">
          <w:pPr>
            <w:pStyle w:val="Header"/>
            <w:ind w:right="-115"/>
            <w:jc w:val="right"/>
          </w:pPr>
        </w:p>
      </w:tc>
    </w:tr>
  </w:tbl>
  <w:p w14:paraId="1DE6D8D2" w14:textId="77777777" w:rsidR="733B038C" w:rsidRDefault="733B038C" w:rsidP="733B0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A699E"/>
    <w:multiLevelType w:val="hybridMultilevel"/>
    <w:tmpl w:val="3AD44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6C7D6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AEC7566"/>
    <w:multiLevelType w:val="multilevel"/>
    <w:tmpl w:val="3F82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1430C79"/>
    <w:multiLevelType w:val="hybridMultilevel"/>
    <w:tmpl w:val="3AD447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C9F23AC"/>
    <w:multiLevelType w:val="multilevel"/>
    <w:tmpl w:val="40B001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4"/>
  </w:num>
  <w:num w:numId="3">
    <w:abstractNumId w:val="3"/>
  </w:num>
  <w:num w:numId="4">
    <w:abstractNumId w:val="1"/>
  </w:num>
  <w:num w:numId="5">
    <w:abstractNumId w:val="1"/>
  </w:num>
  <w:num w:numId="6">
    <w:abstractNumId w:val="1"/>
  </w:num>
  <w:num w:numId="7">
    <w:abstractNumId w:val="1"/>
  </w:num>
  <w:num w:numId="8">
    <w:abstractNumId w:val="2"/>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oNotDisplayPageBoundaries/>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769"/>
    <w:rsid w:val="0001726F"/>
    <w:rsid w:val="000231F6"/>
    <w:rsid w:val="00026E9C"/>
    <w:rsid w:val="0003257A"/>
    <w:rsid w:val="000E316B"/>
    <w:rsid w:val="00107A5F"/>
    <w:rsid w:val="001A20F5"/>
    <w:rsid w:val="00217B76"/>
    <w:rsid w:val="0029105F"/>
    <w:rsid w:val="002916EE"/>
    <w:rsid w:val="002A1231"/>
    <w:rsid w:val="002C13FD"/>
    <w:rsid w:val="002C3BE4"/>
    <w:rsid w:val="002D1BA0"/>
    <w:rsid w:val="002F5DFF"/>
    <w:rsid w:val="002F7E04"/>
    <w:rsid w:val="00325391"/>
    <w:rsid w:val="00371BD9"/>
    <w:rsid w:val="003A11EB"/>
    <w:rsid w:val="003C0020"/>
    <w:rsid w:val="003C5699"/>
    <w:rsid w:val="0042207D"/>
    <w:rsid w:val="00484C46"/>
    <w:rsid w:val="00487C7A"/>
    <w:rsid w:val="004C02B7"/>
    <w:rsid w:val="004C683E"/>
    <w:rsid w:val="004D589A"/>
    <w:rsid w:val="00500997"/>
    <w:rsid w:val="00530EF3"/>
    <w:rsid w:val="00555684"/>
    <w:rsid w:val="00556ED2"/>
    <w:rsid w:val="00565B70"/>
    <w:rsid w:val="005936DA"/>
    <w:rsid w:val="005C6160"/>
    <w:rsid w:val="00604652"/>
    <w:rsid w:val="0064099F"/>
    <w:rsid w:val="0069370D"/>
    <w:rsid w:val="006C101C"/>
    <w:rsid w:val="006C1D76"/>
    <w:rsid w:val="006D46CC"/>
    <w:rsid w:val="006F4709"/>
    <w:rsid w:val="00702B81"/>
    <w:rsid w:val="00727711"/>
    <w:rsid w:val="0074264E"/>
    <w:rsid w:val="00796468"/>
    <w:rsid w:val="007D4A2B"/>
    <w:rsid w:val="007E2D6A"/>
    <w:rsid w:val="008078FA"/>
    <w:rsid w:val="00823731"/>
    <w:rsid w:val="008730F6"/>
    <w:rsid w:val="00876D68"/>
    <w:rsid w:val="0088170A"/>
    <w:rsid w:val="008A0BFC"/>
    <w:rsid w:val="00904DBE"/>
    <w:rsid w:val="00974769"/>
    <w:rsid w:val="009A3C8C"/>
    <w:rsid w:val="009B0B1D"/>
    <w:rsid w:val="009C5BF7"/>
    <w:rsid w:val="00A16170"/>
    <w:rsid w:val="00A16C02"/>
    <w:rsid w:val="00A75901"/>
    <w:rsid w:val="00AC775F"/>
    <w:rsid w:val="00AE326E"/>
    <w:rsid w:val="00AF79AA"/>
    <w:rsid w:val="00B3797E"/>
    <w:rsid w:val="00B5233A"/>
    <w:rsid w:val="00BA4D01"/>
    <w:rsid w:val="00BA6612"/>
    <w:rsid w:val="00BD3DDD"/>
    <w:rsid w:val="00C26B8E"/>
    <w:rsid w:val="00C26C30"/>
    <w:rsid w:val="00C341EE"/>
    <w:rsid w:val="00C60C3C"/>
    <w:rsid w:val="00CA1E31"/>
    <w:rsid w:val="00CB0EC2"/>
    <w:rsid w:val="00CD7F50"/>
    <w:rsid w:val="00CF2182"/>
    <w:rsid w:val="00DA395D"/>
    <w:rsid w:val="00DA4FEE"/>
    <w:rsid w:val="00DF1ADF"/>
    <w:rsid w:val="00DF3215"/>
    <w:rsid w:val="00E078FD"/>
    <w:rsid w:val="00E23707"/>
    <w:rsid w:val="00E23DEA"/>
    <w:rsid w:val="00E420BC"/>
    <w:rsid w:val="00E4732B"/>
    <w:rsid w:val="00E53691"/>
    <w:rsid w:val="00E879E7"/>
    <w:rsid w:val="00ED6739"/>
    <w:rsid w:val="00F43ACD"/>
    <w:rsid w:val="00F74DA9"/>
    <w:rsid w:val="00F941E8"/>
    <w:rsid w:val="00FA4C9E"/>
    <w:rsid w:val="00FC53C4"/>
    <w:rsid w:val="00FD478C"/>
    <w:rsid w:val="00FF1E90"/>
    <w:rsid w:val="02B84D5B"/>
    <w:rsid w:val="0D043988"/>
    <w:rsid w:val="0F5677D9"/>
    <w:rsid w:val="211A0CBD"/>
    <w:rsid w:val="26E400E3"/>
    <w:rsid w:val="2A8439C5"/>
    <w:rsid w:val="31C3BEDA"/>
    <w:rsid w:val="3A62D598"/>
    <w:rsid w:val="4B67EC07"/>
    <w:rsid w:val="5643BF48"/>
    <w:rsid w:val="576062CF"/>
    <w:rsid w:val="5E87343A"/>
    <w:rsid w:val="6E98F034"/>
    <w:rsid w:val="709762D6"/>
    <w:rsid w:val="717E282B"/>
    <w:rsid w:val="72E609EB"/>
    <w:rsid w:val="733B038C"/>
    <w:rsid w:val="74440036"/>
    <w:rsid w:val="7F8F13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06B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C3C"/>
  </w:style>
  <w:style w:type="paragraph" w:styleId="Heading1">
    <w:name w:val="heading 1"/>
    <w:basedOn w:val="Normal"/>
    <w:next w:val="Normal"/>
    <w:link w:val="Heading1Char"/>
    <w:uiPriority w:val="9"/>
    <w:qFormat/>
    <w:rsid w:val="007D4A2B"/>
    <w:pPr>
      <w:numPr>
        <w:numId w:val="4"/>
      </w:numPr>
      <w:jc w:val="center"/>
      <w:outlineLvl w:val="0"/>
    </w:pPr>
    <w:rPr>
      <w:b/>
      <w:bCs/>
    </w:rPr>
  </w:style>
  <w:style w:type="paragraph" w:styleId="Heading2">
    <w:name w:val="heading 2"/>
    <w:basedOn w:val="Normal"/>
    <w:next w:val="Normal"/>
    <w:link w:val="Heading2Char"/>
    <w:uiPriority w:val="9"/>
    <w:unhideWhenUsed/>
    <w:qFormat/>
    <w:rsid w:val="007D4A2B"/>
    <w:pPr>
      <w:numPr>
        <w:ilvl w:val="1"/>
        <w:numId w:val="4"/>
      </w:numPr>
      <w:outlineLvl w:val="1"/>
    </w:pPr>
    <w:rPr>
      <w:b/>
      <w:bCs/>
    </w:rPr>
  </w:style>
  <w:style w:type="paragraph" w:styleId="Heading3">
    <w:name w:val="heading 3"/>
    <w:basedOn w:val="Normal"/>
    <w:next w:val="Normal"/>
    <w:link w:val="Heading3Char"/>
    <w:uiPriority w:val="9"/>
    <w:unhideWhenUsed/>
    <w:qFormat/>
    <w:rsid w:val="002F5DFF"/>
    <w:pPr>
      <w:numPr>
        <w:ilvl w:val="2"/>
        <w:numId w:val="4"/>
      </w:numPr>
      <w:outlineLvl w:val="2"/>
    </w:pPr>
    <w:rPr>
      <w:b/>
      <w:bCs/>
      <w:iCs/>
    </w:rPr>
  </w:style>
  <w:style w:type="paragraph" w:styleId="Heading4">
    <w:name w:val="heading 4"/>
    <w:basedOn w:val="Normal"/>
    <w:next w:val="Normal"/>
    <w:link w:val="Heading4Char"/>
    <w:uiPriority w:val="9"/>
    <w:unhideWhenUsed/>
    <w:qFormat/>
    <w:rsid w:val="007D4A2B"/>
    <w:pPr>
      <w:numPr>
        <w:ilvl w:val="3"/>
        <w:numId w:val="4"/>
      </w:numPr>
      <w:outlineLvl w:val="3"/>
    </w:pPr>
    <w:rPr>
      <w:b/>
      <w:bCs/>
    </w:rPr>
  </w:style>
  <w:style w:type="paragraph" w:styleId="Heading5">
    <w:name w:val="heading 5"/>
    <w:basedOn w:val="Normal"/>
    <w:next w:val="Normal"/>
    <w:link w:val="Heading5Char"/>
    <w:uiPriority w:val="9"/>
    <w:unhideWhenUsed/>
    <w:qFormat/>
    <w:rsid w:val="00C60C3C"/>
    <w:pPr>
      <w:numPr>
        <w:ilvl w:val="4"/>
        <w:numId w:val="4"/>
      </w:numPr>
      <w:outlineLvl w:val="4"/>
    </w:pPr>
    <w:rPr>
      <w:b/>
      <w:bCs/>
      <w:iCs/>
    </w:rPr>
  </w:style>
  <w:style w:type="paragraph" w:styleId="Heading6">
    <w:name w:val="heading 6"/>
    <w:basedOn w:val="Normal"/>
    <w:next w:val="Normal"/>
    <w:link w:val="Heading6Char"/>
    <w:uiPriority w:val="9"/>
    <w:semiHidden/>
    <w:unhideWhenUsed/>
    <w:qFormat/>
    <w:rsid w:val="007D4A2B"/>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F5DFF"/>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F5DFF"/>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5DFF"/>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line="240" w:lineRule="auto"/>
    </w:p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Pr>
      <w:i/>
      <w:iCs/>
    </w:rPr>
  </w:style>
  <w:style w:type="character" w:customStyle="1" w:styleId="HeaderChar">
    <w:name w:val="Header Char"/>
    <w:basedOn w:val="DefaultParagraphFont"/>
    <w:link w:val="Header"/>
    <w:uiPriority w:val="99"/>
    <w:rsid w:val="007D4A2B"/>
  </w:style>
  <w:style w:type="paragraph" w:styleId="Header">
    <w:name w:val="header"/>
    <w:basedOn w:val="Normal"/>
    <w:link w:val="HeaderChar"/>
    <w:uiPriority w:val="99"/>
    <w:unhideWhenUsed/>
    <w:rsid w:val="007D4A2B"/>
    <w:pPr>
      <w:tabs>
        <w:tab w:val="center" w:pos="4680"/>
        <w:tab w:val="right" w:pos="9360"/>
      </w:tabs>
      <w:spacing w:line="240" w:lineRule="auto"/>
    </w:pPr>
  </w:style>
  <w:style w:type="character" w:customStyle="1" w:styleId="FooterChar">
    <w:name w:val="Footer Char"/>
    <w:basedOn w:val="DefaultParagraphFont"/>
    <w:link w:val="Footer"/>
    <w:uiPriority w:val="99"/>
    <w:rsid w:val="007D4A2B"/>
  </w:style>
  <w:style w:type="paragraph" w:styleId="Footer">
    <w:name w:val="footer"/>
    <w:basedOn w:val="Normal"/>
    <w:link w:val="FooterChar"/>
    <w:uiPriority w:val="99"/>
    <w:unhideWhenUsed/>
    <w:rsid w:val="007D4A2B"/>
    <w:pPr>
      <w:tabs>
        <w:tab w:val="center" w:pos="4680"/>
        <w:tab w:val="right" w:pos="9360"/>
      </w:tabs>
      <w:spacing w:line="240" w:lineRule="auto"/>
    </w:pPr>
  </w:style>
  <w:style w:type="character" w:styleId="CommentReference">
    <w:name w:val="annotation reference"/>
    <w:basedOn w:val="DefaultParagraphFont"/>
    <w:uiPriority w:val="99"/>
    <w:semiHidden/>
    <w:unhideWhenUsed/>
    <w:rsid w:val="00CD7F50"/>
    <w:rPr>
      <w:sz w:val="16"/>
      <w:szCs w:val="16"/>
    </w:rPr>
  </w:style>
  <w:style w:type="paragraph" w:styleId="CommentText">
    <w:name w:val="annotation text"/>
    <w:basedOn w:val="Normal"/>
    <w:link w:val="CommentTextChar"/>
    <w:uiPriority w:val="99"/>
    <w:unhideWhenUsed/>
    <w:rsid w:val="00CD7F50"/>
    <w:pPr>
      <w:spacing w:line="240" w:lineRule="auto"/>
    </w:pPr>
    <w:rPr>
      <w:sz w:val="20"/>
      <w:szCs w:val="20"/>
    </w:rPr>
  </w:style>
  <w:style w:type="character" w:customStyle="1" w:styleId="CommentTextChar">
    <w:name w:val="Comment Text Char"/>
    <w:basedOn w:val="DefaultParagraphFont"/>
    <w:link w:val="CommentText"/>
    <w:uiPriority w:val="99"/>
    <w:rsid w:val="00CD7F50"/>
    <w:rPr>
      <w:sz w:val="20"/>
      <w:szCs w:val="20"/>
    </w:rPr>
  </w:style>
  <w:style w:type="paragraph" w:styleId="CommentSubject">
    <w:name w:val="annotation subject"/>
    <w:basedOn w:val="CommentText"/>
    <w:next w:val="CommentText"/>
    <w:link w:val="CommentSubjectChar"/>
    <w:uiPriority w:val="99"/>
    <w:semiHidden/>
    <w:unhideWhenUsed/>
    <w:rsid w:val="00CD7F50"/>
    <w:rPr>
      <w:b/>
      <w:bCs/>
    </w:rPr>
  </w:style>
  <w:style w:type="character" w:customStyle="1" w:styleId="CommentSubjectChar">
    <w:name w:val="Comment Subject Char"/>
    <w:basedOn w:val="CommentTextChar"/>
    <w:link w:val="CommentSubject"/>
    <w:uiPriority w:val="99"/>
    <w:semiHidden/>
    <w:rsid w:val="00CD7F50"/>
    <w:rPr>
      <w:b/>
      <w:bCs/>
      <w:sz w:val="20"/>
      <w:szCs w:val="20"/>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C26C3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C30"/>
    <w:rPr>
      <w:rFonts w:ascii="Segoe UI" w:hAnsi="Segoe UI" w:cs="Segoe UI"/>
      <w:sz w:val="18"/>
      <w:szCs w:val="18"/>
    </w:rPr>
  </w:style>
  <w:style w:type="paragraph" w:styleId="Title">
    <w:name w:val="Title"/>
    <w:basedOn w:val="Normal"/>
    <w:next w:val="Normal"/>
    <w:link w:val="TitleChar"/>
    <w:uiPriority w:val="10"/>
    <w:qFormat/>
    <w:rsid w:val="00530EF3"/>
    <w:pPr>
      <w:jc w:val="center"/>
    </w:pPr>
    <w:rPr>
      <w:b/>
      <w:bCs/>
    </w:rPr>
  </w:style>
  <w:style w:type="character" w:customStyle="1" w:styleId="TitleChar">
    <w:name w:val="Title Char"/>
    <w:basedOn w:val="DefaultParagraphFont"/>
    <w:link w:val="Title"/>
    <w:uiPriority w:val="10"/>
    <w:rsid w:val="00530EF3"/>
    <w:rPr>
      <w:b/>
      <w:bCs/>
    </w:rPr>
  </w:style>
  <w:style w:type="character" w:styleId="PlaceholderText">
    <w:name w:val="Placeholder Text"/>
    <w:basedOn w:val="DefaultParagraphFont"/>
    <w:uiPriority w:val="99"/>
    <w:semiHidden/>
    <w:rsid w:val="00FD478C"/>
    <w:rPr>
      <w:color w:val="808080"/>
    </w:rPr>
  </w:style>
  <w:style w:type="paragraph" w:styleId="Subtitle">
    <w:name w:val="Subtitle"/>
    <w:basedOn w:val="Normal"/>
    <w:next w:val="Normal"/>
    <w:link w:val="SubtitleChar"/>
    <w:uiPriority w:val="11"/>
    <w:qFormat/>
    <w:rsid w:val="00530EF3"/>
    <w:pPr>
      <w:jc w:val="center"/>
    </w:pPr>
  </w:style>
  <w:style w:type="character" w:customStyle="1" w:styleId="SubtitleChar">
    <w:name w:val="Subtitle Char"/>
    <w:basedOn w:val="DefaultParagraphFont"/>
    <w:link w:val="Subtitle"/>
    <w:uiPriority w:val="11"/>
    <w:rsid w:val="00530EF3"/>
  </w:style>
  <w:style w:type="paragraph" w:customStyle="1" w:styleId="SectionTitle">
    <w:name w:val="Section Title"/>
    <w:basedOn w:val="Normal"/>
    <w:next w:val="Normal"/>
    <w:uiPriority w:val="12"/>
    <w:qFormat/>
    <w:rsid w:val="00530EF3"/>
    <w:pPr>
      <w:jc w:val="center"/>
    </w:pPr>
    <w:rPr>
      <w:b/>
      <w:bCs/>
    </w:rPr>
  </w:style>
  <w:style w:type="character" w:styleId="Strong">
    <w:name w:val="Strong"/>
    <w:basedOn w:val="DefaultParagraphFont"/>
    <w:uiPriority w:val="22"/>
    <w:qFormat/>
    <w:rsid w:val="00500997"/>
    <w:rPr>
      <w:b/>
      <w:bCs/>
    </w:rPr>
  </w:style>
  <w:style w:type="character" w:customStyle="1" w:styleId="Heading1Char">
    <w:name w:val="Heading 1 Char"/>
    <w:basedOn w:val="DefaultParagraphFont"/>
    <w:link w:val="Heading1"/>
    <w:uiPriority w:val="9"/>
    <w:rsid w:val="007D4A2B"/>
    <w:rPr>
      <w:b/>
      <w:bCs/>
    </w:rPr>
  </w:style>
  <w:style w:type="character" w:customStyle="1" w:styleId="Heading2Char">
    <w:name w:val="Heading 2 Char"/>
    <w:basedOn w:val="DefaultParagraphFont"/>
    <w:link w:val="Heading2"/>
    <w:uiPriority w:val="9"/>
    <w:rsid w:val="007D4A2B"/>
    <w:rPr>
      <w:b/>
      <w:bCs/>
    </w:rPr>
  </w:style>
  <w:style w:type="character" w:customStyle="1" w:styleId="Heading3Char">
    <w:name w:val="Heading 3 Char"/>
    <w:basedOn w:val="DefaultParagraphFont"/>
    <w:link w:val="Heading3"/>
    <w:uiPriority w:val="9"/>
    <w:rsid w:val="002F5DFF"/>
    <w:rPr>
      <w:b/>
      <w:bCs/>
      <w:iCs/>
    </w:rPr>
  </w:style>
  <w:style w:type="character" w:customStyle="1" w:styleId="Heading4Char">
    <w:name w:val="Heading 4 Char"/>
    <w:basedOn w:val="DefaultParagraphFont"/>
    <w:link w:val="Heading4"/>
    <w:uiPriority w:val="9"/>
    <w:rsid w:val="007D4A2B"/>
    <w:rPr>
      <w:b/>
      <w:bCs/>
    </w:rPr>
  </w:style>
  <w:style w:type="character" w:customStyle="1" w:styleId="Heading5Char">
    <w:name w:val="Heading 5 Char"/>
    <w:basedOn w:val="DefaultParagraphFont"/>
    <w:link w:val="Heading5"/>
    <w:uiPriority w:val="9"/>
    <w:rsid w:val="00C60C3C"/>
    <w:rPr>
      <w:b/>
      <w:bCs/>
      <w:iCs/>
    </w:rPr>
  </w:style>
  <w:style w:type="paragraph" w:styleId="Quote">
    <w:name w:val="Quote"/>
    <w:basedOn w:val="Normal"/>
    <w:next w:val="Normal"/>
    <w:link w:val="QuoteChar"/>
    <w:uiPriority w:val="29"/>
    <w:qFormat/>
    <w:rsid w:val="002C3BE4"/>
    <w:pPr>
      <w:ind w:left="720"/>
    </w:pPr>
    <w:rPr>
      <w:iCs/>
    </w:rPr>
  </w:style>
  <w:style w:type="character" w:customStyle="1" w:styleId="QuoteChar">
    <w:name w:val="Quote Char"/>
    <w:basedOn w:val="DefaultParagraphFont"/>
    <w:link w:val="Quote"/>
    <w:uiPriority w:val="29"/>
    <w:rsid w:val="002C3BE4"/>
    <w:rPr>
      <w:iCs/>
    </w:rPr>
  </w:style>
  <w:style w:type="paragraph" w:customStyle="1" w:styleId="References">
    <w:name w:val="References"/>
    <w:basedOn w:val="Normal"/>
    <w:uiPriority w:val="29"/>
    <w:qFormat/>
    <w:rsid w:val="007D4A2B"/>
    <w:pPr>
      <w:ind w:left="720" w:hanging="720"/>
    </w:pPr>
  </w:style>
  <w:style w:type="paragraph" w:styleId="Caption">
    <w:name w:val="caption"/>
    <w:basedOn w:val="Normal"/>
    <w:next w:val="Normal"/>
    <w:uiPriority w:val="35"/>
    <w:qFormat/>
    <w:rsid w:val="00530EF3"/>
    <w:rPr>
      <w:i/>
      <w:iCs/>
      <w:szCs w:val="18"/>
    </w:rPr>
  </w:style>
  <w:style w:type="paragraph" w:customStyle="1" w:styleId="TableHeading">
    <w:name w:val="Table Heading"/>
    <w:basedOn w:val="Normal"/>
    <w:uiPriority w:val="10"/>
    <w:qFormat/>
    <w:rsid w:val="00B5233A"/>
    <w:pPr>
      <w:jc w:val="center"/>
    </w:pPr>
    <w:rPr>
      <w:b/>
      <w:bCs/>
    </w:rPr>
  </w:style>
  <w:style w:type="paragraph" w:customStyle="1" w:styleId="NoIndent">
    <w:name w:val="No Indent"/>
    <w:basedOn w:val="Normal"/>
    <w:qFormat/>
    <w:rsid w:val="007D4A2B"/>
  </w:style>
  <w:style w:type="paragraph" w:customStyle="1" w:styleId="CaptionCallout">
    <w:name w:val="Caption Callout"/>
    <w:basedOn w:val="Normal"/>
    <w:qFormat/>
    <w:rsid w:val="00530EF3"/>
    <w:rPr>
      <w:b/>
    </w:rPr>
  </w:style>
  <w:style w:type="character" w:customStyle="1" w:styleId="Heading6Char">
    <w:name w:val="Heading 6 Char"/>
    <w:basedOn w:val="DefaultParagraphFont"/>
    <w:link w:val="Heading6"/>
    <w:uiPriority w:val="9"/>
    <w:semiHidden/>
    <w:rsid w:val="007D4A2B"/>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DA4FEE"/>
    <w:pPr>
      <w:ind w:left="720"/>
      <w:contextualSpacing/>
    </w:pPr>
  </w:style>
  <w:style w:type="paragraph" w:customStyle="1" w:styleId="Default">
    <w:name w:val="Default"/>
    <w:rsid w:val="006C1D76"/>
    <w:pPr>
      <w:autoSpaceDE w:val="0"/>
      <w:autoSpaceDN w:val="0"/>
      <w:adjustRightInd w:val="0"/>
      <w:spacing w:line="240" w:lineRule="auto"/>
    </w:pPr>
    <w:rPr>
      <w:rFonts w:ascii="McKinsey Sans Light" w:hAnsi="McKinsey Sans Light" w:cs="McKinsey Sans Light"/>
      <w:color w:val="000000"/>
      <w:sz w:val="24"/>
      <w:szCs w:val="24"/>
      <w:lang w:val="en-GB"/>
    </w:rPr>
  </w:style>
  <w:style w:type="character" w:customStyle="1" w:styleId="A2">
    <w:name w:val="A2"/>
    <w:uiPriority w:val="99"/>
    <w:rsid w:val="006C1D76"/>
    <w:rPr>
      <w:rFonts w:cs="McKinsey Sans Light"/>
      <w:color w:val="000000"/>
      <w:sz w:val="28"/>
      <w:szCs w:val="28"/>
    </w:rPr>
  </w:style>
  <w:style w:type="character" w:styleId="UnresolvedMention">
    <w:name w:val="Unresolved Mention"/>
    <w:basedOn w:val="DefaultParagraphFont"/>
    <w:uiPriority w:val="99"/>
    <w:semiHidden/>
    <w:unhideWhenUsed/>
    <w:rsid w:val="00FC53C4"/>
    <w:rPr>
      <w:color w:val="605E5C"/>
      <w:shd w:val="clear" w:color="auto" w:fill="E1DFDD"/>
    </w:rPr>
  </w:style>
  <w:style w:type="character" w:styleId="FollowedHyperlink">
    <w:name w:val="FollowedHyperlink"/>
    <w:basedOn w:val="DefaultParagraphFont"/>
    <w:uiPriority w:val="99"/>
    <w:semiHidden/>
    <w:unhideWhenUsed/>
    <w:rsid w:val="003C0020"/>
    <w:rPr>
      <w:color w:val="954F72" w:themeColor="followedHyperlink"/>
      <w:u w:val="single"/>
    </w:rPr>
  </w:style>
  <w:style w:type="character" w:customStyle="1" w:styleId="Heading7Char">
    <w:name w:val="Heading 7 Char"/>
    <w:basedOn w:val="DefaultParagraphFont"/>
    <w:link w:val="Heading7"/>
    <w:uiPriority w:val="9"/>
    <w:semiHidden/>
    <w:rsid w:val="002F5DF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F5DF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F5DFF"/>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2F5D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TMLCite">
    <w:name w:val="HTML Cite"/>
    <w:basedOn w:val="DefaultParagraphFont"/>
    <w:uiPriority w:val="99"/>
    <w:semiHidden/>
    <w:unhideWhenUsed/>
    <w:rsid w:val="002F5D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51470">
      <w:bodyDiv w:val="1"/>
      <w:marLeft w:val="0"/>
      <w:marRight w:val="0"/>
      <w:marTop w:val="0"/>
      <w:marBottom w:val="0"/>
      <w:divBdr>
        <w:top w:val="none" w:sz="0" w:space="0" w:color="auto"/>
        <w:left w:val="none" w:sz="0" w:space="0" w:color="auto"/>
        <w:bottom w:val="none" w:sz="0" w:space="0" w:color="auto"/>
        <w:right w:val="none" w:sz="0" w:space="0" w:color="auto"/>
      </w:divBdr>
    </w:div>
    <w:div w:id="374895437">
      <w:bodyDiv w:val="1"/>
      <w:marLeft w:val="0"/>
      <w:marRight w:val="0"/>
      <w:marTop w:val="0"/>
      <w:marBottom w:val="0"/>
      <w:divBdr>
        <w:top w:val="none" w:sz="0" w:space="0" w:color="auto"/>
        <w:left w:val="none" w:sz="0" w:space="0" w:color="auto"/>
        <w:bottom w:val="none" w:sz="0" w:space="0" w:color="auto"/>
        <w:right w:val="none" w:sz="0" w:space="0" w:color="auto"/>
      </w:divBdr>
    </w:div>
    <w:div w:id="528840475">
      <w:bodyDiv w:val="1"/>
      <w:marLeft w:val="0"/>
      <w:marRight w:val="0"/>
      <w:marTop w:val="0"/>
      <w:marBottom w:val="0"/>
      <w:divBdr>
        <w:top w:val="none" w:sz="0" w:space="0" w:color="auto"/>
        <w:left w:val="none" w:sz="0" w:space="0" w:color="auto"/>
        <w:bottom w:val="none" w:sz="0" w:space="0" w:color="auto"/>
        <w:right w:val="none" w:sz="0" w:space="0" w:color="auto"/>
      </w:divBdr>
    </w:div>
    <w:div w:id="1438334725">
      <w:bodyDiv w:val="1"/>
      <w:marLeft w:val="0"/>
      <w:marRight w:val="0"/>
      <w:marTop w:val="0"/>
      <w:marBottom w:val="0"/>
      <w:divBdr>
        <w:top w:val="none" w:sz="0" w:space="0" w:color="auto"/>
        <w:left w:val="none" w:sz="0" w:space="0" w:color="auto"/>
        <w:bottom w:val="none" w:sz="0" w:space="0" w:color="auto"/>
        <w:right w:val="none" w:sz="0" w:space="0" w:color="auto"/>
      </w:divBdr>
    </w:div>
    <w:div w:id="1651596776">
      <w:bodyDiv w:val="1"/>
      <w:marLeft w:val="0"/>
      <w:marRight w:val="0"/>
      <w:marTop w:val="0"/>
      <w:marBottom w:val="0"/>
      <w:divBdr>
        <w:top w:val="none" w:sz="0" w:space="0" w:color="auto"/>
        <w:left w:val="none" w:sz="0" w:space="0" w:color="auto"/>
        <w:bottom w:val="none" w:sz="0" w:space="0" w:color="auto"/>
        <w:right w:val="none" w:sz="0" w:space="0" w:color="auto"/>
      </w:divBdr>
    </w:div>
    <w:div w:id="1660577589">
      <w:bodyDiv w:val="1"/>
      <w:marLeft w:val="0"/>
      <w:marRight w:val="0"/>
      <w:marTop w:val="0"/>
      <w:marBottom w:val="0"/>
      <w:divBdr>
        <w:top w:val="none" w:sz="0" w:space="0" w:color="auto"/>
        <w:left w:val="none" w:sz="0" w:space="0" w:color="auto"/>
        <w:bottom w:val="none" w:sz="0" w:space="0" w:color="auto"/>
        <w:right w:val="none" w:sz="0" w:space="0" w:color="auto"/>
      </w:divBdr>
    </w:div>
    <w:div w:id="1841041929">
      <w:bodyDiv w:val="1"/>
      <w:marLeft w:val="0"/>
      <w:marRight w:val="0"/>
      <w:marTop w:val="0"/>
      <w:marBottom w:val="0"/>
      <w:divBdr>
        <w:top w:val="none" w:sz="0" w:space="0" w:color="auto"/>
        <w:left w:val="none" w:sz="0" w:space="0" w:color="auto"/>
        <w:bottom w:val="none" w:sz="0" w:space="0" w:color="auto"/>
        <w:right w:val="none" w:sz="0" w:space="0" w:color="auto"/>
      </w:divBdr>
    </w:div>
    <w:div w:id="201433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mp"/><Relationship Id="rId18" Type="http://schemas.openxmlformats.org/officeDocument/2006/relationships/image" Target="media/image9.png"/><Relationship Id="rId26" Type="http://schemas.openxmlformats.org/officeDocument/2006/relationships/hyperlink" Target="https://www.mckinsey.com/featured-insights/mckinsey-explainers/what-are-industry-4-0-the-fourth-industrial-revolution-and-4ir" TargetMode="External"/><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7.tmp"/><Relationship Id="rId20" Type="http://schemas.openxmlformats.org/officeDocument/2006/relationships/image" Target="media/image11.tmp"/><Relationship Id="rId29" Type="http://schemas.openxmlformats.org/officeDocument/2006/relationships/hyperlink" Target="https://emtemp.gcom.cloud/ngw/globalassets/en/doc/documents/over-100-data-and-analytics-predictions-through-2028-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mp"/><Relationship Id="rId24" Type="http://schemas.openxmlformats.org/officeDocument/2006/relationships/image" Target="media/image15.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emf"/><Relationship Id="rId28" Type="http://schemas.openxmlformats.org/officeDocument/2006/relationships/hyperlink" Target="https://www.plattform-i40.de/IP/Redaktion/EN/Downloads/Publikation/whitepaper-iic-pi40.pdf?__blob=publicationFile&amp;v=1" TargetMode="External"/><Relationship Id="rId36"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10.tmp"/><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smartinfrastructure.eng.cam.ac.uk/system/files/documents/the-smart-infrastructure-paper.pdf" TargetMode="External"/><Relationship Id="rId30" Type="http://schemas.openxmlformats.org/officeDocument/2006/relationships/hyperlink" Target="https://www.europarl.europa.eu/RegData/etudes/BRIE/2015/568337/EPRS_BRI(2015)568337_EN.pdf"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prapil\AppData\Roaming\Microsoft\Templates\Professional%20APA%20Style%20paper%207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F877482189F44F2AC02158AA47590E4"/>
        <w:category>
          <w:name w:val="General"/>
          <w:gallery w:val="placeholder"/>
        </w:category>
        <w:types>
          <w:type w:val="bbPlcHdr"/>
        </w:types>
        <w:behaviors>
          <w:behavior w:val="content"/>
        </w:behaviors>
        <w:guid w:val="{8BADBBDB-F849-440A-A16E-5F83178B1283}"/>
      </w:docPartPr>
      <w:docPartBody>
        <w:p w:rsidR="00A214BB" w:rsidRDefault="007E5A4E">
          <w:pPr>
            <w:pStyle w:val="1F877482189F44F2AC02158AA47590E4"/>
          </w:pPr>
          <w:r>
            <w:t>Course Number:</w:t>
          </w:r>
        </w:p>
      </w:docPartBody>
    </w:docPart>
    <w:docPart>
      <w:docPartPr>
        <w:name w:val="5E8B44E967F14DF59DF06ADE37B35437"/>
        <w:category>
          <w:name w:val="General"/>
          <w:gallery w:val="placeholder"/>
        </w:category>
        <w:types>
          <w:type w:val="bbPlcHdr"/>
        </w:types>
        <w:behaviors>
          <w:behavior w:val="content"/>
        </w:behaviors>
        <w:guid w:val="{7A023810-998B-4E2A-AE75-A26C294CAE41}"/>
      </w:docPartPr>
      <w:docPartBody>
        <w:p w:rsidR="00A214BB" w:rsidRDefault="007E5A4E">
          <w:pPr>
            <w:pStyle w:val="5E8B44E967F14DF59DF06ADE37B35437"/>
          </w:pPr>
          <w:r w:rsidRPr="576062CF">
            <w:t>Abstract</w:t>
          </w:r>
        </w:p>
      </w:docPartBody>
    </w:docPart>
    <w:docPart>
      <w:docPartPr>
        <w:name w:val="74AF4F73ADFF4B818FB6C56BC6F419F8"/>
        <w:category>
          <w:name w:val="General"/>
          <w:gallery w:val="placeholder"/>
        </w:category>
        <w:types>
          <w:type w:val="bbPlcHdr"/>
        </w:types>
        <w:behaviors>
          <w:behavior w:val="content"/>
        </w:behaviors>
        <w:guid w:val="{68160AEE-4B4E-48A0-B18A-07B2066AF7F0}"/>
      </w:docPartPr>
      <w:docPartBody>
        <w:p w:rsidR="00A214BB" w:rsidRDefault="007E5A4E">
          <w:pPr>
            <w:pStyle w:val="74AF4F73ADFF4B818FB6C56BC6F419F8"/>
          </w:pPr>
          <w:r w:rsidRPr="576062CF">
            <w:t>References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cKinsey Sans Light">
    <w:altName w:val="Calibri"/>
    <w:panose1 w:val="00000000000000000000"/>
    <w:charset w:val="00"/>
    <w:family w:val="swiss"/>
    <w:notTrueType/>
    <w:pitch w:val="default"/>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A4E"/>
    <w:rsid w:val="001826F5"/>
    <w:rsid w:val="002F04ED"/>
    <w:rsid w:val="007E5A4E"/>
    <w:rsid w:val="00A214BB"/>
    <w:rsid w:val="00C10760"/>
    <w:rsid w:val="00F77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after="0" w:line="480" w:lineRule="auto"/>
      <w:jc w:val="center"/>
      <w:outlineLvl w:val="0"/>
    </w:pPr>
    <w:rPr>
      <w:rFonts w:eastAsiaTheme="minorHAnsi"/>
      <w:b/>
      <w:bCs/>
      <w:lang w:val="en-US" w:eastAsia="en-US"/>
    </w:rPr>
  </w:style>
  <w:style w:type="paragraph" w:styleId="Heading3">
    <w:name w:val="heading 3"/>
    <w:basedOn w:val="Normal"/>
    <w:next w:val="Normal"/>
    <w:link w:val="Heading3Char"/>
    <w:uiPriority w:val="9"/>
    <w:unhideWhenUsed/>
    <w:qFormat/>
    <w:pPr>
      <w:spacing w:after="0" w:line="480" w:lineRule="auto"/>
      <w:outlineLvl w:val="2"/>
    </w:pPr>
    <w:rPr>
      <w:rFonts w:eastAsiaTheme="minorHAnsi"/>
      <w:b/>
      <w:bCs/>
      <w:i/>
      <w:iCs/>
      <w:lang w:val="en-US" w:eastAsia="en-US"/>
    </w:rPr>
  </w:style>
  <w:style w:type="paragraph" w:styleId="Heading4">
    <w:name w:val="heading 4"/>
    <w:basedOn w:val="Normal"/>
    <w:next w:val="Normal"/>
    <w:link w:val="Heading4Char"/>
    <w:uiPriority w:val="9"/>
    <w:unhideWhenUsed/>
    <w:qFormat/>
    <w:pPr>
      <w:spacing w:after="0" w:line="480" w:lineRule="auto"/>
      <w:outlineLvl w:val="3"/>
    </w:pPr>
    <w:rPr>
      <w:rFonts w:eastAsiaTheme="minorHAnsi"/>
      <w:b/>
      <w:bCs/>
      <w:lang w:val="en-US" w:eastAsia="en-US"/>
    </w:rPr>
  </w:style>
  <w:style w:type="paragraph" w:styleId="Heading5">
    <w:name w:val="heading 5"/>
    <w:basedOn w:val="Normal"/>
    <w:next w:val="Normal"/>
    <w:link w:val="Heading5Char"/>
    <w:uiPriority w:val="9"/>
    <w:unhideWhenUsed/>
    <w:qFormat/>
    <w:pPr>
      <w:spacing w:after="0" w:line="480" w:lineRule="auto"/>
      <w:outlineLvl w:val="4"/>
    </w:pPr>
    <w:rPr>
      <w:rFonts w:eastAsiaTheme="minorHAnsi"/>
      <w:b/>
      <w:bCs/>
      <w:i/>
      <w:i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877482189F44F2AC02158AA47590E4">
    <w:name w:val="1F877482189F44F2AC02158AA47590E4"/>
  </w:style>
  <w:style w:type="paragraph" w:customStyle="1" w:styleId="5E8B44E967F14DF59DF06ADE37B35437">
    <w:name w:val="5E8B44E967F14DF59DF06ADE37B35437"/>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eastAsiaTheme="minorHAnsi"/>
      <w:b/>
      <w:bCs/>
      <w:lang w:val="en-US" w:eastAsia="en-US"/>
    </w:rPr>
  </w:style>
  <w:style w:type="character" w:customStyle="1" w:styleId="Heading3Char">
    <w:name w:val="Heading 3 Char"/>
    <w:basedOn w:val="DefaultParagraphFont"/>
    <w:link w:val="Heading3"/>
    <w:uiPriority w:val="9"/>
    <w:rPr>
      <w:rFonts w:eastAsiaTheme="minorHAnsi"/>
      <w:b/>
      <w:bCs/>
      <w:i/>
      <w:iCs/>
      <w:lang w:val="en-US" w:eastAsia="en-US"/>
    </w:rPr>
  </w:style>
  <w:style w:type="character" w:customStyle="1" w:styleId="Heading4Char">
    <w:name w:val="Heading 4 Char"/>
    <w:basedOn w:val="DefaultParagraphFont"/>
    <w:link w:val="Heading4"/>
    <w:uiPriority w:val="9"/>
    <w:rPr>
      <w:rFonts w:eastAsiaTheme="minorHAnsi"/>
      <w:b/>
      <w:bCs/>
      <w:lang w:val="en-US" w:eastAsia="en-US"/>
    </w:rPr>
  </w:style>
  <w:style w:type="character" w:customStyle="1" w:styleId="Heading5Char">
    <w:name w:val="Heading 5 Char"/>
    <w:basedOn w:val="DefaultParagraphFont"/>
    <w:link w:val="Heading5"/>
    <w:uiPriority w:val="9"/>
    <w:rPr>
      <w:rFonts w:eastAsiaTheme="minorHAnsi"/>
      <w:b/>
      <w:bCs/>
      <w:i/>
      <w:iCs/>
      <w:lang w:val="en-US" w:eastAsia="en-US"/>
    </w:rPr>
  </w:style>
  <w:style w:type="paragraph" w:customStyle="1" w:styleId="74AF4F73ADFF4B818FB6C56BC6F419F8">
    <w:name w:val="74AF4F73ADFF4B818FB6C56BC6F419F8"/>
  </w:style>
  <w:style w:type="character" w:styleId="Hyperlink">
    <w:name w:val="Hyperlink"/>
    <w:basedOn w:val="DefaultParagraphFont"/>
    <w:uiPriority w:val="99"/>
    <w:unhideWhenUsed/>
    <w:rPr>
      <w:color w:val="0563C1" w:themeColor="hyperlink"/>
      <w:u w:val="singl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DCE20C-610A-4626-841D-1F10857B445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2D686CB8-6245-413C-A355-156513A377FC}">
  <ds:schemaRefs>
    <ds:schemaRef ds:uri="http://schemas.microsoft.com/sharepoint/v3/contenttype/forms"/>
  </ds:schemaRefs>
</ds:datastoreItem>
</file>

<file path=customXml/itemProps3.xml><?xml version="1.0" encoding="utf-8"?>
<ds:datastoreItem xmlns:ds="http://schemas.openxmlformats.org/officeDocument/2006/customXml" ds:itemID="{3B411A11-DDA3-4BC4-B0BC-14026E6D5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Professional APA Style paper 7th edition</Template>
  <TotalTime>0</TotalTime>
  <Pages>16</Pages>
  <Words>2089</Words>
  <Characters>11909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2023-07-25T19:48:00Z</dcterms:created>
  <dcterms:modified xsi:type="dcterms:W3CDTF">2023-09-29T10:58:00Z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