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1329" w:rsidRDefault="00221329">
      <w:r>
        <w:rPr>
          <w:noProof/>
          <w:lang w:eastAsia="en-GB"/>
        </w:rPr>
        <w:drawing>
          <wp:anchor distT="0" distB="0" distL="114300" distR="114300" simplePos="0" relativeHeight="251658240" behindDoc="0" locked="0" layoutInCell="1" allowOverlap="1">
            <wp:simplePos x="0" y="0"/>
            <wp:positionH relativeFrom="margin">
              <wp:posOffset>-595630</wp:posOffset>
            </wp:positionH>
            <wp:positionV relativeFrom="margin">
              <wp:posOffset>60960</wp:posOffset>
            </wp:positionV>
            <wp:extent cx="7103745" cy="827532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2648" t="19618" r="28207" b="7691"/>
                    <a:stretch/>
                  </pic:blipFill>
                  <pic:spPr bwMode="auto">
                    <a:xfrm>
                      <a:off x="0" y="0"/>
                      <a:ext cx="7103745" cy="8275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21329" w:rsidRDefault="00221329"/>
    <w:p w:rsidR="00221329" w:rsidRDefault="00221329">
      <w:r>
        <w:rPr>
          <w:noProof/>
          <w:lang w:eastAsia="en-GB"/>
        </w:rPr>
        <w:lastRenderedPageBreak/>
        <w:drawing>
          <wp:anchor distT="0" distB="0" distL="114300" distR="114300" simplePos="0" relativeHeight="251659264" behindDoc="0" locked="0" layoutInCell="1" allowOverlap="1">
            <wp:simplePos x="0" y="0"/>
            <wp:positionH relativeFrom="margin">
              <wp:align>center</wp:align>
            </wp:positionH>
            <wp:positionV relativeFrom="margin">
              <wp:align>top</wp:align>
            </wp:positionV>
            <wp:extent cx="6537960" cy="86868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72590" t="19936" r="10895" b="8546"/>
                    <a:stretch/>
                  </pic:blipFill>
                  <pic:spPr bwMode="auto">
                    <a:xfrm>
                      <a:off x="0" y="0"/>
                      <a:ext cx="6537960" cy="868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A61DB" w:rsidRDefault="005A61DB" w:rsidP="005A61DB">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 xml:space="preserve">Discuss the importance and effectiveness of developing Assessment for Learning throughout the primary school, including critical analysis of personal implementation of one Assessment for </w:t>
      </w:r>
      <w:proofErr w:type="gramStart"/>
      <w:r>
        <w:rPr>
          <w:rFonts w:ascii="Times New Roman" w:eastAsia="Times New Roman" w:hAnsi="Times New Roman" w:cs="Times New Roman"/>
          <w:color w:val="000000"/>
          <w:sz w:val="28"/>
          <w:szCs w:val="28"/>
        </w:rPr>
        <w:t>Learning</w:t>
      </w:r>
      <w:proofErr w:type="gramEnd"/>
      <w:r>
        <w:rPr>
          <w:rFonts w:ascii="Times New Roman" w:eastAsia="Times New Roman" w:hAnsi="Times New Roman" w:cs="Times New Roman"/>
          <w:color w:val="000000"/>
          <w:sz w:val="28"/>
          <w:szCs w:val="28"/>
        </w:rPr>
        <w:t xml:space="preserve"> strategy from Professional Teaching Experience. </w:t>
      </w:r>
    </w:p>
    <w:p w:rsidR="005A61DB" w:rsidRPr="009D7789" w:rsidRDefault="005A61DB" w:rsidP="005A61DB">
      <w:pPr>
        <w:spacing w:line="240" w:lineRule="auto"/>
        <w:jc w:val="both"/>
        <w:rPr>
          <w:rFonts w:ascii="Times New Roman" w:eastAsia="Times New Roman" w:hAnsi="Times New Roman" w:cs="Times New Roman"/>
          <w:sz w:val="24"/>
          <w:szCs w:val="24"/>
        </w:rPr>
      </w:pPr>
      <w:r w:rsidRPr="009D7789">
        <w:rPr>
          <w:rFonts w:ascii="Times New Roman" w:eastAsia="Times New Roman" w:hAnsi="Times New Roman" w:cs="Times New Roman"/>
          <w:sz w:val="24"/>
          <w:szCs w:val="24"/>
        </w:rPr>
        <w:t>Assessment for Learning (</w:t>
      </w:r>
      <w:proofErr w:type="spellStart"/>
      <w:proofErr w:type="gramStart"/>
      <w:r w:rsidRPr="009D7789">
        <w:rPr>
          <w:rFonts w:ascii="Times New Roman" w:eastAsia="Times New Roman" w:hAnsi="Times New Roman" w:cs="Times New Roman"/>
          <w:sz w:val="24"/>
          <w:szCs w:val="24"/>
        </w:rPr>
        <w:t>AfL</w:t>
      </w:r>
      <w:proofErr w:type="spellEnd"/>
      <w:proofErr w:type="gramEnd"/>
      <w:r w:rsidRPr="009D7789">
        <w:rPr>
          <w:rFonts w:ascii="Times New Roman" w:eastAsia="Times New Roman" w:hAnsi="Times New Roman" w:cs="Times New Roman"/>
          <w:sz w:val="24"/>
          <w:szCs w:val="24"/>
        </w:rPr>
        <w:t xml:space="preserve">) is a teaching approach that involves the use of feedback to adapt and enhance learners’ performance. It provides teachers with various strategies to ‘decide where the learners are in their learning, where they need to go and how best to get there’ (ARG, 2002, p.3). </w:t>
      </w:r>
      <w:proofErr w:type="spellStart"/>
      <w:proofErr w:type="gramStart"/>
      <w:r w:rsidRPr="009D7789">
        <w:rPr>
          <w:rFonts w:ascii="Times New Roman" w:eastAsia="Times New Roman" w:hAnsi="Times New Roman" w:cs="Times New Roman"/>
          <w:sz w:val="24"/>
          <w:szCs w:val="24"/>
        </w:rPr>
        <w:t>AfL</w:t>
      </w:r>
      <w:proofErr w:type="spellEnd"/>
      <w:proofErr w:type="gramEnd"/>
      <w:r w:rsidRPr="009D7789">
        <w:rPr>
          <w:rFonts w:ascii="Times New Roman" w:eastAsia="Times New Roman" w:hAnsi="Times New Roman" w:cs="Times New Roman"/>
          <w:sz w:val="24"/>
          <w:szCs w:val="24"/>
        </w:rPr>
        <w:t xml:space="preserve"> allows learning to become visible and gives children an understanding of how they can reach their targets (Hattie, 2009). It has been developed over time, from Assessment </w:t>
      </w:r>
      <w:r w:rsidRPr="009D7789">
        <w:rPr>
          <w:rFonts w:ascii="Times New Roman" w:eastAsia="Times New Roman" w:hAnsi="Times New Roman" w:cs="Times New Roman"/>
          <w:i/>
          <w:sz w:val="24"/>
          <w:szCs w:val="24"/>
        </w:rPr>
        <w:t>of</w:t>
      </w:r>
      <w:r w:rsidRPr="009D7789">
        <w:rPr>
          <w:rFonts w:ascii="Times New Roman" w:eastAsia="Times New Roman" w:hAnsi="Times New Roman" w:cs="Times New Roman"/>
          <w:sz w:val="24"/>
          <w:szCs w:val="24"/>
        </w:rPr>
        <w:t xml:space="preserve"> Learning, which revolved around summative assessments of students’ progress and achievements, into what is now Assessment </w:t>
      </w:r>
      <w:r w:rsidRPr="009D7789">
        <w:rPr>
          <w:rFonts w:ascii="Times New Roman" w:eastAsia="Times New Roman" w:hAnsi="Times New Roman" w:cs="Times New Roman"/>
          <w:i/>
          <w:sz w:val="24"/>
          <w:szCs w:val="24"/>
        </w:rPr>
        <w:t xml:space="preserve">for </w:t>
      </w:r>
      <w:r w:rsidRPr="009D7789">
        <w:rPr>
          <w:rFonts w:ascii="Times New Roman" w:eastAsia="Times New Roman" w:hAnsi="Times New Roman" w:cs="Times New Roman"/>
          <w:sz w:val="24"/>
          <w:szCs w:val="24"/>
        </w:rPr>
        <w:t xml:space="preserve">Learning which many writers link to ‘formative assessment’ (Marsh, 2007, p.25). Formative assessment was first introduced in 1971 by Hastings, Bloom and </w:t>
      </w:r>
      <w:proofErr w:type="spellStart"/>
      <w:r w:rsidRPr="009D7789">
        <w:rPr>
          <w:rFonts w:ascii="Times New Roman" w:eastAsia="Times New Roman" w:hAnsi="Times New Roman" w:cs="Times New Roman"/>
          <w:sz w:val="24"/>
          <w:szCs w:val="24"/>
        </w:rPr>
        <w:t>Maddaus</w:t>
      </w:r>
      <w:proofErr w:type="spellEnd"/>
      <w:r w:rsidRPr="009D7789">
        <w:rPr>
          <w:rFonts w:ascii="Times New Roman" w:eastAsia="Times New Roman" w:hAnsi="Times New Roman" w:cs="Times New Roman"/>
          <w:sz w:val="24"/>
          <w:szCs w:val="24"/>
        </w:rPr>
        <w:t xml:space="preserve"> as a means of helping create summative assessments. In 1998, after reviewing a multitude of studies, Black and William, the ‘fathers’ of </w:t>
      </w:r>
      <w:proofErr w:type="spellStart"/>
      <w:r w:rsidRPr="009D7789">
        <w:rPr>
          <w:rFonts w:ascii="Times New Roman" w:eastAsia="Times New Roman" w:hAnsi="Times New Roman" w:cs="Times New Roman"/>
          <w:sz w:val="24"/>
          <w:szCs w:val="24"/>
        </w:rPr>
        <w:t>AfL</w:t>
      </w:r>
      <w:proofErr w:type="spellEnd"/>
      <w:r w:rsidRPr="009D7789">
        <w:rPr>
          <w:rFonts w:ascii="Times New Roman" w:eastAsia="Times New Roman" w:hAnsi="Times New Roman" w:cs="Times New Roman"/>
          <w:sz w:val="24"/>
          <w:szCs w:val="24"/>
        </w:rPr>
        <w:t xml:space="preserve">, concluded that in order to raise academic standards in children, </w:t>
      </w:r>
      <w:proofErr w:type="spellStart"/>
      <w:r w:rsidRPr="009D7789">
        <w:rPr>
          <w:rFonts w:ascii="Times New Roman" w:eastAsia="Times New Roman" w:hAnsi="Times New Roman" w:cs="Times New Roman"/>
          <w:sz w:val="24"/>
          <w:szCs w:val="24"/>
        </w:rPr>
        <w:t>AfL</w:t>
      </w:r>
      <w:proofErr w:type="spellEnd"/>
      <w:r w:rsidRPr="009D7789">
        <w:rPr>
          <w:rFonts w:ascii="Times New Roman" w:eastAsia="Times New Roman" w:hAnsi="Times New Roman" w:cs="Times New Roman"/>
          <w:sz w:val="24"/>
          <w:szCs w:val="24"/>
        </w:rPr>
        <w:t xml:space="preserve"> must be implemented in all schools across the UK (Black and William, 1998). Furthermore, in 2002, ARG proposed ten main principles of </w:t>
      </w:r>
      <w:proofErr w:type="spellStart"/>
      <w:proofErr w:type="gramStart"/>
      <w:r w:rsidRPr="009D7789">
        <w:rPr>
          <w:rFonts w:ascii="Times New Roman" w:eastAsia="Times New Roman" w:hAnsi="Times New Roman" w:cs="Times New Roman"/>
          <w:sz w:val="24"/>
          <w:szCs w:val="24"/>
        </w:rPr>
        <w:t>AfL</w:t>
      </w:r>
      <w:proofErr w:type="spellEnd"/>
      <w:proofErr w:type="gramEnd"/>
      <w:r w:rsidRPr="009D7789">
        <w:rPr>
          <w:rFonts w:ascii="Times New Roman" w:eastAsia="Times New Roman" w:hAnsi="Times New Roman" w:cs="Times New Roman"/>
          <w:sz w:val="24"/>
          <w:szCs w:val="24"/>
        </w:rPr>
        <w:t xml:space="preserve">, including that it must be ‘central to classroom practice’ (ARG, 2002, p.3), consolidating its importance. Meaningful feedback, however, is the key principle for successful formative assessment. Sadler (1989) stresses that is vitally important that feedback is used to help close the gap between learners, highlighting just how necessary it is. Conversely, John Hattie states that ‘feedback is not ‘the answer’ to effective teaching and learning’ (Hattie, 2009, p. 177) and in some instances it may be a wasted exercise if the children do not understand the issue being addressed (Hattie, 2009, p. 177). He does, however, accept the benefits of its correct implementation, stating it must be ‘clear, purposeful, meaningful and compatible with students’ prior knowledge’ (Hattie, 2009, p.177). </w:t>
      </w:r>
      <w:proofErr w:type="spellStart"/>
      <w:r w:rsidRPr="009D7789">
        <w:rPr>
          <w:rFonts w:ascii="Times New Roman" w:eastAsia="Times New Roman" w:hAnsi="Times New Roman" w:cs="Times New Roman"/>
          <w:sz w:val="24"/>
          <w:szCs w:val="24"/>
        </w:rPr>
        <w:t>Swaffield</w:t>
      </w:r>
      <w:proofErr w:type="spellEnd"/>
      <w:r w:rsidRPr="009D7789">
        <w:rPr>
          <w:rFonts w:ascii="Times New Roman" w:eastAsia="Times New Roman" w:hAnsi="Times New Roman" w:cs="Times New Roman"/>
          <w:sz w:val="24"/>
          <w:szCs w:val="24"/>
        </w:rPr>
        <w:t>, is of the opinion that research can be a waste of time, since people respond to feedback in different ways (</w:t>
      </w:r>
      <w:proofErr w:type="spellStart"/>
      <w:r w:rsidRPr="009D7789">
        <w:rPr>
          <w:rFonts w:ascii="Times New Roman" w:eastAsia="Times New Roman" w:hAnsi="Times New Roman" w:cs="Times New Roman"/>
          <w:sz w:val="24"/>
          <w:szCs w:val="24"/>
        </w:rPr>
        <w:t>Swaffield</w:t>
      </w:r>
      <w:proofErr w:type="spellEnd"/>
      <w:r w:rsidRPr="009D7789">
        <w:rPr>
          <w:rFonts w:ascii="Times New Roman" w:eastAsia="Times New Roman" w:hAnsi="Times New Roman" w:cs="Times New Roman"/>
          <w:sz w:val="24"/>
          <w:szCs w:val="24"/>
        </w:rPr>
        <w:t xml:space="preserve">, 2008, p.64). Despite this, feedback must be effective since it has such an important role in the modern teaching environment. </w:t>
      </w:r>
    </w:p>
    <w:p w:rsidR="005A61DB" w:rsidRPr="009D7789" w:rsidRDefault="005A61DB" w:rsidP="005A61DB">
      <w:pPr>
        <w:spacing w:line="240" w:lineRule="auto"/>
        <w:jc w:val="both"/>
        <w:rPr>
          <w:rFonts w:ascii="Times New Roman" w:eastAsia="Times New Roman" w:hAnsi="Times New Roman" w:cs="Times New Roman"/>
          <w:sz w:val="24"/>
          <w:szCs w:val="24"/>
        </w:rPr>
      </w:pPr>
      <w:r w:rsidRPr="009D7789">
        <w:rPr>
          <w:rFonts w:ascii="Times New Roman" w:eastAsia="Times New Roman" w:hAnsi="Times New Roman" w:cs="Times New Roman"/>
          <w:sz w:val="24"/>
          <w:szCs w:val="24"/>
        </w:rPr>
        <w:t xml:space="preserve">Research suggests that formative assessment can raise achievement levels in schools. ‘Inside the black box’ (Black and William) states that studies ‘produce significant, and often substantial, learning gains’ (Black and William, 1998, p.3) when using formative assessments. Additionally, a TGAT report has shown that in cases where the assessment is in line with the curriculum, children experience increased motivation due to the possibility of achieving a short- term objectives (TGAT, 1987, p.10). </w:t>
      </w:r>
      <w:proofErr w:type="spellStart"/>
      <w:r w:rsidRPr="009D7789">
        <w:rPr>
          <w:rFonts w:ascii="Times New Roman" w:eastAsia="Times New Roman" w:hAnsi="Times New Roman" w:cs="Times New Roman"/>
          <w:sz w:val="24"/>
          <w:szCs w:val="24"/>
        </w:rPr>
        <w:t>Baranek</w:t>
      </w:r>
      <w:proofErr w:type="spellEnd"/>
      <w:r w:rsidRPr="009D7789">
        <w:rPr>
          <w:rFonts w:ascii="Times New Roman" w:eastAsia="Times New Roman" w:hAnsi="Times New Roman" w:cs="Times New Roman"/>
          <w:sz w:val="24"/>
          <w:szCs w:val="24"/>
        </w:rPr>
        <w:t xml:space="preserve"> (1996) states that ‘High student achievement comes from students who are motivated…’ (</w:t>
      </w:r>
      <w:proofErr w:type="spellStart"/>
      <w:r w:rsidRPr="009D7789">
        <w:rPr>
          <w:rFonts w:ascii="Times New Roman" w:eastAsia="Times New Roman" w:hAnsi="Times New Roman" w:cs="Times New Roman"/>
          <w:sz w:val="24"/>
          <w:szCs w:val="24"/>
        </w:rPr>
        <w:t>Baranek</w:t>
      </w:r>
      <w:proofErr w:type="spellEnd"/>
      <w:r w:rsidRPr="009D7789">
        <w:rPr>
          <w:rFonts w:ascii="Times New Roman" w:eastAsia="Times New Roman" w:hAnsi="Times New Roman" w:cs="Times New Roman"/>
          <w:sz w:val="24"/>
          <w:szCs w:val="24"/>
        </w:rPr>
        <w:t xml:space="preserve">, 1996, p.3), highlighting the great benefit of increased motivation in students. However, </w:t>
      </w:r>
      <w:proofErr w:type="spellStart"/>
      <w:r w:rsidRPr="009D7789">
        <w:rPr>
          <w:rFonts w:ascii="Times New Roman" w:eastAsia="Times New Roman" w:hAnsi="Times New Roman" w:cs="Times New Roman"/>
          <w:sz w:val="24"/>
          <w:szCs w:val="24"/>
        </w:rPr>
        <w:t>Ninomiya</w:t>
      </w:r>
      <w:proofErr w:type="spellEnd"/>
      <w:r w:rsidRPr="009D7789">
        <w:rPr>
          <w:rFonts w:ascii="Times New Roman" w:eastAsia="Times New Roman" w:hAnsi="Times New Roman" w:cs="Times New Roman"/>
          <w:sz w:val="24"/>
          <w:szCs w:val="24"/>
        </w:rPr>
        <w:t xml:space="preserve"> disagrees with the practicing of formative assessment - it ‘tends to cause alienated learning’ (</w:t>
      </w:r>
      <w:proofErr w:type="spellStart"/>
      <w:r w:rsidRPr="009D7789">
        <w:rPr>
          <w:rFonts w:ascii="Times New Roman" w:eastAsia="Times New Roman" w:hAnsi="Times New Roman" w:cs="Times New Roman"/>
          <w:sz w:val="24"/>
          <w:szCs w:val="24"/>
        </w:rPr>
        <w:t>Ninomiya</w:t>
      </w:r>
      <w:proofErr w:type="spellEnd"/>
      <w:r w:rsidRPr="009D7789">
        <w:rPr>
          <w:rFonts w:ascii="Times New Roman" w:eastAsia="Times New Roman" w:hAnsi="Times New Roman" w:cs="Times New Roman"/>
          <w:sz w:val="24"/>
          <w:szCs w:val="24"/>
        </w:rPr>
        <w:t xml:space="preserve">, 2016, p.88) - as they believe that learning then revolves around meeting the next set of targets, as opposed to a meaningful teaching and learning experience. Although this may be an important consideration, the benefits of children having an aim to direct their learning certainly outweigh the negatives. </w:t>
      </w:r>
    </w:p>
    <w:p w:rsidR="005A61DB" w:rsidRPr="009D7789" w:rsidRDefault="005A61DB" w:rsidP="005A61DB">
      <w:pPr>
        <w:shd w:val="clear" w:color="auto" w:fill="FFFFFF"/>
        <w:spacing w:line="240" w:lineRule="auto"/>
        <w:jc w:val="both"/>
        <w:rPr>
          <w:rFonts w:ascii="Times New Roman" w:eastAsia="Times New Roman" w:hAnsi="Times New Roman" w:cs="Times New Roman"/>
          <w:sz w:val="24"/>
          <w:szCs w:val="24"/>
        </w:rPr>
      </w:pPr>
      <w:r w:rsidRPr="009D7789">
        <w:rPr>
          <w:rFonts w:ascii="Times New Roman" w:eastAsia="Times New Roman" w:hAnsi="Times New Roman" w:cs="Times New Roman"/>
          <w:sz w:val="24"/>
          <w:szCs w:val="24"/>
        </w:rPr>
        <w:t xml:space="preserve">For </w:t>
      </w:r>
      <w:proofErr w:type="spellStart"/>
      <w:proofErr w:type="gramStart"/>
      <w:r w:rsidRPr="009D7789">
        <w:rPr>
          <w:rFonts w:ascii="Times New Roman" w:eastAsia="Times New Roman" w:hAnsi="Times New Roman" w:cs="Times New Roman"/>
          <w:sz w:val="24"/>
          <w:szCs w:val="24"/>
        </w:rPr>
        <w:t>AfL</w:t>
      </w:r>
      <w:proofErr w:type="spellEnd"/>
      <w:proofErr w:type="gramEnd"/>
      <w:r w:rsidRPr="009D7789">
        <w:rPr>
          <w:rFonts w:ascii="Times New Roman" w:eastAsia="Times New Roman" w:hAnsi="Times New Roman" w:cs="Times New Roman"/>
          <w:sz w:val="24"/>
          <w:szCs w:val="24"/>
        </w:rPr>
        <w:t xml:space="preserve"> to be effective in primary schools, it must be implemented in every lesson. The new curriculum in Wales states that ‘Assessment is a vital and integral part of learning and teaching and so needs to be fundamentally linked to the curriculum’ (Donaldson, 2016, p.6).The document ‘How to develop thinking and assessment for learning in the classroom’ (DCELLS, 2010) supports teachers in Wales and aids the integration of </w:t>
      </w:r>
      <w:proofErr w:type="spellStart"/>
      <w:proofErr w:type="gramStart"/>
      <w:r w:rsidRPr="009D7789">
        <w:rPr>
          <w:rFonts w:ascii="Times New Roman" w:eastAsia="Times New Roman" w:hAnsi="Times New Roman" w:cs="Times New Roman"/>
          <w:sz w:val="24"/>
          <w:szCs w:val="24"/>
        </w:rPr>
        <w:t>AfL</w:t>
      </w:r>
      <w:proofErr w:type="spellEnd"/>
      <w:proofErr w:type="gramEnd"/>
      <w:r w:rsidRPr="009D7789">
        <w:rPr>
          <w:rFonts w:ascii="Times New Roman" w:eastAsia="Times New Roman" w:hAnsi="Times New Roman" w:cs="Times New Roman"/>
          <w:sz w:val="24"/>
          <w:szCs w:val="24"/>
        </w:rPr>
        <w:t xml:space="preserve"> throughout the curriculum. However, despite the release of this document in 2010, a report was published in 2014 that claimed, ‘current assessment and evaluation arrangements are unsatisfactory’ (OECD, 2014, </w:t>
      </w:r>
      <w:r w:rsidRPr="009D7789">
        <w:rPr>
          <w:rFonts w:ascii="Times New Roman" w:eastAsia="Times New Roman" w:hAnsi="Times New Roman" w:cs="Times New Roman"/>
          <w:sz w:val="24"/>
          <w:szCs w:val="24"/>
        </w:rPr>
        <w:lastRenderedPageBreak/>
        <w:t xml:space="preserve">cited by Donaldson, 2015, p.9). There is clearly progress left to be made towards the successful implementation of </w:t>
      </w:r>
      <w:proofErr w:type="spellStart"/>
      <w:proofErr w:type="gramStart"/>
      <w:r w:rsidRPr="009D7789">
        <w:rPr>
          <w:rFonts w:ascii="Times New Roman" w:eastAsia="Times New Roman" w:hAnsi="Times New Roman" w:cs="Times New Roman"/>
          <w:sz w:val="24"/>
          <w:szCs w:val="24"/>
        </w:rPr>
        <w:t>AfL</w:t>
      </w:r>
      <w:proofErr w:type="spellEnd"/>
      <w:proofErr w:type="gramEnd"/>
      <w:r w:rsidRPr="009D7789">
        <w:rPr>
          <w:rFonts w:ascii="Times New Roman" w:eastAsia="Times New Roman" w:hAnsi="Times New Roman" w:cs="Times New Roman"/>
          <w:sz w:val="24"/>
          <w:szCs w:val="24"/>
        </w:rPr>
        <w:t xml:space="preserve">. This can hopefully be achieved with the introduction of ‘Successful Futures’. </w:t>
      </w:r>
    </w:p>
    <w:p w:rsidR="005A61DB" w:rsidRPr="009D7789" w:rsidRDefault="005A61DB" w:rsidP="005A61DB">
      <w:pPr>
        <w:spacing w:line="240" w:lineRule="auto"/>
        <w:jc w:val="both"/>
        <w:rPr>
          <w:rFonts w:ascii="Times New Roman" w:eastAsia="Times New Roman" w:hAnsi="Times New Roman" w:cs="Times New Roman"/>
          <w:sz w:val="24"/>
          <w:szCs w:val="24"/>
        </w:rPr>
      </w:pPr>
      <w:r w:rsidRPr="009D7789">
        <w:rPr>
          <w:rFonts w:ascii="Times New Roman" w:eastAsia="Times New Roman" w:hAnsi="Times New Roman" w:cs="Times New Roman"/>
          <w:sz w:val="24"/>
          <w:szCs w:val="24"/>
        </w:rPr>
        <w:t xml:space="preserve">Black and William (1998) highlighted the four essential elements of </w:t>
      </w:r>
      <w:proofErr w:type="spellStart"/>
      <w:proofErr w:type="gramStart"/>
      <w:r w:rsidRPr="009D7789">
        <w:rPr>
          <w:rFonts w:ascii="Times New Roman" w:eastAsia="Times New Roman" w:hAnsi="Times New Roman" w:cs="Times New Roman"/>
          <w:sz w:val="24"/>
          <w:szCs w:val="24"/>
        </w:rPr>
        <w:t>AfL</w:t>
      </w:r>
      <w:proofErr w:type="spellEnd"/>
      <w:proofErr w:type="gramEnd"/>
      <w:r w:rsidRPr="009D7789">
        <w:rPr>
          <w:rFonts w:ascii="Times New Roman" w:eastAsia="Times New Roman" w:hAnsi="Times New Roman" w:cs="Times New Roman"/>
          <w:sz w:val="24"/>
          <w:szCs w:val="24"/>
        </w:rPr>
        <w:t xml:space="preserve"> by which the various strategies used since its introduction can be categorised. During, Professional Teaching Experience (PTE), one of these strategies involved the use of ‘Exit Cards’, which evokes the Quality of questions/quality of talk element. It is said that ‘talk is arguably the true foundation of learning’ (Alexander, 2008, p.9) and through relevant questioning, appropriate discussions (‘talks’) can be prompted. Additionally, Black and William state that the interaction between student and teacher ‘is at the heart of pedagogy’ (Black and William, 1998, p.16). In this respect, ‘Exit Cards’ were a great way to encourage students to talk at the end of the lesson, discuss their ideas and consolidate their understanding. During several lessons, students were asked to read their answers out loud (most Class 4 students were eager to do so), allowing further assessment to take place while they engaged with different questions and answers from their peers. In ‘Building Learning Power’, Guy Claxton states that ‘good learners like </w:t>
      </w:r>
      <w:r w:rsidRPr="009D7789">
        <w:rPr>
          <w:rFonts w:ascii="Times New Roman" w:eastAsia="Times New Roman" w:hAnsi="Times New Roman" w:cs="Times New Roman"/>
          <w:sz w:val="24"/>
          <w:szCs w:val="24"/>
        </w:rPr>
        <w:t>questions’ (</w:t>
      </w:r>
      <w:r w:rsidRPr="009D7789">
        <w:rPr>
          <w:rFonts w:ascii="Times New Roman" w:eastAsia="Times New Roman" w:hAnsi="Times New Roman" w:cs="Times New Roman"/>
          <w:sz w:val="24"/>
          <w:szCs w:val="24"/>
        </w:rPr>
        <w:t xml:space="preserve">Claxton, 2002, p.25), and outlines 4Rs that help develop the mind’s learning power. One of those </w:t>
      </w:r>
      <w:proofErr w:type="spellStart"/>
      <w:r w:rsidRPr="009D7789">
        <w:rPr>
          <w:rFonts w:ascii="Times New Roman" w:eastAsia="Times New Roman" w:hAnsi="Times New Roman" w:cs="Times New Roman"/>
          <w:sz w:val="24"/>
          <w:szCs w:val="24"/>
        </w:rPr>
        <w:t>Rs</w:t>
      </w:r>
      <w:proofErr w:type="spellEnd"/>
      <w:r w:rsidRPr="009D7789">
        <w:rPr>
          <w:rFonts w:ascii="Times New Roman" w:eastAsia="Times New Roman" w:hAnsi="Times New Roman" w:cs="Times New Roman"/>
          <w:sz w:val="24"/>
          <w:szCs w:val="24"/>
        </w:rPr>
        <w:t xml:space="preserve">, ‘Resourceful’, includes questioning - teachers who consistently ask relevant questions will find that their students thrive and achieve more (Claxton, 2002, p.25). This theory is supported by research which showed that good questions lead to ‘higher levels of academic achievement’ (Samson, </w:t>
      </w:r>
      <w:proofErr w:type="spellStart"/>
      <w:r w:rsidRPr="009D7789">
        <w:rPr>
          <w:rFonts w:ascii="Times New Roman" w:eastAsia="Times New Roman" w:hAnsi="Times New Roman" w:cs="Times New Roman"/>
          <w:sz w:val="24"/>
          <w:szCs w:val="24"/>
        </w:rPr>
        <w:t>Strykowski</w:t>
      </w:r>
      <w:proofErr w:type="spellEnd"/>
      <w:r w:rsidRPr="009D7789">
        <w:rPr>
          <w:rFonts w:ascii="Times New Roman" w:eastAsia="Times New Roman" w:hAnsi="Times New Roman" w:cs="Times New Roman"/>
          <w:sz w:val="24"/>
          <w:szCs w:val="24"/>
        </w:rPr>
        <w:t xml:space="preserve">, Weinstein and Walberg, 1987 cited by Hattie, 2009, p. 182). However, Hattie suggests that it is more important for teachers to listen to their students’ questions. In ‘Unlocking Assessment’, </w:t>
      </w:r>
      <w:proofErr w:type="spellStart"/>
      <w:r w:rsidRPr="009D7789">
        <w:rPr>
          <w:rFonts w:ascii="Times New Roman" w:eastAsia="Times New Roman" w:hAnsi="Times New Roman" w:cs="Times New Roman"/>
          <w:sz w:val="24"/>
          <w:szCs w:val="24"/>
        </w:rPr>
        <w:t>Swaffield</w:t>
      </w:r>
      <w:proofErr w:type="spellEnd"/>
      <w:r w:rsidRPr="009D7789">
        <w:rPr>
          <w:rFonts w:ascii="Times New Roman" w:eastAsia="Times New Roman" w:hAnsi="Times New Roman" w:cs="Times New Roman"/>
          <w:sz w:val="24"/>
          <w:szCs w:val="24"/>
        </w:rPr>
        <w:t xml:space="preserve"> implies that teachers should talk less and listen more, as listening allows the teacher to assess the child’s understanding (</w:t>
      </w:r>
      <w:proofErr w:type="spellStart"/>
      <w:r w:rsidRPr="009D7789">
        <w:rPr>
          <w:rFonts w:ascii="Times New Roman" w:eastAsia="Times New Roman" w:hAnsi="Times New Roman" w:cs="Times New Roman"/>
          <w:sz w:val="24"/>
          <w:szCs w:val="24"/>
        </w:rPr>
        <w:t>Swaffield</w:t>
      </w:r>
      <w:proofErr w:type="spellEnd"/>
      <w:r w:rsidRPr="009D7789">
        <w:rPr>
          <w:rFonts w:ascii="Times New Roman" w:eastAsia="Times New Roman" w:hAnsi="Times New Roman" w:cs="Times New Roman"/>
          <w:sz w:val="24"/>
          <w:szCs w:val="24"/>
        </w:rPr>
        <w:t xml:space="preserve">, 2008, p.76). Mercer et al (2004) showed that when students are actively involved, their ability to learn increases (cited by </w:t>
      </w:r>
      <w:proofErr w:type="spellStart"/>
      <w:r w:rsidRPr="009D7789">
        <w:rPr>
          <w:rFonts w:ascii="Times New Roman" w:eastAsia="Times New Roman" w:hAnsi="Times New Roman" w:cs="Times New Roman"/>
          <w:sz w:val="24"/>
          <w:szCs w:val="24"/>
        </w:rPr>
        <w:t>Swaffield</w:t>
      </w:r>
      <w:proofErr w:type="spellEnd"/>
      <w:r w:rsidRPr="009D7789">
        <w:rPr>
          <w:rFonts w:ascii="Times New Roman" w:eastAsia="Times New Roman" w:hAnsi="Times New Roman" w:cs="Times New Roman"/>
          <w:sz w:val="24"/>
          <w:szCs w:val="24"/>
        </w:rPr>
        <w:t xml:space="preserve">, 2008, p.76). Therefore, in future placements, the writer would adapt ‘Exit Cards’ to encourage the students to pose a question to their teacher or fellow students. </w:t>
      </w:r>
    </w:p>
    <w:p w:rsidR="005A61DB" w:rsidRPr="009D7789" w:rsidRDefault="005A61DB" w:rsidP="005A61DB">
      <w:pPr>
        <w:spacing w:before="240"/>
        <w:jc w:val="both"/>
        <w:rPr>
          <w:rFonts w:ascii="Times New Roman" w:eastAsia="Times New Roman" w:hAnsi="Times New Roman" w:cs="Times New Roman"/>
          <w:sz w:val="24"/>
          <w:szCs w:val="24"/>
        </w:rPr>
      </w:pPr>
      <w:bookmarkStart w:id="0" w:name="_gjdgxs" w:colFirst="0" w:colLast="0"/>
      <w:bookmarkEnd w:id="0"/>
      <w:r w:rsidRPr="009D7789">
        <w:rPr>
          <w:rFonts w:ascii="Times New Roman" w:eastAsia="Times New Roman" w:hAnsi="Times New Roman" w:cs="Times New Roman"/>
          <w:sz w:val="24"/>
          <w:szCs w:val="24"/>
        </w:rPr>
        <w:t xml:space="preserve">The ‘Exit Cards’ were used in various ways to promote different learning styles. They were used individually, in pairs and in groups throughout PTE and were sometimes adapted to suit attainment level. The writer used Blooms Taxonomy model (1956) to assist in the creation of the ‘Exit Cards’, and they proved to be a great way to encourage higher order thinking skills. Research by Hattie has shown ‘that higher order questions are more effective on both direct and unrelated materials’ (Hattie, 2009, p.183) implying that the benefits these skills have on learning extend beyond just the lesson they are used in. </w:t>
      </w:r>
      <w:proofErr w:type="spellStart"/>
      <w:r w:rsidRPr="009D7789">
        <w:rPr>
          <w:rFonts w:ascii="Times New Roman" w:eastAsia="Times New Roman" w:hAnsi="Times New Roman" w:cs="Times New Roman"/>
          <w:sz w:val="24"/>
          <w:szCs w:val="24"/>
        </w:rPr>
        <w:t>Schoenfeld</w:t>
      </w:r>
      <w:proofErr w:type="spellEnd"/>
      <w:r w:rsidRPr="009D7789">
        <w:rPr>
          <w:rFonts w:ascii="Times New Roman" w:eastAsia="Times New Roman" w:hAnsi="Times New Roman" w:cs="Times New Roman"/>
          <w:sz w:val="24"/>
          <w:szCs w:val="24"/>
        </w:rPr>
        <w:t xml:space="preserve"> (1985) suggested that students presented with lower order thinking questions may deem them ‘unfair, illegitimate or even meaningless’ (</w:t>
      </w:r>
      <w:proofErr w:type="spellStart"/>
      <w:r w:rsidRPr="009D7789">
        <w:rPr>
          <w:rFonts w:ascii="Times New Roman" w:eastAsia="Times New Roman" w:hAnsi="Times New Roman" w:cs="Times New Roman"/>
          <w:sz w:val="24"/>
          <w:szCs w:val="24"/>
        </w:rPr>
        <w:t>Schoenfeld</w:t>
      </w:r>
      <w:proofErr w:type="spellEnd"/>
      <w:r w:rsidRPr="009D7789">
        <w:rPr>
          <w:rFonts w:ascii="Times New Roman" w:eastAsia="Times New Roman" w:hAnsi="Times New Roman" w:cs="Times New Roman"/>
          <w:sz w:val="24"/>
          <w:szCs w:val="24"/>
        </w:rPr>
        <w:t xml:space="preserve"> 1985, quoted in Gipps, 2002, p.80) as they do not allow children to expand their learning. However, an article on ‘Classroom Questioning’ by K. Cotton (1988) states that there is no conclusive research to suggest higher order thinking questions are more beneficial than lower ones; in fact research suggests they are equally effective. Despite inconclusive research, the majority of Class 4 students enjoyed the higher order thinking questions, especially the ‘Evaluate’ ones in relation to Water Sanitation. Simple recall questions did not engage students and in instances where the answer wasn't immediately known, the students have up. It was not the case that the writer presumed these students were incapable of grasping higher order questions, which would be a misapplication of Blooms Taxonomy, often used by teachers to 'justify reduced expectations about students' capacity to think’ (Case, 2013, p3) Instead, the children were put into mixed ability pairs to answer evaluative questions, which the writer found to be the best method to promote learning. It is </w:t>
      </w:r>
      <w:r w:rsidRPr="009D7789">
        <w:rPr>
          <w:rFonts w:ascii="Times New Roman" w:eastAsia="Times New Roman" w:hAnsi="Times New Roman" w:cs="Times New Roman"/>
          <w:sz w:val="24"/>
          <w:szCs w:val="24"/>
        </w:rPr>
        <w:lastRenderedPageBreak/>
        <w:t>clear, through research, that there are academic benefits for both the higher attainment child, and the lower, as well as a potential increase in the social skills of both (MUSE, date unknown, p3).</w:t>
      </w:r>
    </w:p>
    <w:p w:rsidR="005A61DB" w:rsidRPr="009D7789" w:rsidRDefault="005A61DB" w:rsidP="005A61DB">
      <w:pPr>
        <w:jc w:val="both"/>
        <w:rPr>
          <w:rFonts w:ascii="Times New Roman" w:eastAsia="Times New Roman" w:hAnsi="Times New Roman" w:cs="Times New Roman"/>
          <w:sz w:val="24"/>
          <w:szCs w:val="24"/>
          <w:highlight w:val="white"/>
        </w:rPr>
      </w:pPr>
      <w:r w:rsidRPr="009D7789">
        <w:rPr>
          <w:rFonts w:ascii="Times New Roman" w:eastAsia="Times New Roman" w:hAnsi="Times New Roman" w:cs="Times New Roman"/>
          <w:sz w:val="24"/>
          <w:szCs w:val="24"/>
        </w:rPr>
        <w:t xml:space="preserve">Throughout PTE, the above </w:t>
      </w:r>
      <w:proofErr w:type="spellStart"/>
      <w:proofErr w:type="gramStart"/>
      <w:r w:rsidRPr="009D7789">
        <w:rPr>
          <w:rFonts w:ascii="Times New Roman" w:eastAsia="Times New Roman" w:hAnsi="Times New Roman" w:cs="Times New Roman"/>
          <w:sz w:val="24"/>
          <w:szCs w:val="24"/>
        </w:rPr>
        <w:t>AfL</w:t>
      </w:r>
      <w:proofErr w:type="spellEnd"/>
      <w:proofErr w:type="gramEnd"/>
      <w:r w:rsidRPr="009D7789">
        <w:rPr>
          <w:rFonts w:ascii="Times New Roman" w:eastAsia="Times New Roman" w:hAnsi="Times New Roman" w:cs="Times New Roman"/>
          <w:sz w:val="24"/>
          <w:szCs w:val="24"/>
        </w:rPr>
        <w:t xml:space="preserve"> strategy was often adapted into ‘Enter Cards’ to allow pupils to activate their prior knowledge and consolidate their learning. John Watson, behaviour psychologist, presented the '</w:t>
      </w:r>
      <w:proofErr w:type="spellStart"/>
      <w:r w:rsidRPr="009D7789">
        <w:rPr>
          <w:rFonts w:ascii="Times New Roman" w:eastAsia="Times New Roman" w:hAnsi="Times New Roman" w:cs="Times New Roman"/>
          <w:sz w:val="24"/>
          <w:szCs w:val="24"/>
        </w:rPr>
        <w:t>Recency</w:t>
      </w:r>
      <w:proofErr w:type="spellEnd"/>
      <w:r w:rsidRPr="009D7789">
        <w:rPr>
          <w:rFonts w:ascii="Times New Roman" w:eastAsia="Times New Roman" w:hAnsi="Times New Roman" w:cs="Times New Roman"/>
          <w:sz w:val="24"/>
          <w:szCs w:val="24"/>
        </w:rPr>
        <w:t xml:space="preserve"> and Frequency’ theory (Watson, 1913) suggesting that if information is used and embedded more frequently, then the accuracy of recall will increase. Therefore, by consolidating students’ learning with questions at the start/end of the lesson, it is more likely the information will be retained in their long-term memory. This theory was, however, criticized on the basis that is was inadequate in accounting for learning (</w:t>
      </w:r>
      <w:proofErr w:type="spellStart"/>
      <w:r w:rsidRPr="009D7789">
        <w:rPr>
          <w:rFonts w:ascii="Times New Roman" w:eastAsia="Times New Roman" w:hAnsi="Times New Roman" w:cs="Times New Roman"/>
          <w:sz w:val="24"/>
          <w:szCs w:val="24"/>
        </w:rPr>
        <w:t>Gengerelli</w:t>
      </w:r>
      <w:proofErr w:type="spellEnd"/>
      <w:r w:rsidRPr="009D7789">
        <w:rPr>
          <w:rFonts w:ascii="Times New Roman" w:eastAsia="Times New Roman" w:hAnsi="Times New Roman" w:cs="Times New Roman"/>
          <w:sz w:val="24"/>
          <w:szCs w:val="24"/>
        </w:rPr>
        <w:t xml:space="preserve">, 1928, cited by </w:t>
      </w:r>
      <w:proofErr w:type="spellStart"/>
      <w:r w:rsidRPr="009D7789">
        <w:rPr>
          <w:rFonts w:ascii="Times New Roman" w:eastAsia="Times New Roman" w:hAnsi="Times New Roman" w:cs="Times New Roman"/>
          <w:sz w:val="24"/>
          <w:szCs w:val="24"/>
        </w:rPr>
        <w:t>Weibell</w:t>
      </w:r>
      <w:proofErr w:type="spellEnd"/>
      <w:r w:rsidRPr="009D7789">
        <w:rPr>
          <w:rFonts w:ascii="Times New Roman" w:eastAsia="Times New Roman" w:hAnsi="Times New Roman" w:cs="Times New Roman"/>
          <w:sz w:val="24"/>
          <w:szCs w:val="24"/>
        </w:rPr>
        <w:t xml:space="preserve">, 2011). </w:t>
      </w:r>
      <w:r w:rsidRPr="009D7789">
        <w:rPr>
          <w:rFonts w:ascii="Times New Roman" w:eastAsia="Times New Roman" w:hAnsi="Times New Roman" w:cs="Times New Roman"/>
          <w:sz w:val="24"/>
          <w:szCs w:val="24"/>
          <w:highlight w:val="white"/>
        </w:rPr>
        <w:t xml:space="preserve">Despite this claim, Class 4 students were able to accurately recall information from previous lessons to answer the 'Enter Cards’ and the majority were able to use the information learned throughout the lesson to answer the 'Exit Cards’. Unfortunately, there was no opportunity to test the students’ ability to retain information long term, as PTE only covered a 4 week period. </w:t>
      </w:r>
    </w:p>
    <w:p w:rsidR="005A61DB" w:rsidRPr="009D7789" w:rsidRDefault="005A61DB" w:rsidP="005A61DB">
      <w:pPr>
        <w:jc w:val="both"/>
        <w:rPr>
          <w:rFonts w:ascii="Times New Roman" w:eastAsia="Times New Roman" w:hAnsi="Times New Roman" w:cs="Times New Roman"/>
          <w:sz w:val="24"/>
          <w:szCs w:val="24"/>
        </w:rPr>
      </w:pPr>
      <w:r w:rsidRPr="009D7789">
        <w:rPr>
          <w:rFonts w:ascii="Times New Roman" w:eastAsia="Times New Roman" w:hAnsi="Times New Roman" w:cs="Times New Roman"/>
          <w:sz w:val="24"/>
          <w:szCs w:val="24"/>
          <w:highlight w:val="white"/>
        </w:rPr>
        <w:t xml:space="preserve">'Constructivist’ learning theory is a means of explaining how people build knowledge and understanding through their experiences - in the teaching environment this involves the above method of using good questions to activate prior knowledge and assess understanding. Brooks (1999) said ‘As long as there were people asking each other questions, we have had constructivist classrooms’ (cited by </w:t>
      </w:r>
      <w:proofErr w:type="spellStart"/>
      <w:r w:rsidRPr="009D7789">
        <w:rPr>
          <w:rFonts w:ascii="Times New Roman" w:eastAsia="Times New Roman" w:hAnsi="Times New Roman" w:cs="Times New Roman"/>
          <w:sz w:val="24"/>
          <w:szCs w:val="24"/>
        </w:rPr>
        <w:t>Doudin</w:t>
      </w:r>
      <w:proofErr w:type="spellEnd"/>
      <w:r w:rsidRPr="009D7789">
        <w:rPr>
          <w:rFonts w:ascii="Times New Roman" w:eastAsia="Times New Roman" w:hAnsi="Times New Roman" w:cs="Times New Roman"/>
          <w:sz w:val="24"/>
          <w:szCs w:val="24"/>
        </w:rPr>
        <w:t xml:space="preserve">, 2016, p. 9). There are many (social) constructivist theories based around the development of language and understanding through the use of ‘talk’. By implementing ‘non-judgemental questioning, tutors can lead the student to construct new comprehension and acquire new skills.’ (Brooks and Brooks, 1993, cited by </w:t>
      </w:r>
      <w:proofErr w:type="spellStart"/>
      <w:r w:rsidRPr="009D7789">
        <w:rPr>
          <w:rFonts w:ascii="Times New Roman" w:eastAsia="Times New Roman" w:hAnsi="Times New Roman" w:cs="Times New Roman"/>
          <w:sz w:val="24"/>
          <w:szCs w:val="24"/>
        </w:rPr>
        <w:t>Doudin</w:t>
      </w:r>
      <w:proofErr w:type="spellEnd"/>
      <w:r w:rsidRPr="009D7789">
        <w:rPr>
          <w:rFonts w:ascii="Times New Roman" w:eastAsia="Times New Roman" w:hAnsi="Times New Roman" w:cs="Times New Roman"/>
          <w:sz w:val="24"/>
          <w:szCs w:val="24"/>
        </w:rPr>
        <w:t xml:space="preserve">, 2016, p. 24) - thus, through answering relevant questions about the learning material, students are able to build their knowledge and form new connections within their learning. </w:t>
      </w:r>
    </w:p>
    <w:p w:rsidR="005A61DB" w:rsidRPr="009D7789" w:rsidRDefault="005A61DB" w:rsidP="005A61DB">
      <w:pPr>
        <w:jc w:val="both"/>
        <w:rPr>
          <w:rFonts w:ascii="Times New Roman" w:eastAsia="Times New Roman" w:hAnsi="Times New Roman" w:cs="Times New Roman"/>
          <w:sz w:val="24"/>
          <w:szCs w:val="24"/>
        </w:rPr>
      </w:pPr>
      <w:r w:rsidRPr="009D7789">
        <w:rPr>
          <w:rFonts w:ascii="Times New Roman" w:eastAsia="Times New Roman" w:hAnsi="Times New Roman" w:cs="Times New Roman"/>
          <w:sz w:val="24"/>
          <w:szCs w:val="24"/>
        </w:rPr>
        <w:t>A different, more humanistic approach would involve students asking themselves questions, and therefore being more self-directed. Research has shown (</w:t>
      </w:r>
      <w:proofErr w:type="spellStart"/>
      <w:r w:rsidRPr="009D7789">
        <w:rPr>
          <w:rFonts w:ascii="Times New Roman" w:eastAsia="Times New Roman" w:hAnsi="Times New Roman" w:cs="Times New Roman"/>
          <w:sz w:val="24"/>
          <w:szCs w:val="24"/>
        </w:rPr>
        <w:t>Huangs</w:t>
      </w:r>
      <w:proofErr w:type="spellEnd"/>
      <w:r w:rsidRPr="009D7789">
        <w:rPr>
          <w:rFonts w:ascii="Times New Roman" w:eastAsia="Times New Roman" w:hAnsi="Times New Roman" w:cs="Times New Roman"/>
          <w:sz w:val="24"/>
          <w:szCs w:val="24"/>
        </w:rPr>
        <w:t xml:space="preserve">, 1991) that self-questioning is more effective in lower attainment children (cited by Hattie, 2009, p193), than teacher-led questioning, which provides some justification for the humanistic approach. However, the writer is of the opinion that in order to ensure the question accurately assesses a child's learning, it should be written by the educator. </w:t>
      </w:r>
    </w:p>
    <w:p w:rsidR="005A61DB" w:rsidRPr="009D7789" w:rsidRDefault="005A61DB" w:rsidP="005A61DB">
      <w:pPr>
        <w:jc w:val="both"/>
        <w:rPr>
          <w:rFonts w:ascii="Times New Roman" w:eastAsia="Times New Roman" w:hAnsi="Times New Roman" w:cs="Times New Roman"/>
          <w:sz w:val="24"/>
          <w:szCs w:val="24"/>
          <w:highlight w:val="white"/>
        </w:rPr>
      </w:pPr>
      <w:r w:rsidRPr="009D7789">
        <w:rPr>
          <w:rFonts w:ascii="Times New Roman" w:eastAsia="Times New Roman" w:hAnsi="Times New Roman" w:cs="Times New Roman"/>
          <w:sz w:val="24"/>
          <w:szCs w:val="24"/>
          <w:highlight w:val="white"/>
        </w:rPr>
        <w:t xml:space="preserve">To encourage the widespread use of ‘Exit Cards’ in schools, they could be adapted into verbal exit cards for Foundation Phase students. This would involve the teacher asking the class (or small groups of students) one question which would be answered verbally, promoting a full class discussion and allowing students to develop ideas from one another. Students could even use an iPad (on websites such as </w:t>
      </w:r>
      <w:proofErr w:type="spellStart"/>
      <w:r w:rsidRPr="009D7789">
        <w:rPr>
          <w:rFonts w:ascii="Times New Roman" w:eastAsia="Times New Roman" w:hAnsi="Times New Roman" w:cs="Times New Roman"/>
          <w:sz w:val="24"/>
          <w:szCs w:val="24"/>
          <w:highlight w:val="white"/>
        </w:rPr>
        <w:t>NearPod</w:t>
      </w:r>
      <w:proofErr w:type="spellEnd"/>
      <w:r w:rsidRPr="009D7789">
        <w:rPr>
          <w:rFonts w:ascii="Times New Roman" w:eastAsia="Times New Roman" w:hAnsi="Times New Roman" w:cs="Times New Roman"/>
          <w:sz w:val="24"/>
          <w:szCs w:val="24"/>
          <w:highlight w:val="white"/>
        </w:rPr>
        <w:t>) to answer the question, which could present relevant pictures or videos to engage pupils further.</w:t>
      </w:r>
    </w:p>
    <w:p w:rsidR="005A61DB" w:rsidRPr="009D7789" w:rsidRDefault="005A61DB" w:rsidP="005A61DB">
      <w:pPr>
        <w:jc w:val="both"/>
        <w:rPr>
          <w:rFonts w:ascii="Times New Roman" w:eastAsia="Times New Roman" w:hAnsi="Times New Roman" w:cs="Times New Roman"/>
          <w:sz w:val="24"/>
          <w:szCs w:val="24"/>
          <w:highlight w:val="white"/>
        </w:rPr>
      </w:pPr>
      <w:r w:rsidRPr="009D7789">
        <w:rPr>
          <w:rFonts w:ascii="Times New Roman" w:eastAsia="Times New Roman" w:hAnsi="Times New Roman" w:cs="Times New Roman"/>
          <w:sz w:val="24"/>
          <w:szCs w:val="24"/>
          <w:highlight w:val="white"/>
        </w:rPr>
        <w:t xml:space="preserve">Overall, the 'Exit Cards’ strategy of assessing students through questioning has proven successful. It can be easily adapted to suit the attainment level of the learner, and can promote healthy group discussions within a classroom. To ensure maximum effectiveness, teachers must be trained to create relevant, purposeful questions - as Hattie remarked, 'Training in questioning matters’, following research which indicated that achievement increased when teachers had been trained in questioning (Hattie, 2009, p183). This method of assessment may be overlooked in favour of a peer/self-assessment system, however the writer is of the opinion </w:t>
      </w:r>
      <w:r w:rsidRPr="009D7789">
        <w:rPr>
          <w:rFonts w:ascii="Times New Roman" w:eastAsia="Times New Roman" w:hAnsi="Times New Roman" w:cs="Times New Roman"/>
          <w:sz w:val="24"/>
          <w:szCs w:val="24"/>
          <w:highlight w:val="white"/>
        </w:rPr>
        <w:lastRenderedPageBreak/>
        <w:t xml:space="preserve">that questioning is more beneficial in the long run. Various learning skills can be developed through questioning, which allows students to become 'resilient learners' (Claxton, 2002, p23). Through this development, students can begin to participate actively in their own learning journeys, whilst nurturing a 'Growth </w:t>
      </w:r>
      <w:proofErr w:type="spellStart"/>
      <w:r w:rsidRPr="009D7789">
        <w:rPr>
          <w:rFonts w:ascii="Times New Roman" w:eastAsia="Times New Roman" w:hAnsi="Times New Roman" w:cs="Times New Roman"/>
          <w:sz w:val="24"/>
          <w:szCs w:val="24"/>
          <w:highlight w:val="white"/>
        </w:rPr>
        <w:t>Mindset</w:t>
      </w:r>
      <w:proofErr w:type="spellEnd"/>
      <w:r w:rsidRPr="009D7789">
        <w:rPr>
          <w:rFonts w:ascii="Times New Roman" w:eastAsia="Times New Roman" w:hAnsi="Times New Roman" w:cs="Times New Roman"/>
          <w:sz w:val="24"/>
          <w:szCs w:val="24"/>
          <w:highlight w:val="white"/>
        </w:rPr>
        <w:t>’ (</w:t>
      </w:r>
      <w:proofErr w:type="spellStart"/>
      <w:r w:rsidRPr="009D7789">
        <w:rPr>
          <w:rFonts w:ascii="Times New Roman" w:eastAsia="Times New Roman" w:hAnsi="Times New Roman" w:cs="Times New Roman"/>
          <w:sz w:val="24"/>
          <w:szCs w:val="24"/>
          <w:highlight w:val="white"/>
        </w:rPr>
        <w:t>Dweck</w:t>
      </w:r>
      <w:proofErr w:type="spellEnd"/>
      <w:r w:rsidRPr="009D7789">
        <w:rPr>
          <w:rFonts w:ascii="Times New Roman" w:eastAsia="Times New Roman" w:hAnsi="Times New Roman" w:cs="Times New Roman"/>
          <w:sz w:val="24"/>
          <w:szCs w:val="24"/>
          <w:highlight w:val="white"/>
        </w:rPr>
        <w:t xml:space="preserve">, 2014) and beginning to embrace feedback from their teachers. There is a strong driving force behind </w:t>
      </w:r>
      <w:proofErr w:type="spellStart"/>
      <w:r w:rsidRPr="009D7789">
        <w:rPr>
          <w:rFonts w:ascii="Times New Roman" w:eastAsia="Times New Roman" w:hAnsi="Times New Roman" w:cs="Times New Roman"/>
          <w:sz w:val="24"/>
          <w:szCs w:val="24"/>
          <w:highlight w:val="white"/>
        </w:rPr>
        <w:t>AfL</w:t>
      </w:r>
      <w:proofErr w:type="spellEnd"/>
      <w:r w:rsidRPr="009D7789">
        <w:rPr>
          <w:rFonts w:ascii="Times New Roman" w:eastAsia="Times New Roman" w:hAnsi="Times New Roman" w:cs="Times New Roman"/>
          <w:sz w:val="24"/>
          <w:szCs w:val="24"/>
          <w:highlight w:val="white"/>
        </w:rPr>
        <w:t xml:space="preserve"> implementation, with Donaldson's 'Successful Futures’ and it's four 'purposes’, which will encourage children to become 'ambitious, capable learners’ (Donaldson, 2015, p29) who are actively involved in their own learning and who can engage in an effective and meaningful way with </w:t>
      </w:r>
      <w:proofErr w:type="spellStart"/>
      <w:r w:rsidRPr="009D7789">
        <w:rPr>
          <w:rFonts w:ascii="Times New Roman" w:eastAsia="Times New Roman" w:hAnsi="Times New Roman" w:cs="Times New Roman"/>
          <w:sz w:val="24"/>
          <w:szCs w:val="24"/>
          <w:highlight w:val="white"/>
        </w:rPr>
        <w:t>AfL</w:t>
      </w:r>
      <w:proofErr w:type="spellEnd"/>
      <w:r w:rsidRPr="009D7789">
        <w:rPr>
          <w:rFonts w:ascii="Times New Roman" w:eastAsia="Times New Roman" w:hAnsi="Times New Roman" w:cs="Times New Roman"/>
          <w:sz w:val="24"/>
          <w:szCs w:val="24"/>
          <w:highlight w:val="white"/>
        </w:rPr>
        <w:t xml:space="preserve">. </w:t>
      </w:r>
    </w:p>
    <w:p w:rsidR="005A61DB" w:rsidRDefault="005A61DB" w:rsidP="005A61DB">
      <w:pPr>
        <w:rPr>
          <w:rFonts w:ascii="Times New Roman" w:eastAsia="Times New Roman" w:hAnsi="Times New Roman" w:cs="Times New Roman"/>
          <w:color w:val="444950"/>
          <w:sz w:val="32"/>
          <w:szCs w:val="32"/>
          <w:u w:val="single"/>
        </w:rPr>
      </w:pPr>
    </w:p>
    <w:p w:rsidR="005A61DB" w:rsidRDefault="005A61DB" w:rsidP="005A61DB">
      <w:pPr>
        <w:spacing w:line="360" w:lineRule="auto"/>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Reference list</w:t>
      </w:r>
    </w:p>
    <w:p w:rsidR="005A61DB" w:rsidRDefault="005A61DB" w:rsidP="005A61DB">
      <w:pPr>
        <w:spacing w:after="20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Alexander, R. (2008) </w:t>
      </w:r>
      <w:r>
        <w:rPr>
          <w:rFonts w:ascii="Times New Roman" w:eastAsia="Times New Roman" w:hAnsi="Times New Roman" w:cs="Times New Roman"/>
          <w:i/>
          <w:sz w:val="24"/>
          <w:szCs w:val="24"/>
          <w:highlight w:val="white"/>
        </w:rPr>
        <w:t xml:space="preserve">Towards Dialogic Teaching: Rethinking classroom talk. </w:t>
      </w:r>
      <w:r>
        <w:rPr>
          <w:rFonts w:ascii="Times New Roman" w:eastAsia="Times New Roman" w:hAnsi="Times New Roman" w:cs="Times New Roman"/>
          <w:sz w:val="24"/>
          <w:szCs w:val="24"/>
          <w:highlight w:val="white"/>
        </w:rPr>
        <w:t>4</w:t>
      </w:r>
      <w:r>
        <w:rPr>
          <w:rFonts w:ascii="Times New Roman" w:eastAsia="Times New Roman" w:hAnsi="Times New Roman" w:cs="Times New Roman"/>
          <w:sz w:val="24"/>
          <w:szCs w:val="24"/>
          <w:highlight w:val="white"/>
          <w:vertAlign w:val="superscript"/>
        </w:rPr>
        <w:t>th</w:t>
      </w:r>
      <w:r>
        <w:rPr>
          <w:rFonts w:ascii="Times New Roman" w:eastAsia="Times New Roman" w:hAnsi="Times New Roman" w:cs="Times New Roman"/>
          <w:sz w:val="24"/>
          <w:szCs w:val="24"/>
          <w:highlight w:val="white"/>
        </w:rPr>
        <w:t xml:space="preserve"> Ed. North Yorkshire: </w:t>
      </w:r>
      <w:proofErr w:type="spellStart"/>
      <w:r>
        <w:rPr>
          <w:rFonts w:ascii="Times New Roman" w:eastAsia="Times New Roman" w:hAnsi="Times New Roman" w:cs="Times New Roman"/>
          <w:sz w:val="24"/>
          <w:szCs w:val="24"/>
          <w:highlight w:val="white"/>
        </w:rPr>
        <w:t>Dialogos</w:t>
      </w:r>
      <w:proofErr w:type="spellEnd"/>
      <w:r>
        <w:rPr>
          <w:rFonts w:ascii="Times New Roman" w:eastAsia="Times New Roman" w:hAnsi="Times New Roman" w:cs="Times New Roman"/>
          <w:sz w:val="24"/>
          <w:szCs w:val="24"/>
          <w:highlight w:val="white"/>
        </w:rPr>
        <w:t xml:space="preserve">. </w:t>
      </w:r>
    </w:p>
    <w:p w:rsidR="005A61DB" w:rsidRDefault="005A61DB" w:rsidP="005A61D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Assessment Reform Group (2002) </w:t>
      </w:r>
      <w:r>
        <w:rPr>
          <w:rFonts w:ascii="Times New Roman" w:eastAsia="Times New Roman" w:hAnsi="Times New Roman" w:cs="Times New Roman"/>
          <w:i/>
          <w:sz w:val="24"/>
          <w:szCs w:val="24"/>
          <w:highlight w:val="white"/>
        </w:rPr>
        <w:t xml:space="preserve">Research- based principles to guide classroom practice. </w:t>
      </w:r>
      <w:r>
        <w:rPr>
          <w:rFonts w:ascii="Times New Roman" w:eastAsia="Times New Roman" w:hAnsi="Times New Roman" w:cs="Times New Roman"/>
          <w:sz w:val="24"/>
          <w:szCs w:val="24"/>
          <w:highlight w:val="white"/>
        </w:rPr>
        <w:t xml:space="preserve">Available at: </w:t>
      </w:r>
      <w:hyperlink r:id="rId8">
        <w:r>
          <w:rPr>
            <w:rFonts w:ascii="Times New Roman" w:eastAsia="Times New Roman" w:hAnsi="Times New Roman" w:cs="Times New Roman"/>
            <w:color w:val="0000FF"/>
            <w:sz w:val="24"/>
            <w:szCs w:val="24"/>
            <w:highlight w:val="white"/>
            <w:u w:val="single"/>
          </w:rPr>
          <w:t>https://www.aaia.org.uk/content/uploads/2010/06/Assessment-for-Learning-10-principles.pdf</w:t>
        </w:r>
      </w:hyperlink>
      <w:r>
        <w:rPr>
          <w:rFonts w:ascii="Times New Roman" w:eastAsia="Times New Roman" w:hAnsi="Times New Roman" w:cs="Times New Roman"/>
          <w:sz w:val="24"/>
          <w:szCs w:val="24"/>
          <w:highlight w:val="white"/>
        </w:rPr>
        <w:t xml:space="preserve"> (Accessed: 12 November 2018). </w:t>
      </w:r>
    </w:p>
    <w:p w:rsidR="005A61DB" w:rsidRDefault="005A61DB" w:rsidP="005A61D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Baranek</w:t>
      </w:r>
      <w:proofErr w:type="spellEnd"/>
      <w:r>
        <w:rPr>
          <w:rFonts w:ascii="Times New Roman" w:eastAsia="Times New Roman" w:hAnsi="Times New Roman" w:cs="Times New Roman"/>
          <w:sz w:val="24"/>
          <w:szCs w:val="24"/>
          <w:highlight w:val="white"/>
        </w:rPr>
        <w:t xml:space="preserve">, L. (1996) </w:t>
      </w:r>
      <w:proofErr w:type="gramStart"/>
      <w:r>
        <w:rPr>
          <w:rFonts w:ascii="Times New Roman" w:eastAsia="Times New Roman" w:hAnsi="Times New Roman" w:cs="Times New Roman"/>
          <w:i/>
          <w:sz w:val="24"/>
          <w:szCs w:val="24"/>
        </w:rPr>
        <w:t>The</w:t>
      </w:r>
      <w:proofErr w:type="gramEnd"/>
      <w:r>
        <w:rPr>
          <w:rFonts w:ascii="Times New Roman" w:eastAsia="Times New Roman" w:hAnsi="Times New Roman" w:cs="Times New Roman"/>
          <w:i/>
          <w:sz w:val="24"/>
          <w:szCs w:val="24"/>
        </w:rPr>
        <w:t xml:space="preserve"> Effect of Rewards and Motivation on Student Achievement. </w:t>
      </w:r>
      <w:proofErr w:type="spellStart"/>
      <w:r>
        <w:rPr>
          <w:rFonts w:ascii="Times New Roman" w:eastAsia="Times New Roman" w:hAnsi="Times New Roman" w:cs="Times New Roman"/>
          <w:sz w:val="24"/>
          <w:szCs w:val="24"/>
        </w:rPr>
        <w:t>Masters</w:t>
      </w:r>
      <w:proofErr w:type="spellEnd"/>
      <w:r>
        <w:rPr>
          <w:rFonts w:ascii="Times New Roman" w:eastAsia="Times New Roman" w:hAnsi="Times New Roman" w:cs="Times New Roman"/>
          <w:sz w:val="24"/>
          <w:szCs w:val="24"/>
        </w:rPr>
        <w:t xml:space="preserve"> thesis. Available at: </w:t>
      </w:r>
      <w:hyperlink r:id="rId9">
        <w:r>
          <w:rPr>
            <w:rFonts w:ascii="Times New Roman" w:eastAsia="Times New Roman" w:hAnsi="Times New Roman" w:cs="Times New Roman"/>
            <w:color w:val="000000"/>
            <w:sz w:val="24"/>
            <w:szCs w:val="24"/>
            <w:u w:val="single"/>
          </w:rPr>
          <w:t>http://scholarworks.gvsu.edu/theses/285</w:t>
        </w:r>
      </w:hyperlink>
      <w:r>
        <w:rPr>
          <w:rFonts w:ascii="Times New Roman" w:eastAsia="Times New Roman" w:hAnsi="Times New Roman" w:cs="Times New Roman"/>
          <w:sz w:val="24"/>
          <w:szCs w:val="24"/>
        </w:rPr>
        <w:t xml:space="preserve">. (Accessed: 13 November 2018). </w:t>
      </w:r>
    </w:p>
    <w:p w:rsidR="005A61DB" w:rsidRDefault="005A61DB" w:rsidP="005A61DB">
      <w:pPr>
        <w:spacing w:after="200" w:line="360" w:lineRule="auto"/>
        <w:rPr>
          <w:rFonts w:ascii="Times New Roman" w:eastAsia="Times New Roman" w:hAnsi="Times New Roman" w:cs="Times New Roman"/>
          <w:i/>
          <w:sz w:val="24"/>
          <w:szCs w:val="24"/>
          <w:highlight w:val="white"/>
        </w:rPr>
      </w:pPr>
      <w:r>
        <w:rPr>
          <w:rFonts w:ascii="Times New Roman" w:eastAsia="Times New Roman" w:hAnsi="Times New Roman" w:cs="Times New Roman"/>
          <w:sz w:val="24"/>
          <w:szCs w:val="24"/>
          <w:highlight w:val="white"/>
        </w:rPr>
        <w:t xml:space="preserve">Black, P. and William, D. (1998) ‘Assessment and Classroom Learning’ </w:t>
      </w:r>
      <w:r>
        <w:rPr>
          <w:rFonts w:ascii="Times New Roman" w:eastAsia="Times New Roman" w:hAnsi="Times New Roman" w:cs="Times New Roman"/>
          <w:i/>
          <w:sz w:val="24"/>
          <w:szCs w:val="24"/>
          <w:highlight w:val="white"/>
        </w:rPr>
        <w:t xml:space="preserve">Assessment in Education: Principles, Policy and Practice, </w:t>
      </w:r>
      <w:r>
        <w:rPr>
          <w:rFonts w:ascii="Times New Roman" w:eastAsia="Times New Roman" w:hAnsi="Times New Roman" w:cs="Times New Roman"/>
          <w:sz w:val="24"/>
          <w:szCs w:val="24"/>
          <w:highlight w:val="white"/>
        </w:rPr>
        <w:t>5(1), pp. 7- 74</w:t>
      </w:r>
      <w:r>
        <w:rPr>
          <w:rFonts w:ascii="Times New Roman" w:eastAsia="Times New Roman" w:hAnsi="Times New Roman" w:cs="Times New Roman"/>
          <w:i/>
          <w:sz w:val="24"/>
          <w:szCs w:val="24"/>
          <w:highlight w:val="white"/>
        </w:rPr>
        <w:t xml:space="preserve">. </w:t>
      </w:r>
    </w:p>
    <w:p w:rsidR="005A61DB" w:rsidRDefault="005A61DB" w:rsidP="005A61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P. and William, D. (1998) </w:t>
      </w:r>
      <w:proofErr w:type="gramStart"/>
      <w:r>
        <w:rPr>
          <w:rFonts w:ascii="Times New Roman" w:eastAsia="Times New Roman" w:hAnsi="Times New Roman" w:cs="Times New Roman"/>
          <w:i/>
          <w:sz w:val="24"/>
          <w:szCs w:val="24"/>
        </w:rPr>
        <w:t>Inside</w:t>
      </w:r>
      <w:proofErr w:type="gramEnd"/>
      <w:r>
        <w:rPr>
          <w:rFonts w:ascii="Times New Roman" w:eastAsia="Times New Roman" w:hAnsi="Times New Roman" w:cs="Times New Roman"/>
          <w:i/>
          <w:sz w:val="24"/>
          <w:szCs w:val="24"/>
        </w:rPr>
        <w:t xml:space="preserve"> the black box: Raising standards through classroom assessment. </w:t>
      </w:r>
      <w:r>
        <w:rPr>
          <w:rFonts w:ascii="Times New Roman" w:eastAsia="Times New Roman" w:hAnsi="Times New Roman" w:cs="Times New Roman"/>
          <w:sz w:val="24"/>
          <w:szCs w:val="24"/>
        </w:rPr>
        <w:t xml:space="preserve">London: GL Assessment. </w:t>
      </w:r>
    </w:p>
    <w:p w:rsidR="005A61DB" w:rsidRDefault="005A61DB" w:rsidP="005A61DB">
      <w:pPr>
        <w:spacing w:after="200" w:line="360" w:lineRule="auto"/>
        <w:rPr>
          <w:rFonts w:ascii="Times New Roman" w:eastAsia="Times New Roman" w:hAnsi="Times New Roman" w:cs="Times New Roman"/>
          <w:i/>
          <w:sz w:val="24"/>
          <w:szCs w:val="24"/>
          <w:highlight w:val="white"/>
        </w:rPr>
      </w:pPr>
      <w:r>
        <w:rPr>
          <w:rFonts w:ascii="Times New Roman" w:eastAsia="Times New Roman" w:hAnsi="Times New Roman" w:cs="Times New Roman"/>
          <w:sz w:val="24"/>
          <w:szCs w:val="24"/>
          <w:highlight w:val="white"/>
        </w:rPr>
        <w:t xml:space="preserve">Case, R. (2013) ‘The Unfortunate Consequences of Blooms Taxonomy’, </w:t>
      </w:r>
      <w:r>
        <w:rPr>
          <w:rFonts w:ascii="Times New Roman" w:eastAsia="Times New Roman" w:hAnsi="Times New Roman" w:cs="Times New Roman"/>
          <w:i/>
          <w:sz w:val="24"/>
          <w:szCs w:val="24"/>
          <w:highlight w:val="white"/>
        </w:rPr>
        <w:t xml:space="preserve">Social Education, </w:t>
      </w:r>
      <w:r>
        <w:rPr>
          <w:rFonts w:ascii="Times New Roman" w:eastAsia="Times New Roman" w:hAnsi="Times New Roman" w:cs="Times New Roman"/>
          <w:sz w:val="24"/>
          <w:szCs w:val="24"/>
          <w:highlight w:val="white"/>
        </w:rPr>
        <w:t xml:space="preserve">77(4), pp. 196-200.  Available at: </w:t>
      </w:r>
      <w:hyperlink r:id="rId10">
        <w:r>
          <w:rPr>
            <w:rFonts w:ascii="Times New Roman" w:eastAsia="Times New Roman" w:hAnsi="Times New Roman" w:cs="Times New Roman"/>
            <w:color w:val="000000"/>
            <w:sz w:val="24"/>
            <w:szCs w:val="24"/>
            <w:highlight w:val="white"/>
            <w:u w:val="single"/>
          </w:rPr>
          <w:t>https://tc2.ca/uploads/PDFs/Critical%20Discussions/unfortunate_consequences_blooms_taxonomy.pdf</w:t>
        </w:r>
      </w:hyperlink>
      <w:r>
        <w:rPr>
          <w:rFonts w:ascii="Times New Roman" w:eastAsia="Times New Roman" w:hAnsi="Times New Roman" w:cs="Times New Roman"/>
          <w:sz w:val="24"/>
          <w:szCs w:val="24"/>
          <w:highlight w:val="white"/>
        </w:rPr>
        <w:t xml:space="preserve"> (Accessed 30 November 2018) </w:t>
      </w:r>
      <w:r>
        <w:rPr>
          <w:rFonts w:ascii="Times New Roman" w:eastAsia="Times New Roman" w:hAnsi="Times New Roman" w:cs="Times New Roman"/>
          <w:i/>
          <w:sz w:val="24"/>
          <w:szCs w:val="24"/>
          <w:highlight w:val="white"/>
        </w:rPr>
        <w:t xml:space="preserve"> </w:t>
      </w:r>
    </w:p>
    <w:p w:rsidR="005A61DB" w:rsidRDefault="005A61DB" w:rsidP="005A61DB">
      <w:pPr>
        <w:spacing w:after="20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Claxton, G (2002) </w:t>
      </w:r>
      <w:r>
        <w:rPr>
          <w:rFonts w:ascii="Times New Roman" w:eastAsia="Times New Roman" w:hAnsi="Times New Roman" w:cs="Times New Roman"/>
          <w:i/>
          <w:sz w:val="24"/>
          <w:szCs w:val="24"/>
          <w:highlight w:val="white"/>
        </w:rPr>
        <w:t xml:space="preserve">Building Learning Power. </w:t>
      </w:r>
      <w:r>
        <w:rPr>
          <w:rFonts w:ascii="Times New Roman" w:eastAsia="Times New Roman" w:hAnsi="Times New Roman" w:cs="Times New Roman"/>
          <w:sz w:val="24"/>
          <w:szCs w:val="24"/>
          <w:highlight w:val="white"/>
        </w:rPr>
        <w:t xml:space="preserve">Bristol: TLO Limited. </w:t>
      </w:r>
    </w:p>
    <w:p w:rsidR="005A61DB" w:rsidRDefault="005A61DB" w:rsidP="005A61DB">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Department for Children, Education, Lifelong Learning and Skills (2010) </w:t>
      </w:r>
      <w:r>
        <w:rPr>
          <w:rFonts w:ascii="Times New Roman" w:eastAsia="Times New Roman" w:hAnsi="Times New Roman" w:cs="Times New Roman"/>
          <w:i/>
          <w:sz w:val="24"/>
          <w:szCs w:val="24"/>
        </w:rPr>
        <w:t xml:space="preserve">How to develop thinking and assessment for learning in the classroom. </w:t>
      </w:r>
      <w:r>
        <w:rPr>
          <w:rFonts w:ascii="Times New Roman" w:eastAsia="Times New Roman" w:hAnsi="Times New Roman" w:cs="Times New Roman"/>
          <w:sz w:val="24"/>
          <w:szCs w:val="24"/>
        </w:rPr>
        <w:t xml:space="preserve">Cardiff: Welsh Assembly Government. </w:t>
      </w:r>
    </w:p>
    <w:p w:rsidR="005A61DB" w:rsidRDefault="005A61DB" w:rsidP="005A61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‘Developing a Growth </w:t>
      </w:r>
      <w:proofErr w:type="spellStart"/>
      <w:r>
        <w:rPr>
          <w:rFonts w:ascii="Times New Roman" w:eastAsia="Times New Roman" w:hAnsi="Times New Roman" w:cs="Times New Roman"/>
          <w:sz w:val="24"/>
          <w:szCs w:val="24"/>
        </w:rPr>
        <w:t>Mindset</w:t>
      </w:r>
      <w:proofErr w:type="spellEnd"/>
      <w:r>
        <w:rPr>
          <w:rFonts w:ascii="Times New Roman" w:eastAsia="Times New Roman" w:hAnsi="Times New Roman" w:cs="Times New Roman"/>
          <w:sz w:val="24"/>
          <w:szCs w:val="24"/>
        </w:rPr>
        <w:t xml:space="preserve"> with Carol </w:t>
      </w:r>
      <w:proofErr w:type="spellStart"/>
      <w:r>
        <w:rPr>
          <w:rFonts w:ascii="Times New Roman" w:eastAsia="Times New Roman" w:hAnsi="Times New Roman" w:cs="Times New Roman"/>
          <w:sz w:val="24"/>
          <w:szCs w:val="24"/>
        </w:rPr>
        <w:t>Dweck</w:t>
      </w:r>
      <w:proofErr w:type="spellEnd"/>
      <w:r>
        <w:rPr>
          <w:rFonts w:ascii="Times New Roman" w:eastAsia="Times New Roman" w:hAnsi="Times New Roman" w:cs="Times New Roman"/>
          <w:sz w:val="24"/>
          <w:szCs w:val="24"/>
        </w:rPr>
        <w:t xml:space="preserve">’ (2014) </w:t>
      </w:r>
      <w:proofErr w:type="spellStart"/>
      <w:r>
        <w:rPr>
          <w:rFonts w:ascii="Times New Roman" w:eastAsia="Times New Roman" w:hAnsi="Times New Roman" w:cs="Times New Roman"/>
          <w:i/>
          <w:sz w:val="24"/>
          <w:szCs w:val="24"/>
        </w:rPr>
        <w:t>Stanford+connects</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Available at: </w:t>
      </w:r>
      <w:hyperlink r:id="rId11">
        <w:r>
          <w:rPr>
            <w:rFonts w:ascii="Times New Roman" w:eastAsia="Times New Roman" w:hAnsi="Times New Roman" w:cs="Times New Roman"/>
            <w:color w:val="000000"/>
            <w:sz w:val="24"/>
            <w:szCs w:val="24"/>
            <w:u w:val="single"/>
          </w:rPr>
          <w:t>https://stanfordconnects.stanford.edu/watch/developing-growth-mindset/</w:t>
        </w:r>
      </w:hyperlink>
      <w:r>
        <w:rPr>
          <w:rFonts w:ascii="Times New Roman" w:eastAsia="Times New Roman" w:hAnsi="Times New Roman" w:cs="Times New Roman"/>
          <w:sz w:val="24"/>
          <w:szCs w:val="24"/>
        </w:rPr>
        <w:t xml:space="preserve">                               (Accessed: 1 December 2018)</w:t>
      </w:r>
    </w:p>
    <w:p w:rsidR="005A61DB" w:rsidRDefault="005A61DB" w:rsidP="005A61DB">
      <w:pPr>
        <w:spacing w:after="20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Donaldson, G. (2015). </w:t>
      </w:r>
      <w:r>
        <w:rPr>
          <w:rFonts w:ascii="Times New Roman" w:eastAsia="Times New Roman" w:hAnsi="Times New Roman" w:cs="Times New Roman"/>
          <w:i/>
          <w:sz w:val="24"/>
          <w:szCs w:val="24"/>
          <w:highlight w:val="white"/>
        </w:rPr>
        <w:t>Successful Futures</w:t>
      </w:r>
      <w:r>
        <w:rPr>
          <w:rFonts w:ascii="Times New Roman" w:eastAsia="Times New Roman" w:hAnsi="Times New Roman" w:cs="Times New Roman"/>
          <w:sz w:val="24"/>
          <w:szCs w:val="24"/>
          <w:highlight w:val="white"/>
        </w:rPr>
        <w:t xml:space="preserve">. Crown Copyright.  Available at: </w:t>
      </w:r>
      <w:hyperlink r:id="rId12">
        <w:r>
          <w:rPr>
            <w:rFonts w:ascii="Times New Roman" w:eastAsia="Times New Roman" w:hAnsi="Times New Roman" w:cs="Times New Roman"/>
            <w:color w:val="000000"/>
            <w:sz w:val="24"/>
            <w:szCs w:val="24"/>
            <w:highlight w:val="white"/>
            <w:u w:val="single"/>
          </w:rPr>
          <w:t>https://gov.wales/docs/dcells/publications/150225-successful-futures-en.pdf</w:t>
        </w:r>
      </w:hyperlink>
      <w:r>
        <w:rPr>
          <w:rFonts w:ascii="Times New Roman" w:eastAsia="Times New Roman" w:hAnsi="Times New Roman" w:cs="Times New Roman"/>
          <w:sz w:val="24"/>
          <w:szCs w:val="24"/>
          <w:highlight w:val="white"/>
        </w:rPr>
        <w:t xml:space="preserve"> (Accessed: 28 November 2018).</w:t>
      </w:r>
    </w:p>
    <w:p w:rsidR="005A61DB" w:rsidRDefault="005A61DB" w:rsidP="005A61DB">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Doudin</w:t>
      </w:r>
      <w:proofErr w:type="spellEnd"/>
      <w:r>
        <w:rPr>
          <w:rFonts w:ascii="Times New Roman" w:eastAsia="Times New Roman" w:hAnsi="Times New Roman" w:cs="Times New Roman"/>
          <w:sz w:val="24"/>
          <w:szCs w:val="24"/>
          <w:highlight w:val="white"/>
        </w:rPr>
        <w:t xml:space="preserve">, M. (2016) </w:t>
      </w:r>
      <w:proofErr w:type="gramStart"/>
      <w:r>
        <w:rPr>
          <w:rFonts w:ascii="Times New Roman" w:eastAsia="Times New Roman" w:hAnsi="Times New Roman" w:cs="Times New Roman"/>
          <w:i/>
          <w:sz w:val="24"/>
          <w:szCs w:val="24"/>
          <w:highlight w:val="white"/>
        </w:rPr>
        <w:t>The</w:t>
      </w:r>
      <w:proofErr w:type="gramEnd"/>
      <w:r>
        <w:rPr>
          <w:rFonts w:ascii="Times New Roman" w:eastAsia="Times New Roman" w:hAnsi="Times New Roman" w:cs="Times New Roman"/>
          <w:i/>
          <w:sz w:val="24"/>
          <w:szCs w:val="24"/>
          <w:highlight w:val="white"/>
        </w:rPr>
        <w:t xml:space="preserve"> Constructivist Theory of Learning. </w:t>
      </w:r>
      <w:proofErr w:type="spellStart"/>
      <w:r>
        <w:rPr>
          <w:rFonts w:ascii="Times New Roman" w:eastAsia="Times New Roman" w:hAnsi="Times New Roman" w:cs="Times New Roman"/>
          <w:sz w:val="24"/>
          <w:szCs w:val="24"/>
          <w:highlight w:val="white"/>
        </w:rPr>
        <w:t>Cyberjaya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 xml:space="preserve">Multimedia University (MMU) Faculty of Creative Multimedia. </w:t>
      </w:r>
    </w:p>
    <w:p w:rsidR="005A61DB" w:rsidRDefault="005A61DB" w:rsidP="005A61DB">
      <w:pPr>
        <w:spacing w:after="20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Gipps, C. (200) ‘Sociocultural Perspectives on assessment’, in Wells, G. and Claxton, G. (ed.) </w:t>
      </w:r>
      <w:proofErr w:type="gramStart"/>
      <w:r>
        <w:rPr>
          <w:rFonts w:ascii="Times New Roman" w:eastAsia="Times New Roman" w:hAnsi="Times New Roman" w:cs="Times New Roman"/>
          <w:i/>
          <w:sz w:val="24"/>
          <w:szCs w:val="24"/>
          <w:highlight w:val="white"/>
        </w:rPr>
        <w:t>Learning</w:t>
      </w:r>
      <w:proofErr w:type="gramEnd"/>
      <w:r>
        <w:rPr>
          <w:rFonts w:ascii="Times New Roman" w:eastAsia="Times New Roman" w:hAnsi="Times New Roman" w:cs="Times New Roman"/>
          <w:i/>
          <w:sz w:val="24"/>
          <w:szCs w:val="24"/>
          <w:highlight w:val="white"/>
        </w:rPr>
        <w:t xml:space="preserve"> for Life in the 21</w:t>
      </w:r>
      <w:r>
        <w:rPr>
          <w:rFonts w:ascii="Times New Roman" w:eastAsia="Times New Roman" w:hAnsi="Times New Roman" w:cs="Times New Roman"/>
          <w:i/>
          <w:sz w:val="24"/>
          <w:szCs w:val="24"/>
          <w:highlight w:val="white"/>
          <w:vertAlign w:val="superscript"/>
        </w:rPr>
        <w:t>st</w:t>
      </w:r>
      <w:r>
        <w:rPr>
          <w:rFonts w:ascii="Times New Roman" w:eastAsia="Times New Roman" w:hAnsi="Times New Roman" w:cs="Times New Roman"/>
          <w:i/>
          <w:sz w:val="24"/>
          <w:szCs w:val="24"/>
          <w:highlight w:val="white"/>
        </w:rPr>
        <w:t xml:space="preserve"> Century: Sociocultural Perspectives on the Future of Education. </w:t>
      </w:r>
      <w:r>
        <w:rPr>
          <w:rFonts w:ascii="Times New Roman" w:eastAsia="Times New Roman" w:hAnsi="Times New Roman" w:cs="Times New Roman"/>
          <w:sz w:val="24"/>
          <w:szCs w:val="24"/>
          <w:highlight w:val="white"/>
        </w:rPr>
        <w:t>Oxford:</w:t>
      </w:r>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 xml:space="preserve"> Blackwell Publishers LTD. </w:t>
      </w:r>
    </w:p>
    <w:p w:rsidR="005A61DB" w:rsidRDefault="005A61DB" w:rsidP="005A61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Hattie, J (2009) </w:t>
      </w:r>
      <w:r>
        <w:rPr>
          <w:rFonts w:ascii="Times New Roman" w:eastAsia="Times New Roman" w:hAnsi="Times New Roman" w:cs="Times New Roman"/>
          <w:i/>
          <w:sz w:val="24"/>
          <w:szCs w:val="24"/>
        </w:rPr>
        <w:t xml:space="preserve">Visible Learning. </w:t>
      </w:r>
      <w:r>
        <w:rPr>
          <w:rFonts w:ascii="Times New Roman" w:eastAsia="Times New Roman" w:hAnsi="Times New Roman" w:cs="Times New Roman"/>
          <w:sz w:val="24"/>
          <w:szCs w:val="24"/>
        </w:rPr>
        <w:t xml:space="preserve">London: Routledge. </w:t>
      </w:r>
    </w:p>
    <w:p w:rsidR="005A61DB" w:rsidRDefault="005A61DB" w:rsidP="005A61D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Marsh, C. (2007) ‘A critical analysis of the use of formative assessment in schools’ </w:t>
      </w:r>
      <w:r>
        <w:rPr>
          <w:rFonts w:ascii="Times New Roman" w:eastAsia="Times New Roman" w:hAnsi="Times New Roman" w:cs="Times New Roman"/>
          <w:i/>
          <w:sz w:val="24"/>
          <w:szCs w:val="24"/>
          <w:highlight w:val="white"/>
        </w:rPr>
        <w:t xml:space="preserve">Education Research for Policy and Practice, </w:t>
      </w:r>
      <w:r>
        <w:rPr>
          <w:rFonts w:ascii="Times New Roman" w:eastAsia="Times New Roman" w:hAnsi="Times New Roman" w:cs="Times New Roman"/>
          <w:sz w:val="24"/>
          <w:szCs w:val="24"/>
          <w:highlight w:val="white"/>
        </w:rPr>
        <w:t>6, pp.25-29.</w:t>
      </w:r>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DOI: 10.1007/s10671-007-9024-z</w:t>
      </w:r>
    </w:p>
    <w:p w:rsidR="005A61DB" w:rsidRDefault="005A61DB" w:rsidP="005A61DB">
      <w:pPr>
        <w:spacing w:after="200" w:line="360"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Mulitgrade</w:t>
      </w:r>
      <w:proofErr w:type="spellEnd"/>
      <w:r>
        <w:rPr>
          <w:rFonts w:ascii="Times New Roman" w:eastAsia="Times New Roman" w:hAnsi="Times New Roman" w:cs="Times New Roman"/>
          <w:sz w:val="24"/>
          <w:szCs w:val="24"/>
          <w:highlight w:val="white"/>
        </w:rPr>
        <w:t xml:space="preserve"> School Education (Muse) (2002-2004) </w:t>
      </w:r>
      <w:r>
        <w:rPr>
          <w:rFonts w:ascii="Times New Roman" w:eastAsia="Times New Roman" w:hAnsi="Times New Roman" w:cs="Times New Roman"/>
          <w:i/>
          <w:sz w:val="24"/>
          <w:szCs w:val="24"/>
          <w:highlight w:val="white"/>
        </w:rPr>
        <w:t xml:space="preserve">Mixed Ability Grouping- Training Module. </w:t>
      </w:r>
      <w:r>
        <w:rPr>
          <w:rFonts w:ascii="Times New Roman" w:eastAsia="Times New Roman" w:hAnsi="Times New Roman" w:cs="Times New Roman"/>
          <w:sz w:val="24"/>
          <w:szCs w:val="24"/>
          <w:highlight w:val="white"/>
        </w:rPr>
        <w:t xml:space="preserve">Available at: </w:t>
      </w:r>
      <w:hyperlink r:id="rId13">
        <w:r>
          <w:rPr>
            <w:rFonts w:ascii="Times New Roman" w:eastAsia="Times New Roman" w:hAnsi="Times New Roman" w:cs="Times New Roman"/>
            <w:color w:val="000000"/>
            <w:sz w:val="24"/>
            <w:szCs w:val="24"/>
            <w:highlight w:val="white"/>
            <w:u w:val="single"/>
          </w:rPr>
          <w:t>https://www.ea.gr/ep/muse/data/training.htm</w:t>
        </w:r>
      </w:hyperlink>
      <w:r>
        <w:rPr>
          <w:rFonts w:ascii="Times New Roman" w:eastAsia="Times New Roman" w:hAnsi="Times New Roman" w:cs="Times New Roman"/>
          <w:sz w:val="24"/>
          <w:szCs w:val="24"/>
          <w:highlight w:val="white"/>
        </w:rPr>
        <w:t xml:space="preserve"> (Accessed: 30 November 2018) </w:t>
      </w:r>
    </w:p>
    <w:p w:rsidR="005A61DB" w:rsidRDefault="005A61DB" w:rsidP="005A61DB">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rPr>
        <w:t>Ninomiya</w:t>
      </w:r>
      <w:proofErr w:type="spellEnd"/>
      <w:r>
        <w:rPr>
          <w:rFonts w:ascii="Times New Roman" w:eastAsia="Times New Roman" w:hAnsi="Times New Roman" w:cs="Times New Roman"/>
          <w:sz w:val="24"/>
          <w:szCs w:val="24"/>
        </w:rPr>
        <w:t>, S (2016)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Possibilities and Limitati</w:t>
      </w:r>
      <w:bookmarkStart w:id="1" w:name="_GoBack"/>
      <w:bookmarkEnd w:id="1"/>
      <w:r>
        <w:rPr>
          <w:rFonts w:ascii="Times New Roman" w:eastAsia="Times New Roman" w:hAnsi="Times New Roman" w:cs="Times New Roman"/>
          <w:sz w:val="24"/>
          <w:szCs w:val="24"/>
        </w:rPr>
        <w:t xml:space="preserve">ons of Assessment for Learning: Exploring the Theory of Formative Assessment and the Notion of “Closing the Learning Gap”’ </w:t>
      </w:r>
      <w:r>
        <w:rPr>
          <w:rFonts w:ascii="Times New Roman" w:eastAsia="Times New Roman" w:hAnsi="Times New Roman" w:cs="Times New Roman"/>
          <w:i/>
          <w:sz w:val="24"/>
          <w:szCs w:val="24"/>
        </w:rPr>
        <w:t xml:space="preserve">Educational Studies in Japan: International Yearbook, </w:t>
      </w:r>
      <w:r>
        <w:rPr>
          <w:rFonts w:ascii="Times New Roman" w:eastAsia="Times New Roman" w:hAnsi="Times New Roman" w:cs="Times New Roman"/>
          <w:sz w:val="24"/>
          <w:szCs w:val="24"/>
        </w:rPr>
        <w:t xml:space="preserve">10, pp. 79-91. Available at:  </w:t>
      </w:r>
      <w:hyperlink r:id="rId14">
        <w:r>
          <w:rPr>
            <w:rFonts w:ascii="Times New Roman" w:eastAsia="Times New Roman" w:hAnsi="Times New Roman" w:cs="Times New Roman"/>
            <w:color w:val="000000"/>
            <w:sz w:val="24"/>
            <w:szCs w:val="24"/>
            <w:u w:val="single"/>
          </w:rPr>
          <w:t>https://files.eric.ed.gov/fulltext/EJ1130292.pdf</w:t>
        </w:r>
      </w:hyperlink>
      <w:r>
        <w:rPr>
          <w:rFonts w:ascii="Times New Roman" w:eastAsia="Times New Roman" w:hAnsi="Times New Roman" w:cs="Times New Roman"/>
          <w:sz w:val="24"/>
          <w:szCs w:val="24"/>
        </w:rPr>
        <w:t xml:space="preserve">. (Accessed: 13 November 2018). </w:t>
      </w:r>
    </w:p>
    <w:p w:rsidR="005A61DB" w:rsidRDefault="005A61DB" w:rsidP="005A61D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Sadler, D. (1989) ‘Formative Assessment and the Design of Instructional Systems’. </w:t>
      </w:r>
      <w:r>
        <w:rPr>
          <w:rFonts w:ascii="Times New Roman" w:eastAsia="Times New Roman" w:hAnsi="Times New Roman" w:cs="Times New Roman"/>
          <w:i/>
          <w:sz w:val="24"/>
          <w:szCs w:val="24"/>
          <w:highlight w:val="white"/>
        </w:rPr>
        <w:t>Instructional Science</w:t>
      </w:r>
      <w:r>
        <w:rPr>
          <w:rFonts w:ascii="Times New Roman" w:eastAsia="Times New Roman" w:hAnsi="Times New Roman" w:cs="Times New Roman"/>
          <w:sz w:val="24"/>
          <w:szCs w:val="24"/>
          <w:highlight w:val="white"/>
        </w:rPr>
        <w:t>, 18, pp. 119-144.</w:t>
      </w:r>
      <w:r>
        <w:rPr>
          <w:rFonts w:ascii="Times New Roman" w:eastAsia="Times New Roman" w:hAnsi="Times New Roman" w:cs="Times New Roman"/>
          <w:color w:val="000000"/>
          <w:sz w:val="24"/>
          <w:szCs w:val="24"/>
          <w:highlight w:val="white"/>
          <w:u w:val="single"/>
        </w:rPr>
        <w:t xml:space="preserve"> </w:t>
      </w:r>
      <w:r>
        <w:rPr>
          <w:rFonts w:ascii="Times New Roman" w:eastAsia="Times New Roman" w:hAnsi="Times New Roman" w:cs="Times New Roman"/>
          <w:sz w:val="24"/>
          <w:szCs w:val="24"/>
          <w:highlight w:val="white"/>
        </w:rPr>
        <w:t xml:space="preserve"> </w:t>
      </w:r>
    </w:p>
    <w:p w:rsidR="005A61DB" w:rsidRDefault="005A61DB" w:rsidP="005A61D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Swaffield</w:t>
      </w:r>
      <w:proofErr w:type="spellEnd"/>
      <w:r>
        <w:rPr>
          <w:rFonts w:ascii="Times New Roman" w:eastAsia="Times New Roman" w:hAnsi="Times New Roman" w:cs="Times New Roman"/>
          <w:sz w:val="24"/>
          <w:szCs w:val="24"/>
        </w:rPr>
        <w:t xml:space="preserve">, S (2008) </w:t>
      </w:r>
      <w:r>
        <w:rPr>
          <w:rFonts w:ascii="Times New Roman" w:eastAsia="Times New Roman" w:hAnsi="Times New Roman" w:cs="Times New Roman"/>
          <w:i/>
          <w:sz w:val="24"/>
          <w:szCs w:val="24"/>
        </w:rPr>
        <w:t xml:space="preserve">Unlocking Assessment. </w:t>
      </w:r>
      <w:r>
        <w:rPr>
          <w:rFonts w:ascii="Times New Roman" w:eastAsia="Times New Roman" w:hAnsi="Times New Roman" w:cs="Times New Roman"/>
          <w:sz w:val="24"/>
          <w:szCs w:val="24"/>
        </w:rPr>
        <w:t xml:space="preserve">Abingdon: Routledge. </w:t>
      </w:r>
    </w:p>
    <w:p w:rsidR="005A61DB" w:rsidRDefault="005A61DB" w:rsidP="005A61D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Task Group on Assessment and Testing (1987). </w:t>
      </w:r>
      <w:r>
        <w:rPr>
          <w:rFonts w:ascii="Times New Roman" w:eastAsia="Times New Roman" w:hAnsi="Times New Roman" w:cs="Times New Roman"/>
          <w:i/>
          <w:sz w:val="24"/>
          <w:szCs w:val="24"/>
          <w:highlight w:val="white"/>
        </w:rPr>
        <w:t>Report of the Task Group on Assessment and Testing</w:t>
      </w:r>
      <w:r>
        <w:rPr>
          <w:rFonts w:ascii="Times New Roman" w:eastAsia="Times New Roman" w:hAnsi="Times New Roman" w:cs="Times New Roman"/>
          <w:sz w:val="24"/>
          <w:szCs w:val="24"/>
          <w:highlight w:val="white"/>
        </w:rPr>
        <w:t>. Available at: http://www.educationengland.org.uk/documents/pdfs/1988-TGAT-report.pdf (Accessed: 12 November 2018).</w:t>
      </w:r>
    </w:p>
    <w:p w:rsidR="00744B2A" w:rsidRPr="005A61DB" w:rsidRDefault="005A61DB" w:rsidP="005A61DB">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Weibell</w:t>
      </w:r>
      <w:proofErr w:type="spellEnd"/>
      <w:r>
        <w:rPr>
          <w:rFonts w:ascii="Times New Roman" w:eastAsia="Times New Roman" w:hAnsi="Times New Roman" w:cs="Times New Roman"/>
          <w:sz w:val="24"/>
          <w:szCs w:val="24"/>
          <w:highlight w:val="white"/>
        </w:rPr>
        <w:t>, C. J. (2011). </w:t>
      </w:r>
      <w:r>
        <w:rPr>
          <w:rFonts w:ascii="Times New Roman" w:eastAsia="Times New Roman" w:hAnsi="Times New Roman" w:cs="Times New Roman"/>
          <w:i/>
          <w:sz w:val="24"/>
          <w:szCs w:val="24"/>
          <w:highlight w:val="white"/>
        </w:rPr>
        <w:t>Principles of learning: 7 principles to guide personalized, student-</w:t>
      </w:r>
      <w:proofErr w:type="spellStart"/>
      <w:r>
        <w:rPr>
          <w:rFonts w:ascii="Times New Roman" w:eastAsia="Times New Roman" w:hAnsi="Times New Roman" w:cs="Times New Roman"/>
          <w:i/>
          <w:sz w:val="24"/>
          <w:szCs w:val="24"/>
          <w:highlight w:val="white"/>
        </w:rPr>
        <w:t>centered</w:t>
      </w:r>
      <w:proofErr w:type="spellEnd"/>
      <w:r>
        <w:rPr>
          <w:rFonts w:ascii="Times New Roman" w:eastAsia="Times New Roman" w:hAnsi="Times New Roman" w:cs="Times New Roman"/>
          <w:i/>
          <w:sz w:val="24"/>
          <w:szCs w:val="24"/>
          <w:highlight w:val="white"/>
        </w:rPr>
        <w:t xml:space="preserve"> learning in the technology-enhanced, blended learning environment.</w:t>
      </w:r>
      <w:r>
        <w:rPr>
          <w:rFonts w:ascii="Times New Roman" w:eastAsia="Times New Roman" w:hAnsi="Times New Roman" w:cs="Times New Roman"/>
          <w:sz w:val="24"/>
          <w:szCs w:val="24"/>
          <w:highlight w:val="white"/>
        </w:rPr>
        <w:t xml:space="preserve"> Available at: </w:t>
      </w:r>
      <w:hyperlink r:id="rId15">
        <w:r>
          <w:rPr>
            <w:rFonts w:ascii="Times New Roman" w:eastAsia="Times New Roman" w:hAnsi="Times New Roman" w:cs="Times New Roman"/>
            <w:color w:val="000000"/>
            <w:sz w:val="24"/>
            <w:szCs w:val="24"/>
            <w:highlight w:val="white"/>
          </w:rPr>
          <w:t>https://principlesoflearning.wordpress.com</w:t>
        </w:r>
      </w:hyperlink>
      <w:r>
        <w:rPr>
          <w:rFonts w:ascii="Times New Roman" w:eastAsia="Times New Roman" w:hAnsi="Times New Roman" w:cs="Times New Roman"/>
          <w:sz w:val="24"/>
          <w:szCs w:val="24"/>
          <w:highlight w:val="white"/>
        </w:rPr>
        <w:t xml:space="preserve"> (Accessed: 1 December 2018).</w:t>
      </w:r>
    </w:p>
    <w:sectPr w:rsidR="00744B2A" w:rsidRPr="005A61DB">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DCA" w:rsidRDefault="00B35DCA" w:rsidP="00E477F9">
      <w:pPr>
        <w:spacing w:after="0" w:line="240" w:lineRule="auto"/>
      </w:pPr>
      <w:r>
        <w:separator/>
      </w:r>
    </w:p>
  </w:endnote>
  <w:endnote w:type="continuationSeparator" w:id="0">
    <w:p w:rsidR="00B35DCA" w:rsidRDefault="00B35DCA" w:rsidP="00E47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8128078"/>
      <w:docPartObj>
        <w:docPartGallery w:val="Page Numbers (Bottom of Page)"/>
        <w:docPartUnique/>
      </w:docPartObj>
    </w:sdtPr>
    <w:sdtEndPr>
      <w:rPr>
        <w:noProof/>
      </w:rPr>
    </w:sdtEndPr>
    <w:sdtContent>
      <w:p w:rsidR="00E477F9" w:rsidRDefault="00E477F9">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E477F9" w:rsidRDefault="00E47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DCA" w:rsidRDefault="00B35DCA" w:rsidP="00E477F9">
      <w:pPr>
        <w:spacing w:after="0" w:line="240" w:lineRule="auto"/>
      </w:pPr>
      <w:r>
        <w:separator/>
      </w:r>
    </w:p>
  </w:footnote>
  <w:footnote w:type="continuationSeparator" w:id="0">
    <w:p w:rsidR="00B35DCA" w:rsidRDefault="00B35DCA" w:rsidP="00E477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7F9" w:rsidRDefault="00E477F9">
    <w:pPr>
      <w:pStyle w:val="Header"/>
    </w:pPr>
    <w:r>
      <w:t>1708140</w:t>
    </w:r>
  </w:p>
  <w:p w:rsidR="00E477F9" w:rsidRDefault="00E477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4D7"/>
    <w:rsid w:val="00221329"/>
    <w:rsid w:val="005A61DB"/>
    <w:rsid w:val="00744B2A"/>
    <w:rsid w:val="009064D7"/>
    <w:rsid w:val="00B35DCA"/>
    <w:rsid w:val="00E47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83E35C-059E-48AB-8D9D-CE3BB8ABA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7F9"/>
  </w:style>
  <w:style w:type="paragraph" w:styleId="Footer">
    <w:name w:val="footer"/>
    <w:basedOn w:val="Normal"/>
    <w:link w:val="FooterChar"/>
    <w:uiPriority w:val="99"/>
    <w:unhideWhenUsed/>
    <w:rsid w:val="00E47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aia.org.uk/content/uploads/2010/06/Assessment-for-Learning-10-principles.pdf" TargetMode="External"/><Relationship Id="rId13" Type="http://schemas.openxmlformats.org/officeDocument/2006/relationships/hyperlink" Target="https://www.ea.gr/ep/muse/data/training.htm"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gov.wales/docs/dcells/publications/150225-successful-futures-en.pdf"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stanfordconnects.stanford.edu/watch/developing-growth-mindset/" TargetMode="External"/><Relationship Id="rId5" Type="http://schemas.openxmlformats.org/officeDocument/2006/relationships/endnotes" Target="endnotes.xml"/><Relationship Id="rId15" Type="http://schemas.openxmlformats.org/officeDocument/2006/relationships/hyperlink" Target="https://principlesoflearning.wordpress.com" TargetMode="External"/><Relationship Id="rId10" Type="http://schemas.openxmlformats.org/officeDocument/2006/relationships/hyperlink" Target="https://tc2.ca/uploads/PDFs/Critical%20Discussions/unfortunate_consequences_blooms_taxonomy.pdf" TargetMode="External"/><Relationship Id="rId19"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hyperlink" Target="http://scholarworks.gvsu.edu/theses/285" TargetMode="External"/><Relationship Id="rId14" Type="http://schemas.openxmlformats.org/officeDocument/2006/relationships/hyperlink" Target="https://files.eric.ed.gov/fulltext/EJ1130292.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40A"/>
    <w:rsid w:val="009D7DC9"/>
    <w:rsid w:val="00B74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B59FA8C7E5416CA98EDAFE52404DED">
    <w:name w:val="0AB59FA8C7E5416CA98EDAFE52404DED"/>
    <w:rsid w:val="00B744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2541</Words>
  <Characters>14485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Player 1</dc:creator>
  <cp:keywords/>
  <dc:description/>
  <cp:lastModifiedBy>Player 1</cp:lastModifiedBy>
  <cp:revision>2</cp:revision>
  <dcterms:created xsi:type="dcterms:W3CDTF">2018-12-14T17:37:00Z</dcterms:created>
  <dcterms:modified xsi:type="dcterms:W3CDTF">2018-12-14T18:14:00Z</dcterms:modified>
</cp:coreProperties>
</file>