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81D4D" w14:textId="77777777" w:rsidR="00140C5F" w:rsidRDefault="00140C5F" w:rsidP="00140C5F">
      <w:pPr>
        <w:spacing w:line="360" w:lineRule="auto"/>
        <w:jc w:val="center"/>
        <w:rPr>
          <w:rFonts w:ascii="Arial" w:hAnsi="Arial" w:cs="Arial"/>
          <w:b/>
          <w:bCs/>
          <w:sz w:val="40"/>
          <w:szCs w:val="40"/>
        </w:rPr>
      </w:pPr>
    </w:p>
    <w:p w14:paraId="091368EA" w14:textId="2D8667A3" w:rsidR="00140C5F" w:rsidRPr="00140C5F" w:rsidRDefault="00140C5F" w:rsidP="00140C5F">
      <w:pPr>
        <w:spacing w:line="360" w:lineRule="auto"/>
        <w:jc w:val="center"/>
        <w:rPr>
          <w:rFonts w:ascii="Arial" w:hAnsi="Arial" w:cs="Arial"/>
          <w:b/>
          <w:bCs/>
          <w:sz w:val="40"/>
          <w:szCs w:val="40"/>
        </w:rPr>
      </w:pPr>
    </w:p>
    <w:p w14:paraId="4A21978A" w14:textId="77777777" w:rsidR="00140C5F" w:rsidRPr="00140C5F" w:rsidRDefault="00140C5F" w:rsidP="00140C5F">
      <w:pPr>
        <w:spacing w:line="360" w:lineRule="auto"/>
        <w:jc w:val="center"/>
        <w:rPr>
          <w:rFonts w:ascii="Arial" w:hAnsi="Arial" w:cs="Arial"/>
          <w:b/>
          <w:bCs/>
          <w:sz w:val="40"/>
          <w:szCs w:val="40"/>
        </w:rPr>
      </w:pPr>
    </w:p>
    <w:p w14:paraId="24B8DA1C" w14:textId="77777777" w:rsidR="00140C5F" w:rsidRPr="00140C5F" w:rsidRDefault="00140C5F" w:rsidP="00140C5F">
      <w:pPr>
        <w:spacing w:line="360" w:lineRule="auto"/>
        <w:jc w:val="center"/>
        <w:rPr>
          <w:rFonts w:ascii="Arial" w:hAnsi="Arial" w:cs="Arial"/>
          <w:b/>
          <w:bCs/>
          <w:sz w:val="40"/>
          <w:szCs w:val="40"/>
        </w:rPr>
      </w:pPr>
    </w:p>
    <w:p w14:paraId="6A16620A" w14:textId="77777777" w:rsidR="00140C5F" w:rsidRPr="00140C5F" w:rsidRDefault="00140C5F" w:rsidP="00140C5F">
      <w:pPr>
        <w:spacing w:line="360" w:lineRule="auto"/>
        <w:jc w:val="center"/>
        <w:rPr>
          <w:rFonts w:ascii="Arial" w:hAnsi="Arial" w:cs="Arial"/>
          <w:b/>
          <w:bCs/>
          <w:sz w:val="40"/>
          <w:szCs w:val="40"/>
        </w:rPr>
      </w:pPr>
    </w:p>
    <w:p w14:paraId="0255652A" w14:textId="77777777" w:rsidR="00140C5F" w:rsidRPr="00140C5F" w:rsidRDefault="00140C5F" w:rsidP="00140C5F">
      <w:pPr>
        <w:spacing w:line="360" w:lineRule="auto"/>
        <w:jc w:val="center"/>
        <w:rPr>
          <w:rFonts w:ascii="Arial" w:hAnsi="Arial" w:cs="Arial"/>
          <w:b/>
          <w:bCs/>
          <w:sz w:val="40"/>
          <w:szCs w:val="40"/>
        </w:rPr>
      </w:pPr>
    </w:p>
    <w:p w14:paraId="7F46869F" w14:textId="77777777" w:rsidR="00140C5F" w:rsidRPr="00140C5F" w:rsidRDefault="00140C5F" w:rsidP="00140C5F">
      <w:pPr>
        <w:spacing w:line="360" w:lineRule="auto"/>
        <w:jc w:val="center"/>
        <w:rPr>
          <w:rFonts w:ascii="Arial" w:hAnsi="Arial" w:cs="Arial"/>
          <w:b/>
          <w:bCs/>
          <w:sz w:val="40"/>
          <w:szCs w:val="40"/>
        </w:rPr>
      </w:pPr>
    </w:p>
    <w:p w14:paraId="682912CA" w14:textId="77777777" w:rsidR="00140C5F" w:rsidRPr="00140C5F" w:rsidRDefault="00140C5F" w:rsidP="00140C5F">
      <w:pPr>
        <w:spacing w:line="360" w:lineRule="auto"/>
        <w:jc w:val="center"/>
        <w:rPr>
          <w:rFonts w:ascii="Arial" w:hAnsi="Arial" w:cs="Arial"/>
          <w:b/>
          <w:bCs/>
          <w:sz w:val="40"/>
          <w:szCs w:val="40"/>
        </w:rPr>
      </w:pPr>
    </w:p>
    <w:p w14:paraId="6AABCCD0" w14:textId="77777777" w:rsidR="00140C5F" w:rsidRPr="00140C5F" w:rsidRDefault="00140C5F" w:rsidP="00140C5F">
      <w:pPr>
        <w:spacing w:line="360" w:lineRule="auto"/>
        <w:jc w:val="center"/>
        <w:rPr>
          <w:rFonts w:ascii="Arial" w:hAnsi="Arial" w:cs="Arial"/>
          <w:b/>
          <w:bCs/>
          <w:sz w:val="40"/>
          <w:szCs w:val="40"/>
        </w:rPr>
      </w:pPr>
    </w:p>
    <w:p w14:paraId="528FE1F4" w14:textId="77777777" w:rsidR="00140C5F" w:rsidRPr="00140C5F" w:rsidRDefault="00140C5F" w:rsidP="00140C5F">
      <w:pPr>
        <w:spacing w:line="360" w:lineRule="auto"/>
        <w:jc w:val="center"/>
        <w:rPr>
          <w:rFonts w:ascii="Arial" w:hAnsi="Arial" w:cs="Arial"/>
          <w:b/>
          <w:bCs/>
          <w:sz w:val="40"/>
          <w:szCs w:val="40"/>
        </w:rPr>
      </w:pPr>
    </w:p>
    <w:p w14:paraId="6540CBA3" w14:textId="091F70A3" w:rsidR="00140C5F" w:rsidRPr="00140C5F" w:rsidRDefault="00140C5F" w:rsidP="00140C5F">
      <w:pPr>
        <w:spacing w:line="360" w:lineRule="auto"/>
        <w:jc w:val="center"/>
        <w:rPr>
          <w:rFonts w:ascii="Arial" w:hAnsi="Arial" w:cs="Arial"/>
          <w:b/>
          <w:bCs/>
          <w:sz w:val="40"/>
          <w:szCs w:val="40"/>
        </w:rPr>
      </w:pPr>
      <w:r w:rsidRPr="00140C5F">
        <w:rPr>
          <w:rFonts w:ascii="Arial" w:hAnsi="Arial" w:cs="Arial"/>
          <w:b/>
          <w:bCs/>
          <w:sz w:val="40"/>
          <w:szCs w:val="40"/>
        </w:rPr>
        <w:t>Student Name:</w:t>
      </w:r>
      <w:r w:rsidR="00993DF4">
        <w:rPr>
          <w:rFonts w:ascii="Arial" w:hAnsi="Arial" w:cs="Arial"/>
          <w:b/>
          <w:bCs/>
          <w:sz w:val="40"/>
          <w:szCs w:val="40"/>
        </w:rPr>
        <w:t xml:space="preserve"> Iuliana Adriana Hurmuzache</w:t>
      </w:r>
    </w:p>
    <w:p w14:paraId="1D5858B2" w14:textId="37E3C604" w:rsidR="00140C5F" w:rsidRDefault="00140C5F" w:rsidP="00140C5F">
      <w:pPr>
        <w:spacing w:line="360" w:lineRule="auto"/>
        <w:jc w:val="center"/>
        <w:rPr>
          <w:rFonts w:ascii="Arial" w:hAnsi="Arial" w:cs="Arial"/>
          <w:b/>
          <w:bCs/>
          <w:sz w:val="40"/>
          <w:szCs w:val="40"/>
        </w:rPr>
      </w:pPr>
      <w:r w:rsidRPr="00140C5F">
        <w:rPr>
          <w:rFonts w:ascii="Arial" w:hAnsi="Arial" w:cs="Arial"/>
          <w:b/>
          <w:bCs/>
          <w:sz w:val="40"/>
          <w:szCs w:val="40"/>
        </w:rPr>
        <w:t>Student Id:</w:t>
      </w:r>
      <w:r w:rsidR="00993DF4">
        <w:rPr>
          <w:rFonts w:ascii="Arial" w:hAnsi="Arial" w:cs="Arial"/>
          <w:b/>
          <w:bCs/>
          <w:sz w:val="40"/>
          <w:szCs w:val="40"/>
        </w:rPr>
        <w:t xml:space="preserve"> 2129809 </w:t>
      </w:r>
    </w:p>
    <w:p w14:paraId="33EBC217" w14:textId="35E614B3" w:rsidR="00993DF4" w:rsidRDefault="00993DF4" w:rsidP="00140C5F">
      <w:pPr>
        <w:spacing w:line="360" w:lineRule="auto"/>
        <w:jc w:val="center"/>
        <w:rPr>
          <w:rFonts w:ascii="Arial" w:hAnsi="Arial" w:cs="Arial"/>
          <w:b/>
          <w:bCs/>
          <w:sz w:val="40"/>
          <w:szCs w:val="40"/>
        </w:rPr>
      </w:pPr>
      <w:r>
        <w:rPr>
          <w:rFonts w:ascii="Arial" w:hAnsi="Arial" w:cs="Arial"/>
          <w:b/>
          <w:bCs/>
          <w:sz w:val="40"/>
          <w:szCs w:val="40"/>
        </w:rPr>
        <w:t xml:space="preserve">Financial Management for the Hotel Industry </w:t>
      </w:r>
      <w:proofErr w:type="gramStart"/>
      <w:r>
        <w:rPr>
          <w:rFonts w:ascii="Arial" w:hAnsi="Arial" w:cs="Arial"/>
          <w:b/>
          <w:bCs/>
          <w:sz w:val="40"/>
          <w:szCs w:val="40"/>
        </w:rPr>
        <w:t>( BMIH</w:t>
      </w:r>
      <w:proofErr w:type="gramEnd"/>
      <w:r>
        <w:rPr>
          <w:rFonts w:ascii="Arial" w:hAnsi="Arial" w:cs="Arial"/>
          <w:b/>
          <w:bCs/>
          <w:sz w:val="40"/>
          <w:szCs w:val="40"/>
        </w:rPr>
        <w:t>5007,BMIH5002)</w:t>
      </w:r>
    </w:p>
    <w:p w14:paraId="25C43AE8" w14:textId="0A1824BB" w:rsidR="00993DF4" w:rsidRDefault="00993DF4" w:rsidP="00140C5F">
      <w:pPr>
        <w:spacing w:line="360" w:lineRule="auto"/>
        <w:jc w:val="center"/>
        <w:rPr>
          <w:rFonts w:ascii="Arial" w:hAnsi="Arial" w:cs="Arial"/>
          <w:b/>
          <w:bCs/>
          <w:sz w:val="40"/>
          <w:szCs w:val="40"/>
        </w:rPr>
      </w:pPr>
      <w:r>
        <w:rPr>
          <w:rFonts w:ascii="Arial" w:hAnsi="Arial" w:cs="Arial"/>
          <w:b/>
          <w:bCs/>
          <w:sz w:val="40"/>
          <w:szCs w:val="40"/>
        </w:rPr>
        <w:t>Title: Report Case Study</w:t>
      </w:r>
      <w:r w:rsidR="00CA069D">
        <w:rPr>
          <w:rFonts w:ascii="Arial" w:hAnsi="Arial" w:cs="Arial"/>
          <w:b/>
          <w:bCs/>
          <w:sz w:val="40"/>
          <w:szCs w:val="40"/>
        </w:rPr>
        <w:t xml:space="preserve"> on </w:t>
      </w:r>
      <w:r w:rsidR="0047485A">
        <w:rPr>
          <w:rFonts w:ascii="Arial" w:hAnsi="Arial" w:cs="Arial"/>
          <w:b/>
          <w:bCs/>
          <w:sz w:val="40"/>
          <w:szCs w:val="40"/>
        </w:rPr>
        <w:t>‘’The Seaview Resort’’</w:t>
      </w:r>
    </w:p>
    <w:p w14:paraId="75FF4C86" w14:textId="4B6C7A85" w:rsidR="00993DF4" w:rsidRDefault="00993DF4" w:rsidP="00140C5F">
      <w:pPr>
        <w:spacing w:line="360" w:lineRule="auto"/>
        <w:jc w:val="center"/>
        <w:rPr>
          <w:rFonts w:ascii="Arial" w:hAnsi="Arial" w:cs="Arial"/>
          <w:b/>
          <w:bCs/>
          <w:sz w:val="40"/>
          <w:szCs w:val="40"/>
        </w:rPr>
      </w:pPr>
      <w:r>
        <w:rPr>
          <w:rFonts w:ascii="Arial" w:hAnsi="Arial" w:cs="Arial"/>
          <w:b/>
          <w:bCs/>
          <w:sz w:val="40"/>
          <w:szCs w:val="40"/>
        </w:rPr>
        <w:t xml:space="preserve">Lecturer: Tristan Hawkins </w:t>
      </w:r>
    </w:p>
    <w:p w14:paraId="2A0FA97E" w14:textId="77777777" w:rsidR="00993DF4" w:rsidRPr="00140C5F" w:rsidRDefault="00993DF4" w:rsidP="00140C5F">
      <w:pPr>
        <w:spacing w:line="360" w:lineRule="auto"/>
        <w:jc w:val="center"/>
        <w:rPr>
          <w:rFonts w:ascii="Arial" w:hAnsi="Arial" w:cs="Arial"/>
          <w:b/>
          <w:bCs/>
          <w:sz w:val="40"/>
          <w:szCs w:val="40"/>
        </w:rPr>
      </w:pPr>
    </w:p>
    <w:p w14:paraId="3F258A06" w14:textId="77777777" w:rsidR="00140C5F" w:rsidRPr="00140C5F" w:rsidRDefault="00140C5F" w:rsidP="00140C5F">
      <w:pPr>
        <w:spacing w:line="360" w:lineRule="auto"/>
        <w:jc w:val="center"/>
        <w:rPr>
          <w:rFonts w:ascii="Arial" w:hAnsi="Arial" w:cs="Arial"/>
          <w:b/>
          <w:bCs/>
          <w:sz w:val="40"/>
          <w:szCs w:val="40"/>
        </w:rPr>
      </w:pPr>
    </w:p>
    <w:p w14:paraId="37EB0DE4" w14:textId="77777777" w:rsidR="00140C5F" w:rsidRDefault="00140C5F" w:rsidP="00656966">
      <w:pPr>
        <w:spacing w:line="360" w:lineRule="auto"/>
        <w:rPr>
          <w:rFonts w:ascii="Arial" w:hAnsi="Arial" w:cs="Arial"/>
          <w:b/>
          <w:bCs/>
          <w:sz w:val="24"/>
          <w:szCs w:val="24"/>
        </w:rPr>
      </w:pPr>
    </w:p>
    <w:p w14:paraId="167537C4" w14:textId="77777777" w:rsidR="00140C5F" w:rsidRDefault="00140C5F" w:rsidP="00656966">
      <w:pPr>
        <w:spacing w:line="360" w:lineRule="auto"/>
        <w:rPr>
          <w:rFonts w:ascii="Arial" w:hAnsi="Arial" w:cs="Arial"/>
          <w:b/>
          <w:bCs/>
          <w:sz w:val="24"/>
          <w:szCs w:val="24"/>
        </w:rPr>
      </w:pPr>
    </w:p>
    <w:sdt>
      <w:sdtPr>
        <w:rPr>
          <w:rFonts w:asciiTheme="minorHAnsi" w:eastAsiaTheme="minorHAnsi" w:hAnsiTheme="minorHAnsi" w:cstheme="minorBidi"/>
          <w:color w:val="auto"/>
          <w:kern w:val="2"/>
          <w:sz w:val="22"/>
          <w:szCs w:val="22"/>
        </w:rPr>
        <w:id w:val="-203015901"/>
        <w:docPartObj>
          <w:docPartGallery w:val="Table of Contents"/>
          <w:docPartUnique/>
        </w:docPartObj>
      </w:sdtPr>
      <w:sdtEndPr>
        <w:rPr>
          <w:b/>
          <w:bCs/>
          <w:noProof/>
        </w:rPr>
      </w:sdtEndPr>
      <w:sdtContent>
        <w:p w14:paraId="360A73F8" w14:textId="75BD4B05" w:rsidR="00BD6D5D" w:rsidRDefault="00BD6D5D" w:rsidP="00921FCA">
          <w:pPr>
            <w:pStyle w:val="TOCHeading"/>
            <w:jc w:val="center"/>
          </w:pPr>
          <w:r>
            <w:t>Contents</w:t>
          </w:r>
        </w:p>
        <w:p w14:paraId="4692560C" w14:textId="4219EF98" w:rsidR="00BD6D5D" w:rsidRPr="00BD6D5D" w:rsidRDefault="00BD6D5D">
          <w:pPr>
            <w:pStyle w:val="TOC1"/>
            <w:tabs>
              <w:tab w:val="right" w:leader="dot" w:pos="9350"/>
            </w:tabs>
            <w:rPr>
              <w:rFonts w:ascii="Arial" w:hAnsi="Arial" w:cs="Arial"/>
              <w:noProof/>
              <w:sz w:val="24"/>
              <w:szCs w:val="24"/>
            </w:rPr>
          </w:pPr>
          <w:r>
            <w:fldChar w:fldCharType="begin"/>
          </w:r>
          <w:r>
            <w:instrText xml:space="preserve"> TOC \o "1-3" \h \z \u </w:instrText>
          </w:r>
          <w:r>
            <w:fldChar w:fldCharType="separate"/>
          </w:r>
          <w:hyperlink w:anchor="_Toc151413649" w:history="1">
            <w:r w:rsidRPr="00BD6D5D">
              <w:rPr>
                <w:rStyle w:val="Hyperlink"/>
                <w:rFonts w:ascii="Arial" w:hAnsi="Arial" w:cs="Arial"/>
                <w:noProof/>
                <w:sz w:val="24"/>
                <w:szCs w:val="24"/>
              </w:rPr>
              <w:t>Introduction:</w:t>
            </w:r>
            <w:r w:rsidRPr="00BD6D5D">
              <w:rPr>
                <w:rFonts w:ascii="Arial" w:hAnsi="Arial" w:cs="Arial"/>
                <w:noProof/>
                <w:webHidden/>
                <w:sz w:val="24"/>
                <w:szCs w:val="24"/>
              </w:rPr>
              <w:tab/>
            </w:r>
            <w:r w:rsidRPr="00BD6D5D">
              <w:rPr>
                <w:rFonts w:ascii="Arial" w:hAnsi="Arial" w:cs="Arial"/>
                <w:noProof/>
                <w:webHidden/>
                <w:sz w:val="24"/>
                <w:szCs w:val="24"/>
              </w:rPr>
              <w:fldChar w:fldCharType="begin"/>
            </w:r>
            <w:r w:rsidRPr="00BD6D5D">
              <w:rPr>
                <w:rFonts w:ascii="Arial" w:hAnsi="Arial" w:cs="Arial"/>
                <w:noProof/>
                <w:webHidden/>
                <w:sz w:val="24"/>
                <w:szCs w:val="24"/>
              </w:rPr>
              <w:instrText xml:space="preserve"> PAGEREF _Toc151413649 \h </w:instrText>
            </w:r>
            <w:r w:rsidRPr="00BD6D5D">
              <w:rPr>
                <w:rFonts w:ascii="Arial" w:hAnsi="Arial" w:cs="Arial"/>
                <w:noProof/>
                <w:webHidden/>
                <w:sz w:val="24"/>
                <w:szCs w:val="24"/>
              </w:rPr>
            </w:r>
            <w:r w:rsidRPr="00BD6D5D">
              <w:rPr>
                <w:rFonts w:ascii="Arial" w:hAnsi="Arial" w:cs="Arial"/>
                <w:noProof/>
                <w:webHidden/>
                <w:sz w:val="24"/>
                <w:szCs w:val="24"/>
              </w:rPr>
              <w:fldChar w:fldCharType="separate"/>
            </w:r>
            <w:r w:rsidRPr="00BD6D5D">
              <w:rPr>
                <w:rFonts w:ascii="Arial" w:hAnsi="Arial" w:cs="Arial"/>
                <w:noProof/>
                <w:webHidden/>
                <w:sz w:val="24"/>
                <w:szCs w:val="24"/>
              </w:rPr>
              <w:t>3</w:t>
            </w:r>
            <w:r w:rsidRPr="00BD6D5D">
              <w:rPr>
                <w:rFonts w:ascii="Arial" w:hAnsi="Arial" w:cs="Arial"/>
                <w:noProof/>
                <w:webHidden/>
                <w:sz w:val="24"/>
                <w:szCs w:val="24"/>
              </w:rPr>
              <w:fldChar w:fldCharType="end"/>
            </w:r>
          </w:hyperlink>
        </w:p>
        <w:p w14:paraId="76FBEBFD" w14:textId="1AF8D4AE" w:rsidR="00BD6D5D" w:rsidRPr="00BD6D5D" w:rsidRDefault="002A1918">
          <w:pPr>
            <w:pStyle w:val="TOC1"/>
            <w:tabs>
              <w:tab w:val="right" w:leader="dot" w:pos="9350"/>
            </w:tabs>
            <w:rPr>
              <w:rFonts w:ascii="Arial" w:hAnsi="Arial" w:cs="Arial"/>
              <w:noProof/>
              <w:sz w:val="24"/>
              <w:szCs w:val="24"/>
            </w:rPr>
          </w:pPr>
          <w:hyperlink w:anchor="_Toc151413650" w:history="1">
            <w:r w:rsidR="00BD6D5D" w:rsidRPr="00BD6D5D">
              <w:rPr>
                <w:rStyle w:val="Hyperlink"/>
                <w:rFonts w:ascii="Arial" w:hAnsi="Arial" w:cs="Arial"/>
                <w:noProof/>
                <w:sz w:val="24"/>
                <w:szCs w:val="24"/>
              </w:rPr>
              <w:t>Market Analysis:</w:t>
            </w:r>
            <w:r w:rsidR="00BD6D5D" w:rsidRPr="00BD6D5D">
              <w:rPr>
                <w:rFonts w:ascii="Arial" w:hAnsi="Arial" w:cs="Arial"/>
                <w:noProof/>
                <w:webHidden/>
                <w:sz w:val="24"/>
                <w:szCs w:val="24"/>
              </w:rPr>
              <w:tab/>
            </w:r>
            <w:r w:rsidR="00BD6D5D" w:rsidRPr="00BD6D5D">
              <w:rPr>
                <w:rFonts w:ascii="Arial" w:hAnsi="Arial" w:cs="Arial"/>
                <w:noProof/>
                <w:webHidden/>
                <w:sz w:val="24"/>
                <w:szCs w:val="24"/>
              </w:rPr>
              <w:fldChar w:fldCharType="begin"/>
            </w:r>
            <w:r w:rsidR="00BD6D5D" w:rsidRPr="00BD6D5D">
              <w:rPr>
                <w:rFonts w:ascii="Arial" w:hAnsi="Arial" w:cs="Arial"/>
                <w:noProof/>
                <w:webHidden/>
                <w:sz w:val="24"/>
                <w:szCs w:val="24"/>
              </w:rPr>
              <w:instrText xml:space="preserve"> PAGEREF _Toc151413650 \h </w:instrText>
            </w:r>
            <w:r w:rsidR="00BD6D5D" w:rsidRPr="00BD6D5D">
              <w:rPr>
                <w:rFonts w:ascii="Arial" w:hAnsi="Arial" w:cs="Arial"/>
                <w:noProof/>
                <w:webHidden/>
                <w:sz w:val="24"/>
                <w:szCs w:val="24"/>
              </w:rPr>
            </w:r>
            <w:r w:rsidR="00BD6D5D" w:rsidRPr="00BD6D5D">
              <w:rPr>
                <w:rFonts w:ascii="Arial" w:hAnsi="Arial" w:cs="Arial"/>
                <w:noProof/>
                <w:webHidden/>
                <w:sz w:val="24"/>
                <w:szCs w:val="24"/>
              </w:rPr>
              <w:fldChar w:fldCharType="separate"/>
            </w:r>
            <w:r w:rsidR="00BD6D5D" w:rsidRPr="00BD6D5D">
              <w:rPr>
                <w:rFonts w:ascii="Arial" w:hAnsi="Arial" w:cs="Arial"/>
                <w:noProof/>
                <w:webHidden/>
                <w:sz w:val="24"/>
                <w:szCs w:val="24"/>
              </w:rPr>
              <w:t>3</w:t>
            </w:r>
            <w:r w:rsidR="00BD6D5D" w:rsidRPr="00BD6D5D">
              <w:rPr>
                <w:rFonts w:ascii="Arial" w:hAnsi="Arial" w:cs="Arial"/>
                <w:noProof/>
                <w:webHidden/>
                <w:sz w:val="24"/>
                <w:szCs w:val="24"/>
              </w:rPr>
              <w:fldChar w:fldCharType="end"/>
            </w:r>
          </w:hyperlink>
        </w:p>
        <w:p w14:paraId="39993CC0" w14:textId="48AE8629" w:rsidR="00BD6D5D" w:rsidRPr="00BD6D5D" w:rsidRDefault="002A1918">
          <w:pPr>
            <w:pStyle w:val="TOC1"/>
            <w:tabs>
              <w:tab w:val="right" w:leader="dot" w:pos="9350"/>
            </w:tabs>
            <w:rPr>
              <w:rFonts w:ascii="Arial" w:hAnsi="Arial" w:cs="Arial"/>
              <w:noProof/>
              <w:sz w:val="24"/>
              <w:szCs w:val="24"/>
            </w:rPr>
          </w:pPr>
          <w:hyperlink w:anchor="_Toc151413651" w:history="1">
            <w:r w:rsidR="00BD6D5D" w:rsidRPr="00BD6D5D">
              <w:rPr>
                <w:rStyle w:val="Hyperlink"/>
                <w:rFonts w:ascii="Arial" w:hAnsi="Arial" w:cs="Arial"/>
                <w:noProof/>
                <w:sz w:val="24"/>
                <w:szCs w:val="24"/>
              </w:rPr>
              <w:t>Scope and Objectives:</w:t>
            </w:r>
            <w:r w:rsidR="00BD6D5D" w:rsidRPr="00BD6D5D">
              <w:rPr>
                <w:rFonts w:ascii="Arial" w:hAnsi="Arial" w:cs="Arial"/>
                <w:noProof/>
                <w:webHidden/>
                <w:sz w:val="24"/>
                <w:szCs w:val="24"/>
              </w:rPr>
              <w:tab/>
            </w:r>
            <w:r w:rsidR="00BD6D5D" w:rsidRPr="00BD6D5D">
              <w:rPr>
                <w:rFonts w:ascii="Arial" w:hAnsi="Arial" w:cs="Arial"/>
                <w:noProof/>
                <w:webHidden/>
                <w:sz w:val="24"/>
                <w:szCs w:val="24"/>
              </w:rPr>
              <w:fldChar w:fldCharType="begin"/>
            </w:r>
            <w:r w:rsidR="00BD6D5D" w:rsidRPr="00BD6D5D">
              <w:rPr>
                <w:rFonts w:ascii="Arial" w:hAnsi="Arial" w:cs="Arial"/>
                <w:noProof/>
                <w:webHidden/>
                <w:sz w:val="24"/>
                <w:szCs w:val="24"/>
              </w:rPr>
              <w:instrText xml:space="preserve"> PAGEREF _Toc151413651 \h </w:instrText>
            </w:r>
            <w:r w:rsidR="00BD6D5D" w:rsidRPr="00BD6D5D">
              <w:rPr>
                <w:rFonts w:ascii="Arial" w:hAnsi="Arial" w:cs="Arial"/>
                <w:noProof/>
                <w:webHidden/>
                <w:sz w:val="24"/>
                <w:szCs w:val="24"/>
              </w:rPr>
            </w:r>
            <w:r w:rsidR="00BD6D5D" w:rsidRPr="00BD6D5D">
              <w:rPr>
                <w:rFonts w:ascii="Arial" w:hAnsi="Arial" w:cs="Arial"/>
                <w:noProof/>
                <w:webHidden/>
                <w:sz w:val="24"/>
                <w:szCs w:val="24"/>
              </w:rPr>
              <w:fldChar w:fldCharType="separate"/>
            </w:r>
            <w:r w:rsidR="00BD6D5D" w:rsidRPr="00BD6D5D">
              <w:rPr>
                <w:rFonts w:ascii="Arial" w:hAnsi="Arial" w:cs="Arial"/>
                <w:noProof/>
                <w:webHidden/>
                <w:sz w:val="24"/>
                <w:szCs w:val="24"/>
              </w:rPr>
              <w:t>4</w:t>
            </w:r>
            <w:r w:rsidR="00BD6D5D" w:rsidRPr="00BD6D5D">
              <w:rPr>
                <w:rFonts w:ascii="Arial" w:hAnsi="Arial" w:cs="Arial"/>
                <w:noProof/>
                <w:webHidden/>
                <w:sz w:val="24"/>
                <w:szCs w:val="24"/>
              </w:rPr>
              <w:fldChar w:fldCharType="end"/>
            </w:r>
          </w:hyperlink>
        </w:p>
        <w:p w14:paraId="46BC64B2" w14:textId="25AA4621" w:rsidR="00BD6D5D" w:rsidRPr="00BD6D5D" w:rsidRDefault="002A1918">
          <w:pPr>
            <w:pStyle w:val="TOC1"/>
            <w:tabs>
              <w:tab w:val="right" w:leader="dot" w:pos="9350"/>
            </w:tabs>
            <w:rPr>
              <w:rFonts w:ascii="Arial" w:hAnsi="Arial" w:cs="Arial"/>
              <w:noProof/>
              <w:sz w:val="24"/>
              <w:szCs w:val="24"/>
            </w:rPr>
          </w:pPr>
          <w:hyperlink w:anchor="_Toc151413652" w:history="1">
            <w:r w:rsidR="00BD6D5D" w:rsidRPr="00BD6D5D">
              <w:rPr>
                <w:rStyle w:val="Hyperlink"/>
                <w:rFonts w:ascii="Arial" w:hAnsi="Arial" w:cs="Arial"/>
                <w:noProof/>
                <w:sz w:val="24"/>
                <w:szCs w:val="24"/>
              </w:rPr>
              <w:t>Income Statement Analysis (2020-2022):</w:t>
            </w:r>
            <w:r w:rsidR="00BD6D5D" w:rsidRPr="00BD6D5D">
              <w:rPr>
                <w:rFonts w:ascii="Arial" w:hAnsi="Arial" w:cs="Arial"/>
                <w:noProof/>
                <w:webHidden/>
                <w:sz w:val="24"/>
                <w:szCs w:val="24"/>
              </w:rPr>
              <w:tab/>
            </w:r>
            <w:r w:rsidR="00BD6D5D" w:rsidRPr="00BD6D5D">
              <w:rPr>
                <w:rFonts w:ascii="Arial" w:hAnsi="Arial" w:cs="Arial"/>
                <w:noProof/>
                <w:webHidden/>
                <w:sz w:val="24"/>
                <w:szCs w:val="24"/>
              </w:rPr>
              <w:fldChar w:fldCharType="begin"/>
            </w:r>
            <w:r w:rsidR="00BD6D5D" w:rsidRPr="00BD6D5D">
              <w:rPr>
                <w:rFonts w:ascii="Arial" w:hAnsi="Arial" w:cs="Arial"/>
                <w:noProof/>
                <w:webHidden/>
                <w:sz w:val="24"/>
                <w:szCs w:val="24"/>
              </w:rPr>
              <w:instrText xml:space="preserve"> PAGEREF _Toc151413652 \h </w:instrText>
            </w:r>
            <w:r w:rsidR="00BD6D5D" w:rsidRPr="00BD6D5D">
              <w:rPr>
                <w:rFonts w:ascii="Arial" w:hAnsi="Arial" w:cs="Arial"/>
                <w:noProof/>
                <w:webHidden/>
                <w:sz w:val="24"/>
                <w:szCs w:val="24"/>
              </w:rPr>
            </w:r>
            <w:r w:rsidR="00BD6D5D" w:rsidRPr="00BD6D5D">
              <w:rPr>
                <w:rFonts w:ascii="Arial" w:hAnsi="Arial" w:cs="Arial"/>
                <w:noProof/>
                <w:webHidden/>
                <w:sz w:val="24"/>
                <w:szCs w:val="24"/>
              </w:rPr>
              <w:fldChar w:fldCharType="separate"/>
            </w:r>
            <w:r w:rsidR="00BD6D5D" w:rsidRPr="00BD6D5D">
              <w:rPr>
                <w:rFonts w:ascii="Arial" w:hAnsi="Arial" w:cs="Arial"/>
                <w:noProof/>
                <w:webHidden/>
                <w:sz w:val="24"/>
                <w:szCs w:val="24"/>
              </w:rPr>
              <w:t>5</w:t>
            </w:r>
            <w:r w:rsidR="00BD6D5D" w:rsidRPr="00BD6D5D">
              <w:rPr>
                <w:rFonts w:ascii="Arial" w:hAnsi="Arial" w:cs="Arial"/>
                <w:noProof/>
                <w:webHidden/>
                <w:sz w:val="24"/>
                <w:szCs w:val="24"/>
              </w:rPr>
              <w:fldChar w:fldCharType="end"/>
            </w:r>
          </w:hyperlink>
        </w:p>
        <w:p w14:paraId="446FDD6D" w14:textId="11E30837" w:rsidR="00BD6D5D" w:rsidRPr="00BD6D5D" w:rsidRDefault="002A1918">
          <w:pPr>
            <w:pStyle w:val="TOC1"/>
            <w:tabs>
              <w:tab w:val="right" w:leader="dot" w:pos="9350"/>
            </w:tabs>
            <w:rPr>
              <w:rFonts w:ascii="Arial" w:hAnsi="Arial" w:cs="Arial"/>
              <w:noProof/>
              <w:sz w:val="24"/>
              <w:szCs w:val="24"/>
            </w:rPr>
          </w:pPr>
          <w:hyperlink w:anchor="_Toc151413653" w:history="1">
            <w:r w:rsidR="00BD6D5D" w:rsidRPr="00BD6D5D">
              <w:rPr>
                <w:rStyle w:val="Hyperlink"/>
                <w:rFonts w:ascii="Arial" w:hAnsi="Arial" w:cs="Arial"/>
                <w:noProof/>
                <w:sz w:val="24"/>
                <w:szCs w:val="24"/>
              </w:rPr>
              <w:t>Balance Sheet Analysis (End of 2022):</w:t>
            </w:r>
            <w:r w:rsidR="00BD6D5D" w:rsidRPr="00BD6D5D">
              <w:rPr>
                <w:rFonts w:ascii="Arial" w:hAnsi="Arial" w:cs="Arial"/>
                <w:noProof/>
                <w:webHidden/>
                <w:sz w:val="24"/>
                <w:szCs w:val="24"/>
              </w:rPr>
              <w:tab/>
            </w:r>
            <w:r w:rsidR="00BD6D5D" w:rsidRPr="00BD6D5D">
              <w:rPr>
                <w:rFonts w:ascii="Arial" w:hAnsi="Arial" w:cs="Arial"/>
                <w:noProof/>
                <w:webHidden/>
                <w:sz w:val="24"/>
                <w:szCs w:val="24"/>
              </w:rPr>
              <w:fldChar w:fldCharType="begin"/>
            </w:r>
            <w:r w:rsidR="00BD6D5D" w:rsidRPr="00BD6D5D">
              <w:rPr>
                <w:rFonts w:ascii="Arial" w:hAnsi="Arial" w:cs="Arial"/>
                <w:noProof/>
                <w:webHidden/>
                <w:sz w:val="24"/>
                <w:szCs w:val="24"/>
              </w:rPr>
              <w:instrText xml:space="preserve"> PAGEREF _Toc151413653 \h </w:instrText>
            </w:r>
            <w:r w:rsidR="00BD6D5D" w:rsidRPr="00BD6D5D">
              <w:rPr>
                <w:rFonts w:ascii="Arial" w:hAnsi="Arial" w:cs="Arial"/>
                <w:noProof/>
                <w:webHidden/>
                <w:sz w:val="24"/>
                <w:szCs w:val="24"/>
              </w:rPr>
            </w:r>
            <w:r w:rsidR="00BD6D5D" w:rsidRPr="00BD6D5D">
              <w:rPr>
                <w:rFonts w:ascii="Arial" w:hAnsi="Arial" w:cs="Arial"/>
                <w:noProof/>
                <w:webHidden/>
                <w:sz w:val="24"/>
                <w:szCs w:val="24"/>
              </w:rPr>
              <w:fldChar w:fldCharType="separate"/>
            </w:r>
            <w:r w:rsidR="00BD6D5D" w:rsidRPr="00BD6D5D">
              <w:rPr>
                <w:rFonts w:ascii="Arial" w:hAnsi="Arial" w:cs="Arial"/>
                <w:noProof/>
                <w:webHidden/>
                <w:sz w:val="24"/>
                <w:szCs w:val="24"/>
              </w:rPr>
              <w:t>6</w:t>
            </w:r>
            <w:r w:rsidR="00BD6D5D" w:rsidRPr="00BD6D5D">
              <w:rPr>
                <w:rFonts w:ascii="Arial" w:hAnsi="Arial" w:cs="Arial"/>
                <w:noProof/>
                <w:webHidden/>
                <w:sz w:val="24"/>
                <w:szCs w:val="24"/>
              </w:rPr>
              <w:fldChar w:fldCharType="end"/>
            </w:r>
          </w:hyperlink>
        </w:p>
        <w:p w14:paraId="128E737F" w14:textId="2F2A5DD9" w:rsidR="00BD6D5D" w:rsidRPr="00BD6D5D" w:rsidRDefault="002A1918">
          <w:pPr>
            <w:pStyle w:val="TOC1"/>
            <w:tabs>
              <w:tab w:val="right" w:leader="dot" w:pos="9350"/>
            </w:tabs>
            <w:rPr>
              <w:rFonts w:ascii="Arial" w:hAnsi="Arial" w:cs="Arial"/>
              <w:noProof/>
              <w:sz w:val="24"/>
              <w:szCs w:val="24"/>
            </w:rPr>
          </w:pPr>
          <w:hyperlink w:anchor="_Toc151413654" w:history="1">
            <w:r w:rsidR="00BD6D5D" w:rsidRPr="00BD6D5D">
              <w:rPr>
                <w:rStyle w:val="Hyperlink"/>
                <w:rFonts w:ascii="Arial" w:hAnsi="Arial" w:cs="Arial"/>
                <w:noProof/>
                <w:sz w:val="24"/>
                <w:szCs w:val="24"/>
              </w:rPr>
              <w:t>Cash Flow Analysis (2021):</w:t>
            </w:r>
            <w:r w:rsidR="00BD6D5D" w:rsidRPr="00BD6D5D">
              <w:rPr>
                <w:rFonts w:ascii="Arial" w:hAnsi="Arial" w:cs="Arial"/>
                <w:noProof/>
                <w:webHidden/>
                <w:sz w:val="24"/>
                <w:szCs w:val="24"/>
              </w:rPr>
              <w:tab/>
            </w:r>
            <w:r w:rsidR="00BD6D5D" w:rsidRPr="00BD6D5D">
              <w:rPr>
                <w:rFonts w:ascii="Arial" w:hAnsi="Arial" w:cs="Arial"/>
                <w:noProof/>
                <w:webHidden/>
                <w:sz w:val="24"/>
                <w:szCs w:val="24"/>
              </w:rPr>
              <w:fldChar w:fldCharType="begin"/>
            </w:r>
            <w:r w:rsidR="00BD6D5D" w:rsidRPr="00BD6D5D">
              <w:rPr>
                <w:rFonts w:ascii="Arial" w:hAnsi="Arial" w:cs="Arial"/>
                <w:noProof/>
                <w:webHidden/>
                <w:sz w:val="24"/>
                <w:szCs w:val="24"/>
              </w:rPr>
              <w:instrText xml:space="preserve"> PAGEREF _Toc151413654 \h </w:instrText>
            </w:r>
            <w:r w:rsidR="00BD6D5D" w:rsidRPr="00BD6D5D">
              <w:rPr>
                <w:rFonts w:ascii="Arial" w:hAnsi="Arial" w:cs="Arial"/>
                <w:noProof/>
                <w:webHidden/>
                <w:sz w:val="24"/>
                <w:szCs w:val="24"/>
              </w:rPr>
            </w:r>
            <w:r w:rsidR="00BD6D5D" w:rsidRPr="00BD6D5D">
              <w:rPr>
                <w:rFonts w:ascii="Arial" w:hAnsi="Arial" w:cs="Arial"/>
                <w:noProof/>
                <w:webHidden/>
                <w:sz w:val="24"/>
                <w:szCs w:val="24"/>
              </w:rPr>
              <w:fldChar w:fldCharType="separate"/>
            </w:r>
            <w:r w:rsidR="00BD6D5D" w:rsidRPr="00BD6D5D">
              <w:rPr>
                <w:rFonts w:ascii="Arial" w:hAnsi="Arial" w:cs="Arial"/>
                <w:noProof/>
                <w:webHidden/>
                <w:sz w:val="24"/>
                <w:szCs w:val="24"/>
              </w:rPr>
              <w:t>7</w:t>
            </w:r>
            <w:r w:rsidR="00BD6D5D" w:rsidRPr="00BD6D5D">
              <w:rPr>
                <w:rFonts w:ascii="Arial" w:hAnsi="Arial" w:cs="Arial"/>
                <w:noProof/>
                <w:webHidden/>
                <w:sz w:val="24"/>
                <w:szCs w:val="24"/>
              </w:rPr>
              <w:fldChar w:fldCharType="end"/>
            </w:r>
          </w:hyperlink>
        </w:p>
        <w:p w14:paraId="7DF17AE4" w14:textId="662BDE0E" w:rsidR="00BD6D5D" w:rsidRPr="00BD6D5D" w:rsidRDefault="002A1918">
          <w:pPr>
            <w:pStyle w:val="TOC1"/>
            <w:tabs>
              <w:tab w:val="right" w:leader="dot" w:pos="9350"/>
            </w:tabs>
            <w:rPr>
              <w:rFonts w:ascii="Arial" w:hAnsi="Arial" w:cs="Arial"/>
              <w:noProof/>
              <w:sz w:val="24"/>
              <w:szCs w:val="24"/>
            </w:rPr>
          </w:pPr>
          <w:hyperlink w:anchor="_Toc151413655" w:history="1">
            <w:r w:rsidR="00BD6D5D" w:rsidRPr="00BD6D5D">
              <w:rPr>
                <w:rStyle w:val="Hyperlink"/>
                <w:rFonts w:ascii="Arial" w:hAnsi="Arial" w:cs="Arial"/>
                <w:noProof/>
                <w:sz w:val="24"/>
                <w:szCs w:val="24"/>
              </w:rPr>
              <w:t>Additional Financial Information:</w:t>
            </w:r>
            <w:r w:rsidR="00BD6D5D" w:rsidRPr="00BD6D5D">
              <w:rPr>
                <w:rFonts w:ascii="Arial" w:hAnsi="Arial" w:cs="Arial"/>
                <w:noProof/>
                <w:webHidden/>
                <w:sz w:val="24"/>
                <w:szCs w:val="24"/>
              </w:rPr>
              <w:tab/>
            </w:r>
            <w:r w:rsidR="00BD6D5D" w:rsidRPr="00BD6D5D">
              <w:rPr>
                <w:rFonts w:ascii="Arial" w:hAnsi="Arial" w:cs="Arial"/>
                <w:noProof/>
                <w:webHidden/>
                <w:sz w:val="24"/>
                <w:szCs w:val="24"/>
              </w:rPr>
              <w:fldChar w:fldCharType="begin"/>
            </w:r>
            <w:r w:rsidR="00BD6D5D" w:rsidRPr="00BD6D5D">
              <w:rPr>
                <w:rFonts w:ascii="Arial" w:hAnsi="Arial" w:cs="Arial"/>
                <w:noProof/>
                <w:webHidden/>
                <w:sz w:val="24"/>
                <w:szCs w:val="24"/>
              </w:rPr>
              <w:instrText xml:space="preserve"> PAGEREF _Toc151413655 \h </w:instrText>
            </w:r>
            <w:r w:rsidR="00BD6D5D" w:rsidRPr="00BD6D5D">
              <w:rPr>
                <w:rFonts w:ascii="Arial" w:hAnsi="Arial" w:cs="Arial"/>
                <w:noProof/>
                <w:webHidden/>
                <w:sz w:val="24"/>
                <w:szCs w:val="24"/>
              </w:rPr>
            </w:r>
            <w:r w:rsidR="00BD6D5D" w:rsidRPr="00BD6D5D">
              <w:rPr>
                <w:rFonts w:ascii="Arial" w:hAnsi="Arial" w:cs="Arial"/>
                <w:noProof/>
                <w:webHidden/>
                <w:sz w:val="24"/>
                <w:szCs w:val="24"/>
              </w:rPr>
              <w:fldChar w:fldCharType="separate"/>
            </w:r>
            <w:r w:rsidR="00BD6D5D" w:rsidRPr="00BD6D5D">
              <w:rPr>
                <w:rFonts w:ascii="Arial" w:hAnsi="Arial" w:cs="Arial"/>
                <w:noProof/>
                <w:webHidden/>
                <w:sz w:val="24"/>
                <w:szCs w:val="24"/>
              </w:rPr>
              <w:t>8</w:t>
            </w:r>
            <w:r w:rsidR="00BD6D5D" w:rsidRPr="00BD6D5D">
              <w:rPr>
                <w:rFonts w:ascii="Arial" w:hAnsi="Arial" w:cs="Arial"/>
                <w:noProof/>
                <w:webHidden/>
                <w:sz w:val="24"/>
                <w:szCs w:val="24"/>
              </w:rPr>
              <w:fldChar w:fldCharType="end"/>
            </w:r>
          </w:hyperlink>
        </w:p>
        <w:p w14:paraId="34048007" w14:textId="66CA37C8" w:rsidR="00BD6D5D" w:rsidRPr="00BD6D5D" w:rsidRDefault="002A1918">
          <w:pPr>
            <w:pStyle w:val="TOC1"/>
            <w:tabs>
              <w:tab w:val="right" w:leader="dot" w:pos="9350"/>
            </w:tabs>
            <w:rPr>
              <w:rFonts w:ascii="Arial" w:hAnsi="Arial" w:cs="Arial"/>
              <w:noProof/>
              <w:sz w:val="24"/>
              <w:szCs w:val="24"/>
            </w:rPr>
          </w:pPr>
          <w:hyperlink w:anchor="_Toc151413656" w:history="1">
            <w:r w:rsidR="00BD6D5D" w:rsidRPr="00BD6D5D">
              <w:rPr>
                <w:rStyle w:val="Hyperlink"/>
                <w:rFonts w:ascii="Arial" w:hAnsi="Arial" w:cs="Arial"/>
                <w:noProof/>
                <w:sz w:val="24"/>
                <w:szCs w:val="24"/>
              </w:rPr>
              <w:t>Conclusion</w:t>
            </w:r>
            <w:r w:rsidR="00BD6D5D" w:rsidRPr="00BD6D5D">
              <w:rPr>
                <w:rFonts w:ascii="Arial" w:hAnsi="Arial" w:cs="Arial"/>
                <w:noProof/>
                <w:webHidden/>
                <w:sz w:val="24"/>
                <w:szCs w:val="24"/>
              </w:rPr>
              <w:tab/>
            </w:r>
            <w:r w:rsidR="00BD6D5D" w:rsidRPr="00BD6D5D">
              <w:rPr>
                <w:rFonts w:ascii="Arial" w:hAnsi="Arial" w:cs="Arial"/>
                <w:noProof/>
                <w:webHidden/>
                <w:sz w:val="24"/>
                <w:szCs w:val="24"/>
              </w:rPr>
              <w:fldChar w:fldCharType="begin"/>
            </w:r>
            <w:r w:rsidR="00BD6D5D" w:rsidRPr="00BD6D5D">
              <w:rPr>
                <w:rFonts w:ascii="Arial" w:hAnsi="Arial" w:cs="Arial"/>
                <w:noProof/>
                <w:webHidden/>
                <w:sz w:val="24"/>
                <w:szCs w:val="24"/>
              </w:rPr>
              <w:instrText xml:space="preserve"> PAGEREF _Toc151413656 \h </w:instrText>
            </w:r>
            <w:r w:rsidR="00BD6D5D" w:rsidRPr="00BD6D5D">
              <w:rPr>
                <w:rFonts w:ascii="Arial" w:hAnsi="Arial" w:cs="Arial"/>
                <w:noProof/>
                <w:webHidden/>
                <w:sz w:val="24"/>
                <w:szCs w:val="24"/>
              </w:rPr>
            </w:r>
            <w:r w:rsidR="00BD6D5D" w:rsidRPr="00BD6D5D">
              <w:rPr>
                <w:rFonts w:ascii="Arial" w:hAnsi="Arial" w:cs="Arial"/>
                <w:noProof/>
                <w:webHidden/>
                <w:sz w:val="24"/>
                <w:szCs w:val="24"/>
              </w:rPr>
              <w:fldChar w:fldCharType="separate"/>
            </w:r>
            <w:r w:rsidR="00BD6D5D" w:rsidRPr="00BD6D5D">
              <w:rPr>
                <w:rFonts w:ascii="Arial" w:hAnsi="Arial" w:cs="Arial"/>
                <w:noProof/>
                <w:webHidden/>
                <w:sz w:val="24"/>
                <w:szCs w:val="24"/>
              </w:rPr>
              <w:t>9</w:t>
            </w:r>
            <w:r w:rsidR="00BD6D5D" w:rsidRPr="00BD6D5D">
              <w:rPr>
                <w:rFonts w:ascii="Arial" w:hAnsi="Arial" w:cs="Arial"/>
                <w:noProof/>
                <w:webHidden/>
                <w:sz w:val="24"/>
                <w:szCs w:val="24"/>
              </w:rPr>
              <w:fldChar w:fldCharType="end"/>
            </w:r>
          </w:hyperlink>
        </w:p>
        <w:p w14:paraId="2BB0687B" w14:textId="6167A2B3" w:rsidR="00BD6D5D" w:rsidRDefault="002A1918">
          <w:pPr>
            <w:pStyle w:val="TOC1"/>
            <w:tabs>
              <w:tab w:val="right" w:leader="dot" w:pos="9350"/>
            </w:tabs>
            <w:rPr>
              <w:noProof/>
            </w:rPr>
          </w:pPr>
          <w:hyperlink w:anchor="_Toc151413657" w:history="1">
            <w:r w:rsidR="00BD6D5D" w:rsidRPr="00BD6D5D">
              <w:rPr>
                <w:rStyle w:val="Hyperlink"/>
                <w:rFonts w:ascii="Arial" w:hAnsi="Arial" w:cs="Arial"/>
                <w:noProof/>
                <w:sz w:val="24"/>
                <w:szCs w:val="24"/>
              </w:rPr>
              <w:t>References</w:t>
            </w:r>
            <w:r w:rsidR="00BD6D5D" w:rsidRPr="00BD6D5D">
              <w:rPr>
                <w:rFonts w:ascii="Arial" w:hAnsi="Arial" w:cs="Arial"/>
                <w:noProof/>
                <w:webHidden/>
                <w:sz w:val="24"/>
                <w:szCs w:val="24"/>
              </w:rPr>
              <w:tab/>
            </w:r>
            <w:r w:rsidR="00BD6D5D" w:rsidRPr="00BD6D5D">
              <w:rPr>
                <w:rFonts w:ascii="Arial" w:hAnsi="Arial" w:cs="Arial"/>
                <w:noProof/>
                <w:webHidden/>
                <w:sz w:val="24"/>
                <w:szCs w:val="24"/>
              </w:rPr>
              <w:fldChar w:fldCharType="begin"/>
            </w:r>
            <w:r w:rsidR="00BD6D5D" w:rsidRPr="00BD6D5D">
              <w:rPr>
                <w:rFonts w:ascii="Arial" w:hAnsi="Arial" w:cs="Arial"/>
                <w:noProof/>
                <w:webHidden/>
                <w:sz w:val="24"/>
                <w:szCs w:val="24"/>
              </w:rPr>
              <w:instrText xml:space="preserve"> PAGEREF _Toc151413657 \h </w:instrText>
            </w:r>
            <w:r w:rsidR="00BD6D5D" w:rsidRPr="00BD6D5D">
              <w:rPr>
                <w:rFonts w:ascii="Arial" w:hAnsi="Arial" w:cs="Arial"/>
                <w:noProof/>
                <w:webHidden/>
                <w:sz w:val="24"/>
                <w:szCs w:val="24"/>
              </w:rPr>
            </w:r>
            <w:r w:rsidR="00BD6D5D" w:rsidRPr="00BD6D5D">
              <w:rPr>
                <w:rFonts w:ascii="Arial" w:hAnsi="Arial" w:cs="Arial"/>
                <w:noProof/>
                <w:webHidden/>
                <w:sz w:val="24"/>
                <w:szCs w:val="24"/>
              </w:rPr>
              <w:fldChar w:fldCharType="separate"/>
            </w:r>
            <w:r w:rsidR="00BD6D5D" w:rsidRPr="00BD6D5D">
              <w:rPr>
                <w:rFonts w:ascii="Arial" w:hAnsi="Arial" w:cs="Arial"/>
                <w:noProof/>
                <w:webHidden/>
                <w:sz w:val="24"/>
                <w:szCs w:val="24"/>
              </w:rPr>
              <w:t>10</w:t>
            </w:r>
            <w:r w:rsidR="00BD6D5D" w:rsidRPr="00BD6D5D">
              <w:rPr>
                <w:rFonts w:ascii="Arial" w:hAnsi="Arial" w:cs="Arial"/>
                <w:noProof/>
                <w:webHidden/>
                <w:sz w:val="24"/>
                <w:szCs w:val="24"/>
              </w:rPr>
              <w:fldChar w:fldCharType="end"/>
            </w:r>
          </w:hyperlink>
        </w:p>
        <w:p w14:paraId="4A0FB6ED" w14:textId="2CBD5046" w:rsidR="00BD6D5D" w:rsidRDefault="00BD6D5D">
          <w:r>
            <w:rPr>
              <w:b/>
              <w:bCs/>
              <w:noProof/>
            </w:rPr>
            <w:fldChar w:fldCharType="end"/>
          </w:r>
        </w:p>
      </w:sdtContent>
    </w:sdt>
    <w:p w14:paraId="6D095A85" w14:textId="77777777" w:rsidR="00140C5F" w:rsidRDefault="00140C5F" w:rsidP="00656966">
      <w:pPr>
        <w:spacing w:line="360" w:lineRule="auto"/>
        <w:rPr>
          <w:rFonts w:ascii="Arial" w:hAnsi="Arial" w:cs="Arial"/>
          <w:b/>
          <w:bCs/>
          <w:sz w:val="24"/>
          <w:szCs w:val="24"/>
        </w:rPr>
      </w:pPr>
    </w:p>
    <w:p w14:paraId="4000FD5B" w14:textId="77777777" w:rsidR="00140C5F" w:rsidRDefault="00140C5F" w:rsidP="00656966">
      <w:pPr>
        <w:spacing w:line="360" w:lineRule="auto"/>
        <w:rPr>
          <w:rFonts w:ascii="Arial" w:hAnsi="Arial" w:cs="Arial"/>
          <w:b/>
          <w:bCs/>
          <w:sz w:val="24"/>
          <w:szCs w:val="24"/>
        </w:rPr>
      </w:pPr>
    </w:p>
    <w:p w14:paraId="212D7593" w14:textId="77777777" w:rsidR="00140C5F" w:rsidRDefault="00140C5F" w:rsidP="00656966">
      <w:pPr>
        <w:spacing w:line="360" w:lineRule="auto"/>
        <w:rPr>
          <w:rFonts w:ascii="Arial" w:hAnsi="Arial" w:cs="Arial"/>
          <w:b/>
          <w:bCs/>
          <w:sz w:val="24"/>
          <w:szCs w:val="24"/>
        </w:rPr>
      </w:pPr>
    </w:p>
    <w:p w14:paraId="062C3BE6" w14:textId="77777777" w:rsidR="00140C5F" w:rsidRDefault="00140C5F" w:rsidP="00656966">
      <w:pPr>
        <w:spacing w:line="360" w:lineRule="auto"/>
        <w:rPr>
          <w:rFonts w:ascii="Arial" w:hAnsi="Arial" w:cs="Arial"/>
          <w:b/>
          <w:bCs/>
          <w:sz w:val="24"/>
          <w:szCs w:val="24"/>
        </w:rPr>
      </w:pPr>
    </w:p>
    <w:p w14:paraId="7F2FA9D8" w14:textId="77777777" w:rsidR="00140C5F" w:rsidRDefault="00140C5F" w:rsidP="00656966">
      <w:pPr>
        <w:spacing w:line="360" w:lineRule="auto"/>
        <w:rPr>
          <w:rFonts w:ascii="Arial" w:hAnsi="Arial" w:cs="Arial"/>
          <w:b/>
          <w:bCs/>
          <w:sz w:val="24"/>
          <w:szCs w:val="24"/>
        </w:rPr>
      </w:pPr>
    </w:p>
    <w:p w14:paraId="59BDCF8B" w14:textId="77777777" w:rsidR="00140C5F" w:rsidRDefault="00140C5F" w:rsidP="00656966">
      <w:pPr>
        <w:spacing w:line="360" w:lineRule="auto"/>
        <w:rPr>
          <w:rFonts w:ascii="Arial" w:hAnsi="Arial" w:cs="Arial"/>
          <w:b/>
          <w:bCs/>
          <w:sz w:val="24"/>
          <w:szCs w:val="24"/>
        </w:rPr>
      </w:pPr>
    </w:p>
    <w:p w14:paraId="00CD7D5B" w14:textId="77777777" w:rsidR="00140C5F" w:rsidRDefault="00140C5F" w:rsidP="00656966">
      <w:pPr>
        <w:spacing w:line="360" w:lineRule="auto"/>
        <w:rPr>
          <w:rFonts w:ascii="Arial" w:hAnsi="Arial" w:cs="Arial"/>
          <w:b/>
          <w:bCs/>
          <w:sz w:val="24"/>
          <w:szCs w:val="24"/>
        </w:rPr>
      </w:pPr>
    </w:p>
    <w:p w14:paraId="758FA285" w14:textId="77777777" w:rsidR="00140C5F" w:rsidRDefault="00140C5F" w:rsidP="00656966">
      <w:pPr>
        <w:spacing w:line="360" w:lineRule="auto"/>
        <w:rPr>
          <w:rFonts w:ascii="Arial" w:hAnsi="Arial" w:cs="Arial"/>
          <w:b/>
          <w:bCs/>
          <w:sz w:val="24"/>
          <w:szCs w:val="24"/>
        </w:rPr>
      </w:pPr>
    </w:p>
    <w:p w14:paraId="0BFA140A" w14:textId="77777777" w:rsidR="00140C5F" w:rsidRDefault="00140C5F" w:rsidP="00656966">
      <w:pPr>
        <w:spacing w:line="360" w:lineRule="auto"/>
        <w:rPr>
          <w:rFonts w:ascii="Arial" w:hAnsi="Arial" w:cs="Arial"/>
          <w:b/>
          <w:bCs/>
          <w:sz w:val="24"/>
          <w:szCs w:val="24"/>
        </w:rPr>
      </w:pPr>
    </w:p>
    <w:p w14:paraId="7D25F325" w14:textId="77777777" w:rsidR="00140C5F" w:rsidRDefault="00140C5F" w:rsidP="00656966">
      <w:pPr>
        <w:spacing w:line="360" w:lineRule="auto"/>
        <w:rPr>
          <w:rFonts w:ascii="Arial" w:hAnsi="Arial" w:cs="Arial"/>
          <w:b/>
          <w:bCs/>
          <w:sz w:val="24"/>
          <w:szCs w:val="24"/>
        </w:rPr>
      </w:pPr>
    </w:p>
    <w:p w14:paraId="44DF3F50" w14:textId="77777777" w:rsidR="00140C5F" w:rsidRDefault="00140C5F" w:rsidP="00656966">
      <w:pPr>
        <w:spacing w:line="360" w:lineRule="auto"/>
        <w:rPr>
          <w:rFonts w:ascii="Arial" w:hAnsi="Arial" w:cs="Arial"/>
          <w:b/>
          <w:bCs/>
          <w:sz w:val="24"/>
          <w:szCs w:val="24"/>
        </w:rPr>
      </w:pPr>
    </w:p>
    <w:p w14:paraId="0906C19E" w14:textId="77777777" w:rsidR="00140C5F" w:rsidRDefault="00140C5F" w:rsidP="00656966">
      <w:pPr>
        <w:spacing w:line="360" w:lineRule="auto"/>
        <w:rPr>
          <w:rFonts w:ascii="Arial" w:hAnsi="Arial" w:cs="Arial"/>
          <w:b/>
          <w:bCs/>
          <w:sz w:val="24"/>
          <w:szCs w:val="24"/>
        </w:rPr>
      </w:pPr>
    </w:p>
    <w:p w14:paraId="726989C6" w14:textId="77777777" w:rsidR="00140C5F" w:rsidRDefault="00140C5F" w:rsidP="00656966">
      <w:pPr>
        <w:spacing w:line="360" w:lineRule="auto"/>
        <w:rPr>
          <w:rFonts w:ascii="Arial" w:hAnsi="Arial" w:cs="Arial"/>
          <w:b/>
          <w:bCs/>
          <w:sz w:val="24"/>
          <w:szCs w:val="24"/>
        </w:rPr>
      </w:pPr>
    </w:p>
    <w:p w14:paraId="425BB6DC" w14:textId="77777777" w:rsidR="00140C5F" w:rsidRDefault="00140C5F" w:rsidP="00656966">
      <w:pPr>
        <w:spacing w:line="360" w:lineRule="auto"/>
        <w:rPr>
          <w:rFonts w:ascii="Arial" w:hAnsi="Arial" w:cs="Arial"/>
          <w:b/>
          <w:bCs/>
          <w:sz w:val="24"/>
          <w:szCs w:val="24"/>
        </w:rPr>
      </w:pPr>
    </w:p>
    <w:p w14:paraId="7A715B52" w14:textId="77777777" w:rsidR="00BD6D5D" w:rsidRDefault="00BD6D5D" w:rsidP="00BD6D5D">
      <w:pPr>
        <w:rPr>
          <w:rFonts w:ascii="Arial" w:hAnsi="Arial" w:cs="Arial"/>
          <w:b/>
          <w:bCs/>
          <w:sz w:val="24"/>
          <w:szCs w:val="24"/>
        </w:rPr>
      </w:pPr>
      <w:bookmarkStart w:id="0" w:name="_Toc151413649"/>
    </w:p>
    <w:p w14:paraId="71C8D228" w14:textId="7E6B6E3F" w:rsidR="00656966" w:rsidRDefault="00656966" w:rsidP="00BD6D5D">
      <w:pPr>
        <w:pStyle w:val="Heading1"/>
        <w:spacing w:line="360" w:lineRule="auto"/>
      </w:pPr>
      <w:r w:rsidRPr="00656966">
        <w:t>Introduction:</w:t>
      </w:r>
      <w:bookmarkEnd w:id="0"/>
    </w:p>
    <w:p w14:paraId="5E08B4DF" w14:textId="79876655" w:rsidR="00656966" w:rsidRDefault="00656966" w:rsidP="00BD6D5D">
      <w:pPr>
        <w:spacing w:line="360" w:lineRule="auto"/>
        <w:jc w:val="both"/>
        <w:rPr>
          <w:rFonts w:ascii="Arial" w:hAnsi="Arial" w:cs="Arial"/>
          <w:sz w:val="24"/>
          <w:szCs w:val="24"/>
        </w:rPr>
      </w:pPr>
      <w:r w:rsidRPr="00656966">
        <w:rPr>
          <w:rFonts w:ascii="Arial" w:hAnsi="Arial" w:cs="Arial"/>
          <w:sz w:val="24"/>
          <w:szCs w:val="24"/>
        </w:rPr>
        <w:t>Nestled along a picturesque coastline, The Seaview Resort has historically epitomized an idyllic retreat, attracting leisure-seekers in pursuit of luxury and serenity. Yet, recent years have cast a shadow over its former glory, marking a troubling decline in revenue, occupancy rates, and overall customer satisfaction. Mr. James Henderson, the proprietor of this once-thriving establishment, now confronts deep apprehensions about the resort's sustainability and future viability. Acknowledging the pressing need for intervention, he has sought expert counsel to assess the resort's current state and explore the potential for instating a turnaround strategy</w:t>
      </w:r>
      <w:r w:rsidR="00BD6D5D">
        <w:rPr>
          <w:rFonts w:ascii="Arial" w:hAnsi="Arial" w:cs="Arial"/>
          <w:sz w:val="24"/>
          <w:szCs w:val="24"/>
        </w:rPr>
        <w:t xml:space="preserve"> (</w:t>
      </w:r>
      <w:r w:rsidR="00BD6D5D" w:rsidRPr="00BD6D5D">
        <w:rPr>
          <w:rFonts w:ascii="Arial" w:hAnsi="Arial" w:cs="Arial"/>
          <w:sz w:val="24"/>
          <w:szCs w:val="24"/>
        </w:rPr>
        <w:t>Attari</w:t>
      </w:r>
      <w:r w:rsidR="00BD6D5D">
        <w:rPr>
          <w:rFonts w:ascii="Arial" w:hAnsi="Arial" w:cs="Arial"/>
          <w:sz w:val="24"/>
          <w:szCs w:val="24"/>
        </w:rPr>
        <w:t xml:space="preserve"> </w:t>
      </w:r>
      <w:r w:rsidR="00BD6D5D" w:rsidRPr="00BD6D5D">
        <w:rPr>
          <w:rFonts w:ascii="Arial" w:hAnsi="Arial" w:cs="Arial"/>
          <w:sz w:val="24"/>
          <w:szCs w:val="24"/>
        </w:rPr>
        <w:t>and Raza</w:t>
      </w:r>
      <w:r w:rsidR="00BD6D5D">
        <w:rPr>
          <w:rFonts w:ascii="Arial" w:hAnsi="Arial" w:cs="Arial"/>
          <w:sz w:val="24"/>
          <w:szCs w:val="24"/>
        </w:rPr>
        <w:t>, 2012)</w:t>
      </w:r>
      <w:r w:rsidRPr="00656966">
        <w:rPr>
          <w:rFonts w:ascii="Arial" w:hAnsi="Arial" w:cs="Arial"/>
          <w:sz w:val="24"/>
          <w:szCs w:val="24"/>
        </w:rPr>
        <w:t>. The resort's fading allure and diminished performance signal underlying challenges that demand immediate attention. The gravity of the situation necessitates a comprehensive evaluation to identify the root causes of the downturn and to formulate effective strategies that can revitalize the resort's financial health, reignite its appeal to clientele, and rejuvenate its status as a premier destination for discerning vacationers. The task at hand involves a thorough analysis of operational inefficiencies, market dynamics, changing consumer preferences, and industry benchmarks to craft a tailored turnaround blueprint. This strategic intervention aims not only to salvage The Seaview Resort but also to reignite its prominence in the competitive hospitality landscape, ensuring its longevity and relevance in the evolving market</w:t>
      </w:r>
      <w:r w:rsidR="00AB01A4">
        <w:rPr>
          <w:rFonts w:ascii="Arial" w:hAnsi="Arial" w:cs="Arial"/>
          <w:sz w:val="24"/>
          <w:szCs w:val="24"/>
        </w:rPr>
        <w:t xml:space="preserve"> (</w:t>
      </w:r>
      <w:r w:rsidR="00BD6D5D" w:rsidRPr="00BD6D5D">
        <w:rPr>
          <w:rFonts w:ascii="Arial" w:hAnsi="Arial" w:cs="Arial"/>
          <w:sz w:val="24"/>
          <w:szCs w:val="24"/>
        </w:rPr>
        <w:t>Kozak</w:t>
      </w:r>
      <w:r w:rsidR="00BD6D5D">
        <w:rPr>
          <w:rFonts w:ascii="Arial" w:hAnsi="Arial" w:cs="Arial"/>
          <w:sz w:val="24"/>
          <w:szCs w:val="24"/>
        </w:rPr>
        <w:t xml:space="preserve"> </w:t>
      </w:r>
      <w:r w:rsidR="00BD6D5D" w:rsidRPr="00BD6D5D">
        <w:rPr>
          <w:rFonts w:ascii="Arial" w:hAnsi="Arial" w:cs="Arial"/>
          <w:sz w:val="24"/>
          <w:szCs w:val="24"/>
        </w:rPr>
        <w:t>and Martin</w:t>
      </w:r>
      <w:r w:rsidR="00BD6D5D">
        <w:rPr>
          <w:rFonts w:ascii="Arial" w:hAnsi="Arial" w:cs="Arial"/>
          <w:sz w:val="24"/>
          <w:szCs w:val="24"/>
        </w:rPr>
        <w:t>, 2012)</w:t>
      </w:r>
      <w:r w:rsidRPr="00656966">
        <w:rPr>
          <w:rFonts w:ascii="Arial" w:hAnsi="Arial" w:cs="Arial"/>
          <w:sz w:val="24"/>
          <w:szCs w:val="24"/>
        </w:rPr>
        <w:t>.</w:t>
      </w:r>
    </w:p>
    <w:p w14:paraId="34045B3A" w14:textId="70E88683" w:rsidR="00656966" w:rsidRPr="00656966" w:rsidRDefault="00656966" w:rsidP="00BD6D5D">
      <w:pPr>
        <w:pStyle w:val="Heading1"/>
        <w:spacing w:line="360" w:lineRule="auto"/>
      </w:pPr>
      <w:bookmarkStart w:id="1" w:name="_Toc151413650"/>
      <w:r w:rsidRPr="00656966">
        <w:t>Market Analysis:</w:t>
      </w:r>
      <w:bookmarkEnd w:id="1"/>
    </w:p>
    <w:p w14:paraId="5769B3E9"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The Seaview Resort operates in a highly competitive coastal market where newer, more modern establishments have emerged nearby, intensifying the competitive landscape. These contemporary resorts present a challenge to The Seaview Resort, potentially attracting guests seeking updated amenities and more contemporary experiences. This heightened competition necessitates a strategic response to differentiate and position the resort effectively in the market.</w:t>
      </w:r>
    </w:p>
    <w:p w14:paraId="0D27CF4F" w14:textId="5CBDCF79"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Consumer preferences have evolved significantly, favoring eco-friendly practices and immersive, experiential tourism. Modern travelers increasingly prioritize sustainability, seeking accommodations that align with their environmental values. This shift in consumer behavior necessitates The Seaview Resort to reassess its offerings and adopt eco-friendly initiatives to cater to these changing preferences. Implementing sustainable practices, such as reducing environmental impact, incorporating renewable energy sources, and minimizing waste, could enhance the resort's appeal to environmentally conscious guests, aligning with evolving market trends</w:t>
      </w:r>
      <w:r w:rsidR="00BD6D5D">
        <w:rPr>
          <w:rFonts w:ascii="Arial" w:hAnsi="Arial" w:cs="Arial"/>
          <w:sz w:val="24"/>
          <w:szCs w:val="24"/>
        </w:rPr>
        <w:t xml:space="preserve"> (</w:t>
      </w:r>
      <w:r w:rsidR="00BD6D5D" w:rsidRPr="00BD6D5D">
        <w:rPr>
          <w:rFonts w:ascii="Arial" w:hAnsi="Arial" w:cs="Arial"/>
          <w:sz w:val="24"/>
          <w:szCs w:val="24"/>
        </w:rPr>
        <w:t>Goncalves</w:t>
      </w:r>
      <w:r w:rsidR="00BD6D5D">
        <w:rPr>
          <w:rFonts w:ascii="Arial" w:hAnsi="Arial" w:cs="Arial"/>
          <w:sz w:val="24"/>
          <w:szCs w:val="24"/>
        </w:rPr>
        <w:t>, 2013)</w:t>
      </w:r>
      <w:r w:rsidRPr="00656966">
        <w:rPr>
          <w:rFonts w:ascii="Arial" w:hAnsi="Arial" w:cs="Arial"/>
          <w:sz w:val="24"/>
          <w:szCs w:val="24"/>
        </w:rPr>
        <w:t>.</w:t>
      </w:r>
    </w:p>
    <w:p w14:paraId="4B48BF1F"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 xml:space="preserve">Furthermore, customer feedback and reviews concerning The Seaview Resort have indicated a decline in service quality and dissatisfaction due to outdated amenities. Such negative perceptions can significantly </w:t>
      </w:r>
      <w:proofErr w:type="gramStart"/>
      <w:r w:rsidRPr="00656966">
        <w:rPr>
          <w:rFonts w:ascii="Arial" w:hAnsi="Arial" w:cs="Arial"/>
          <w:sz w:val="24"/>
          <w:szCs w:val="24"/>
        </w:rPr>
        <w:t>impact</w:t>
      </w:r>
      <w:proofErr w:type="gramEnd"/>
      <w:r w:rsidRPr="00656966">
        <w:rPr>
          <w:rFonts w:ascii="Arial" w:hAnsi="Arial" w:cs="Arial"/>
          <w:sz w:val="24"/>
          <w:szCs w:val="24"/>
        </w:rPr>
        <w:t xml:space="preserve"> the resort's reputation and guest satisfaction levels. Addressing these concerns by upgrading amenities, enhancing service standards, and modernizing facilities is crucial to restoring guest confidence and loyalty. Investing in refurbishments and technological upgrades may be imperative to meet contemporary guest expectations and regain competitiveness within the market.</w:t>
      </w:r>
    </w:p>
    <w:p w14:paraId="40D8F5A8" w14:textId="4FA67A24"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Understanding and adapting to these market dynamics are pivotal for The Seaview Resort to realign its strategies, prioritize guest satisfaction, and remain competitive. Embracing eco-friendly initiatives, upgrading amenities, and enhancing service quality can position the resort as a sought-after destination, meeting the evolving preferences of modern travelers and reclaiming its status as a premier vacation spot</w:t>
      </w:r>
      <w:r w:rsidR="00BD6D5D">
        <w:rPr>
          <w:rFonts w:ascii="Arial" w:hAnsi="Arial" w:cs="Arial"/>
          <w:sz w:val="24"/>
          <w:szCs w:val="24"/>
        </w:rPr>
        <w:t xml:space="preserve"> (</w:t>
      </w:r>
      <w:r w:rsidR="00BD6D5D" w:rsidRPr="00BD6D5D">
        <w:rPr>
          <w:rFonts w:ascii="Arial" w:hAnsi="Arial" w:cs="Arial"/>
          <w:sz w:val="24"/>
          <w:szCs w:val="24"/>
        </w:rPr>
        <w:t>Philander</w:t>
      </w:r>
      <w:r w:rsidR="00BD6D5D">
        <w:rPr>
          <w:rFonts w:ascii="Arial" w:hAnsi="Arial" w:cs="Arial"/>
          <w:sz w:val="24"/>
          <w:szCs w:val="24"/>
        </w:rPr>
        <w:t xml:space="preserve"> </w:t>
      </w:r>
      <w:r w:rsidR="00BD6D5D" w:rsidRPr="00BD6D5D">
        <w:rPr>
          <w:rFonts w:ascii="Arial" w:hAnsi="Arial" w:cs="Arial"/>
          <w:sz w:val="24"/>
          <w:szCs w:val="24"/>
        </w:rPr>
        <w:t>and Zhong</w:t>
      </w:r>
      <w:r w:rsidR="00BD6D5D">
        <w:rPr>
          <w:rFonts w:ascii="Arial" w:hAnsi="Arial" w:cs="Arial"/>
          <w:sz w:val="24"/>
          <w:szCs w:val="24"/>
        </w:rPr>
        <w:t>, 2016)</w:t>
      </w:r>
      <w:r w:rsidRPr="00656966">
        <w:rPr>
          <w:rFonts w:ascii="Arial" w:hAnsi="Arial" w:cs="Arial"/>
          <w:sz w:val="24"/>
          <w:szCs w:val="24"/>
        </w:rPr>
        <w:t>.</w:t>
      </w:r>
    </w:p>
    <w:p w14:paraId="66880C44" w14:textId="0639089F" w:rsidR="00656966" w:rsidRPr="00656966" w:rsidRDefault="00656966" w:rsidP="00BD6D5D">
      <w:pPr>
        <w:pStyle w:val="Heading1"/>
        <w:spacing w:line="360" w:lineRule="auto"/>
      </w:pPr>
      <w:bookmarkStart w:id="2" w:name="_Toc151413651"/>
      <w:r w:rsidRPr="00656966">
        <w:t>Scope and Objectives:</w:t>
      </w:r>
      <w:bookmarkEnd w:id="2"/>
    </w:p>
    <w:p w14:paraId="57802CF4" w14:textId="1C9C82C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The assessment's primary objectives revolve around a holistic evaluation of The Seaview Resort's current financial standing, aiming to unearth the underlying causes of its deteriorating performance over the past three years. By meticulously scrutinizing financial records, operational data, customer feedback, and industry trends, the assessment endeavors to conduct a comprehensive analysis</w:t>
      </w:r>
      <w:r w:rsidR="00BD6D5D">
        <w:rPr>
          <w:rFonts w:ascii="Arial" w:hAnsi="Arial" w:cs="Arial"/>
          <w:sz w:val="24"/>
          <w:szCs w:val="24"/>
        </w:rPr>
        <w:t xml:space="preserve"> (</w:t>
      </w:r>
      <w:r w:rsidR="00BD6D5D" w:rsidRPr="00BD6D5D">
        <w:rPr>
          <w:rFonts w:ascii="Arial" w:hAnsi="Arial" w:cs="Arial"/>
          <w:sz w:val="24"/>
          <w:szCs w:val="24"/>
        </w:rPr>
        <w:t>Ali, Amin</w:t>
      </w:r>
      <w:r w:rsidR="00BD6D5D">
        <w:rPr>
          <w:rFonts w:ascii="Arial" w:hAnsi="Arial" w:cs="Arial"/>
          <w:sz w:val="24"/>
          <w:szCs w:val="24"/>
        </w:rPr>
        <w:t xml:space="preserve"> </w:t>
      </w:r>
      <w:r w:rsidR="00BD6D5D" w:rsidRPr="00BD6D5D">
        <w:rPr>
          <w:rFonts w:ascii="Arial" w:hAnsi="Arial" w:cs="Arial"/>
          <w:sz w:val="24"/>
          <w:szCs w:val="24"/>
        </w:rPr>
        <w:t>and Cobanoglu</w:t>
      </w:r>
      <w:r w:rsidR="00BD6D5D">
        <w:rPr>
          <w:rFonts w:ascii="Arial" w:hAnsi="Arial" w:cs="Arial"/>
          <w:sz w:val="24"/>
          <w:szCs w:val="24"/>
        </w:rPr>
        <w:t>, 2016)</w:t>
      </w:r>
      <w:r w:rsidRPr="00656966">
        <w:rPr>
          <w:rFonts w:ascii="Arial" w:hAnsi="Arial" w:cs="Arial"/>
          <w:sz w:val="24"/>
          <w:szCs w:val="24"/>
        </w:rPr>
        <w:t>.</w:t>
      </w:r>
    </w:p>
    <w:p w14:paraId="6B4960B5"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 xml:space="preserve">Firstly, the evaluation of The Seaview Resort's financial performance </w:t>
      </w:r>
      <w:proofErr w:type="gramStart"/>
      <w:r w:rsidRPr="00656966">
        <w:rPr>
          <w:rFonts w:ascii="Arial" w:hAnsi="Arial" w:cs="Arial"/>
          <w:sz w:val="24"/>
          <w:szCs w:val="24"/>
        </w:rPr>
        <w:t>from</w:t>
      </w:r>
      <w:proofErr w:type="gramEnd"/>
      <w:r w:rsidRPr="00656966">
        <w:rPr>
          <w:rFonts w:ascii="Arial" w:hAnsi="Arial" w:cs="Arial"/>
          <w:sz w:val="24"/>
          <w:szCs w:val="24"/>
        </w:rPr>
        <w:t xml:space="preserve"> the past three years stands as a critical pillar of this assessment. Analyzing key financial metrics, including revenue, expenses, profit margins, and cash flow, will provide crucial insights into the resort's financial trajectory and identify trends contributing to its declining profitability.</w:t>
      </w:r>
    </w:p>
    <w:p w14:paraId="790FF84F"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Secondly, the assessment aims to uncover the primary factors responsible for the resort's diminishing financial health. Scrutinizing operational inefficiencies, cost structures, customer satisfaction levels, and market dynamics will aid in identifying the root causes behind the declining profitability.</w:t>
      </w:r>
    </w:p>
    <w:p w14:paraId="74B5F8F0" w14:textId="1E9783B4"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Finally, armed with a comprehensive understanding of the resort's financial landscape and the causal factors leading to its downturn, the assessment seeks to devise a robust turnaround strategy. This strategy will be meticulously crafted to revitalize the resort's financial resilience, aiming not only to restore profitability but also to reinstate its standing as a premier vacation destination. By aligning strategies with modern consumer preferences, industry trends, and competitive benchmarks, the goal is to pave the way for optimal financial outcomes and the resurgence of The Seaview Resort's reputation</w:t>
      </w:r>
      <w:r w:rsidR="00BD6D5D">
        <w:rPr>
          <w:rFonts w:ascii="Arial" w:hAnsi="Arial" w:cs="Arial"/>
          <w:sz w:val="24"/>
          <w:szCs w:val="24"/>
        </w:rPr>
        <w:t xml:space="preserve"> (</w:t>
      </w:r>
      <w:r w:rsidR="00BD6D5D" w:rsidRPr="00BD6D5D">
        <w:rPr>
          <w:rFonts w:ascii="Arial" w:hAnsi="Arial" w:cs="Arial"/>
          <w:sz w:val="24"/>
          <w:szCs w:val="24"/>
        </w:rPr>
        <w:t xml:space="preserve">Gemar, </w:t>
      </w:r>
      <w:proofErr w:type="spellStart"/>
      <w:r w:rsidR="00BD6D5D" w:rsidRPr="00BD6D5D">
        <w:rPr>
          <w:rFonts w:ascii="Arial" w:hAnsi="Arial" w:cs="Arial"/>
          <w:sz w:val="24"/>
          <w:szCs w:val="24"/>
        </w:rPr>
        <w:t>Moniche</w:t>
      </w:r>
      <w:proofErr w:type="spellEnd"/>
      <w:r w:rsidR="00BD6D5D">
        <w:rPr>
          <w:rFonts w:ascii="Arial" w:hAnsi="Arial" w:cs="Arial"/>
          <w:sz w:val="24"/>
          <w:szCs w:val="24"/>
        </w:rPr>
        <w:t xml:space="preserve"> </w:t>
      </w:r>
      <w:r w:rsidR="00BD6D5D" w:rsidRPr="00BD6D5D">
        <w:rPr>
          <w:rFonts w:ascii="Arial" w:hAnsi="Arial" w:cs="Arial"/>
          <w:sz w:val="24"/>
          <w:szCs w:val="24"/>
        </w:rPr>
        <w:t>and Morales</w:t>
      </w:r>
      <w:r w:rsidR="00BD6D5D">
        <w:rPr>
          <w:rFonts w:ascii="Arial" w:hAnsi="Arial" w:cs="Arial"/>
          <w:sz w:val="24"/>
          <w:szCs w:val="24"/>
        </w:rPr>
        <w:t>, 2016)</w:t>
      </w:r>
      <w:r w:rsidRPr="00656966">
        <w:rPr>
          <w:rFonts w:ascii="Arial" w:hAnsi="Arial" w:cs="Arial"/>
          <w:sz w:val="24"/>
          <w:szCs w:val="24"/>
        </w:rPr>
        <w:t>.</w:t>
      </w:r>
    </w:p>
    <w:p w14:paraId="36E4223F" w14:textId="11CB55EE" w:rsidR="00656966" w:rsidRDefault="00656966" w:rsidP="00BD6D5D">
      <w:pPr>
        <w:spacing w:line="360" w:lineRule="auto"/>
        <w:jc w:val="both"/>
        <w:rPr>
          <w:rFonts w:ascii="Arial" w:hAnsi="Arial" w:cs="Arial"/>
          <w:sz w:val="24"/>
          <w:szCs w:val="24"/>
        </w:rPr>
      </w:pPr>
      <w:r w:rsidRPr="00656966">
        <w:rPr>
          <w:rFonts w:ascii="Arial" w:hAnsi="Arial" w:cs="Arial"/>
          <w:sz w:val="24"/>
          <w:szCs w:val="24"/>
        </w:rPr>
        <w:t>This rigorous analysis and strategic approach aim to guide the resort towards rejuvenation, aligning its offerings with contemporary consumer demands, fostering customer satisfaction, and enhancing its competitive edge in the ever-evolving hospitality landscape.</w:t>
      </w:r>
    </w:p>
    <w:p w14:paraId="2E52C831" w14:textId="62CC5F1A" w:rsidR="00656966" w:rsidRDefault="00656966" w:rsidP="00BD6D5D">
      <w:pPr>
        <w:pStyle w:val="Heading1"/>
        <w:spacing w:line="360" w:lineRule="auto"/>
      </w:pPr>
      <w:bookmarkStart w:id="3" w:name="_Toc151413652"/>
      <w:r w:rsidRPr="00656966">
        <w:t>Income Statement Analysis (2020-2022):</w:t>
      </w:r>
      <w:bookmarkEnd w:id="3"/>
    </w:p>
    <w:p w14:paraId="777BC993"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The Seaview Resort's income statement for the past three years illustrates a distressing pattern of financial deterioration. Total Revenue experienced a consistent decline from £520,000 in 2020 to £430,000 in 2022, signifying a notable reduction in the resort's business volume. This decline in revenue generation places significant strain on the resort's financial health, exacerbating its challenges.</w:t>
      </w:r>
    </w:p>
    <w:p w14:paraId="62F0FF0A"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Simultaneously, Operating Expenses displayed an upward trajectory, escalating from £390,000 in 2020 to £450,000 in 2022. This steady increase in operational costs further burdened the resort's financial standing, outpacing the growth in revenue and contributing to diminished profitability.</w:t>
      </w:r>
    </w:p>
    <w:p w14:paraId="52751F8A"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Consequently, the Gross Profit margin plummeted from £130,000 in 2020 to a concerning negative figure of (£20,000) in 2022. This stark reversal indicates that the cost of operations outweighed the revenue generated, resulting in a substantial loss rather than a profit.</w:t>
      </w:r>
    </w:p>
    <w:p w14:paraId="7247C31A"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The Net Profit (Loss) figures underscore the severity of the resort's financial decline, witnessing a notable decrease from £78,000 in 2020 to a substantial loss of (£47,500) in 2022. This pronounced decrease in profitability signifies an alarming downward trend and raises critical concerns about the resort's financial sustainability.</w:t>
      </w:r>
    </w:p>
    <w:p w14:paraId="4614B1B5"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Most notably, the Net Profit Margin, reflecting the percentage of revenue converted into profit, plummeted from a healthy 15% in 2020 to a worrying -11% in 2022. This drastic decline in profitability ratios underscores the resort's inefficiencies in managing costs relative to its revenue, resulting in a significant loss rather than generating profits.</w:t>
      </w:r>
    </w:p>
    <w:p w14:paraId="39B6EE64" w14:textId="5979D8F6" w:rsidR="00656966" w:rsidRDefault="00656966" w:rsidP="00BD6D5D">
      <w:pPr>
        <w:spacing w:line="360" w:lineRule="auto"/>
        <w:jc w:val="both"/>
        <w:rPr>
          <w:rFonts w:ascii="Arial" w:hAnsi="Arial" w:cs="Arial"/>
          <w:sz w:val="24"/>
          <w:szCs w:val="24"/>
        </w:rPr>
      </w:pPr>
      <w:r w:rsidRPr="00656966">
        <w:rPr>
          <w:rFonts w:ascii="Arial" w:hAnsi="Arial" w:cs="Arial"/>
          <w:sz w:val="24"/>
          <w:szCs w:val="24"/>
        </w:rPr>
        <w:t xml:space="preserve">The consistent decline in revenue, coupled with escalating operational expenses and a profound loss in profitability, </w:t>
      </w:r>
      <w:proofErr w:type="gramStart"/>
      <w:r w:rsidRPr="00656966">
        <w:rPr>
          <w:rFonts w:ascii="Arial" w:hAnsi="Arial" w:cs="Arial"/>
          <w:sz w:val="24"/>
          <w:szCs w:val="24"/>
        </w:rPr>
        <w:t>portrays</w:t>
      </w:r>
      <w:proofErr w:type="gramEnd"/>
      <w:r w:rsidRPr="00656966">
        <w:rPr>
          <w:rFonts w:ascii="Arial" w:hAnsi="Arial" w:cs="Arial"/>
          <w:sz w:val="24"/>
          <w:szCs w:val="24"/>
        </w:rPr>
        <w:t xml:space="preserve"> a distressing financial picture for The Seaview Resort. Urgent measures and a comprehensive strategic overhaul are imperative to reverse this trend, optimize operational efficiency, and restore the resort's financial stability</w:t>
      </w:r>
      <w:r w:rsidR="00BD6D5D">
        <w:rPr>
          <w:rFonts w:ascii="Arial" w:hAnsi="Arial" w:cs="Arial"/>
          <w:sz w:val="24"/>
          <w:szCs w:val="24"/>
        </w:rPr>
        <w:t xml:space="preserve"> (</w:t>
      </w:r>
      <w:r w:rsidR="00BD6D5D" w:rsidRPr="00BD6D5D">
        <w:rPr>
          <w:rFonts w:ascii="Arial" w:hAnsi="Arial" w:cs="Arial"/>
          <w:sz w:val="24"/>
          <w:szCs w:val="24"/>
        </w:rPr>
        <w:t>Chikere</w:t>
      </w:r>
      <w:r w:rsidR="00BD6D5D">
        <w:rPr>
          <w:rFonts w:ascii="Arial" w:hAnsi="Arial" w:cs="Arial"/>
          <w:sz w:val="24"/>
          <w:szCs w:val="24"/>
        </w:rPr>
        <w:t xml:space="preserve"> </w:t>
      </w:r>
      <w:r w:rsidR="00BD6D5D" w:rsidRPr="00BD6D5D">
        <w:rPr>
          <w:rFonts w:ascii="Arial" w:hAnsi="Arial" w:cs="Arial"/>
          <w:sz w:val="24"/>
          <w:szCs w:val="24"/>
        </w:rPr>
        <w:t xml:space="preserve">and </w:t>
      </w:r>
      <w:proofErr w:type="spellStart"/>
      <w:r w:rsidR="00BD6D5D" w:rsidRPr="00BD6D5D">
        <w:rPr>
          <w:rFonts w:ascii="Arial" w:hAnsi="Arial" w:cs="Arial"/>
          <w:sz w:val="24"/>
          <w:szCs w:val="24"/>
        </w:rPr>
        <w:t>Nwoka</w:t>
      </w:r>
      <w:proofErr w:type="spellEnd"/>
      <w:r w:rsidR="00BD6D5D">
        <w:rPr>
          <w:rFonts w:ascii="Arial" w:hAnsi="Arial" w:cs="Arial"/>
          <w:sz w:val="24"/>
          <w:szCs w:val="24"/>
        </w:rPr>
        <w:t>, 2015)</w:t>
      </w:r>
      <w:r w:rsidRPr="00656966">
        <w:rPr>
          <w:rFonts w:ascii="Arial" w:hAnsi="Arial" w:cs="Arial"/>
          <w:sz w:val="24"/>
          <w:szCs w:val="24"/>
        </w:rPr>
        <w:t>.</w:t>
      </w:r>
    </w:p>
    <w:p w14:paraId="3F594680" w14:textId="2E328185" w:rsidR="00656966" w:rsidRDefault="00656966" w:rsidP="00BD6D5D">
      <w:pPr>
        <w:pStyle w:val="Heading1"/>
        <w:spacing w:line="360" w:lineRule="auto"/>
      </w:pPr>
      <w:bookmarkStart w:id="4" w:name="_Toc151413653"/>
      <w:r w:rsidRPr="00656966">
        <w:t>Balance Sheet Analysis (End of 2022):</w:t>
      </w:r>
      <w:bookmarkEnd w:id="4"/>
    </w:p>
    <w:p w14:paraId="6A57199B"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The Seaview Resort's Balance Sheet, as of the end of 2022, presents a snapshot of its financial standing, revealing a substantial asset base of £1,030,000. These assets are comprised of various components, with Current Assets accounting for £250,000, reflecting short-term assets like cash, accounts receivable, and inventory. The Property &amp; Equipment segment, valued at £630,000 (including £100,000 as inventory), represents the resort's tangible assets, including land, buildings, furnishings, and equipment. Additionally, Other Assets amounting to £150,000 encompass intangible or non-current assets contributing to the resort's value.</w:t>
      </w:r>
    </w:p>
    <w:p w14:paraId="2A7E35F6"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However, juxtaposed against these substantial assets are considerable liabilities totaling £580,000. These liabilities consist of Current Liabilities worth £180,000, representing short-term obligations like accounts payable and accrued expenses. The Long-term Debt of £400,000 constitutes a significant financial obligation that imposes a weighty burden on the resort's financial operations.</w:t>
      </w:r>
    </w:p>
    <w:p w14:paraId="46E8F25D"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 xml:space="preserve">The Equity of £450,000, derived by subtracting Total Liabilities from Total Assets, </w:t>
      </w:r>
      <w:proofErr w:type="gramStart"/>
      <w:r w:rsidRPr="00656966">
        <w:rPr>
          <w:rFonts w:ascii="Arial" w:hAnsi="Arial" w:cs="Arial"/>
          <w:sz w:val="24"/>
          <w:szCs w:val="24"/>
        </w:rPr>
        <w:t>portrays</w:t>
      </w:r>
      <w:proofErr w:type="gramEnd"/>
      <w:r w:rsidRPr="00656966">
        <w:rPr>
          <w:rFonts w:ascii="Arial" w:hAnsi="Arial" w:cs="Arial"/>
          <w:sz w:val="24"/>
          <w:szCs w:val="24"/>
        </w:rPr>
        <w:t xml:space="preserve"> the residual value or ownership interest attributed to the resort's owners or shareholders.</w:t>
      </w:r>
    </w:p>
    <w:p w14:paraId="0BA49C17" w14:textId="674C2DD4" w:rsidR="00656966" w:rsidRDefault="00656966" w:rsidP="00BD6D5D">
      <w:pPr>
        <w:spacing w:line="360" w:lineRule="auto"/>
        <w:jc w:val="both"/>
        <w:rPr>
          <w:rFonts w:ascii="Arial" w:hAnsi="Arial" w:cs="Arial"/>
          <w:sz w:val="24"/>
          <w:szCs w:val="24"/>
        </w:rPr>
      </w:pPr>
      <w:r w:rsidRPr="00656966">
        <w:rPr>
          <w:rFonts w:ascii="Arial" w:hAnsi="Arial" w:cs="Arial"/>
          <w:sz w:val="24"/>
          <w:szCs w:val="24"/>
        </w:rPr>
        <w:t>Although The Seaview Resort boasts a substantial asset base, the escalating liabilities, particularly the significant long-term debt, exert substantial strain on its financial health. The negative trend in profitability evident from the Income Statement accentuates the resort's financial challenges. This disparity between assets and liabilities, coupled with declining profitability, necessitates immediate intervention through a comprehensive turnaround strategy. Such a strategy must aim to mitigate losses, optimize revenue streams, effectively manage expenses, and restructure liabilities to reinstate the resort's financial stability and long-term viability. Urgent and strategic measures are imperative to reverse the downward trajectory and rejuvenate The Seaview Resort's financial health</w:t>
      </w:r>
      <w:r w:rsidR="00BD6D5D">
        <w:rPr>
          <w:rFonts w:ascii="Arial" w:hAnsi="Arial" w:cs="Arial"/>
          <w:sz w:val="24"/>
          <w:szCs w:val="24"/>
        </w:rPr>
        <w:t xml:space="preserve"> (</w:t>
      </w:r>
      <w:r w:rsidR="00BD6D5D" w:rsidRPr="00BD6D5D">
        <w:rPr>
          <w:rFonts w:ascii="Arial" w:hAnsi="Arial" w:cs="Arial"/>
          <w:sz w:val="24"/>
          <w:szCs w:val="24"/>
        </w:rPr>
        <w:t>Damm,</w:t>
      </w:r>
      <w:r w:rsidR="00BD6D5D">
        <w:rPr>
          <w:rFonts w:ascii="Arial" w:hAnsi="Arial" w:cs="Arial"/>
          <w:sz w:val="24"/>
          <w:szCs w:val="24"/>
        </w:rPr>
        <w:t xml:space="preserve"> </w:t>
      </w:r>
      <w:r w:rsidR="00BD6D5D" w:rsidRPr="00BD6D5D">
        <w:rPr>
          <w:rFonts w:ascii="Arial" w:hAnsi="Arial" w:cs="Arial"/>
          <w:sz w:val="24"/>
          <w:szCs w:val="24"/>
        </w:rPr>
        <w:t>Köberl</w:t>
      </w:r>
      <w:r w:rsidR="00BD6D5D">
        <w:rPr>
          <w:rFonts w:ascii="Arial" w:hAnsi="Arial" w:cs="Arial"/>
          <w:sz w:val="24"/>
          <w:szCs w:val="24"/>
        </w:rPr>
        <w:t xml:space="preserve"> </w:t>
      </w:r>
      <w:r w:rsidR="00BD6D5D" w:rsidRPr="00BD6D5D">
        <w:rPr>
          <w:rFonts w:ascii="Arial" w:hAnsi="Arial" w:cs="Arial"/>
          <w:sz w:val="24"/>
          <w:szCs w:val="24"/>
        </w:rPr>
        <w:t xml:space="preserve">and </w:t>
      </w:r>
      <w:proofErr w:type="spellStart"/>
      <w:r w:rsidR="00BD6D5D" w:rsidRPr="00BD6D5D">
        <w:rPr>
          <w:rFonts w:ascii="Arial" w:hAnsi="Arial" w:cs="Arial"/>
          <w:sz w:val="24"/>
          <w:szCs w:val="24"/>
        </w:rPr>
        <w:t>Prettenthaler</w:t>
      </w:r>
      <w:proofErr w:type="spellEnd"/>
      <w:r w:rsidR="00BD6D5D">
        <w:rPr>
          <w:rFonts w:ascii="Arial" w:hAnsi="Arial" w:cs="Arial"/>
          <w:sz w:val="24"/>
          <w:szCs w:val="24"/>
        </w:rPr>
        <w:t>, 2014)</w:t>
      </w:r>
      <w:r w:rsidRPr="00656966">
        <w:rPr>
          <w:rFonts w:ascii="Arial" w:hAnsi="Arial" w:cs="Arial"/>
          <w:sz w:val="24"/>
          <w:szCs w:val="24"/>
        </w:rPr>
        <w:t>.</w:t>
      </w:r>
    </w:p>
    <w:p w14:paraId="2980D46F" w14:textId="2DBE7FDB" w:rsidR="00656966" w:rsidRPr="00656966" w:rsidRDefault="00656966" w:rsidP="00BD6D5D">
      <w:pPr>
        <w:pStyle w:val="Heading1"/>
        <w:spacing w:line="360" w:lineRule="auto"/>
      </w:pPr>
      <w:bookmarkStart w:id="5" w:name="_Toc151413654"/>
      <w:r w:rsidRPr="00656966">
        <w:t>Cash Flow Analysis (2021):</w:t>
      </w:r>
      <w:bookmarkEnd w:id="5"/>
    </w:p>
    <w:p w14:paraId="59EE8049"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The cash flow analysis for The Seaview Resort in 2021 reveals pronounced challenges in generating operational cash and making necessary capital investments. The Net Cash Flow from Operations stood at a worrying negative £80,000, indicating that the resort's day-to-day business activities failed to generate adequate cash to meet its operational expenses. This shortfall signifies a critical disparity between cash generated from regular operations and the expenses required to sustain these activities, leading to a financial deficit in covering operational costs.</w:t>
      </w:r>
    </w:p>
    <w:p w14:paraId="2DBC584C"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Additionally, the resort incurred Capital Expenditures amounting to £30,000 during the year, representing investments made in property, equipment, or fixed assets essential for the resort's operations. These capital outlays, when coupled with the negative cash flow from operations, exacerbated the financial strain, contributing to a substantial decrease in the Net Cash Flow or the Change in Cash Balance. The resort experienced a deficit of £110,000 in its cash reserves, reflecting either a reduction in available cash or the resort resorting to external financing options to fulfill its operational and investment necessities in 2021.</w:t>
      </w:r>
    </w:p>
    <w:p w14:paraId="2D94250A" w14:textId="77777777" w:rsidR="00656966" w:rsidRPr="00656966" w:rsidRDefault="00656966" w:rsidP="00BD6D5D">
      <w:pPr>
        <w:spacing w:line="360" w:lineRule="auto"/>
        <w:jc w:val="both"/>
        <w:rPr>
          <w:rFonts w:ascii="Arial" w:hAnsi="Arial" w:cs="Arial"/>
          <w:sz w:val="24"/>
          <w:szCs w:val="24"/>
        </w:rPr>
      </w:pPr>
      <w:r w:rsidRPr="00656966">
        <w:rPr>
          <w:rFonts w:ascii="Arial" w:hAnsi="Arial" w:cs="Arial"/>
          <w:sz w:val="24"/>
          <w:szCs w:val="24"/>
        </w:rPr>
        <w:t>This significant reduction in the net cash position indicates that The Seaview Resort faced challenges in meeting its financial obligations and funding its operational activities and essential investments solely through its internal cash flows. The resort either experienced a depletion in its cash reserves or relied on external sources, such as loans or financing, to bridge the gap between operational needs and available cash. Such reliance on external financing or reduced cash reserves underscores the pressing need for strategic financial management and a comprehensive turnaround plan to bolster cash flow generation, optimize expenditure, and enhance the resort's financial resilience for sustained operations and growth.</w:t>
      </w:r>
    </w:p>
    <w:p w14:paraId="14E2A901" w14:textId="30F483CF" w:rsidR="00656966" w:rsidRPr="00656966" w:rsidRDefault="00656966" w:rsidP="00BD6D5D">
      <w:pPr>
        <w:pStyle w:val="Heading1"/>
        <w:spacing w:line="360" w:lineRule="auto"/>
      </w:pPr>
      <w:bookmarkStart w:id="6" w:name="_Toc151413655"/>
      <w:r w:rsidRPr="00656966">
        <w:t>Additional Financial Information:</w:t>
      </w:r>
      <w:bookmarkEnd w:id="6"/>
    </w:p>
    <w:p w14:paraId="771DF33C" w14:textId="77777777" w:rsidR="00656966" w:rsidRPr="00656966" w:rsidRDefault="00656966" w:rsidP="00BD6D5D">
      <w:pPr>
        <w:tabs>
          <w:tab w:val="left" w:pos="204"/>
        </w:tabs>
        <w:spacing w:line="360" w:lineRule="auto"/>
        <w:jc w:val="both"/>
        <w:rPr>
          <w:rFonts w:ascii="Arial" w:hAnsi="Arial" w:cs="Arial"/>
          <w:sz w:val="24"/>
          <w:szCs w:val="24"/>
        </w:rPr>
      </w:pPr>
      <w:r w:rsidRPr="00656966">
        <w:rPr>
          <w:rFonts w:ascii="Arial" w:hAnsi="Arial" w:cs="Arial"/>
          <w:sz w:val="24"/>
          <w:szCs w:val="24"/>
        </w:rPr>
        <w:t>The Seaview Resort's financial landscape is influenced significantly by noteworthy shifts in Average Room Rates (ARR) and Occupancy Rates, pivotal metrics in the hospitality industry. The declining trend in ARR, from £250 in 2020 to £210 in 2022, signals various potential implications for the resort's financial health. While a reduction in room rates may be a tactical response to stimulate customer demand or counter competitive pressures in the market, a sustained decrease over time could pose challenges to maintaining revenue streams and profitability. The decline might indicate the resort's struggle to uphold competitive pricing without compromising its financial viability.</w:t>
      </w:r>
    </w:p>
    <w:p w14:paraId="53094DEA" w14:textId="77777777" w:rsidR="00656966" w:rsidRPr="00656966" w:rsidRDefault="00656966" w:rsidP="00BD6D5D">
      <w:pPr>
        <w:tabs>
          <w:tab w:val="left" w:pos="204"/>
        </w:tabs>
        <w:spacing w:line="360" w:lineRule="auto"/>
        <w:jc w:val="both"/>
        <w:rPr>
          <w:rFonts w:ascii="Arial" w:hAnsi="Arial" w:cs="Arial"/>
          <w:sz w:val="24"/>
          <w:szCs w:val="24"/>
        </w:rPr>
      </w:pPr>
      <w:r w:rsidRPr="00656966">
        <w:rPr>
          <w:rFonts w:ascii="Arial" w:hAnsi="Arial" w:cs="Arial"/>
          <w:sz w:val="24"/>
          <w:szCs w:val="24"/>
        </w:rPr>
        <w:t>Simultaneously, the Occupancy Rate displayed a decrease from 70% in 2020 to 60% in 2022. A diminishing Occupancy Rate, coupled with declining room rates, significantly impacts revenue generation. This decline indicates the resort's challenges in attracting and retaining guests, directly influencing its financial performance. A lower occupancy rate means underutilized capacity, resulting in decreased revenue despite offering lower room rates.</w:t>
      </w:r>
    </w:p>
    <w:p w14:paraId="26FEF36F" w14:textId="77777777" w:rsidR="00656966" w:rsidRPr="00656966" w:rsidRDefault="00656966" w:rsidP="00BD6D5D">
      <w:pPr>
        <w:tabs>
          <w:tab w:val="left" w:pos="204"/>
        </w:tabs>
        <w:spacing w:line="360" w:lineRule="auto"/>
        <w:jc w:val="both"/>
        <w:rPr>
          <w:rFonts w:ascii="Arial" w:hAnsi="Arial" w:cs="Arial"/>
          <w:sz w:val="24"/>
          <w:szCs w:val="24"/>
        </w:rPr>
      </w:pPr>
      <w:r w:rsidRPr="00656966">
        <w:rPr>
          <w:rFonts w:ascii="Arial" w:hAnsi="Arial" w:cs="Arial"/>
          <w:sz w:val="24"/>
          <w:szCs w:val="24"/>
        </w:rPr>
        <w:t>The synergy between declining Average Room Rates and Occupancy Rates potentially contributed to reduced cash flows and financial hardships for the resort. These trends necessitate a strategic reassessment of various operational aspects. Reevaluating pricing strategies, perhaps considering a balance between competitiveness and revenue generation, becomes crucial. Likewise, revamping marketing efforts to attract a wider clientele base without compromising on revenue becomes essential. Operational efficiencies need evaluation to optimize costs while maintaining service quality.</w:t>
      </w:r>
    </w:p>
    <w:p w14:paraId="6046B824" w14:textId="6070B890" w:rsidR="00656966" w:rsidRDefault="00656966" w:rsidP="00BD6D5D">
      <w:pPr>
        <w:tabs>
          <w:tab w:val="left" w:pos="204"/>
        </w:tabs>
        <w:spacing w:line="360" w:lineRule="auto"/>
        <w:jc w:val="both"/>
        <w:rPr>
          <w:rFonts w:ascii="Arial" w:hAnsi="Arial" w:cs="Arial"/>
          <w:sz w:val="24"/>
          <w:szCs w:val="24"/>
        </w:rPr>
      </w:pPr>
      <w:r w:rsidRPr="00656966">
        <w:rPr>
          <w:rFonts w:ascii="Arial" w:hAnsi="Arial" w:cs="Arial"/>
          <w:sz w:val="24"/>
          <w:szCs w:val="24"/>
        </w:rPr>
        <w:t>This analysis underscores the imperative need for The Seaview Resort to realign its strategies concerning pricing, marketing, and operations. An adaptive approach catering to evolving market dynamics and consumer preferences is essential to enhance revenue generation, bolster financial health, and ensure sustained growth and competitiveness within the hospitality sector.</w:t>
      </w:r>
    </w:p>
    <w:p w14:paraId="4D85BDB7" w14:textId="7F297FF6" w:rsidR="00656966" w:rsidRDefault="00656966" w:rsidP="00BD6D5D">
      <w:pPr>
        <w:pStyle w:val="Heading1"/>
        <w:spacing w:line="360" w:lineRule="auto"/>
      </w:pPr>
      <w:bookmarkStart w:id="7" w:name="_Toc151413656"/>
      <w:r w:rsidRPr="00656966">
        <w:t>Conclusion</w:t>
      </w:r>
      <w:bookmarkEnd w:id="7"/>
    </w:p>
    <w:p w14:paraId="71E2F1D8" w14:textId="562129A8" w:rsidR="00656966" w:rsidRDefault="00A073D2" w:rsidP="00BD6D5D">
      <w:pPr>
        <w:tabs>
          <w:tab w:val="left" w:pos="204"/>
        </w:tabs>
        <w:spacing w:line="360" w:lineRule="auto"/>
        <w:jc w:val="both"/>
        <w:rPr>
          <w:rFonts w:ascii="Arial" w:hAnsi="Arial" w:cs="Arial"/>
          <w:sz w:val="24"/>
          <w:szCs w:val="24"/>
        </w:rPr>
      </w:pPr>
      <w:r w:rsidRPr="00A073D2">
        <w:rPr>
          <w:rFonts w:ascii="Arial" w:hAnsi="Arial" w:cs="Arial"/>
          <w:sz w:val="24"/>
          <w:szCs w:val="24"/>
        </w:rPr>
        <w:t>The comprehensive financial assessment of The Seaview Resort underscores critical challenges emerging from declining revenue streams alongside decreasing Average Room Rates and Occupancy Rates. These findings underscore the urgency for strategic initiatives aimed at reconfiguring pricing strategies, augmenting marketing endeavors, and optimizing operational efficiencies. The resort stands at a pivotal crossroads, necessitating immediate action to reverse its downward financial trajectory and regain stability</w:t>
      </w:r>
      <w:r w:rsidR="00BD6D5D">
        <w:rPr>
          <w:rFonts w:ascii="Arial" w:hAnsi="Arial" w:cs="Arial"/>
          <w:sz w:val="24"/>
          <w:szCs w:val="24"/>
        </w:rPr>
        <w:t xml:space="preserve"> (</w:t>
      </w:r>
      <w:r w:rsidR="00BD6D5D" w:rsidRPr="00BD6D5D">
        <w:rPr>
          <w:rFonts w:ascii="Arial" w:hAnsi="Arial" w:cs="Arial"/>
          <w:sz w:val="24"/>
          <w:szCs w:val="24"/>
        </w:rPr>
        <w:t>Ghazali,</w:t>
      </w:r>
      <w:r w:rsidR="00BD6D5D">
        <w:rPr>
          <w:rFonts w:ascii="Arial" w:hAnsi="Arial" w:cs="Arial"/>
          <w:sz w:val="24"/>
          <w:szCs w:val="24"/>
        </w:rPr>
        <w:t xml:space="preserve"> </w:t>
      </w:r>
      <w:r w:rsidR="00BD6D5D" w:rsidRPr="00BD6D5D">
        <w:rPr>
          <w:rFonts w:ascii="Arial" w:hAnsi="Arial" w:cs="Arial"/>
          <w:sz w:val="24"/>
          <w:szCs w:val="24"/>
        </w:rPr>
        <w:t>Shafie</w:t>
      </w:r>
      <w:r w:rsidR="00BD6D5D">
        <w:rPr>
          <w:rFonts w:ascii="Arial" w:hAnsi="Arial" w:cs="Arial"/>
          <w:sz w:val="24"/>
          <w:szCs w:val="24"/>
        </w:rPr>
        <w:t xml:space="preserve"> </w:t>
      </w:r>
      <w:r w:rsidR="00BD6D5D" w:rsidRPr="00BD6D5D">
        <w:rPr>
          <w:rFonts w:ascii="Arial" w:hAnsi="Arial" w:cs="Arial"/>
          <w:sz w:val="24"/>
          <w:szCs w:val="24"/>
        </w:rPr>
        <w:t>and Sanusi</w:t>
      </w:r>
      <w:r w:rsidR="00BD6D5D">
        <w:rPr>
          <w:rFonts w:ascii="Arial" w:hAnsi="Arial" w:cs="Arial"/>
          <w:sz w:val="24"/>
          <w:szCs w:val="24"/>
        </w:rPr>
        <w:t>, 2015)</w:t>
      </w:r>
      <w:r w:rsidRPr="00A073D2">
        <w:rPr>
          <w:rFonts w:ascii="Arial" w:hAnsi="Arial" w:cs="Arial"/>
          <w:sz w:val="24"/>
          <w:szCs w:val="24"/>
        </w:rPr>
        <w:t>. Implementing a robust turnaround strategy encompassing measures to diversify revenue streams, enhance cost-effectiveness, and attract a wider customer base becomes imperative. Through astute financial management and adaptable strategies aligned with evolving market dynamics, The Seaview Resort can chart a transformative course towards rejuvenation. By cultivating a customer-centric ethos, embracing innovative marketing approaches, and refining operational efficiencies, the resort can re-establish itself as a competitive force within the hospitality sector. The resort's success hinges upon its ability to swiftly address financial hurdles and embrace strategic changes, ultimately paving the way for sustained growth and enduring profitability in the fiercely competitive hospitality landscape</w:t>
      </w:r>
      <w:r w:rsidR="00AB01A4">
        <w:rPr>
          <w:rFonts w:ascii="Arial" w:hAnsi="Arial" w:cs="Arial"/>
          <w:sz w:val="24"/>
          <w:szCs w:val="24"/>
        </w:rPr>
        <w:t xml:space="preserve"> (</w:t>
      </w:r>
      <w:r w:rsidR="00AB01A4" w:rsidRPr="00AB01A4">
        <w:rPr>
          <w:rFonts w:ascii="Arial" w:hAnsi="Arial" w:cs="Arial"/>
          <w:sz w:val="24"/>
          <w:szCs w:val="24"/>
        </w:rPr>
        <w:t>Scales,</w:t>
      </w:r>
      <w:r w:rsidR="00AB01A4">
        <w:rPr>
          <w:rFonts w:ascii="Arial" w:hAnsi="Arial" w:cs="Arial"/>
          <w:sz w:val="24"/>
          <w:szCs w:val="24"/>
        </w:rPr>
        <w:t xml:space="preserve"> </w:t>
      </w:r>
      <w:r w:rsidR="00AB01A4" w:rsidRPr="00AB01A4">
        <w:rPr>
          <w:rFonts w:ascii="Arial" w:hAnsi="Arial" w:cs="Arial"/>
          <w:sz w:val="24"/>
          <w:szCs w:val="24"/>
        </w:rPr>
        <w:t>Albano</w:t>
      </w:r>
      <w:r w:rsidR="00AB01A4">
        <w:rPr>
          <w:rFonts w:ascii="Arial" w:hAnsi="Arial" w:cs="Arial"/>
          <w:sz w:val="24"/>
          <w:szCs w:val="24"/>
        </w:rPr>
        <w:t xml:space="preserve"> </w:t>
      </w:r>
      <w:r w:rsidR="00AB01A4" w:rsidRPr="00AB01A4">
        <w:rPr>
          <w:rFonts w:ascii="Arial" w:hAnsi="Arial" w:cs="Arial"/>
          <w:sz w:val="24"/>
          <w:szCs w:val="24"/>
        </w:rPr>
        <w:t>and Quain</w:t>
      </w:r>
      <w:r w:rsidR="00AB01A4">
        <w:rPr>
          <w:rFonts w:ascii="Arial" w:hAnsi="Arial" w:cs="Arial"/>
          <w:sz w:val="24"/>
          <w:szCs w:val="24"/>
        </w:rPr>
        <w:t>, 2012)</w:t>
      </w:r>
      <w:r w:rsidRPr="00A073D2">
        <w:rPr>
          <w:rFonts w:ascii="Arial" w:hAnsi="Arial" w:cs="Arial"/>
          <w:sz w:val="24"/>
          <w:szCs w:val="24"/>
        </w:rPr>
        <w:t>.</w:t>
      </w:r>
    </w:p>
    <w:p w14:paraId="0F0E855E" w14:textId="77777777" w:rsidR="00A073D2" w:rsidRDefault="00A073D2" w:rsidP="00656966">
      <w:pPr>
        <w:tabs>
          <w:tab w:val="left" w:pos="204"/>
        </w:tabs>
        <w:spacing w:line="360" w:lineRule="auto"/>
        <w:jc w:val="both"/>
        <w:rPr>
          <w:rFonts w:ascii="Arial" w:hAnsi="Arial" w:cs="Arial"/>
          <w:sz w:val="24"/>
          <w:szCs w:val="24"/>
        </w:rPr>
      </w:pPr>
    </w:p>
    <w:p w14:paraId="735DD0F2" w14:textId="5A6DC696" w:rsidR="00515CD5" w:rsidRPr="00656966" w:rsidRDefault="00515CD5" w:rsidP="00BD6D5D">
      <w:pPr>
        <w:pStyle w:val="Heading1"/>
      </w:pPr>
      <w:bookmarkStart w:id="8" w:name="_Toc151413657"/>
      <w:r>
        <w:t>References</w:t>
      </w:r>
      <w:bookmarkEnd w:id="8"/>
    </w:p>
    <w:p w14:paraId="5D612974"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Ali, F., Amin, M. and Cobanoglu, C., (2016). An integrated model of service experience, emotions, satisfaction, and price acceptance: an empirical analysis in the Chinese hospitality industry. </w:t>
      </w:r>
      <w:r w:rsidRPr="00F142CA">
        <w:rPr>
          <w:rFonts w:ascii="Arial" w:hAnsi="Arial" w:cs="Arial"/>
          <w:i/>
          <w:iCs/>
          <w:sz w:val="24"/>
          <w:szCs w:val="24"/>
        </w:rPr>
        <w:t>Journal of Hospitality Marketing &amp; Management</w:t>
      </w:r>
      <w:r w:rsidRPr="00F142CA">
        <w:rPr>
          <w:rFonts w:ascii="Arial" w:hAnsi="Arial" w:cs="Arial"/>
          <w:sz w:val="24"/>
          <w:szCs w:val="24"/>
        </w:rPr>
        <w:t>, </w:t>
      </w:r>
      <w:r w:rsidRPr="00F142CA">
        <w:rPr>
          <w:rFonts w:ascii="Arial" w:hAnsi="Arial" w:cs="Arial"/>
          <w:i/>
          <w:iCs/>
          <w:sz w:val="24"/>
          <w:szCs w:val="24"/>
        </w:rPr>
        <w:t>25</w:t>
      </w:r>
      <w:r w:rsidRPr="00F142CA">
        <w:rPr>
          <w:rFonts w:ascii="Arial" w:hAnsi="Arial" w:cs="Arial"/>
          <w:sz w:val="24"/>
          <w:szCs w:val="24"/>
        </w:rPr>
        <w:t>(4), pp.449-475.</w:t>
      </w:r>
    </w:p>
    <w:p w14:paraId="73802626"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proofErr w:type="spellStart"/>
      <w:r w:rsidRPr="00F142CA">
        <w:rPr>
          <w:rFonts w:ascii="Arial" w:hAnsi="Arial" w:cs="Arial"/>
          <w:sz w:val="24"/>
          <w:szCs w:val="24"/>
        </w:rPr>
        <w:t>Atrill</w:t>
      </w:r>
      <w:proofErr w:type="spellEnd"/>
      <w:r w:rsidRPr="00F142CA">
        <w:rPr>
          <w:rFonts w:ascii="Arial" w:hAnsi="Arial" w:cs="Arial"/>
          <w:sz w:val="24"/>
          <w:szCs w:val="24"/>
        </w:rPr>
        <w:t xml:space="preserve"> P, McLaney E (2021) Management Accounting for Decision Makers, FT Prentice Hall.</w:t>
      </w:r>
    </w:p>
    <w:p w14:paraId="164465EF"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Attari, M.A. and Raza, K., (2012). The optimal relationship of cash conversion cycle with firm size and profitability. </w:t>
      </w:r>
      <w:r w:rsidRPr="00F142CA">
        <w:rPr>
          <w:rFonts w:ascii="Arial" w:hAnsi="Arial" w:cs="Arial"/>
          <w:i/>
          <w:iCs/>
          <w:sz w:val="24"/>
          <w:szCs w:val="24"/>
        </w:rPr>
        <w:t>International journal of academic Research in business and social sciences</w:t>
      </w:r>
      <w:r w:rsidRPr="00F142CA">
        <w:rPr>
          <w:rFonts w:ascii="Arial" w:hAnsi="Arial" w:cs="Arial"/>
          <w:sz w:val="24"/>
          <w:szCs w:val="24"/>
        </w:rPr>
        <w:t>, </w:t>
      </w:r>
      <w:r w:rsidRPr="00F142CA">
        <w:rPr>
          <w:rFonts w:ascii="Arial" w:hAnsi="Arial" w:cs="Arial"/>
          <w:i/>
          <w:iCs/>
          <w:sz w:val="24"/>
          <w:szCs w:val="24"/>
        </w:rPr>
        <w:t>2</w:t>
      </w:r>
      <w:r w:rsidRPr="00F142CA">
        <w:rPr>
          <w:rFonts w:ascii="Arial" w:hAnsi="Arial" w:cs="Arial"/>
          <w:sz w:val="24"/>
          <w:szCs w:val="24"/>
        </w:rPr>
        <w:t>(4), p.189.</w:t>
      </w:r>
    </w:p>
    <w:p w14:paraId="59074B7A"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 xml:space="preserve">Bhimani A, (Ed) (2006) Contemporary Issues in Management </w:t>
      </w:r>
      <w:proofErr w:type="gramStart"/>
      <w:r w:rsidRPr="00F142CA">
        <w:rPr>
          <w:rFonts w:ascii="Arial" w:hAnsi="Arial" w:cs="Arial"/>
          <w:sz w:val="24"/>
          <w:szCs w:val="24"/>
        </w:rPr>
        <w:t>Accounting ,</w:t>
      </w:r>
      <w:proofErr w:type="gramEnd"/>
      <w:r w:rsidRPr="00F142CA">
        <w:rPr>
          <w:rFonts w:ascii="Arial" w:hAnsi="Arial" w:cs="Arial"/>
          <w:sz w:val="24"/>
          <w:szCs w:val="24"/>
        </w:rPr>
        <w:t xml:space="preserve"> Oxford.</w:t>
      </w:r>
    </w:p>
    <w:p w14:paraId="07E7765E"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 xml:space="preserve">Chikere, C.C. and </w:t>
      </w:r>
      <w:proofErr w:type="spellStart"/>
      <w:r w:rsidRPr="00F142CA">
        <w:rPr>
          <w:rFonts w:ascii="Arial" w:hAnsi="Arial" w:cs="Arial"/>
          <w:sz w:val="24"/>
          <w:szCs w:val="24"/>
        </w:rPr>
        <w:t>Nwoka</w:t>
      </w:r>
      <w:proofErr w:type="spellEnd"/>
      <w:r w:rsidRPr="00F142CA">
        <w:rPr>
          <w:rFonts w:ascii="Arial" w:hAnsi="Arial" w:cs="Arial"/>
          <w:sz w:val="24"/>
          <w:szCs w:val="24"/>
        </w:rPr>
        <w:t>, J., (2015). The systems theory of management in modern day organizations-A study of Aldgate congress resort limited Port Harcourt. </w:t>
      </w:r>
      <w:r w:rsidRPr="00F142CA">
        <w:rPr>
          <w:rFonts w:ascii="Arial" w:hAnsi="Arial" w:cs="Arial"/>
          <w:i/>
          <w:iCs/>
          <w:sz w:val="24"/>
          <w:szCs w:val="24"/>
        </w:rPr>
        <w:t>International Journal of Scientific and Research Publications</w:t>
      </w:r>
      <w:r w:rsidRPr="00F142CA">
        <w:rPr>
          <w:rFonts w:ascii="Arial" w:hAnsi="Arial" w:cs="Arial"/>
          <w:sz w:val="24"/>
          <w:szCs w:val="24"/>
        </w:rPr>
        <w:t>, </w:t>
      </w:r>
      <w:r w:rsidRPr="00F142CA">
        <w:rPr>
          <w:rFonts w:ascii="Arial" w:hAnsi="Arial" w:cs="Arial"/>
          <w:i/>
          <w:iCs/>
          <w:sz w:val="24"/>
          <w:szCs w:val="24"/>
        </w:rPr>
        <w:t>5</w:t>
      </w:r>
      <w:r w:rsidRPr="00F142CA">
        <w:rPr>
          <w:rFonts w:ascii="Arial" w:hAnsi="Arial" w:cs="Arial"/>
          <w:sz w:val="24"/>
          <w:szCs w:val="24"/>
        </w:rPr>
        <w:t>(9), pp.1-7.</w:t>
      </w:r>
    </w:p>
    <w:p w14:paraId="55B4AEF7"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 xml:space="preserve">Damm, A., Köberl, J. and </w:t>
      </w:r>
      <w:proofErr w:type="spellStart"/>
      <w:r w:rsidRPr="00F142CA">
        <w:rPr>
          <w:rFonts w:ascii="Arial" w:hAnsi="Arial" w:cs="Arial"/>
          <w:sz w:val="24"/>
          <w:szCs w:val="24"/>
        </w:rPr>
        <w:t>Prettenthaler</w:t>
      </w:r>
      <w:proofErr w:type="spellEnd"/>
      <w:r w:rsidRPr="00F142CA">
        <w:rPr>
          <w:rFonts w:ascii="Arial" w:hAnsi="Arial" w:cs="Arial"/>
          <w:sz w:val="24"/>
          <w:szCs w:val="24"/>
        </w:rPr>
        <w:t xml:space="preserve">, F., (2014). Does artificial snow production pay under future climate </w:t>
      </w:r>
      <w:proofErr w:type="gramStart"/>
      <w:r w:rsidRPr="00F142CA">
        <w:rPr>
          <w:rFonts w:ascii="Arial" w:hAnsi="Arial" w:cs="Arial"/>
          <w:sz w:val="24"/>
          <w:szCs w:val="24"/>
        </w:rPr>
        <w:t>conditions?–</w:t>
      </w:r>
      <w:proofErr w:type="gramEnd"/>
      <w:r w:rsidRPr="00F142CA">
        <w:rPr>
          <w:rFonts w:ascii="Arial" w:hAnsi="Arial" w:cs="Arial"/>
          <w:sz w:val="24"/>
          <w:szCs w:val="24"/>
        </w:rPr>
        <w:t>A case study for a vulnerable ski area in Austria. </w:t>
      </w:r>
      <w:r w:rsidRPr="00F142CA">
        <w:rPr>
          <w:rFonts w:ascii="Arial" w:hAnsi="Arial" w:cs="Arial"/>
          <w:i/>
          <w:iCs/>
          <w:sz w:val="24"/>
          <w:szCs w:val="24"/>
        </w:rPr>
        <w:t>Tourism management</w:t>
      </w:r>
      <w:r w:rsidRPr="00F142CA">
        <w:rPr>
          <w:rFonts w:ascii="Arial" w:hAnsi="Arial" w:cs="Arial"/>
          <w:sz w:val="24"/>
          <w:szCs w:val="24"/>
        </w:rPr>
        <w:t>, </w:t>
      </w:r>
      <w:r w:rsidRPr="00F142CA">
        <w:rPr>
          <w:rFonts w:ascii="Arial" w:hAnsi="Arial" w:cs="Arial"/>
          <w:i/>
          <w:iCs/>
          <w:sz w:val="24"/>
          <w:szCs w:val="24"/>
        </w:rPr>
        <w:t>43</w:t>
      </w:r>
      <w:r w:rsidRPr="00F142CA">
        <w:rPr>
          <w:rFonts w:ascii="Arial" w:hAnsi="Arial" w:cs="Arial"/>
          <w:sz w:val="24"/>
          <w:szCs w:val="24"/>
        </w:rPr>
        <w:t>, pp.8-21.</w:t>
      </w:r>
    </w:p>
    <w:p w14:paraId="0FA92A20"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Drury C (2021) (11th Ed) Management and Cost Accounting, London, Prentice Hall.</w:t>
      </w:r>
    </w:p>
    <w:p w14:paraId="67C1D2C8"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 xml:space="preserve">Further </w:t>
      </w:r>
      <w:proofErr w:type="spellStart"/>
      <w:proofErr w:type="gramStart"/>
      <w:r w:rsidRPr="00F142CA">
        <w:rPr>
          <w:rFonts w:ascii="Arial" w:hAnsi="Arial" w:cs="Arial"/>
          <w:sz w:val="24"/>
          <w:szCs w:val="24"/>
        </w:rPr>
        <w:t>Guilding,C</w:t>
      </w:r>
      <w:proofErr w:type="spellEnd"/>
      <w:r w:rsidRPr="00F142CA">
        <w:rPr>
          <w:rFonts w:ascii="Arial" w:hAnsi="Arial" w:cs="Arial"/>
          <w:sz w:val="24"/>
          <w:szCs w:val="24"/>
        </w:rPr>
        <w:t>.</w:t>
      </w:r>
      <w:proofErr w:type="gramEnd"/>
      <w:r w:rsidRPr="00F142CA">
        <w:rPr>
          <w:rFonts w:ascii="Arial" w:hAnsi="Arial" w:cs="Arial"/>
          <w:sz w:val="24"/>
          <w:szCs w:val="24"/>
        </w:rPr>
        <w:t>(2014) (3rd Edition) Accounting Essentials for Hospitality Managers, London, Routledge.</w:t>
      </w:r>
    </w:p>
    <w:p w14:paraId="11C03599"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 xml:space="preserve">Gemar, G., </w:t>
      </w:r>
      <w:proofErr w:type="spellStart"/>
      <w:r w:rsidRPr="00F142CA">
        <w:rPr>
          <w:rFonts w:ascii="Arial" w:hAnsi="Arial" w:cs="Arial"/>
          <w:sz w:val="24"/>
          <w:szCs w:val="24"/>
        </w:rPr>
        <w:t>Moniche</w:t>
      </w:r>
      <w:proofErr w:type="spellEnd"/>
      <w:r w:rsidRPr="00F142CA">
        <w:rPr>
          <w:rFonts w:ascii="Arial" w:hAnsi="Arial" w:cs="Arial"/>
          <w:sz w:val="24"/>
          <w:szCs w:val="24"/>
        </w:rPr>
        <w:t>, L. and Morales, A.J., (2016). Survival analysis of the Spanish hotel industry. </w:t>
      </w:r>
      <w:r w:rsidRPr="00F142CA">
        <w:rPr>
          <w:rFonts w:ascii="Arial" w:hAnsi="Arial" w:cs="Arial"/>
          <w:i/>
          <w:iCs/>
          <w:sz w:val="24"/>
          <w:szCs w:val="24"/>
        </w:rPr>
        <w:t>Tourism Management</w:t>
      </w:r>
      <w:r w:rsidRPr="00F142CA">
        <w:rPr>
          <w:rFonts w:ascii="Arial" w:hAnsi="Arial" w:cs="Arial"/>
          <w:sz w:val="24"/>
          <w:szCs w:val="24"/>
        </w:rPr>
        <w:t>, </w:t>
      </w:r>
      <w:r w:rsidRPr="00F142CA">
        <w:rPr>
          <w:rFonts w:ascii="Arial" w:hAnsi="Arial" w:cs="Arial"/>
          <w:i/>
          <w:iCs/>
          <w:sz w:val="24"/>
          <w:szCs w:val="24"/>
        </w:rPr>
        <w:t>54</w:t>
      </w:r>
      <w:r w:rsidRPr="00F142CA">
        <w:rPr>
          <w:rFonts w:ascii="Arial" w:hAnsi="Arial" w:cs="Arial"/>
          <w:sz w:val="24"/>
          <w:szCs w:val="24"/>
        </w:rPr>
        <w:t>, pp.428-438.</w:t>
      </w:r>
    </w:p>
    <w:p w14:paraId="15D4FA7D"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bookmarkStart w:id="9" w:name="_Hlk151413442"/>
      <w:r w:rsidRPr="00F142CA">
        <w:rPr>
          <w:rFonts w:ascii="Arial" w:hAnsi="Arial" w:cs="Arial"/>
          <w:sz w:val="24"/>
          <w:szCs w:val="24"/>
        </w:rPr>
        <w:t>Ghazali, A.W., Shafie, N.A. and Sanusi</w:t>
      </w:r>
      <w:bookmarkEnd w:id="9"/>
      <w:r w:rsidRPr="00F142CA">
        <w:rPr>
          <w:rFonts w:ascii="Arial" w:hAnsi="Arial" w:cs="Arial"/>
          <w:sz w:val="24"/>
          <w:szCs w:val="24"/>
        </w:rPr>
        <w:t>, Z.M., (2015). Earnings management: An analysis of opportunistic behavior, monitoring mechanism and financial distress. </w:t>
      </w:r>
      <w:r w:rsidRPr="00F142CA">
        <w:rPr>
          <w:rFonts w:ascii="Arial" w:hAnsi="Arial" w:cs="Arial"/>
          <w:i/>
          <w:iCs/>
          <w:sz w:val="24"/>
          <w:szCs w:val="24"/>
        </w:rPr>
        <w:t>Procedia Economics and Finance</w:t>
      </w:r>
      <w:r w:rsidRPr="00F142CA">
        <w:rPr>
          <w:rFonts w:ascii="Arial" w:hAnsi="Arial" w:cs="Arial"/>
          <w:sz w:val="24"/>
          <w:szCs w:val="24"/>
        </w:rPr>
        <w:t>, </w:t>
      </w:r>
      <w:r w:rsidRPr="00F142CA">
        <w:rPr>
          <w:rFonts w:ascii="Arial" w:hAnsi="Arial" w:cs="Arial"/>
          <w:i/>
          <w:iCs/>
          <w:sz w:val="24"/>
          <w:szCs w:val="24"/>
        </w:rPr>
        <w:t>28</w:t>
      </w:r>
      <w:r w:rsidRPr="00F142CA">
        <w:rPr>
          <w:rFonts w:ascii="Arial" w:hAnsi="Arial" w:cs="Arial"/>
          <w:sz w:val="24"/>
          <w:szCs w:val="24"/>
        </w:rPr>
        <w:t>, pp.190-201.</w:t>
      </w:r>
    </w:p>
    <w:p w14:paraId="269A40F6"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Goncalves, O., (2013). Efficiency and productivity of French ski resorts. </w:t>
      </w:r>
      <w:r w:rsidRPr="00F142CA">
        <w:rPr>
          <w:rFonts w:ascii="Arial" w:hAnsi="Arial" w:cs="Arial"/>
          <w:i/>
          <w:iCs/>
          <w:sz w:val="24"/>
          <w:szCs w:val="24"/>
        </w:rPr>
        <w:t>Tourism Management</w:t>
      </w:r>
      <w:r w:rsidRPr="00F142CA">
        <w:rPr>
          <w:rFonts w:ascii="Arial" w:hAnsi="Arial" w:cs="Arial"/>
          <w:sz w:val="24"/>
          <w:szCs w:val="24"/>
        </w:rPr>
        <w:t>, </w:t>
      </w:r>
      <w:r w:rsidRPr="00F142CA">
        <w:rPr>
          <w:rFonts w:ascii="Arial" w:hAnsi="Arial" w:cs="Arial"/>
          <w:i/>
          <w:iCs/>
          <w:sz w:val="24"/>
          <w:szCs w:val="24"/>
        </w:rPr>
        <w:t>36</w:t>
      </w:r>
      <w:r w:rsidRPr="00F142CA">
        <w:rPr>
          <w:rFonts w:ascii="Arial" w:hAnsi="Arial" w:cs="Arial"/>
          <w:sz w:val="24"/>
          <w:szCs w:val="24"/>
        </w:rPr>
        <w:t>, pp.650-657.</w:t>
      </w:r>
    </w:p>
    <w:p w14:paraId="06BAF603"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proofErr w:type="gramStart"/>
      <w:r w:rsidRPr="00F142CA">
        <w:rPr>
          <w:rFonts w:ascii="Arial" w:hAnsi="Arial" w:cs="Arial"/>
          <w:sz w:val="24"/>
          <w:szCs w:val="24"/>
        </w:rPr>
        <w:t>Jagels ,</w:t>
      </w:r>
      <w:proofErr w:type="gramEnd"/>
      <w:r w:rsidRPr="00F142CA">
        <w:rPr>
          <w:rFonts w:ascii="Arial" w:hAnsi="Arial" w:cs="Arial"/>
          <w:sz w:val="24"/>
          <w:szCs w:val="24"/>
        </w:rPr>
        <w:t>M. (2007) Hospitality Management Accounting, London, Wiley.</w:t>
      </w:r>
    </w:p>
    <w:p w14:paraId="4D7C7FFF"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Kozak, M. and Martin, D., (2012). Tourism life cycle and sustainability analysis: Profit-focused strategies for mature destinations. </w:t>
      </w:r>
      <w:r w:rsidRPr="00F142CA">
        <w:rPr>
          <w:rFonts w:ascii="Arial" w:hAnsi="Arial" w:cs="Arial"/>
          <w:i/>
          <w:iCs/>
          <w:sz w:val="24"/>
          <w:szCs w:val="24"/>
        </w:rPr>
        <w:t>Tourism management</w:t>
      </w:r>
      <w:r w:rsidRPr="00F142CA">
        <w:rPr>
          <w:rFonts w:ascii="Arial" w:hAnsi="Arial" w:cs="Arial"/>
          <w:sz w:val="24"/>
          <w:szCs w:val="24"/>
        </w:rPr>
        <w:t>, </w:t>
      </w:r>
      <w:r w:rsidRPr="00F142CA">
        <w:rPr>
          <w:rFonts w:ascii="Arial" w:hAnsi="Arial" w:cs="Arial"/>
          <w:i/>
          <w:iCs/>
          <w:sz w:val="24"/>
          <w:szCs w:val="24"/>
        </w:rPr>
        <w:t>33</w:t>
      </w:r>
      <w:r w:rsidRPr="00F142CA">
        <w:rPr>
          <w:rFonts w:ascii="Arial" w:hAnsi="Arial" w:cs="Arial"/>
          <w:sz w:val="24"/>
          <w:szCs w:val="24"/>
        </w:rPr>
        <w:t>(1), pp.188-194.</w:t>
      </w:r>
    </w:p>
    <w:p w14:paraId="3C47283D"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bookmarkStart w:id="10" w:name="_Hlk151413314"/>
      <w:r w:rsidRPr="00F142CA">
        <w:rPr>
          <w:rFonts w:ascii="Arial" w:hAnsi="Arial" w:cs="Arial"/>
          <w:sz w:val="24"/>
          <w:szCs w:val="24"/>
        </w:rPr>
        <w:t>Philander, K. and Zhong</w:t>
      </w:r>
      <w:bookmarkEnd w:id="10"/>
      <w:r w:rsidRPr="00F142CA">
        <w:rPr>
          <w:rFonts w:ascii="Arial" w:hAnsi="Arial" w:cs="Arial"/>
          <w:sz w:val="24"/>
          <w:szCs w:val="24"/>
        </w:rPr>
        <w:t>, Y., (2016). Twitter sentiment analysis: Capturing sentiment from integrated resort tweets. </w:t>
      </w:r>
      <w:r w:rsidRPr="00F142CA">
        <w:rPr>
          <w:rFonts w:ascii="Arial" w:hAnsi="Arial" w:cs="Arial"/>
          <w:i/>
          <w:iCs/>
          <w:sz w:val="24"/>
          <w:szCs w:val="24"/>
        </w:rPr>
        <w:t>International Journal of Hospitality Management</w:t>
      </w:r>
      <w:r w:rsidRPr="00F142CA">
        <w:rPr>
          <w:rFonts w:ascii="Arial" w:hAnsi="Arial" w:cs="Arial"/>
          <w:sz w:val="24"/>
          <w:szCs w:val="24"/>
        </w:rPr>
        <w:t>, </w:t>
      </w:r>
      <w:r w:rsidRPr="00F142CA">
        <w:rPr>
          <w:rFonts w:ascii="Arial" w:hAnsi="Arial" w:cs="Arial"/>
          <w:i/>
          <w:iCs/>
          <w:sz w:val="24"/>
          <w:szCs w:val="24"/>
        </w:rPr>
        <w:t>55</w:t>
      </w:r>
      <w:r w:rsidRPr="00F142CA">
        <w:rPr>
          <w:rFonts w:ascii="Arial" w:hAnsi="Arial" w:cs="Arial"/>
          <w:sz w:val="24"/>
          <w:szCs w:val="24"/>
        </w:rPr>
        <w:t>, pp.16-24.</w:t>
      </w:r>
    </w:p>
    <w:p w14:paraId="10DF7465"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Scales, M.S., Albano, D. and Quain, W., (2012). Comment cards 2.0: An interactive student project using the internet, the 80/20 rule, and checklist analysis. </w:t>
      </w:r>
      <w:r w:rsidRPr="00F142CA">
        <w:rPr>
          <w:rFonts w:ascii="Arial" w:hAnsi="Arial" w:cs="Arial"/>
          <w:i/>
          <w:iCs/>
          <w:sz w:val="24"/>
          <w:szCs w:val="24"/>
        </w:rPr>
        <w:t>Journal of Hospitality &amp; Tourism Education</w:t>
      </w:r>
      <w:r w:rsidRPr="00F142CA">
        <w:rPr>
          <w:rFonts w:ascii="Arial" w:hAnsi="Arial" w:cs="Arial"/>
          <w:sz w:val="24"/>
          <w:szCs w:val="24"/>
        </w:rPr>
        <w:t>, </w:t>
      </w:r>
      <w:r w:rsidRPr="00F142CA">
        <w:rPr>
          <w:rFonts w:ascii="Arial" w:hAnsi="Arial" w:cs="Arial"/>
          <w:i/>
          <w:iCs/>
          <w:sz w:val="24"/>
          <w:szCs w:val="24"/>
        </w:rPr>
        <w:t>24</w:t>
      </w:r>
      <w:r w:rsidRPr="00F142CA">
        <w:rPr>
          <w:rFonts w:ascii="Arial" w:hAnsi="Arial" w:cs="Arial"/>
          <w:sz w:val="24"/>
          <w:szCs w:val="24"/>
        </w:rPr>
        <w:t>(2-3), pp.56-66.</w:t>
      </w:r>
    </w:p>
    <w:p w14:paraId="6780FE10"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Seal W (2019) (6th Ed) Management Accounting, London, McGraw Hill.</w:t>
      </w:r>
    </w:p>
    <w:p w14:paraId="5A9F8E91"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Seal W, Garrison RH, Noreen E (2008) Management Accounting, McGraw Hill.</w:t>
      </w:r>
    </w:p>
    <w:p w14:paraId="362D39F3"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proofErr w:type="gramStart"/>
      <w:r w:rsidRPr="00F142CA">
        <w:rPr>
          <w:rFonts w:ascii="Arial" w:hAnsi="Arial" w:cs="Arial"/>
          <w:sz w:val="24"/>
          <w:szCs w:val="24"/>
        </w:rPr>
        <w:t>Tranter ,</w:t>
      </w:r>
      <w:proofErr w:type="gramEnd"/>
      <w:r w:rsidRPr="00F142CA">
        <w:rPr>
          <w:rFonts w:ascii="Arial" w:hAnsi="Arial" w:cs="Arial"/>
          <w:sz w:val="24"/>
          <w:szCs w:val="24"/>
        </w:rPr>
        <w:t>K. Stuart-Hill ,T. Parker ,J. (2014) Introduction to Revenue Management for the Hospitality Industry, London, Pearson.</w:t>
      </w:r>
    </w:p>
    <w:p w14:paraId="001500FD"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 xml:space="preserve">Walker J (2021) Introduction to Hospitality, Harlow, Pearson. </w:t>
      </w:r>
    </w:p>
    <w:p w14:paraId="40D397FE" w14:textId="77777777" w:rsidR="00F142CA" w:rsidRPr="00F142CA" w:rsidRDefault="00F142CA" w:rsidP="00F142CA">
      <w:pPr>
        <w:pStyle w:val="ListParagraph"/>
        <w:numPr>
          <w:ilvl w:val="0"/>
          <w:numId w:val="1"/>
        </w:numPr>
        <w:tabs>
          <w:tab w:val="left" w:pos="204"/>
        </w:tabs>
        <w:spacing w:line="360" w:lineRule="auto"/>
        <w:jc w:val="both"/>
        <w:rPr>
          <w:rFonts w:ascii="Arial" w:hAnsi="Arial" w:cs="Arial"/>
          <w:sz w:val="24"/>
          <w:szCs w:val="24"/>
        </w:rPr>
      </w:pPr>
      <w:r w:rsidRPr="00F142CA">
        <w:rPr>
          <w:rFonts w:ascii="Arial" w:hAnsi="Arial" w:cs="Arial"/>
          <w:sz w:val="24"/>
          <w:szCs w:val="24"/>
        </w:rPr>
        <w:t>Wild J (2018) Fundamental Accounting Principles, New York, McGraw Hill.</w:t>
      </w:r>
    </w:p>
    <w:sectPr w:rsidR="00F142CA" w:rsidRPr="00F142C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7B2C1" w14:textId="77777777" w:rsidR="00586393" w:rsidRDefault="00586393" w:rsidP="00140C5F">
      <w:pPr>
        <w:spacing w:after="0" w:line="240" w:lineRule="auto"/>
      </w:pPr>
      <w:r>
        <w:separator/>
      </w:r>
    </w:p>
  </w:endnote>
  <w:endnote w:type="continuationSeparator" w:id="0">
    <w:p w14:paraId="3E286CB9" w14:textId="77777777" w:rsidR="00586393" w:rsidRDefault="00586393" w:rsidP="00140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E598B" w14:textId="77777777" w:rsidR="00586393" w:rsidRDefault="00586393" w:rsidP="00140C5F">
      <w:pPr>
        <w:spacing w:after="0" w:line="240" w:lineRule="auto"/>
      </w:pPr>
      <w:r>
        <w:separator/>
      </w:r>
    </w:p>
  </w:footnote>
  <w:footnote w:type="continuationSeparator" w:id="0">
    <w:p w14:paraId="7FA21378" w14:textId="77777777" w:rsidR="00586393" w:rsidRDefault="00586393" w:rsidP="00140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0776977"/>
      <w:docPartObj>
        <w:docPartGallery w:val="Page Numbers (Top of Page)"/>
        <w:docPartUnique/>
      </w:docPartObj>
    </w:sdtPr>
    <w:sdtEndPr>
      <w:rPr>
        <w:noProof/>
      </w:rPr>
    </w:sdtEndPr>
    <w:sdtContent>
      <w:p w14:paraId="7A381866" w14:textId="6D976280" w:rsidR="00140C5F" w:rsidRDefault="00140C5F">
        <w:pPr>
          <w:pStyle w:val="Header"/>
        </w:pPr>
        <w:r>
          <w:fldChar w:fldCharType="begin"/>
        </w:r>
        <w:r>
          <w:instrText xml:space="preserve"> PAGE   \* MERGEFORMAT </w:instrText>
        </w:r>
        <w:r>
          <w:fldChar w:fldCharType="separate"/>
        </w:r>
        <w:r>
          <w:rPr>
            <w:noProof/>
          </w:rPr>
          <w:t>2</w:t>
        </w:r>
        <w:r>
          <w:rPr>
            <w:noProof/>
          </w:rPr>
          <w:fldChar w:fldCharType="end"/>
        </w:r>
      </w:p>
    </w:sdtContent>
  </w:sdt>
  <w:p w14:paraId="1C8149EC" w14:textId="77777777" w:rsidR="00140C5F" w:rsidRDefault="00140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1601C"/>
    <w:multiLevelType w:val="hybridMultilevel"/>
    <w:tmpl w:val="C140629E"/>
    <w:lvl w:ilvl="0" w:tplc="0409000F">
      <w:start w:val="1"/>
      <w:numFmt w:val="decimal"/>
      <w:lvlText w:val="%1."/>
      <w:lvlJc w:val="left"/>
      <w:pPr>
        <w:ind w:left="540" w:hanging="360"/>
      </w:pPr>
    </w:lvl>
    <w:lvl w:ilvl="1" w:tplc="04090019" w:tentative="1">
      <w:start w:val="1"/>
      <w:numFmt w:val="lowerLetter"/>
      <w:lvlText w:val="%2."/>
      <w:lvlJc w:val="left"/>
      <w:pPr>
        <w:ind w:left="1260" w:hanging="360"/>
      </w:pPr>
    </w:lvl>
    <w:lvl w:ilvl="2" w:tplc="0409001B" w:tentative="1">
      <w:start w:val="1"/>
      <w:numFmt w:val="lowerRoman"/>
      <w:lvlText w:val="%3."/>
      <w:lvlJc w:val="right"/>
      <w:pPr>
        <w:ind w:left="1980" w:hanging="180"/>
      </w:pPr>
    </w:lvl>
    <w:lvl w:ilvl="3" w:tplc="0409000F" w:tentative="1">
      <w:start w:val="1"/>
      <w:numFmt w:val="decimal"/>
      <w:lvlText w:val="%4."/>
      <w:lvlJc w:val="left"/>
      <w:pPr>
        <w:ind w:left="2700" w:hanging="360"/>
      </w:pPr>
    </w:lvl>
    <w:lvl w:ilvl="4" w:tplc="04090019" w:tentative="1">
      <w:start w:val="1"/>
      <w:numFmt w:val="lowerLetter"/>
      <w:lvlText w:val="%5."/>
      <w:lvlJc w:val="left"/>
      <w:pPr>
        <w:ind w:left="3420" w:hanging="360"/>
      </w:pPr>
    </w:lvl>
    <w:lvl w:ilvl="5" w:tplc="0409001B" w:tentative="1">
      <w:start w:val="1"/>
      <w:numFmt w:val="lowerRoman"/>
      <w:lvlText w:val="%6."/>
      <w:lvlJc w:val="right"/>
      <w:pPr>
        <w:ind w:left="4140" w:hanging="180"/>
      </w:pPr>
    </w:lvl>
    <w:lvl w:ilvl="6" w:tplc="0409000F" w:tentative="1">
      <w:start w:val="1"/>
      <w:numFmt w:val="decimal"/>
      <w:lvlText w:val="%7."/>
      <w:lvlJc w:val="left"/>
      <w:pPr>
        <w:ind w:left="4860" w:hanging="360"/>
      </w:pPr>
    </w:lvl>
    <w:lvl w:ilvl="7" w:tplc="04090019" w:tentative="1">
      <w:start w:val="1"/>
      <w:numFmt w:val="lowerLetter"/>
      <w:lvlText w:val="%8."/>
      <w:lvlJc w:val="left"/>
      <w:pPr>
        <w:ind w:left="5580" w:hanging="360"/>
      </w:pPr>
    </w:lvl>
    <w:lvl w:ilvl="8" w:tplc="0409001B" w:tentative="1">
      <w:start w:val="1"/>
      <w:numFmt w:val="lowerRoman"/>
      <w:lvlText w:val="%9."/>
      <w:lvlJc w:val="right"/>
      <w:pPr>
        <w:ind w:left="6300" w:hanging="180"/>
      </w:pPr>
    </w:lvl>
  </w:abstractNum>
  <w:num w:numId="1" w16cid:durableId="276451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966"/>
    <w:rsid w:val="00140C5F"/>
    <w:rsid w:val="001B0320"/>
    <w:rsid w:val="002A1918"/>
    <w:rsid w:val="0047485A"/>
    <w:rsid w:val="00515CD5"/>
    <w:rsid w:val="00586393"/>
    <w:rsid w:val="005B1013"/>
    <w:rsid w:val="00656966"/>
    <w:rsid w:val="007F2EC5"/>
    <w:rsid w:val="00921FCA"/>
    <w:rsid w:val="00993DF4"/>
    <w:rsid w:val="00A073D2"/>
    <w:rsid w:val="00AB01A4"/>
    <w:rsid w:val="00AD763D"/>
    <w:rsid w:val="00BD6D5D"/>
    <w:rsid w:val="00CA069D"/>
    <w:rsid w:val="00CE4F25"/>
    <w:rsid w:val="00DA30F1"/>
    <w:rsid w:val="00F142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A561B"/>
  <w15:docId w15:val="{D1180B77-1D7D-4E37-B7D5-0903B0E06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CD5"/>
    <w:pPr>
      <w:keepNext/>
      <w:keepLines/>
      <w:spacing w:before="360" w:after="120"/>
      <w:jc w:val="both"/>
      <w:outlineLvl w:val="0"/>
    </w:pPr>
    <w:rPr>
      <w:rFonts w:ascii="Arial" w:eastAsiaTheme="majorEastAsia" w:hAnsi="Arial" w:cstheme="majorBidi"/>
      <w:b/>
      <w:color w:val="0D0D0D" w:themeColor="text1" w:themeTint="F2"/>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0C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0C5F"/>
  </w:style>
  <w:style w:type="paragraph" w:styleId="Footer">
    <w:name w:val="footer"/>
    <w:basedOn w:val="Normal"/>
    <w:link w:val="FooterChar"/>
    <w:uiPriority w:val="99"/>
    <w:unhideWhenUsed/>
    <w:rsid w:val="00140C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0C5F"/>
  </w:style>
  <w:style w:type="character" w:customStyle="1" w:styleId="Heading1Char">
    <w:name w:val="Heading 1 Char"/>
    <w:basedOn w:val="DefaultParagraphFont"/>
    <w:link w:val="Heading1"/>
    <w:uiPriority w:val="9"/>
    <w:rsid w:val="00515CD5"/>
    <w:rPr>
      <w:rFonts w:ascii="Arial" w:eastAsiaTheme="majorEastAsia" w:hAnsi="Arial" w:cstheme="majorBidi"/>
      <w:b/>
      <w:color w:val="0D0D0D" w:themeColor="text1" w:themeTint="F2"/>
      <w:sz w:val="24"/>
      <w:szCs w:val="32"/>
    </w:rPr>
  </w:style>
  <w:style w:type="paragraph" w:styleId="TOCHeading">
    <w:name w:val="TOC Heading"/>
    <w:basedOn w:val="Heading1"/>
    <w:next w:val="Normal"/>
    <w:uiPriority w:val="39"/>
    <w:unhideWhenUsed/>
    <w:qFormat/>
    <w:rsid w:val="00BD6D5D"/>
    <w:pPr>
      <w:spacing w:before="240" w:after="0"/>
      <w:jc w:val="left"/>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BD6D5D"/>
    <w:pPr>
      <w:spacing w:after="100"/>
    </w:pPr>
  </w:style>
  <w:style w:type="character" w:styleId="Hyperlink">
    <w:name w:val="Hyperlink"/>
    <w:basedOn w:val="DefaultParagraphFont"/>
    <w:uiPriority w:val="99"/>
    <w:unhideWhenUsed/>
    <w:rsid w:val="00BD6D5D"/>
    <w:rPr>
      <w:color w:val="0563C1" w:themeColor="hyperlink"/>
      <w:u w:val="single"/>
    </w:rPr>
  </w:style>
  <w:style w:type="paragraph" w:styleId="ListParagraph">
    <w:name w:val="List Paragraph"/>
    <w:basedOn w:val="Normal"/>
    <w:uiPriority w:val="34"/>
    <w:qFormat/>
    <w:rsid w:val="00F142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921778">
      <w:bodyDiv w:val="1"/>
      <w:marLeft w:val="0"/>
      <w:marRight w:val="0"/>
      <w:marTop w:val="0"/>
      <w:marBottom w:val="0"/>
      <w:divBdr>
        <w:top w:val="none" w:sz="0" w:space="0" w:color="auto"/>
        <w:left w:val="none" w:sz="0" w:space="0" w:color="auto"/>
        <w:bottom w:val="none" w:sz="0" w:space="0" w:color="auto"/>
        <w:right w:val="none" w:sz="0" w:space="0" w:color="auto"/>
      </w:divBdr>
    </w:div>
    <w:div w:id="1201434789">
      <w:bodyDiv w:val="1"/>
      <w:marLeft w:val="0"/>
      <w:marRight w:val="0"/>
      <w:marTop w:val="0"/>
      <w:marBottom w:val="0"/>
      <w:divBdr>
        <w:top w:val="none" w:sz="0" w:space="0" w:color="auto"/>
        <w:left w:val="none" w:sz="0" w:space="0" w:color="auto"/>
        <w:bottom w:val="none" w:sz="0" w:space="0" w:color="auto"/>
        <w:right w:val="none" w:sz="0" w:space="0" w:color="auto"/>
      </w:divBdr>
    </w:div>
    <w:div w:id="1845901569">
      <w:bodyDiv w:val="1"/>
      <w:marLeft w:val="0"/>
      <w:marRight w:val="0"/>
      <w:marTop w:val="0"/>
      <w:marBottom w:val="0"/>
      <w:divBdr>
        <w:top w:val="none" w:sz="0" w:space="0" w:color="auto"/>
        <w:left w:val="none" w:sz="0" w:space="0" w:color="auto"/>
        <w:bottom w:val="none" w:sz="0" w:space="0" w:color="auto"/>
        <w:right w:val="none" w:sz="0" w:space="0" w:color="auto"/>
      </w:divBdr>
    </w:div>
    <w:div w:id="1853493791">
      <w:bodyDiv w:val="1"/>
      <w:marLeft w:val="0"/>
      <w:marRight w:val="0"/>
      <w:marTop w:val="0"/>
      <w:marBottom w:val="0"/>
      <w:divBdr>
        <w:top w:val="none" w:sz="0" w:space="0" w:color="auto"/>
        <w:left w:val="none" w:sz="0" w:space="0" w:color="auto"/>
        <w:bottom w:val="none" w:sz="0" w:space="0" w:color="auto"/>
        <w:right w:val="none" w:sz="0" w:space="0" w:color="auto"/>
      </w:divBdr>
    </w:div>
    <w:div w:id="2050958225">
      <w:bodyDiv w:val="1"/>
      <w:marLeft w:val="0"/>
      <w:marRight w:val="0"/>
      <w:marTop w:val="0"/>
      <w:marBottom w:val="0"/>
      <w:divBdr>
        <w:top w:val="none" w:sz="0" w:space="0" w:color="auto"/>
        <w:left w:val="none" w:sz="0" w:space="0" w:color="auto"/>
        <w:bottom w:val="none" w:sz="0" w:space="0" w:color="auto"/>
        <w:right w:val="none" w:sz="0" w:space="0" w:color="auto"/>
      </w:divBdr>
    </w:div>
    <w:div w:id="2102335129">
      <w:bodyDiv w:val="1"/>
      <w:marLeft w:val="0"/>
      <w:marRight w:val="0"/>
      <w:marTop w:val="0"/>
      <w:marBottom w:val="0"/>
      <w:divBdr>
        <w:top w:val="none" w:sz="0" w:space="0" w:color="auto"/>
        <w:left w:val="none" w:sz="0" w:space="0" w:color="auto"/>
        <w:bottom w:val="none" w:sz="0" w:space="0" w:color="auto"/>
        <w:right w:val="none" w:sz="0" w:space="0" w:color="auto"/>
      </w:divBdr>
      <w:divsChild>
        <w:div w:id="2081243036">
          <w:marLeft w:val="0"/>
          <w:marRight w:val="0"/>
          <w:marTop w:val="0"/>
          <w:marBottom w:val="0"/>
          <w:divBdr>
            <w:top w:val="none" w:sz="0" w:space="0" w:color="auto"/>
            <w:left w:val="none" w:sz="0" w:space="0" w:color="auto"/>
            <w:bottom w:val="none" w:sz="0" w:space="0" w:color="auto"/>
            <w:right w:val="none" w:sz="0" w:space="0" w:color="auto"/>
          </w:divBdr>
          <w:divsChild>
            <w:div w:id="841312620">
              <w:marLeft w:val="0"/>
              <w:marRight w:val="0"/>
              <w:marTop w:val="100"/>
              <w:marBottom w:val="100"/>
              <w:divBdr>
                <w:top w:val="single" w:sz="2" w:space="0" w:color="D9D9E3"/>
                <w:left w:val="single" w:sz="2" w:space="0" w:color="D9D9E3"/>
                <w:bottom w:val="single" w:sz="2" w:space="0" w:color="D9D9E3"/>
                <w:right w:val="single" w:sz="2" w:space="0" w:color="D9D9E3"/>
              </w:divBdr>
              <w:divsChild>
                <w:div w:id="588346734">
                  <w:marLeft w:val="0"/>
                  <w:marRight w:val="0"/>
                  <w:marTop w:val="0"/>
                  <w:marBottom w:val="0"/>
                  <w:divBdr>
                    <w:top w:val="single" w:sz="2" w:space="0" w:color="D9D9E3"/>
                    <w:left w:val="single" w:sz="2" w:space="0" w:color="D9D9E3"/>
                    <w:bottom w:val="single" w:sz="2" w:space="0" w:color="D9D9E3"/>
                    <w:right w:val="single" w:sz="2" w:space="0" w:color="D9D9E3"/>
                  </w:divBdr>
                  <w:divsChild>
                    <w:div w:id="935943869">
                      <w:marLeft w:val="0"/>
                      <w:marRight w:val="0"/>
                      <w:marTop w:val="0"/>
                      <w:marBottom w:val="0"/>
                      <w:divBdr>
                        <w:top w:val="single" w:sz="2" w:space="0" w:color="D9D9E3"/>
                        <w:left w:val="single" w:sz="2" w:space="0" w:color="D9D9E3"/>
                        <w:bottom w:val="single" w:sz="2" w:space="0" w:color="D9D9E3"/>
                        <w:right w:val="single" w:sz="2" w:space="0" w:color="D9D9E3"/>
                      </w:divBdr>
                      <w:divsChild>
                        <w:div w:id="1936858199">
                          <w:marLeft w:val="0"/>
                          <w:marRight w:val="0"/>
                          <w:marTop w:val="0"/>
                          <w:marBottom w:val="0"/>
                          <w:divBdr>
                            <w:top w:val="single" w:sz="2" w:space="0" w:color="D9D9E3"/>
                            <w:left w:val="single" w:sz="2" w:space="0" w:color="D9D9E3"/>
                            <w:bottom w:val="single" w:sz="2" w:space="0" w:color="D9D9E3"/>
                            <w:right w:val="single" w:sz="2" w:space="0" w:color="D9D9E3"/>
                          </w:divBdr>
                          <w:divsChild>
                            <w:div w:id="1154906394">
                              <w:marLeft w:val="0"/>
                              <w:marRight w:val="0"/>
                              <w:marTop w:val="0"/>
                              <w:marBottom w:val="0"/>
                              <w:divBdr>
                                <w:top w:val="single" w:sz="2" w:space="0" w:color="D9D9E3"/>
                                <w:left w:val="single" w:sz="2" w:space="0" w:color="D9D9E3"/>
                                <w:bottom w:val="single" w:sz="2" w:space="0" w:color="D9D9E3"/>
                                <w:right w:val="single" w:sz="2" w:space="0" w:color="D9D9E3"/>
                              </w:divBdr>
                              <w:divsChild>
                                <w:div w:id="2068994937">
                                  <w:marLeft w:val="0"/>
                                  <w:marRight w:val="0"/>
                                  <w:marTop w:val="0"/>
                                  <w:marBottom w:val="0"/>
                                  <w:divBdr>
                                    <w:top w:val="single" w:sz="2" w:space="0" w:color="D9D9E3"/>
                                    <w:left w:val="single" w:sz="2" w:space="0" w:color="D9D9E3"/>
                                    <w:bottom w:val="single" w:sz="2" w:space="0" w:color="D9D9E3"/>
                                    <w:right w:val="single" w:sz="2" w:space="0" w:color="D9D9E3"/>
                                  </w:divBdr>
                                  <w:divsChild>
                                    <w:div w:id="442310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A8608-EEE4-4781-95D3-60B47B692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2872</Words>
  <Characters>16376</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Market Analysis:</vt:lpstr>
      <vt:lpstr>Scope and Objectives:</vt:lpstr>
      <vt:lpstr>Income Statement Analysis (2020-2022):</vt:lpstr>
      <vt:lpstr>Balance Sheet Analysis (End of 2022):</vt:lpstr>
      <vt:lpstr>Cash Flow Analysis (2021):</vt:lpstr>
      <vt:lpstr>Additional Financial Information:</vt:lpstr>
      <vt:lpstr>Conclusion</vt:lpstr>
      <vt:lpstr>References</vt:lpstr>
    </vt:vector>
  </TitlesOfParts>
  <Company/>
  <LinksUpToDate>false</LinksUpToDate>
  <CharactersWithSpaces>19210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iuliana adriana hurmuzache</cp:lastModifiedBy>
  <cp:revision>5</cp:revision>
  <dcterms:created xsi:type="dcterms:W3CDTF">2023-11-22T19:17:00Z</dcterms:created>
  <dcterms:modified xsi:type="dcterms:W3CDTF">2023-11-22T19:21:00Z</dcterms:modified>
</cp:coreProperties>
</file>