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CE8A5B0" w14:textId="77777777" w:rsidR="00EE6272" w:rsidRDefault="00000000">
      <w:pPr>
        <w:spacing w:line="360" w:lineRule="auto"/>
        <w:jc w:val="both"/>
        <w:rPr>
          <w:rFonts w:ascii="Arial" w:eastAsia="Arial" w:hAnsi="Arial" w:cs="Arial"/>
          <w:sz w:val="24"/>
          <w:szCs w:val="24"/>
        </w:rPr>
      </w:pPr>
      <w:r>
        <w:rPr>
          <w:rFonts w:ascii="Arial" w:eastAsia="Arial" w:hAnsi="Arial" w:cs="Arial"/>
          <w:noProof/>
          <w:sz w:val="24"/>
          <w:szCs w:val="24"/>
        </w:rPr>
        <mc:AlternateContent>
          <mc:Choice Requires="wpg">
            <w:drawing>
              <wp:anchor distT="0" distB="0" distL="0" distR="0" simplePos="0" relativeHeight="251658240" behindDoc="1" locked="0" layoutInCell="1" hidden="0" allowOverlap="1" wp14:anchorId="167EBC1B" wp14:editId="17030922">
                <wp:simplePos x="0" y="0"/>
                <wp:positionH relativeFrom="page">
                  <wp:posOffset>288918</wp:posOffset>
                </wp:positionH>
                <wp:positionV relativeFrom="page">
                  <wp:posOffset>488950</wp:posOffset>
                </wp:positionV>
                <wp:extent cx="7013582" cy="9144000"/>
                <wp:effectExtent l="0" t="0" r="0" b="0"/>
                <wp:wrapNone/>
                <wp:docPr id="49" name="Group 49"/>
                <wp:cNvGraphicFramePr/>
                <a:graphic xmlns:a="http://schemas.openxmlformats.org/drawingml/2006/main">
                  <a:graphicData uri="http://schemas.microsoft.com/office/word/2010/wordprocessingGroup">
                    <wpg:wgp>
                      <wpg:cNvGrpSpPr/>
                      <wpg:grpSpPr>
                        <a:xfrm>
                          <a:off x="0" y="0"/>
                          <a:ext cx="7013582" cy="9144000"/>
                          <a:chOff x="1839200" y="0"/>
                          <a:chExt cx="7013600" cy="7560000"/>
                        </a:xfrm>
                      </wpg:grpSpPr>
                      <wpg:grpSp>
                        <wpg:cNvPr id="1812612159" name="Group 1812612159"/>
                        <wpg:cNvGrpSpPr/>
                        <wpg:grpSpPr>
                          <a:xfrm>
                            <a:off x="1839209" y="0"/>
                            <a:ext cx="7013582" cy="7560000"/>
                            <a:chOff x="-155582" y="0"/>
                            <a:chExt cx="7013582" cy="9144000"/>
                          </a:xfrm>
                        </wpg:grpSpPr>
                        <wps:wsp>
                          <wps:cNvPr id="477201543" name="Rectangle 477201543"/>
                          <wps:cNvSpPr/>
                          <wps:spPr>
                            <a:xfrm>
                              <a:off x="-155582" y="0"/>
                              <a:ext cx="7013575" cy="9144000"/>
                            </a:xfrm>
                            <a:prstGeom prst="rect">
                              <a:avLst/>
                            </a:prstGeom>
                            <a:noFill/>
                            <a:ln>
                              <a:noFill/>
                            </a:ln>
                          </wps:spPr>
                          <wps:txbx>
                            <w:txbxContent>
                              <w:p w14:paraId="4E9F408B" w14:textId="77777777" w:rsidR="00EE6272" w:rsidRDefault="00EE6272">
                                <w:pPr>
                                  <w:spacing w:after="0" w:line="240" w:lineRule="auto"/>
                                  <w:textDirection w:val="btLr"/>
                                </w:pPr>
                              </w:p>
                            </w:txbxContent>
                          </wps:txbx>
                          <wps:bodyPr spcFirstLastPara="1" wrap="square" lIns="91425" tIns="91425" rIns="91425" bIns="91425" anchor="ctr" anchorCtr="0">
                            <a:noAutofit/>
                          </wps:bodyPr>
                        </wps:wsp>
                        <wpg:grpSp>
                          <wpg:cNvPr id="1660713925" name="Group 1660713925"/>
                          <wpg:cNvGrpSpPr/>
                          <wpg:grpSpPr>
                            <a:xfrm>
                              <a:off x="0" y="0"/>
                              <a:ext cx="6858000" cy="9144000"/>
                              <a:chOff x="0" y="0"/>
                              <a:chExt cx="6858000" cy="9144000"/>
                            </a:xfrm>
                          </wpg:grpSpPr>
                          <wps:wsp>
                            <wps:cNvPr id="253464664" name="Rectangle 253464664"/>
                            <wps:cNvSpPr/>
                            <wps:spPr>
                              <a:xfrm>
                                <a:off x="0" y="0"/>
                                <a:ext cx="6858000" cy="9144000"/>
                              </a:xfrm>
                              <a:prstGeom prst="rect">
                                <a:avLst/>
                              </a:prstGeom>
                              <a:gradFill>
                                <a:gsLst>
                                  <a:gs pos="0">
                                    <a:srgbClr val="85A9B8"/>
                                  </a:gs>
                                  <a:gs pos="10000">
                                    <a:srgbClr val="85A9B8"/>
                                  </a:gs>
                                  <a:gs pos="100000">
                                    <a:srgbClr val="374860"/>
                                  </a:gs>
                                </a:gsLst>
                                <a:lin ang="6120000" scaled="0"/>
                              </a:gradFill>
                              <a:ln>
                                <a:noFill/>
                              </a:ln>
                            </wps:spPr>
                            <wps:txbx>
                              <w:txbxContent>
                                <w:p w14:paraId="01E39CE5" w14:textId="77777777" w:rsidR="00EE6272" w:rsidRDefault="00000000">
                                  <w:pPr>
                                    <w:spacing w:line="360" w:lineRule="auto"/>
                                    <w:jc w:val="center"/>
                                    <w:textDirection w:val="btLr"/>
                                  </w:pPr>
                                  <w:r>
                                    <w:rPr>
                                      <w:rFonts w:ascii="Arial" w:eastAsia="Arial" w:hAnsi="Arial" w:cs="Arial"/>
                                      <w:b/>
                                      <w:color w:val="000000"/>
                                      <w:sz w:val="24"/>
                                    </w:rPr>
                                    <w:t>The</w:t>
                                  </w:r>
                                  <w:r>
                                    <w:rPr>
                                      <w:rFonts w:ascii="Arial" w:eastAsia="Arial" w:hAnsi="Arial" w:cs="Arial"/>
                                      <w:color w:val="000000"/>
                                      <w:sz w:val="24"/>
                                    </w:rPr>
                                    <w:t xml:space="preserve"> </w:t>
                                  </w:r>
                                  <w:r>
                                    <w:rPr>
                                      <w:rFonts w:ascii="Arial" w:eastAsia="Arial" w:hAnsi="Arial" w:cs="Arial"/>
                                      <w:b/>
                                      <w:color w:val="000000"/>
                                      <w:sz w:val="24"/>
                                    </w:rPr>
                                    <w:t>University of Wales Trinity Saint David</w:t>
                                  </w:r>
                                </w:p>
                                <w:p w14:paraId="1406AD99" w14:textId="77777777" w:rsidR="00EE6272" w:rsidRDefault="00000000">
                                  <w:pPr>
                                    <w:spacing w:after="0" w:line="360" w:lineRule="auto"/>
                                    <w:jc w:val="center"/>
                                    <w:textDirection w:val="btLr"/>
                                  </w:pPr>
                                  <w:r>
                                    <w:rPr>
                                      <w:rFonts w:ascii="Arial" w:eastAsia="Arial" w:hAnsi="Arial" w:cs="Arial"/>
                                      <w:b/>
                                      <w:color w:val="222222"/>
                                      <w:sz w:val="24"/>
                                      <w:u w:val="single"/>
                                    </w:rPr>
                                    <w:t>Title: Critically Analysis of Organisational Structure, Culture, and Strategic Direction in Hilton Group</w:t>
                                  </w:r>
                                </w:p>
                                <w:p w14:paraId="5F3E8719" w14:textId="77777777" w:rsidR="00EE6272" w:rsidRDefault="00000000">
                                  <w:pPr>
                                    <w:spacing w:line="360" w:lineRule="auto"/>
                                    <w:jc w:val="center"/>
                                    <w:textDirection w:val="btLr"/>
                                  </w:pPr>
                                  <w:r>
                                    <w:rPr>
                                      <w:rFonts w:ascii="Arial" w:eastAsia="Arial" w:hAnsi="Arial" w:cs="Arial"/>
                                      <w:color w:val="000000"/>
                                      <w:sz w:val="24"/>
                                    </w:rPr>
                                    <w:t>Name: Shahd Omer</w:t>
                                  </w:r>
                                </w:p>
                                <w:p w14:paraId="7CD1A39E" w14:textId="77777777" w:rsidR="00EE6272" w:rsidRDefault="00000000">
                                  <w:pPr>
                                    <w:spacing w:line="360" w:lineRule="auto"/>
                                    <w:jc w:val="center"/>
                                    <w:textDirection w:val="btLr"/>
                                  </w:pPr>
                                  <w:r>
                                    <w:rPr>
                                      <w:rFonts w:ascii="Arial" w:eastAsia="Arial" w:hAnsi="Arial" w:cs="Arial"/>
                                      <w:color w:val="000000"/>
                                      <w:sz w:val="24"/>
                                    </w:rPr>
                                    <w:t>Student ID: 2130010</w:t>
                                  </w:r>
                                </w:p>
                                <w:p w14:paraId="117EE6ED" w14:textId="77777777" w:rsidR="00EE6272" w:rsidRDefault="00000000">
                                  <w:pPr>
                                    <w:spacing w:line="360" w:lineRule="auto"/>
                                    <w:jc w:val="center"/>
                                    <w:textDirection w:val="btLr"/>
                                  </w:pPr>
                                  <w:r>
                                    <w:rPr>
                                      <w:rFonts w:ascii="Arial" w:eastAsia="Arial" w:hAnsi="Arial" w:cs="Arial"/>
                                      <w:color w:val="000000"/>
                                      <w:sz w:val="24"/>
                                    </w:rPr>
                                    <w:t>BMIH5004 MOB LEVEL 5</w:t>
                                  </w:r>
                                </w:p>
                                <w:p w14:paraId="4C6DD5C2" w14:textId="77777777" w:rsidR="00EE6272" w:rsidRDefault="00000000">
                                  <w:pPr>
                                    <w:spacing w:line="360" w:lineRule="auto"/>
                                    <w:jc w:val="center"/>
                                    <w:textDirection w:val="btLr"/>
                                  </w:pPr>
                                  <w:r>
                                    <w:rPr>
                                      <w:rFonts w:ascii="Arial" w:eastAsia="Arial" w:hAnsi="Arial" w:cs="Arial"/>
                                      <w:color w:val="000000"/>
                                      <w:sz w:val="24"/>
                                    </w:rPr>
                                    <w:t>Module Lead: Daniel Payne</w:t>
                                  </w:r>
                                </w:p>
                                <w:p w14:paraId="2CAE4E24" w14:textId="77777777" w:rsidR="00EE6272" w:rsidRDefault="00000000">
                                  <w:pPr>
                                    <w:spacing w:line="360" w:lineRule="auto"/>
                                    <w:jc w:val="center"/>
                                    <w:textDirection w:val="btLr"/>
                                  </w:pPr>
                                  <w:r>
                                    <w:rPr>
                                      <w:rFonts w:ascii="Arial" w:eastAsia="Arial" w:hAnsi="Arial" w:cs="Arial"/>
                                      <w:color w:val="000000"/>
                                      <w:sz w:val="24"/>
                                    </w:rPr>
                                    <w:t>Module Lecturer: Lan Zhang (Maggie).</w:t>
                                  </w:r>
                                </w:p>
                                <w:p w14:paraId="35F88CAD" w14:textId="77777777" w:rsidR="00EE6272" w:rsidRDefault="00000000">
                                  <w:pPr>
                                    <w:spacing w:line="360" w:lineRule="auto"/>
                                    <w:jc w:val="center"/>
                                    <w:textDirection w:val="btLr"/>
                                  </w:pPr>
                                  <w:r>
                                    <w:rPr>
                                      <w:rFonts w:ascii="Arial" w:eastAsia="Arial" w:hAnsi="Arial" w:cs="Arial"/>
                                      <w:color w:val="000000"/>
                                      <w:sz w:val="24"/>
                                    </w:rPr>
                                    <w:t xml:space="preserve"> Word Count: 2192</w:t>
                                  </w:r>
                                </w:p>
                                <w:p w14:paraId="1B399B45" w14:textId="77777777" w:rsidR="00EE6272" w:rsidRDefault="00EE6272">
                                  <w:pPr>
                                    <w:spacing w:after="0" w:line="240" w:lineRule="auto"/>
                                    <w:textDirection w:val="btLr"/>
                                  </w:pPr>
                                </w:p>
                              </w:txbxContent>
                            </wps:txbx>
                            <wps:bodyPr spcFirstLastPara="1" wrap="square" lIns="685800" tIns="685800" rIns="914400" bIns="4572000" anchor="t" anchorCtr="0">
                              <a:noAutofit/>
                            </wps:bodyPr>
                          </wps:wsp>
                          <wpg:grpSp>
                            <wpg:cNvPr id="1542475809" name="Group 1542475809"/>
                            <wpg:cNvGrpSpPr/>
                            <wpg:grpSpPr>
                              <a:xfrm>
                                <a:off x="2524125" y="0"/>
                                <a:ext cx="4329113" cy="4491038"/>
                                <a:chOff x="0" y="0"/>
                                <a:chExt cx="4329113" cy="4491038"/>
                              </a:xfrm>
                            </wpg:grpSpPr>
                            <wps:wsp>
                              <wps:cNvPr id="743483469" name="Freeform: Shape 743483469"/>
                              <wps:cNvSpPr/>
                              <wps:spPr>
                                <a:xfrm>
                                  <a:off x="1501775" y="0"/>
                                  <a:ext cx="2827338" cy="2835275"/>
                                </a:xfrm>
                                <a:custGeom>
                                  <a:avLst/>
                                  <a:gdLst/>
                                  <a:ahLst/>
                                  <a:cxnLst/>
                                  <a:rect l="l" t="t" r="r" b="b"/>
                                  <a:pathLst>
                                    <a:path w="1781" h="1786" extrusionOk="0">
                                      <a:moveTo>
                                        <a:pt x="4" y="1786"/>
                                      </a:moveTo>
                                      <a:lnTo>
                                        <a:pt x="0" y="1782"/>
                                      </a:lnTo>
                                      <a:lnTo>
                                        <a:pt x="1776" y="0"/>
                                      </a:lnTo>
                                      <a:lnTo>
                                        <a:pt x="1781" y="5"/>
                                      </a:lnTo>
                                      <a:lnTo>
                                        <a:pt x="4" y="1786"/>
                                      </a:lnTo>
                                      <a:close/>
                                    </a:path>
                                  </a:pathLst>
                                </a:custGeom>
                                <a:solidFill>
                                  <a:schemeClr val="lt1"/>
                                </a:solidFill>
                                <a:ln>
                                  <a:noFill/>
                                </a:ln>
                              </wps:spPr>
                              <wps:bodyPr spcFirstLastPara="1" wrap="square" lIns="91425" tIns="91425" rIns="91425" bIns="91425" anchor="ctr" anchorCtr="0">
                                <a:noAutofit/>
                              </wps:bodyPr>
                            </wps:wsp>
                            <wps:wsp>
                              <wps:cNvPr id="1843013654" name="Freeform: Shape 1843013654"/>
                              <wps:cNvSpPr/>
                              <wps:spPr>
                                <a:xfrm>
                                  <a:off x="782637" y="227013"/>
                                  <a:ext cx="3546475" cy="3546475"/>
                                </a:xfrm>
                                <a:custGeom>
                                  <a:avLst/>
                                  <a:gdLst/>
                                  <a:ahLst/>
                                  <a:cxnLst/>
                                  <a:rect l="l" t="t" r="r" b="b"/>
                                  <a:pathLst>
                                    <a:path w="2234" h="2234" extrusionOk="0">
                                      <a:moveTo>
                                        <a:pt x="5" y="2234"/>
                                      </a:moveTo>
                                      <a:lnTo>
                                        <a:pt x="0" y="2229"/>
                                      </a:lnTo>
                                      <a:lnTo>
                                        <a:pt x="2229" y="0"/>
                                      </a:lnTo>
                                      <a:lnTo>
                                        <a:pt x="2234" y="5"/>
                                      </a:lnTo>
                                      <a:lnTo>
                                        <a:pt x="5" y="2234"/>
                                      </a:lnTo>
                                      <a:close/>
                                    </a:path>
                                  </a:pathLst>
                                </a:custGeom>
                                <a:solidFill>
                                  <a:schemeClr val="lt1"/>
                                </a:solidFill>
                                <a:ln>
                                  <a:noFill/>
                                </a:ln>
                              </wps:spPr>
                              <wps:bodyPr spcFirstLastPara="1" wrap="square" lIns="91425" tIns="91425" rIns="91425" bIns="91425" anchor="ctr" anchorCtr="0">
                                <a:noAutofit/>
                              </wps:bodyPr>
                            </wps:wsp>
                            <wps:wsp>
                              <wps:cNvPr id="1965757982" name="Freeform: Shape 1965757982"/>
                              <wps:cNvSpPr/>
                              <wps:spPr>
                                <a:xfrm>
                                  <a:off x="841375" y="109538"/>
                                  <a:ext cx="3487738" cy="3487738"/>
                                </a:xfrm>
                                <a:custGeom>
                                  <a:avLst/>
                                  <a:gdLst/>
                                  <a:ahLst/>
                                  <a:cxnLst/>
                                  <a:rect l="l" t="t" r="r" b="b"/>
                                  <a:pathLst>
                                    <a:path w="2197" h="2197" extrusionOk="0">
                                      <a:moveTo>
                                        <a:pt x="9" y="2197"/>
                                      </a:moveTo>
                                      <a:lnTo>
                                        <a:pt x="0" y="2193"/>
                                      </a:lnTo>
                                      <a:lnTo>
                                        <a:pt x="2188" y="0"/>
                                      </a:lnTo>
                                      <a:lnTo>
                                        <a:pt x="2197" y="10"/>
                                      </a:lnTo>
                                      <a:lnTo>
                                        <a:pt x="9" y="2197"/>
                                      </a:lnTo>
                                      <a:close/>
                                    </a:path>
                                  </a:pathLst>
                                </a:custGeom>
                                <a:solidFill>
                                  <a:schemeClr val="lt1"/>
                                </a:solidFill>
                                <a:ln>
                                  <a:noFill/>
                                </a:ln>
                              </wps:spPr>
                              <wps:bodyPr spcFirstLastPara="1" wrap="square" lIns="91425" tIns="91425" rIns="91425" bIns="91425" anchor="ctr" anchorCtr="0">
                                <a:noAutofit/>
                              </wps:bodyPr>
                            </wps:wsp>
                            <wps:wsp>
                              <wps:cNvPr id="1735721100" name="Freeform: Shape 1735721100"/>
                              <wps:cNvSpPr/>
                              <wps:spPr>
                                <a:xfrm>
                                  <a:off x="1216025" y="498475"/>
                                  <a:ext cx="3113088" cy="3121025"/>
                                </a:xfrm>
                                <a:custGeom>
                                  <a:avLst/>
                                  <a:gdLst/>
                                  <a:ahLst/>
                                  <a:cxnLst/>
                                  <a:rect l="l" t="t" r="r" b="b"/>
                                  <a:pathLst>
                                    <a:path w="1961" h="1966" extrusionOk="0">
                                      <a:moveTo>
                                        <a:pt x="9" y="1966"/>
                                      </a:moveTo>
                                      <a:lnTo>
                                        <a:pt x="0" y="1957"/>
                                      </a:lnTo>
                                      <a:lnTo>
                                        <a:pt x="1952" y="0"/>
                                      </a:lnTo>
                                      <a:lnTo>
                                        <a:pt x="1961" y="9"/>
                                      </a:lnTo>
                                      <a:lnTo>
                                        <a:pt x="9" y="1966"/>
                                      </a:lnTo>
                                      <a:close/>
                                    </a:path>
                                  </a:pathLst>
                                </a:custGeom>
                                <a:solidFill>
                                  <a:schemeClr val="lt1"/>
                                </a:solidFill>
                                <a:ln>
                                  <a:noFill/>
                                </a:ln>
                              </wps:spPr>
                              <wps:bodyPr spcFirstLastPara="1" wrap="square" lIns="91425" tIns="91425" rIns="91425" bIns="91425" anchor="ctr" anchorCtr="0">
                                <a:noAutofit/>
                              </wps:bodyPr>
                            </wps:wsp>
                            <wps:wsp>
                              <wps:cNvPr id="1232374790" name="Freeform: Shape 1232374790"/>
                              <wps:cNvSpPr/>
                              <wps:spPr>
                                <a:xfrm>
                                  <a:off x="0" y="153988"/>
                                  <a:ext cx="4329113" cy="4337050"/>
                                </a:xfrm>
                                <a:custGeom>
                                  <a:avLst/>
                                  <a:gdLst/>
                                  <a:ahLst/>
                                  <a:cxnLst/>
                                  <a:rect l="l" t="t" r="r" b="b"/>
                                  <a:pathLst>
                                    <a:path w="2727" h="2732" extrusionOk="0">
                                      <a:moveTo>
                                        <a:pt x="0" y="2732"/>
                                      </a:moveTo>
                                      <a:lnTo>
                                        <a:pt x="0" y="2728"/>
                                      </a:lnTo>
                                      <a:lnTo>
                                        <a:pt x="2722" y="0"/>
                                      </a:lnTo>
                                      <a:lnTo>
                                        <a:pt x="2727" y="5"/>
                                      </a:lnTo>
                                      <a:lnTo>
                                        <a:pt x="0" y="2732"/>
                                      </a:lnTo>
                                      <a:close/>
                                    </a:path>
                                  </a:pathLst>
                                </a:custGeom>
                                <a:solidFill>
                                  <a:schemeClr val="lt1"/>
                                </a:solidFill>
                                <a:ln>
                                  <a:noFill/>
                                </a:ln>
                              </wps:spPr>
                              <wps:bodyPr spcFirstLastPara="1" wrap="square" lIns="91425" tIns="91425" rIns="91425" bIns="91425" anchor="ctr" anchorCtr="0">
                                <a:noAutofit/>
                              </wps:bodyPr>
                            </wps:wsp>
                          </wpg:grpSp>
                        </wpg:grpSp>
                        <wps:wsp>
                          <wps:cNvPr id="988246616" name="Rectangle 988246616"/>
                          <wps:cNvSpPr/>
                          <wps:spPr>
                            <a:xfrm>
                              <a:off x="-155582" y="4972050"/>
                              <a:ext cx="6843395" cy="3789752"/>
                            </a:xfrm>
                            <a:prstGeom prst="rect">
                              <a:avLst/>
                            </a:prstGeom>
                            <a:noFill/>
                            <a:ln>
                              <a:noFill/>
                            </a:ln>
                          </wps:spPr>
                          <wps:txbx>
                            <w:txbxContent>
                              <w:p w14:paraId="6F4645E2" w14:textId="77777777" w:rsidR="00EE6272" w:rsidRDefault="00000000">
                                <w:pPr>
                                  <w:spacing w:after="0" w:line="240" w:lineRule="auto"/>
                                  <w:textDirection w:val="btLr"/>
                                </w:pPr>
                                <w:r>
                                  <w:rPr>
                                    <w:smallCaps/>
                                    <w:color w:val="FFFFFF"/>
                                    <w:sz w:val="64"/>
                                  </w:rPr>
                                  <w:t xml:space="preserve">     </w:t>
                                </w:r>
                              </w:p>
                              <w:p w14:paraId="75F3E4F6" w14:textId="77777777" w:rsidR="00EE6272" w:rsidRDefault="00000000">
                                <w:pPr>
                                  <w:spacing w:before="120" w:after="0" w:line="240" w:lineRule="auto"/>
                                  <w:textDirection w:val="btLr"/>
                                </w:pPr>
                                <w:r>
                                  <w:rPr>
                                    <w:rFonts w:ascii="Arial" w:eastAsia="Arial" w:hAnsi="Arial" w:cs="Arial"/>
                                    <w:color w:val="4472C4"/>
                                    <w:sz w:val="36"/>
                                  </w:rPr>
                                  <w:t xml:space="preserve">     </w:t>
                                </w:r>
                              </w:p>
                            </w:txbxContent>
                          </wps:txbx>
                          <wps:bodyPr spcFirstLastPara="1" wrap="square" lIns="685800" tIns="0" rIns="914400" bIns="0" anchor="b" anchorCtr="0">
                            <a:noAutofit/>
                          </wps:bodyPr>
                        </wps:wsp>
                      </wpg:grpSp>
                    </wpg:wgp>
                  </a:graphicData>
                </a:graphic>
              </wp:anchor>
            </w:drawing>
          </mc:Choice>
          <mc:Fallback>
            <w:pict>
              <v:group w14:anchorId="167EBC1B" id="Group 49" o:spid="_x0000_s1026" style="position:absolute;left:0;text-align:left;margin-left:22.75pt;margin-top:38.5pt;width:552.25pt;height:10in;z-index:-251658240;mso-wrap-distance-left:0;mso-wrap-distance-right:0;mso-position-horizontal-relative:page;mso-position-vertical-relative:page" coordorigin="18392" coordsize="70136,756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">
                <v:group id="Group 1812612159" o:spid="_x0000_s1027" style="position:absolute;left:18392;width:70135;height:75600" coordorigin="-1555" coordsize="70135,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">
                  <v:rect id="Rectangle 477201543" o:spid="_x0000_s1028" style="position:absolute;left:-1555;width:70134;height:91440;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" filled="f" stroked="f">
                    <v:textbox inset="2.53958mm,2.53958mm,2.53958mm,2.53958mm">
                      <w:txbxContent>
                        <w:p w14:paraId="4E9F408B" w14:textId="77777777" w:rsidR="00EE6272" w:rsidRDefault="00EE6272">
                          <w:pPr>
                            <w:spacing w:after="0" w:line="240" w:lineRule="auto"/>
                            <w:textDirection w:val="btLr"/>
                          </w:pPr>
                        </w:p>
                      </w:txbxContent>
                    </v:textbox>
                  </v:rect>
                  <v:group id="Group 1660713925" o:spid="_x0000_s1029" style="position:absolute;width:68580;height:91440" coordsize="68580,91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">
                    <v:rect id="Rectangle 253464664" o:spid="_x0000_s1030" style="position:absolute;width:68580;height:9144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" fillcolor="#85a9b8" stroked="f">
                      <v:fill color2="#374860" angle="348" colors="0 #85a9b8;6554f #85a9b8;1 #374860" focus="100%" type="gradient">
                        <o:fill v:ext="view" type="gradientUnscaled"/>
                      </v:fill>
                      <v:textbox inset="54pt,54pt,1in,5in">
                        <w:txbxContent>
                          <w:p w14:paraId="01E39CE5" w14:textId="77777777" w:rsidR="00EE6272" w:rsidRDefault="00000000">
                            <w:pPr>
                              <w:spacing w:line="360" w:lineRule="auto"/>
                              <w:jc w:val="center"/>
                              <w:textDirection w:val="btLr"/>
                            </w:pPr>
                            <w:r>
                              <w:rPr>
                                <w:rFonts w:ascii="Arial" w:eastAsia="Arial" w:hAnsi="Arial" w:cs="Arial"/>
                                <w:b/>
                                <w:color w:val="000000"/>
                                <w:sz w:val="24"/>
                              </w:rPr>
                              <w:t>The</w:t>
                            </w:r>
                            <w:r>
                              <w:rPr>
                                <w:rFonts w:ascii="Arial" w:eastAsia="Arial" w:hAnsi="Arial" w:cs="Arial"/>
                                <w:color w:val="000000"/>
                                <w:sz w:val="24"/>
                              </w:rPr>
                              <w:t xml:space="preserve"> </w:t>
                            </w:r>
                            <w:r>
                              <w:rPr>
                                <w:rFonts w:ascii="Arial" w:eastAsia="Arial" w:hAnsi="Arial" w:cs="Arial"/>
                                <w:b/>
                                <w:color w:val="000000"/>
                                <w:sz w:val="24"/>
                              </w:rPr>
                              <w:t>University of Wales Trinity Saint David</w:t>
                            </w:r>
                          </w:p>
                          <w:p w14:paraId="1406AD99" w14:textId="77777777" w:rsidR="00EE6272" w:rsidRDefault="00000000">
                            <w:pPr>
                              <w:spacing w:after="0" w:line="360" w:lineRule="auto"/>
                              <w:jc w:val="center"/>
                              <w:textDirection w:val="btLr"/>
                            </w:pPr>
                            <w:r>
                              <w:rPr>
                                <w:rFonts w:ascii="Arial" w:eastAsia="Arial" w:hAnsi="Arial" w:cs="Arial"/>
                                <w:b/>
                                <w:color w:val="222222"/>
                                <w:sz w:val="24"/>
                                <w:u w:val="single"/>
                              </w:rPr>
                              <w:t>Title: Critically Analysis of Organisational Structure, Culture, and Strategic Direction in Hilton Group</w:t>
                            </w:r>
                          </w:p>
                          <w:p w14:paraId="5F3E8719" w14:textId="77777777" w:rsidR="00EE6272" w:rsidRDefault="00000000">
                            <w:pPr>
                              <w:spacing w:line="360" w:lineRule="auto"/>
                              <w:jc w:val="center"/>
                              <w:textDirection w:val="btLr"/>
                            </w:pPr>
                            <w:r>
                              <w:rPr>
                                <w:rFonts w:ascii="Arial" w:eastAsia="Arial" w:hAnsi="Arial" w:cs="Arial"/>
                                <w:color w:val="000000"/>
                                <w:sz w:val="24"/>
                              </w:rPr>
                              <w:t>Name: Shahd Omer</w:t>
                            </w:r>
                          </w:p>
                          <w:p w14:paraId="7CD1A39E" w14:textId="77777777" w:rsidR="00EE6272" w:rsidRDefault="00000000">
                            <w:pPr>
                              <w:spacing w:line="360" w:lineRule="auto"/>
                              <w:jc w:val="center"/>
                              <w:textDirection w:val="btLr"/>
                            </w:pPr>
                            <w:r>
                              <w:rPr>
                                <w:rFonts w:ascii="Arial" w:eastAsia="Arial" w:hAnsi="Arial" w:cs="Arial"/>
                                <w:color w:val="000000"/>
                                <w:sz w:val="24"/>
                              </w:rPr>
                              <w:t>Student ID: 2130010</w:t>
                            </w:r>
                          </w:p>
                          <w:p w14:paraId="117EE6ED" w14:textId="77777777" w:rsidR="00EE6272" w:rsidRDefault="00000000">
                            <w:pPr>
                              <w:spacing w:line="360" w:lineRule="auto"/>
                              <w:jc w:val="center"/>
                              <w:textDirection w:val="btLr"/>
                            </w:pPr>
                            <w:r>
                              <w:rPr>
                                <w:rFonts w:ascii="Arial" w:eastAsia="Arial" w:hAnsi="Arial" w:cs="Arial"/>
                                <w:color w:val="000000"/>
                                <w:sz w:val="24"/>
                              </w:rPr>
                              <w:t>BMIH5004 MOB LEVEL 5</w:t>
                            </w:r>
                          </w:p>
                          <w:p w14:paraId="4C6DD5C2" w14:textId="77777777" w:rsidR="00EE6272" w:rsidRDefault="00000000">
                            <w:pPr>
                              <w:spacing w:line="360" w:lineRule="auto"/>
                              <w:jc w:val="center"/>
                              <w:textDirection w:val="btLr"/>
                            </w:pPr>
                            <w:r>
                              <w:rPr>
                                <w:rFonts w:ascii="Arial" w:eastAsia="Arial" w:hAnsi="Arial" w:cs="Arial"/>
                                <w:color w:val="000000"/>
                                <w:sz w:val="24"/>
                              </w:rPr>
                              <w:t>Module Lead: Daniel Payne</w:t>
                            </w:r>
                          </w:p>
                          <w:p w14:paraId="2CAE4E24" w14:textId="77777777" w:rsidR="00EE6272" w:rsidRDefault="00000000">
                            <w:pPr>
                              <w:spacing w:line="360" w:lineRule="auto"/>
                              <w:jc w:val="center"/>
                              <w:textDirection w:val="btLr"/>
                            </w:pPr>
                            <w:r>
                              <w:rPr>
                                <w:rFonts w:ascii="Arial" w:eastAsia="Arial" w:hAnsi="Arial" w:cs="Arial"/>
                                <w:color w:val="000000"/>
                                <w:sz w:val="24"/>
                              </w:rPr>
                              <w:t>Module Lecturer: Lan Zhang (Maggie).</w:t>
                            </w:r>
                          </w:p>
                          <w:p w14:paraId="35F88CAD" w14:textId="77777777" w:rsidR="00EE6272" w:rsidRDefault="00000000">
                            <w:pPr>
                              <w:spacing w:line="360" w:lineRule="auto"/>
                              <w:jc w:val="center"/>
                              <w:textDirection w:val="btLr"/>
                            </w:pPr>
                            <w:r>
                              <w:rPr>
                                <w:rFonts w:ascii="Arial" w:eastAsia="Arial" w:hAnsi="Arial" w:cs="Arial"/>
                                <w:color w:val="000000"/>
                                <w:sz w:val="24"/>
                              </w:rPr>
                              <w:t xml:space="preserve"> Word Count: 2192</w:t>
                            </w:r>
                          </w:p>
                          <w:p w14:paraId="1B399B45" w14:textId="77777777" w:rsidR="00EE6272" w:rsidRDefault="00EE6272">
                            <w:pPr>
                              <w:spacing w:after="0" w:line="240" w:lineRule="auto"/>
                              <w:textDirection w:val="btLr"/>
                            </w:pPr>
                          </w:p>
                        </w:txbxContent>
                      </v:textbox>
                    </v:rect>
                    <v:group id="Group 1542475809" o:spid="_x0000_s1031" style="position:absolute;left:25241;width:43291;height:44910" coordsize="43291,449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">
                      <v:shape id="Freeform: Shape 743483469" o:spid="_x0000_s1032" style="position:absolute;left:15017;width:28274;height:28352;visibility:visible;mso-wrap-style:square;v-text-anchor:middle" coordsize="1781,178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" path="m4,1786l,1782,1776,r5,5l4,1786xe" fillcolor="white [3201]" stroked="f">
                        <v:path arrowok="t" o:extrusionok="f"/>
                      </v:shape>
                      <v:shape id="Freeform: Shape 1843013654" o:spid="_x0000_s1033" style="position:absolute;left:7826;top:2270;width:35465;height:35464;visibility:visible;mso-wrap-style:square;v-text-anchor:middle" coordsize="2234,223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" path="m5,2234l,2229,2229,r5,5l5,2234xe" fillcolor="white [3201]" stroked="f">
                        <v:path arrowok="t" o:extrusionok="f"/>
                      </v:shape>
                      <v:shape id="Freeform: Shape 1965757982" o:spid="_x0000_s1034" style="position:absolute;left:8413;top:1095;width:34878;height:34877;visibility:visible;mso-wrap-style:square;v-text-anchor:middle" coordsize="2197,2197"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" path="m9,2197l,2193,2188,r9,10l9,2197xe" fillcolor="white [3201]" stroked="f">
                        <v:path arrowok="t" o:extrusionok="f"/>
                      </v:shape>
                      <v:shape id="Freeform: Shape 1735721100" o:spid="_x0000_s1035" style="position:absolute;left:12160;top:4984;width:31131;height:31211;visibility:visible;mso-wrap-style:square;v-text-anchor:middle" coordsize="1961,19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" path="m9,1966l,1957,1952,r9,9l9,1966xe" fillcolor="white [3201]" stroked="f">
                        <v:path arrowok="t" o:extrusionok="f"/>
                      </v:shape>
                      <v:shape id="Freeform: Shape 1232374790" o:spid="_x0000_s1036" style="position:absolute;top:1539;width:43291;height:43371;visibility:visible;mso-wrap-style:square;v-text-anchor:middle" coordsize="2727,273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" path="m,2732r,-4l2722,r5,5l,2732xe" fillcolor="white [3201]" stroked="f">
                        <v:path arrowok="t" o:extrusionok="f"/>
                      </v:shape>
                    </v:group>
                  </v:group>
                  <v:rect id="Rectangle 988246616" o:spid="_x0000_s1037" style="position:absolute;left:-1555;top:49720;width:68433;height:37898;visibility:visible;mso-wrap-style:square;v-text-anchor:bottom"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" filled="f" stroked="f">
                    <v:textbox inset="54pt,0,1in,0">
                      <w:txbxContent>
                        <w:p w14:paraId="6F4645E2" w14:textId="77777777" w:rsidR="00EE6272" w:rsidRDefault="00000000">
                          <w:pPr>
                            <w:spacing w:after="0" w:line="240" w:lineRule="auto"/>
                            <w:textDirection w:val="btLr"/>
                          </w:pPr>
                          <w:r>
                            <w:rPr>
                              <w:smallCaps/>
                              <w:color w:val="FFFFFF"/>
                              <w:sz w:val="64"/>
                            </w:rPr>
                            <w:t xml:space="preserve">     </w:t>
                          </w:r>
                        </w:p>
                        <w:p w14:paraId="75F3E4F6" w14:textId="77777777" w:rsidR="00EE6272" w:rsidRDefault="00000000">
                          <w:pPr>
                            <w:spacing w:before="120" w:after="0" w:line="240" w:lineRule="auto"/>
                            <w:textDirection w:val="btLr"/>
                          </w:pPr>
                          <w:r>
                            <w:rPr>
                              <w:rFonts w:ascii="Arial" w:eastAsia="Arial" w:hAnsi="Arial" w:cs="Arial"/>
                              <w:color w:val="4472C4"/>
                              <w:sz w:val="36"/>
                            </w:rPr>
                            <w:t xml:space="preserve">     </w:t>
                          </w:r>
                        </w:p>
                      </w:txbxContent>
                    </v:textbox>
                  </v:rect>
                </v:group>
                <w10:wrap anchorx="page" anchory="page"/>
              </v:group>
            </w:pict>
          </mc:Fallback>
        </mc:AlternateContent>
      </w:r>
    </w:p>
    <w:p w14:paraId="44292455" w14:textId="77777777" w:rsidR="00EE6272" w:rsidRDefault="00000000">
      <w:pPr>
        <w:spacing w:line="360" w:lineRule="auto"/>
        <w:jc w:val="both"/>
        <w:rPr>
          <w:rFonts w:ascii="Arial" w:eastAsia="Arial" w:hAnsi="Arial" w:cs="Arial"/>
          <w:color w:val="222222"/>
          <w:sz w:val="24"/>
          <w:szCs w:val="24"/>
        </w:rPr>
      </w:pPr>
      <w:r>
        <w:br w:type="page"/>
      </w:r>
    </w:p>
    <w:p w14:paraId="7963B115" w14:textId="77777777" w:rsidR="00EE6272" w:rsidRDefault="00000000">
      <w:pPr>
        <w:shd w:val="clear" w:color="auto" w:fill="FFFFFF"/>
        <w:spacing w:after="0" w:line="360" w:lineRule="auto"/>
        <w:jc w:val="both"/>
        <w:rPr>
          <w:rFonts w:ascii="Arial" w:eastAsia="Arial" w:hAnsi="Arial" w:cs="Arial"/>
          <w:b/>
          <w:color w:val="222222"/>
          <w:sz w:val="24"/>
          <w:szCs w:val="24"/>
        </w:rPr>
      </w:pPr>
      <w:r>
        <w:rPr>
          <w:rFonts w:ascii="Arial" w:eastAsia="Arial" w:hAnsi="Arial" w:cs="Arial"/>
          <w:b/>
          <w:color w:val="222222"/>
          <w:sz w:val="24"/>
          <w:szCs w:val="24"/>
        </w:rPr>
        <w:lastRenderedPageBreak/>
        <w:t>1. Executive Summary</w:t>
      </w:r>
    </w:p>
    <w:p w14:paraId="008D7B87" w14:textId="77777777" w:rsidR="00EE6272" w:rsidRDefault="00EE6272">
      <w:pPr>
        <w:shd w:val="clear" w:color="auto" w:fill="FFFFFF"/>
        <w:spacing w:after="0" w:line="360" w:lineRule="auto"/>
        <w:jc w:val="both"/>
        <w:rPr>
          <w:rFonts w:ascii="Arial" w:eastAsia="Arial" w:hAnsi="Arial" w:cs="Arial"/>
          <w:color w:val="222222"/>
          <w:sz w:val="24"/>
          <w:szCs w:val="24"/>
        </w:rPr>
      </w:pPr>
    </w:p>
    <w:p w14:paraId="4EC89820" w14:textId="77777777" w:rsidR="00EE6272" w:rsidRDefault="00000000">
      <w:pPr>
        <w:shd w:val="clear" w:color="auto" w:fill="FFFFFF"/>
        <w:spacing w:after="0" w:line="360" w:lineRule="auto"/>
        <w:jc w:val="both"/>
        <w:rPr>
          <w:rFonts w:ascii="Arial" w:eastAsia="Arial" w:hAnsi="Arial" w:cs="Arial"/>
          <w:color w:val="222222"/>
          <w:sz w:val="24"/>
          <w:szCs w:val="24"/>
        </w:rPr>
      </w:pPr>
      <w:r>
        <w:rPr>
          <w:rFonts w:ascii="Arial" w:eastAsia="Arial" w:hAnsi="Arial" w:cs="Arial"/>
          <w:color w:val="222222"/>
          <w:sz w:val="24"/>
          <w:szCs w:val="24"/>
        </w:rPr>
        <w:t>In this report, the organisational structure, culture, and strategic direction of Hilton Hotel Group are thoroughly assessed, with a specific focus on recent change initiatives and their effects. The evaluation incorporates pertinent theories such as Schein's model of organisational culture and Handy's model to comprehend Hilton's operations comprehensively. Furthermore, recommendations based on Dobson's guide to changing culture are suggested to improve Hilton's organisational culture.</w:t>
      </w:r>
    </w:p>
    <w:p w14:paraId="0080D24E" w14:textId="77777777" w:rsidR="00EE6272" w:rsidRDefault="00EE6272">
      <w:pPr>
        <w:shd w:val="clear" w:color="auto" w:fill="FFFFFF"/>
        <w:spacing w:after="0" w:line="360" w:lineRule="auto"/>
        <w:jc w:val="both"/>
        <w:rPr>
          <w:rFonts w:ascii="Arial" w:eastAsia="Arial" w:hAnsi="Arial" w:cs="Arial"/>
          <w:color w:val="222222"/>
          <w:sz w:val="24"/>
          <w:szCs w:val="24"/>
        </w:rPr>
      </w:pPr>
    </w:p>
    <w:p w14:paraId="6910AEA2" w14:textId="77777777" w:rsidR="00EE6272" w:rsidRDefault="00000000">
      <w:pPr>
        <w:spacing w:after="0" w:line="360" w:lineRule="auto"/>
        <w:jc w:val="both"/>
        <w:rPr>
          <w:rFonts w:ascii="Arial" w:eastAsia="Arial" w:hAnsi="Arial" w:cs="Arial"/>
          <w:b/>
          <w:color w:val="222222"/>
          <w:sz w:val="24"/>
          <w:szCs w:val="24"/>
        </w:rPr>
      </w:pPr>
      <w:r>
        <w:rPr>
          <w:rFonts w:ascii="Arial" w:eastAsia="Arial" w:hAnsi="Arial" w:cs="Arial"/>
          <w:b/>
          <w:color w:val="222222"/>
          <w:sz w:val="24"/>
          <w:szCs w:val="24"/>
        </w:rPr>
        <w:t>Overview of Hilton Hotels</w:t>
      </w:r>
    </w:p>
    <w:p w14:paraId="400874D0" w14:textId="77777777" w:rsidR="00EE6272" w:rsidRDefault="00EE6272">
      <w:pPr>
        <w:spacing w:after="0" w:line="360" w:lineRule="auto"/>
        <w:jc w:val="both"/>
        <w:rPr>
          <w:rFonts w:ascii="Arial" w:eastAsia="Arial" w:hAnsi="Arial" w:cs="Arial"/>
          <w:b/>
          <w:color w:val="222222"/>
          <w:sz w:val="24"/>
          <w:szCs w:val="24"/>
        </w:rPr>
      </w:pPr>
    </w:p>
    <w:p w14:paraId="1F762D73" w14:textId="77777777" w:rsidR="00EE6272" w:rsidRDefault="00000000">
      <w:pPr>
        <w:spacing w:after="0" w:line="360" w:lineRule="auto"/>
        <w:jc w:val="both"/>
        <w:rPr>
          <w:rFonts w:ascii="Arial" w:eastAsia="Arial" w:hAnsi="Arial" w:cs="Arial"/>
          <w:color w:val="222222"/>
          <w:sz w:val="24"/>
          <w:szCs w:val="24"/>
        </w:rPr>
      </w:pPr>
      <w:r>
        <w:rPr>
          <w:rFonts w:ascii="Arial" w:eastAsia="Arial" w:hAnsi="Arial" w:cs="Arial"/>
          <w:color w:val="222222"/>
          <w:sz w:val="24"/>
          <w:szCs w:val="24"/>
        </w:rPr>
        <w:t xml:space="preserve">With over 6,500 properties worldwide, Hilton Hotels has a hierarchical organisational structure that promotes transparent decision-making and accountability. The company's culture, centred on values of hospitality, integrity, leadership, teamwork, and ownership, aligns with Schein’s Model of Organisational Culture. These values foster a positive work environment, increasing employee engagement and customer satisfaction </w:t>
      </w:r>
      <w:r>
        <w:rPr>
          <w:rFonts w:ascii="Arial" w:eastAsia="Arial" w:hAnsi="Arial" w:cs="Arial"/>
          <w:color w:val="2C3E50"/>
          <w:sz w:val="24"/>
          <w:szCs w:val="24"/>
          <w:highlight w:val="white"/>
        </w:rPr>
        <w:t>(Hilton, 2023)</w:t>
      </w:r>
      <w:r>
        <w:rPr>
          <w:rFonts w:ascii="Arial" w:eastAsia="Arial" w:hAnsi="Arial" w:cs="Arial"/>
          <w:color w:val="222222"/>
          <w:sz w:val="24"/>
          <w:szCs w:val="24"/>
        </w:rPr>
        <w:t>.</w:t>
      </w:r>
    </w:p>
    <w:p w14:paraId="13BA5F1C" w14:textId="77777777" w:rsidR="00EE6272" w:rsidRDefault="00EE6272">
      <w:pPr>
        <w:spacing w:after="0" w:line="360" w:lineRule="auto"/>
        <w:jc w:val="both"/>
        <w:rPr>
          <w:rFonts w:ascii="Arial" w:eastAsia="Arial" w:hAnsi="Arial" w:cs="Arial"/>
          <w:color w:val="222222"/>
          <w:sz w:val="24"/>
          <w:szCs w:val="24"/>
        </w:rPr>
      </w:pPr>
    </w:p>
    <w:p w14:paraId="6FDF6FD7" w14:textId="77777777" w:rsidR="00EE6272" w:rsidRDefault="00000000">
      <w:pPr>
        <w:shd w:val="clear" w:color="auto" w:fill="FFFFFF"/>
        <w:spacing w:after="0" w:line="360" w:lineRule="auto"/>
        <w:jc w:val="both"/>
        <w:rPr>
          <w:rFonts w:ascii="Arial" w:eastAsia="Arial" w:hAnsi="Arial" w:cs="Arial"/>
          <w:b/>
          <w:color w:val="222222"/>
          <w:sz w:val="24"/>
          <w:szCs w:val="24"/>
        </w:rPr>
      </w:pPr>
      <w:r>
        <w:rPr>
          <w:rFonts w:ascii="Arial" w:eastAsia="Arial" w:hAnsi="Arial" w:cs="Arial"/>
          <w:b/>
          <w:color w:val="222222"/>
          <w:sz w:val="24"/>
          <w:szCs w:val="24"/>
        </w:rPr>
        <w:t>Organisational Structure</w:t>
      </w:r>
    </w:p>
    <w:p w14:paraId="69D26D8F" w14:textId="77777777" w:rsidR="00EE6272" w:rsidRDefault="00EE6272">
      <w:pPr>
        <w:shd w:val="clear" w:color="auto" w:fill="FFFFFF"/>
        <w:spacing w:after="0" w:line="360" w:lineRule="auto"/>
        <w:jc w:val="both"/>
        <w:rPr>
          <w:rFonts w:ascii="Arial" w:eastAsia="Arial" w:hAnsi="Arial" w:cs="Arial"/>
          <w:b/>
          <w:color w:val="222222"/>
          <w:sz w:val="24"/>
          <w:szCs w:val="24"/>
        </w:rPr>
      </w:pPr>
    </w:p>
    <w:p w14:paraId="48C1FADD" w14:textId="77777777" w:rsidR="00EE6272" w:rsidRDefault="00000000">
      <w:pPr>
        <w:shd w:val="clear" w:color="auto" w:fill="FFFFFF"/>
        <w:spacing w:after="0" w:line="360" w:lineRule="auto"/>
        <w:jc w:val="both"/>
        <w:rPr>
          <w:rFonts w:ascii="Arial" w:eastAsia="Arial" w:hAnsi="Arial" w:cs="Arial"/>
          <w:color w:val="222222"/>
          <w:sz w:val="24"/>
          <w:szCs w:val="24"/>
        </w:rPr>
      </w:pPr>
      <w:r>
        <w:rPr>
          <w:rFonts w:ascii="Arial" w:eastAsia="Arial" w:hAnsi="Arial" w:cs="Arial"/>
          <w:color w:val="222222"/>
          <w:sz w:val="24"/>
          <w:szCs w:val="24"/>
        </w:rPr>
        <w:t>The Hilton Hotel Group uses a hierarchical structure. It is based on numerous management levels and allows clear lines of authority and responsibility. It supports features related to decision-making and communication, which are obligatory under the title of operational excellence at these hotels worldwide. For all their strengths, though still a bit rigid, perhaps, to beat response and innovation, the Hilton Hotel Group stresses the need for more flexible and adaptive elements in the cultural perspective.</w:t>
      </w:r>
    </w:p>
    <w:p w14:paraId="54C1CA0C" w14:textId="77777777" w:rsidR="00EE6272" w:rsidRDefault="00EE6272">
      <w:pPr>
        <w:shd w:val="clear" w:color="auto" w:fill="FFFFFF"/>
        <w:spacing w:after="0" w:line="360" w:lineRule="auto"/>
        <w:jc w:val="both"/>
        <w:rPr>
          <w:rFonts w:ascii="Arial" w:eastAsia="Arial" w:hAnsi="Arial" w:cs="Arial"/>
          <w:color w:val="222222"/>
          <w:sz w:val="24"/>
          <w:szCs w:val="24"/>
        </w:rPr>
      </w:pPr>
    </w:p>
    <w:p w14:paraId="29711F6E" w14:textId="77777777" w:rsidR="00EE6272" w:rsidRDefault="00000000">
      <w:pPr>
        <w:shd w:val="clear" w:color="auto" w:fill="FFFFFF"/>
        <w:spacing w:after="0" w:line="360" w:lineRule="auto"/>
        <w:jc w:val="both"/>
        <w:rPr>
          <w:rFonts w:ascii="Arial" w:eastAsia="Arial" w:hAnsi="Arial" w:cs="Arial"/>
          <w:b/>
          <w:color w:val="222222"/>
          <w:sz w:val="24"/>
          <w:szCs w:val="24"/>
        </w:rPr>
      </w:pPr>
      <w:r>
        <w:rPr>
          <w:rFonts w:ascii="Arial" w:eastAsia="Arial" w:hAnsi="Arial" w:cs="Arial"/>
          <w:b/>
          <w:color w:val="222222"/>
          <w:sz w:val="24"/>
          <w:szCs w:val="24"/>
        </w:rPr>
        <w:t>Organisational Culture</w:t>
      </w:r>
    </w:p>
    <w:p w14:paraId="73CF761B" w14:textId="77777777" w:rsidR="00EE6272" w:rsidRDefault="00EE6272">
      <w:pPr>
        <w:shd w:val="clear" w:color="auto" w:fill="FFFFFF"/>
        <w:spacing w:after="0" w:line="360" w:lineRule="auto"/>
        <w:jc w:val="both"/>
        <w:rPr>
          <w:rFonts w:ascii="Arial" w:eastAsia="Arial" w:hAnsi="Arial" w:cs="Arial"/>
          <w:b/>
          <w:color w:val="222222"/>
          <w:sz w:val="24"/>
          <w:szCs w:val="24"/>
        </w:rPr>
      </w:pPr>
    </w:p>
    <w:p w14:paraId="78F2DE05" w14:textId="77777777" w:rsidR="00EE6272" w:rsidRDefault="00000000">
      <w:pPr>
        <w:shd w:val="clear" w:color="auto" w:fill="FFFFFF"/>
        <w:spacing w:after="0" w:line="360" w:lineRule="auto"/>
        <w:jc w:val="both"/>
        <w:rPr>
          <w:rFonts w:ascii="Arial" w:eastAsia="Arial" w:hAnsi="Arial" w:cs="Arial"/>
          <w:color w:val="222222"/>
          <w:sz w:val="24"/>
          <w:szCs w:val="24"/>
        </w:rPr>
      </w:pPr>
      <w:r>
        <w:rPr>
          <w:rFonts w:ascii="Arial" w:eastAsia="Arial" w:hAnsi="Arial" w:cs="Arial"/>
          <w:color w:val="222222"/>
          <w:sz w:val="24"/>
          <w:szCs w:val="24"/>
        </w:rPr>
        <w:t xml:space="preserve">Hilton's organisational culture relies on its vision of being the most hospitable company in the world and incorporating values such as hospitality, integrity, leadership, teamwork, and sustainability. Hilton Organisational Culture using the Schein model Hilton's culture is based on artifacts, espoused values, and basic assumptions using the Schein model. </w:t>
      </w:r>
      <w:r>
        <w:rPr>
          <w:rFonts w:ascii="Arial" w:eastAsia="Arial" w:hAnsi="Arial" w:cs="Arial"/>
          <w:color w:val="2C3E50"/>
          <w:sz w:val="24"/>
          <w:szCs w:val="24"/>
          <w:highlight w:val="white"/>
        </w:rPr>
        <w:t>(Saunders, Altinay, and Riordan, 2009).</w:t>
      </w:r>
    </w:p>
    <w:p w14:paraId="183C5B88" w14:textId="77777777" w:rsidR="00EE6272" w:rsidRDefault="00EE6272">
      <w:pPr>
        <w:shd w:val="clear" w:color="auto" w:fill="FFFFFF"/>
        <w:spacing w:after="0" w:line="360" w:lineRule="auto"/>
        <w:jc w:val="both"/>
        <w:rPr>
          <w:rFonts w:ascii="Arial" w:eastAsia="Arial" w:hAnsi="Arial" w:cs="Arial"/>
          <w:color w:val="222222"/>
          <w:sz w:val="24"/>
          <w:szCs w:val="24"/>
        </w:rPr>
      </w:pPr>
    </w:p>
    <w:p w14:paraId="5E9031AB" w14:textId="77777777" w:rsidR="00EE6272" w:rsidRDefault="00000000">
      <w:pPr>
        <w:spacing w:after="0" w:line="360" w:lineRule="auto"/>
        <w:jc w:val="both"/>
        <w:rPr>
          <w:rFonts w:ascii="Arial" w:eastAsia="Arial" w:hAnsi="Arial" w:cs="Arial"/>
          <w:b/>
          <w:color w:val="222222"/>
          <w:sz w:val="24"/>
          <w:szCs w:val="24"/>
        </w:rPr>
      </w:pPr>
      <w:r>
        <w:rPr>
          <w:rFonts w:ascii="Arial" w:eastAsia="Arial" w:hAnsi="Arial" w:cs="Arial"/>
          <w:b/>
          <w:color w:val="222222"/>
          <w:sz w:val="24"/>
          <w:szCs w:val="24"/>
        </w:rPr>
        <w:t>Strategic Goals</w:t>
      </w:r>
    </w:p>
    <w:p w14:paraId="5CCE4EFA" w14:textId="77777777" w:rsidR="00EE6272" w:rsidRDefault="00000000">
      <w:pPr>
        <w:spacing w:after="0" w:line="360" w:lineRule="auto"/>
        <w:jc w:val="both"/>
        <w:rPr>
          <w:rFonts w:ascii="Arial" w:eastAsia="Arial" w:hAnsi="Arial" w:cs="Arial"/>
          <w:color w:val="222222"/>
          <w:sz w:val="24"/>
          <w:szCs w:val="24"/>
        </w:rPr>
      </w:pPr>
      <w:r>
        <w:rPr>
          <w:rFonts w:ascii="Arial" w:eastAsia="Arial" w:hAnsi="Arial" w:cs="Arial"/>
          <w:color w:val="222222"/>
          <w:sz w:val="24"/>
          <w:szCs w:val="24"/>
        </w:rPr>
        <w:t>Hilton’s strategic goals include achieving net-zero emissions by 2050, boosting room occupancy rates, and expanding the Hilton Honors loyalty programme. These objectives highlight the company’s dedication to sustainability and customer loyalty, which are essential for long-term success in the hospitality sector.</w:t>
      </w:r>
    </w:p>
    <w:p w14:paraId="71B8AF33" w14:textId="77777777" w:rsidR="00EE6272" w:rsidRDefault="00EE6272">
      <w:pPr>
        <w:spacing w:after="0" w:line="360" w:lineRule="auto"/>
        <w:jc w:val="both"/>
        <w:rPr>
          <w:rFonts w:ascii="Arial" w:eastAsia="Arial" w:hAnsi="Arial" w:cs="Arial"/>
          <w:color w:val="222222"/>
          <w:sz w:val="24"/>
          <w:szCs w:val="24"/>
        </w:rPr>
      </w:pPr>
    </w:p>
    <w:p w14:paraId="55262452"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t>The Boston Matrix: How to Use Strategically</w:t>
      </w:r>
    </w:p>
    <w:p w14:paraId="334C541A" w14:textId="77777777" w:rsidR="00EE6272" w:rsidRDefault="00000000">
      <w:pPr>
        <w:spacing w:line="360" w:lineRule="auto"/>
        <w:jc w:val="both"/>
        <w:rPr>
          <w:rFonts w:ascii="Arial" w:eastAsia="Arial" w:hAnsi="Arial" w:cs="Arial"/>
          <w:color w:val="222222"/>
          <w:sz w:val="24"/>
          <w:szCs w:val="24"/>
        </w:rPr>
      </w:pPr>
      <w:r>
        <w:rPr>
          <w:rFonts w:ascii="Arial" w:eastAsia="Arial" w:hAnsi="Arial" w:cs="Arial"/>
          <w:sz w:val="24"/>
          <w:szCs w:val="24"/>
        </w:rPr>
        <w:t>Hilton Hotels applies the Boston Matrix to develop strategy and resource allocation, diversifying its brand portfolios.</w:t>
      </w:r>
    </w:p>
    <w:p w14:paraId="12433C05" w14:textId="77777777" w:rsidR="00EE6272" w:rsidRDefault="00000000">
      <w:pPr>
        <w:spacing w:after="0" w:line="360" w:lineRule="auto"/>
        <w:jc w:val="both"/>
        <w:rPr>
          <w:rFonts w:ascii="Arial" w:eastAsia="Arial" w:hAnsi="Arial" w:cs="Arial"/>
          <w:b/>
          <w:color w:val="222222"/>
          <w:sz w:val="24"/>
          <w:szCs w:val="24"/>
        </w:rPr>
      </w:pPr>
      <w:r>
        <w:rPr>
          <w:rFonts w:ascii="Arial" w:eastAsia="Arial" w:hAnsi="Arial" w:cs="Arial"/>
          <w:b/>
          <w:color w:val="222222"/>
          <w:sz w:val="24"/>
          <w:szCs w:val="24"/>
        </w:rPr>
        <w:t>Strategic Recommendations</w:t>
      </w:r>
    </w:p>
    <w:p w14:paraId="386245BD" w14:textId="77777777" w:rsidR="00EE6272" w:rsidRDefault="00000000">
      <w:pPr>
        <w:spacing w:after="0" w:line="360" w:lineRule="auto"/>
        <w:jc w:val="both"/>
        <w:rPr>
          <w:rFonts w:ascii="Arial" w:eastAsia="Arial" w:hAnsi="Arial" w:cs="Arial"/>
          <w:color w:val="222222"/>
          <w:sz w:val="24"/>
          <w:szCs w:val="24"/>
        </w:rPr>
      </w:pPr>
      <w:r>
        <w:rPr>
          <w:rFonts w:ascii="Arial" w:eastAsia="Arial" w:hAnsi="Arial" w:cs="Arial"/>
          <w:color w:val="222222"/>
          <w:sz w:val="24"/>
          <w:szCs w:val="24"/>
        </w:rPr>
        <w:t>Implementing AI for Personalised Customer Experience: Integrating advanced AI technologies can enhance guest personalisation, improve operational efficiency, and provide a competitive advantage. AI-driven insights can tailor services to individual preferences, enhancing customer satisfaction and loyalty.</w:t>
      </w:r>
    </w:p>
    <w:p w14:paraId="2D1A26CC" w14:textId="77777777" w:rsidR="00EE6272" w:rsidRDefault="00EE6272">
      <w:pPr>
        <w:spacing w:after="0" w:line="360" w:lineRule="auto"/>
        <w:jc w:val="both"/>
        <w:rPr>
          <w:rFonts w:ascii="Arial" w:eastAsia="Arial" w:hAnsi="Arial" w:cs="Arial"/>
          <w:color w:val="222222"/>
          <w:sz w:val="24"/>
          <w:szCs w:val="24"/>
        </w:rPr>
      </w:pPr>
    </w:p>
    <w:p w14:paraId="5F4F305B" w14:textId="77777777" w:rsidR="00EE6272" w:rsidRDefault="00000000">
      <w:pPr>
        <w:spacing w:after="0" w:line="360" w:lineRule="auto"/>
        <w:jc w:val="both"/>
        <w:rPr>
          <w:rFonts w:ascii="Arial" w:eastAsia="Arial" w:hAnsi="Arial" w:cs="Arial"/>
          <w:color w:val="222222"/>
          <w:sz w:val="24"/>
          <w:szCs w:val="24"/>
        </w:rPr>
      </w:pPr>
      <w:r>
        <w:rPr>
          <w:rFonts w:ascii="Arial" w:eastAsia="Arial" w:hAnsi="Arial" w:cs="Arial"/>
          <w:color w:val="222222"/>
          <w:sz w:val="24"/>
          <w:szCs w:val="24"/>
        </w:rPr>
        <w:t>Sustainability Initiatives with Renewable Energy Investments: Increasing investments in renewable energy can reduce Hilton’s environmental impact and operational costs. This initiative aligns with global sustainability objectives and enhances the brand’s reputation among environmentally conscious travellers.</w:t>
      </w:r>
    </w:p>
    <w:p w14:paraId="7BFF0180" w14:textId="77777777" w:rsidR="00EE6272" w:rsidRDefault="00EE6272">
      <w:pPr>
        <w:spacing w:after="0" w:line="360" w:lineRule="auto"/>
        <w:jc w:val="both"/>
        <w:rPr>
          <w:rFonts w:ascii="Arial" w:eastAsia="Arial" w:hAnsi="Arial" w:cs="Arial"/>
          <w:color w:val="222222"/>
          <w:sz w:val="24"/>
          <w:szCs w:val="24"/>
        </w:rPr>
      </w:pPr>
    </w:p>
    <w:p w14:paraId="00E981AB" w14:textId="77777777" w:rsidR="00EE6272" w:rsidRDefault="00000000">
      <w:pPr>
        <w:spacing w:after="0" w:line="360" w:lineRule="auto"/>
        <w:jc w:val="both"/>
        <w:rPr>
          <w:rFonts w:ascii="Arial" w:eastAsia="Arial" w:hAnsi="Arial" w:cs="Arial"/>
          <w:b/>
          <w:color w:val="222222"/>
          <w:sz w:val="24"/>
          <w:szCs w:val="24"/>
        </w:rPr>
      </w:pPr>
      <w:r>
        <w:rPr>
          <w:rFonts w:ascii="Arial" w:eastAsia="Arial" w:hAnsi="Arial" w:cs="Arial"/>
          <w:b/>
          <w:color w:val="222222"/>
          <w:sz w:val="24"/>
          <w:szCs w:val="24"/>
        </w:rPr>
        <w:t>Conclusion</w:t>
      </w:r>
    </w:p>
    <w:p w14:paraId="19201B78" w14:textId="77777777" w:rsidR="00EE6272" w:rsidRDefault="00000000">
      <w:pPr>
        <w:spacing w:after="0" w:line="360" w:lineRule="auto"/>
        <w:jc w:val="both"/>
        <w:rPr>
          <w:rFonts w:ascii="Arial" w:eastAsia="Arial" w:hAnsi="Arial" w:cs="Arial"/>
          <w:color w:val="222222"/>
          <w:sz w:val="24"/>
          <w:szCs w:val="24"/>
        </w:rPr>
      </w:pPr>
      <w:r>
        <w:rPr>
          <w:rFonts w:ascii="Arial" w:eastAsia="Arial" w:hAnsi="Arial" w:cs="Arial"/>
          <w:color w:val="222222"/>
          <w:sz w:val="24"/>
          <w:szCs w:val="24"/>
        </w:rPr>
        <w:t>Hilton Hotels has shown strong change management capabilities, maintaining its leadership in the hospitality industry. By focusing on strategic recommendations like leveraging AI and investing in renewable energy, Hilton can continue to innovate and lead. These strategies will ensure Hilton remains agile, competitive, and responsive to market changes, securing long-term growth and sustainability. The comprehensive analysis in this report highlights Hilton’s ability to navigate the complexities of the hospitality industry while maintaining a competitive edge through effective change management and leadership.</w:t>
      </w:r>
    </w:p>
    <w:p w14:paraId="7FCA93B9" w14:textId="77777777" w:rsidR="00EE6272" w:rsidRDefault="00EE6272">
      <w:pPr>
        <w:spacing w:after="0" w:line="360" w:lineRule="auto"/>
        <w:jc w:val="both"/>
        <w:rPr>
          <w:rFonts w:ascii="Arial" w:eastAsia="Arial" w:hAnsi="Arial" w:cs="Arial"/>
          <w:color w:val="222222"/>
          <w:sz w:val="24"/>
          <w:szCs w:val="24"/>
        </w:rPr>
      </w:pPr>
    </w:p>
    <w:p w14:paraId="19921057" w14:textId="77777777" w:rsidR="00EE6272" w:rsidRDefault="00EE6272">
      <w:pPr>
        <w:spacing w:after="0" w:line="360" w:lineRule="auto"/>
        <w:jc w:val="both"/>
        <w:rPr>
          <w:rFonts w:ascii="Arial" w:eastAsia="Arial" w:hAnsi="Arial" w:cs="Arial"/>
          <w:color w:val="222222"/>
          <w:sz w:val="24"/>
          <w:szCs w:val="24"/>
          <w:highlight w:val="white"/>
        </w:rPr>
      </w:pPr>
    </w:p>
    <w:p w14:paraId="138999AC" w14:textId="77777777" w:rsidR="00EE6272" w:rsidRDefault="00000000">
      <w:pPr>
        <w:keepNext/>
        <w:keepLines/>
        <w:pBdr>
          <w:top w:val="nil"/>
          <w:left w:val="nil"/>
          <w:bottom w:val="nil"/>
          <w:right w:val="nil"/>
          <w:between w:val="nil"/>
        </w:pBdr>
        <w:spacing w:before="240" w:after="0" w:line="360" w:lineRule="auto"/>
        <w:jc w:val="both"/>
        <w:rPr>
          <w:rFonts w:ascii="Arial" w:eastAsia="Arial" w:hAnsi="Arial" w:cs="Arial"/>
          <w:color w:val="2F5496"/>
          <w:sz w:val="24"/>
          <w:szCs w:val="24"/>
        </w:rPr>
      </w:pPr>
      <w:r>
        <w:rPr>
          <w:rFonts w:ascii="Arial" w:eastAsia="Arial" w:hAnsi="Arial" w:cs="Arial"/>
          <w:color w:val="2F5496"/>
          <w:sz w:val="24"/>
          <w:szCs w:val="24"/>
        </w:rPr>
        <w:lastRenderedPageBreak/>
        <w:t>Table of Contents</w:t>
      </w:r>
    </w:p>
    <w:p w14:paraId="20D91A94" w14:textId="77777777" w:rsidR="00EE6272" w:rsidRDefault="00000000">
      <w:pPr>
        <w:numPr>
          <w:ilvl w:val="0"/>
          <w:numId w:val="1"/>
        </w:numPr>
        <w:pBdr>
          <w:top w:val="nil"/>
          <w:left w:val="nil"/>
          <w:bottom w:val="nil"/>
          <w:right w:val="nil"/>
          <w:between w:val="nil"/>
        </w:pBdr>
        <w:spacing w:after="100" w:line="360" w:lineRule="auto"/>
        <w:rPr>
          <w:rFonts w:ascii="Arial" w:eastAsia="Arial" w:hAnsi="Arial" w:cs="Arial"/>
          <w:sz w:val="24"/>
          <w:szCs w:val="24"/>
        </w:rPr>
      </w:pPr>
      <w:r>
        <w:rPr>
          <w:rFonts w:ascii="Arial" w:eastAsia="Arial" w:hAnsi="Arial" w:cs="Arial"/>
          <w:b/>
          <w:color w:val="000000"/>
          <w:sz w:val="24"/>
          <w:szCs w:val="24"/>
        </w:rPr>
        <w:t>Executive summar</w:t>
      </w:r>
      <w:r>
        <w:rPr>
          <w:rFonts w:ascii="Arial" w:eastAsia="Arial" w:hAnsi="Arial" w:cs="Arial"/>
          <w:b/>
          <w:sz w:val="24"/>
          <w:szCs w:val="24"/>
        </w:rPr>
        <w:t>y</w:t>
      </w:r>
      <w:r>
        <w:rPr>
          <w:rFonts w:ascii="Arial" w:eastAsia="Arial" w:hAnsi="Arial" w:cs="Arial"/>
          <w:sz w:val="24"/>
          <w:szCs w:val="24"/>
        </w:rPr>
        <w:t>………………………………………………………………</w:t>
      </w:r>
      <w:r>
        <w:rPr>
          <w:rFonts w:ascii="Arial" w:eastAsia="Arial" w:hAnsi="Arial" w:cs="Arial"/>
          <w:b/>
          <w:sz w:val="24"/>
          <w:szCs w:val="24"/>
        </w:rPr>
        <w:t>1</w:t>
      </w:r>
      <w:r>
        <w:rPr>
          <w:rFonts w:ascii="Arial" w:eastAsia="Arial" w:hAnsi="Arial" w:cs="Arial"/>
          <w:b/>
          <w:color w:val="000000"/>
          <w:sz w:val="24"/>
          <w:szCs w:val="24"/>
        </w:rPr>
        <w:t xml:space="preserve">     </w:t>
      </w:r>
      <w:r>
        <w:rPr>
          <w:rFonts w:ascii="Arial" w:eastAsia="Arial" w:hAnsi="Arial" w:cs="Arial"/>
          <w:b/>
          <w:sz w:val="24"/>
          <w:szCs w:val="24"/>
        </w:rPr>
        <w:t xml:space="preserve">     </w:t>
      </w:r>
    </w:p>
    <w:p w14:paraId="43DD50FE" w14:textId="77777777" w:rsidR="00EE6272" w:rsidRDefault="00000000">
      <w:pPr>
        <w:pBdr>
          <w:top w:val="nil"/>
          <w:left w:val="nil"/>
          <w:bottom w:val="nil"/>
          <w:right w:val="nil"/>
          <w:between w:val="nil"/>
        </w:pBdr>
        <w:spacing w:after="100" w:line="360" w:lineRule="auto"/>
        <w:ind w:left="720"/>
        <w:rPr>
          <w:rFonts w:ascii="Arial" w:eastAsia="Arial" w:hAnsi="Arial" w:cs="Arial"/>
          <w:sz w:val="24"/>
          <w:szCs w:val="24"/>
        </w:rPr>
      </w:pPr>
      <w:r>
        <w:rPr>
          <w:rFonts w:ascii="Arial" w:eastAsia="Arial" w:hAnsi="Arial" w:cs="Arial"/>
          <w:sz w:val="24"/>
          <w:szCs w:val="24"/>
        </w:rPr>
        <w:t xml:space="preserve">        Overview of Hilton Hotels….………….……….………….…………………</w:t>
      </w:r>
      <w:r>
        <w:rPr>
          <w:rFonts w:ascii="Arial" w:eastAsia="Arial" w:hAnsi="Arial" w:cs="Arial"/>
          <w:b/>
          <w:sz w:val="24"/>
          <w:szCs w:val="24"/>
        </w:rPr>
        <w:t>2</w:t>
      </w:r>
    </w:p>
    <w:p w14:paraId="1C790714" w14:textId="77777777" w:rsidR="00EE6272" w:rsidRDefault="00000000">
      <w:pPr>
        <w:shd w:val="clear" w:color="auto" w:fill="FFFFFF"/>
        <w:spacing w:after="0" w:line="360" w:lineRule="auto"/>
        <w:ind w:left="720"/>
        <w:rPr>
          <w:rFonts w:ascii="Arial" w:eastAsia="Arial" w:hAnsi="Arial" w:cs="Arial"/>
          <w:b/>
          <w:sz w:val="24"/>
          <w:szCs w:val="24"/>
        </w:rPr>
      </w:pPr>
      <w:r>
        <w:rPr>
          <w:rFonts w:ascii="Arial" w:eastAsia="Arial" w:hAnsi="Arial" w:cs="Arial"/>
          <w:sz w:val="24"/>
          <w:szCs w:val="24"/>
        </w:rPr>
        <w:t xml:space="preserve">        Organisational Structure…………..………………...…….………………...</w:t>
      </w:r>
      <w:r>
        <w:rPr>
          <w:rFonts w:ascii="Arial" w:eastAsia="Arial" w:hAnsi="Arial" w:cs="Arial"/>
          <w:b/>
          <w:sz w:val="24"/>
          <w:szCs w:val="24"/>
        </w:rPr>
        <w:t>2</w:t>
      </w:r>
    </w:p>
    <w:p w14:paraId="6A1145D5" w14:textId="77777777" w:rsidR="00EE6272" w:rsidRDefault="00000000">
      <w:pPr>
        <w:shd w:val="clear" w:color="auto" w:fill="FFFFFF"/>
        <w:spacing w:after="0" w:line="360" w:lineRule="auto"/>
        <w:ind w:left="720"/>
        <w:rPr>
          <w:rFonts w:ascii="Arial" w:eastAsia="Arial" w:hAnsi="Arial" w:cs="Arial"/>
          <w:b/>
          <w:sz w:val="24"/>
          <w:szCs w:val="24"/>
        </w:rPr>
      </w:pPr>
      <w:r>
        <w:rPr>
          <w:rFonts w:ascii="Arial" w:eastAsia="Arial" w:hAnsi="Arial" w:cs="Arial"/>
          <w:sz w:val="24"/>
          <w:szCs w:val="24"/>
        </w:rPr>
        <w:t xml:space="preserve">        Organisational Culture………………………..……….………………….….</w:t>
      </w:r>
      <w:r>
        <w:rPr>
          <w:rFonts w:ascii="Arial" w:eastAsia="Arial" w:hAnsi="Arial" w:cs="Arial"/>
          <w:b/>
          <w:sz w:val="24"/>
          <w:szCs w:val="24"/>
        </w:rPr>
        <w:t>2</w:t>
      </w:r>
    </w:p>
    <w:p w14:paraId="33B0E5BB" w14:textId="77777777" w:rsidR="00EE6272" w:rsidRDefault="00000000">
      <w:pPr>
        <w:numPr>
          <w:ilvl w:val="0"/>
          <w:numId w:val="1"/>
        </w:numPr>
        <w:pBdr>
          <w:top w:val="nil"/>
          <w:left w:val="nil"/>
          <w:bottom w:val="nil"/>
          <w:right w:val="nil"/>
          <w:between w:val="nil"/>
        </w:pBdr>
        <w:spacing w:after="100" w:line="360" w:lineRule="auto"/>
        <w:jc w:val="both"/>
        <w:rPr>
          <w:rFonts w:ascii="Arial" w:eastAsia="Arial" w:hAnsi="Arial" w:cs="Arial"/>
          <w:b/>
          <w:sz w:val="24"/>
          <w:szCs w:val="24"/>
        </w:rPr>
      </w:pPr>
      <w:r>
        <w:rPr>
          <w:rFonts w:ascii="Arial" w:eastAsia="Arial" w:hAnsi="Arial" w:cs="Arial"/>
          <w:b/>
          <w:sz w:val="24"/>
          <w:szCs w:val="24"/>
        </w:rPr>
        <w:t>I</w:t>
      </w:r>
      <w:r>
        <w:rPr>
          <w:rFonts w:ascii="Arial" w:eastAsia="Arial" w:hAnsi="Arial" w:cs="Arial"/>
          <w:b/>
          <w:color w:val="000000"/>
          <w:sz w:val="24"/>
          <w:szCs w:val="24"/>
        </w:rPr>
        <w:t>ntroduc</w:t>
      </w:r>
      <w:r>
        <w:rPr>
          <w:rFonts w:ascii="Arial" w:eastAsia="Arial" w:hAnsi="Arial" w:cs="Arial"/>
          <w:b/>
          <w:sz w:val="24"/>
          <w:szCs w:val="24"/>
        </w:rPr>
        <w:t>tion</w:t>
      </w:r>
      <w:r>
        <w:rPr>
          <w:rFonts w:ascii="Arial" w:eastAsia="Arial" w:hAnsi="Arial" w:cs="Arial"/>
          <w:sz w:val="24"/>
          <w:szCs w:val="24"/>
        </w:rPr>
        <w:t>……………………………………………………………….………..</w:t>
      </w:r>
      <w:r>
        <w:rPr>
          <w:rFonts w:ascii="Arial" w:eastAsia="Arial" w:hAnsi="Arial" w:cs="Arial"/>
          <w:b/>
          <w:sz w:val="24"/>
          <w:szCs w:val="24"/>
        </w:rPr>
        <w:t>5</w:t>
      </w:r>
    </w:p>
    <w:p w14:paraId="2469F93F" w14:textId="77777777" w:rsidR="00EE6272" w:rsidRDefault="00000000">
      <w:pPr>
        <w:pBdr>
          <w:top w:val="nil"/>
          <w:left w:val="nil"/>
          <w:bottom w:val="nil"/>
          <w:right w:val="nil"/>
          <w:between w:val="nil"/>
        </w:pBdr>
        <w:spacing w:after="100" w:line="360" w:lineRule="auto"/>
        <w:rPr>
          <w:rFonts w:ascii="Arial" w:eastAsia="Arial" w:hAnsi="Arial" w:cs="Arial"/>
          <w:b/>
          <w:color w:val="000000"/>
          <w:sz w:val="24"/>
          <w:szCs w:val="24"/>
        </w:rPr>
      </w:pPr>
      <w:r>
        <w:rPr>
          <w:rFonts w:ascii="Arial" w:eastAsia="Arial" w:hAnsi="Arial" w:cs="Arial"/>
          <w:b/>
          <w:sz w:val="24"/>
          <w:szCs w:val="24"/>
        </w:rPr>
        <w:t xml:space="preserve">      3. Organisational Structure</w:t>
      </w:r>
      <w:r>
        <w:rPr>
          <w:rFonts w:ascii="Arial" w:eastAsia="Arial" w:hAnsi="Arial" w:cs="Arial"/>
          <w:sz w:val="24"/>
          <w:szCs w:val="24"/>
        </w:rPr>
        <w:t>……………………………………..………………….</w:t>
      </w:r>
      <w:r>
        <w:rPr>
          <w:rFonts w:ascii="Arial" w:eastAsia="Arial" w:hAnsi="Arial" w:cs="Arial"/>
          <w:b/>
          <w:color w:val="000000"/>
          <w:sz w:val="24"/>
          <w:szCs w:val="24"/>
        </w:rPr>
        <w:t xml:space="preserve"> 5</w:t>
      </w:r>
    </w:p>
    <w:p w14:paraId="108BB637" w14:textId="77777777" w:rsidR="00EE6272" w:rsidRDefault="00000000">
      <w:pPr>
        <w:pBdr>
          <w:top w:val="nil"/>
          <w:left w:val="nil"/>
          <w:bottom w:val="nil"/>
          <w:right w:val="nil"/>
          <w:between w:val="nil"/>
        </w:pBdr>
        <w:spacing w:after="100" w:line="360" w:lineRule="auto"/>
        <w:rPr>
          <w:rFonts w:ascii="Arial" w:eastAsia="Arial" w:hAnsi="Arial" w:cs="Arial"/>
          <w:color w:val="000000"/>
          <w:sz w:val="24"/>
          <w:szCs w:val="24"/>
        </w:rPr>
      </w:pPr>
      <w:r>
        <w:rPr>
          <w:rFonts w:ascii="Arial" w:eastAsia="Arial" w:hAnsi="Arial" w:cs="Arial"/>
          <w:b/>
          <w:sz w:val="24"/>
          <w:szCs w:val="24"/>
        </w:rPr>
        <w:t xml:space="preserve">      </w:t>
      </w:r>
      <w:r>
        <w:rPr>
          <w:rFonts w:ascii="Arial" w:eastAsia="Arial" w:hAnsi="Arial" w:cs="Arial"/>
          <w:b/>
          <w:color w:val="000000"/>
          <w:sz w:val="24"/>
          <w:szCs w:val="24"/>
        </w:rPr>
        <w:t>4. Organisational culture</w:t>
      </w:r>
      <w:r>
        <w:rPr>
          <w:rFonts w:ascii="Arial" w:eastAsia="Arial" w:hAnsi="Arial" w:cs="Arial"/>
          <w:sz w:val="24"/>
          <w:szCs w:val="24"/>
        </w:rPr>
        <w:t>……………………………………….………………….</w:t>
      </w:r>
      <w:r>
        <w:rPr>
          <w:rFonts w:ascii="Arial" w:eastAsia="Arial" w:hAnsi="Arial" w:cs="Arial"/>
          <w:b/>
          <w:color w:val="000000"/>
          <w:sz w:val="24"/>
          <w:szCs w:val="24"/>
        </w:rPr>
        <w:t xml:space="preserve">  5</w:t>
      </w:r>
    </w:p>
    <w:p w14:paraId="5ADA04AA" w14:textId="77777777" w:rsidR="00EE6272" w:rsidRDefault="00000000">
      <w:pPr>
        <w:pBdr>
          <w:top w:val="nil"/>
          <w:left w:val="nil"/>
          <w:bottom w:val="nil"/>
          <w:right w:val="nil"/>
          <w:between w:val="nil"/>
        </w:pBdr>
        <w:spacing w:after="100" w:line="360" w:lineRule="auto"/>
        <w:ind w:left="216"/>
        <w:jc w:val="both"/>
        <w:rPr>
          <w:rFonts w:ascii="Arial" w:eastAsia="Arial" w:hAnsi="Arial" w:cs="Arial"/>
          <w:b/>
          <w:color w:val="000000"/>
          <w:sz w:val="24"/>
          <w:szCs w:val="24"/>
        </w:rPr>
      </w:pPr>
      <w:r>
        <w:rPr>
          <w:rFonts w:ascii="Arial" w:eastAsia="Arial" w:hAnsi="Arial" w:cs="Arial"/>
          <w:b/>
          <w:color w:val="000000"/>
          <w:sz w:val="24"/>
          <w:szCs w:val="24"/>
        </w:rPr>
        <w:t>5. Goals, Visions, and Strategic Aims at Hilto</w:t>
      </w:r>
      <w:r>
        <w:rPr>
          <w:rFonts w:ascii="Arial" w:eastAsia="Arial" w:hAnsi="Arial" w:cs="Arial"/>
          <w:b/>
          <w:sz w:val="24"/>
          <w:szCs w:val="24"/>
        </w:rPr>
        <w:t>n</w:t>
      </w:r>
      <w:r>
        <w:rPr>
          <w:rFonts w:ascii="Arial" w:eastAsia="Arial" w:hAnsi="Arial" w:cs="Arial"/>
          <w:sz w:val="24"/>
          <w:szCs w:val="24"/>
        </w:rPr>
        <w:t>…………..……………………….</w:t>
      </w:r>
      <w:r>
        <w:rPr>
          <w:rFonts w:ascii="Arial" w:eastAsia="Arial" w:hAnsi="Arial" w:cs="Arial"/>
          <w:b/>
          <w:color w:val="000000"/>
          <w:sz w:val="24"/>
          <w:szCs w:val="24"/>
        </w:rPr>
        <w:t>6</w:t>
      </w:r>
    </w:p>
    <w:p w14:paraId="78F1DFCC" w14:textId="77777777" w:rsidR="00EE6272" w:rsidRDefault="00000000">
      <w:pPr>
        <w:pBdr>
          <w:top w:val="nil"/>
          <w:left w:val="nil"/>
          <w:bottom w:val="nil"/>
          <w:right w:val="nil"/>
          <w:between w:val="nil"/>
        </w:pBdr>
        <w:spacing w:after="100" w:line="360" w:lineRule="auto"/>
        <w:rPr>
          <w:rFonts w:ascii="Arial" w:eastAsia="Arial" w:hAnsi="Arial" w:cs="Arial"/>
          <w:b/>
          <w:color w:val="000000"/>
          <w:sz w:val="24"/>
          <w:szCs w:val="24"/>
        </w:rPr>
      </w:pPr>
      <w:r>
        <w:rPr>
          <w:rFonts w:ascii="Arial" w:eastAsia="Arial" w:hAnsi="Arial" w:cs="Arial"/>
          <w:color w:val="222222"/>
          <w:sz w:val="24"/>
          <w:szCs w:val="24"/>
        </w:rPr>
        <w:t xml:space="preserve">           5.1. Expansion and Growth…………………………………………………….….</w:t>
      </w:r>
      <w:r>
        <w:rPr>
          <w:rFonts w:ascii="Arial" w:eastAsia="Arial" w:hAnsi="Arial" w:cs="Arial"/>
          <w:b/>
          <w:color w:val="222222"/>
          <w:sz w:val="24"/>
          <w:szCs w:val="24"/>
        </w:rPr>
        <w:t>6</w:t>
      </w:r>
    </w:p>
    <w:p w14:paraId="7223807B" w14:textId="77777777" w:rsidR="00EE6272" w:rsidRDefault="00000000">
      <w:pPr>
        <w:shd w:val="clear" w:color="auto" w:fill="FFFFFF"/>
        <w:spacing w:after="0" w:line="360" w:lineRule="auto"/>
        <w:rPr>
          <w:rFonts w:ascii="Arial" w:eastAsia="Arial" w:hAnsi="Arial" w:cs="Arial"/>
          <w:b/>
          <w:color w:val="222222"/>
          <w:sz w:val="24"/>
          <w:szCs w:val="24"/>
        </w:rPr>
      </w:pPr>
      <w:r>
        <w:rPr>
          <w:rFonts w:ascii="Arial" w:eastAsia="Arial" w:hAnsi="Arial" w:cs="Arial"/>
          <w:color w:val="222222"/>
          <w:sz w:val="24"/>
          <w:szCs w:val="24"/>
        </w:rPr>
        <w:t xml:space="preserve">           5.2. Digital Transformation……………………………………….…………….….</w:t>
      </w:r>
      <w:r>
        <w:rPr>
          <w:rFonts w:ascii="Arial" w:eastAsia="Arial" w:hAnsi="Arial" w:cs="Arial"/>
          <w:b/>
          <w:color w:val="222222"/>
          <w:sz w:val="24"/>
          <w:szCs w:val="24"/>
        </w:rPr>
        <w:t>6</w:t>
      </w:r>
    </w:p>
    <w:p w14:paraId="5704D3C3" w14:textId="77777777" w:rsidR="00EE6272" w:rsidRDefault="00000000">
      <w:pPr>
        <w:shd w:val="clear" w:color="auto" w:fill="FFFFFF"/>
        <w:spacing w:after="0" w:line="360" w:lineRule="auto"/>
        <w:rPr>
          <w:rFonts w:ascii="Arial" w:eastAsia="Arial" w:hAnsi="Arial" w:cs="Arial"/>
          <w:b/>
          <w:color w:val="222222"/>
          <w:sz w:val="24"/>
          <w:szCs w:val="24"/>
        </w:rPr>
      </w:pPr>
      <w:r>
        <w:rPr>
          <w:rFonts w:ascii="Arial" w:eastAsia="Arial" w:hAnsi="Arial" w:cs="Arial"/>
          <w:color w:val="222222"/>
          <w:sz w:val="24"/>
          <w:szCs w:val="24"/>
        </w:rPr>
        <w:t xml:space="preserve">           5.3. Sustainability and Corporate Responsibility………………………….…….</w:t>
      </w:r>
      <w:r>
        <w:rPr>
          <w:rFonts w:ascii="Arial" w:eastAsia="Arial" w:hAnsi="Arial" w:cs="Arial"/>
          <w:b/>
          <w:color w:val="222222"/>
          <w:sz w:val="24"/>
          <w:szCs w:val="24"/>
        </w:rPr>
        <w:t>7</w:t>
      </w:r>
    </w:p>
    <w:p w14:paraId="6F3CBB06" w14:textId="77777777" w:rsidR="00EE6272" w:rsidRDefault="00000000">
      <w:pPr>
        <w:shd w:val="clear" w:color="auto" w:fill="FFFFFF"/>
        <w:spacing w:after="0" w:line="360" w:lineRule="auto"/>
        <w:rPr>
          <w:rFonts w:ascii="Arial" w:eastAsia="Arial" w:hAnsi="Arial" w:cs="Arial"/>
          <w:b/>
          <w:sz w:val="24"/>
          <w:szCs w:val="24"/>
        </w:rPr>
      </w:pPr>
      <w:r>
        <w:rPr>
          <w:rFonts w:ascii="Arial" w:eastAsia="Arial" w:hAnsi="Arial" w:cs="Arial"/>
          <w:b/>
          <w:color w:val="222222"/>
          <w:sz w:val="24"/>
          <w:szCs w:val="24"/>
        </w:rPr>
        <w:t xml:space="preserve">           </w:t>
      </w:r>
      <w:r>
        <w:rPr>
          <w:rFonts w:ascii="Arial" w:eastAsia="Arial" w:hAnsi="Arial" w:cs="Arial"/>
          <w:color w:val="222222"/>
          <w:sz w:val="24"/>
          <w:szCs w:val="24"/>
        </w:rPr>
        <w:t>5.4. Innovation and Differentiation………………………………………………..</w:t>
      </w:r>
      <w:r>
        <w:rPr>
          <w:rFonts w:ascii="Arial" w:eastAsia="Arial" w:hAnsi="Arial" w:cs="Arial"/>
          <w:b/>
          <w:color w:val="222222"/>
          <w:sz w:val="24"/>
          <w:szCs w:val="24"/>
        </w:rPr>
        <w:t>7</w:t>
      </w:r>
    </w:p>
    <w:p w14:paraId="07DFD78F" w14:textId="77777777" w:rsidR="00EE6272" w:rsidRDefault="00000000">
      <w:pPr>
        <w:pBdr>
          <w:top w:val="nil"/>
          <w:left w:val="nil"/>
          <w:bottom w:val="nil"/>
          <w:right w:val="nil"/>
          <w:between w:val="nil"/>
        </w:pBdr>
        <w:spacing w:after="100" w:line="360" w:lineRule="auto"/>
        <w:ind w:left="446"/>
        <w:jc w:val="both"/>
        <w:rPr>
          <w:rFonts w:ascii="Arial" w:eastAsia="Arial" w:hAnsi="Arial" w:cs="Arial"/>
          <w:b/>
          <w:color w:val="000000"/>
          <w:sz w:val="24"/>
          <w:szCs w:val="24"/>
        </w:rPr>
      </w:pPr>
      <w:r>
        <w:rPr>
          <w:rFonts w:ascii="Arial" w:eastAsia="Arial" w:hAnsi="Arial" w:cs="Arial"/>
          <w:b/>
          <w:color w:val="000000"/>
          <w:sz w:val="24"/>
          <w:szCs w:val="24"/>
        </w:rPr>
        <w:t xml:space="preserve">6. Change Management and Change Leadership </w:t>
      </w:r>
      <w:r>
        <w:rPr>
          <w:rFonts w:ascii="Arial" w:eastAsia="Arial" w:hAnsi="Arial" w:cs="Arial"/>
          <w:color w:val="000000"/>
          <w:sz w:val="24"/>
          <w:szCs w:val="24"/>
        </w:rPr>
        <w:t>……</w:t>
      </w:r>
      <w:r>
        <w:rPr>
          <w:rFonts w:ascii="Arial" w:eastAsia="Arial" w:hAnsi="Arial" w:cs="Arial"/>
          <w:sz w:val="24"/>
          <w:szCs w:val="24"/>
        </w:rPr>
        <w:t>…………..</w:t>
      </w:r>
      <w:r>
        <w:rPr>
          <w:rFonts w:ascii="Arial" w:eastAsia="Arial" w:hAnsi="Arial" w:cs="Arial"/>
          <w:color w:val="000000"/>
          <w:sz w:val="24"/>
          <w:szCs w:val="24"/>
        </w:rPr>
        <w:t>……………</w:t>
      </w:r>
      <w:r>
        <w:rPr>
          <w:rFonts w:ascii="Arial" w:eastAsia="Arial" w:hAnsi="Arial" w:cs="Arial"/>
          <w:b/>
          <w:color w:val="000000"/>
          <w:sz w:val="24"/>
          <w:szCs w:val="24"/>
        </w:rPr>
        <w:t>8</w:t>
      </w:r>
    </w:p>
    <w:p w14:paraId="315D3E86" w14:textId="77777777" w:rsidR="00EE6272" w:rsidRDefault="00000000">
      <w:pPr>
        <w:pBdr>
          <w:top w:val="nil"/>
          <w:left w:val="nil"/>
          <w:bottom w:val="nil"/>
          <w:right w:val="nil"/>
          <w:between w:val="nil"/>
        </w:pBdr>
        <w:spacing w:after="100" w:line="360" w:lineRule="auto"/>
        <w:ind w:left="445"/>
        <w:rPr>
          <w:rFonts w:ascii="Arial" w:eastAsia="Arial" w:hAnsi="Arial" w:cs="Arial"/>
          <w:b/>
          <w:color w:val="000000"/>
          <w:sz w:val="24"/>
          <w:szCs w:val="24"/>
        </w:rPr>
      </w:pPr>
      <w:r>
        <w:rPr>
          <w:rFonts w:ascii="Arial" w:eastAsia="Arial" w:hAnsi="Arial" w:cs="Arial"/>
          <w:sz w:val="24"/>
          <w:szCs w:val="24"/>
        </w:rPr>
        <w:t xml:space="preserve">   </w:t>
      </w:r>
      <w:r>
        <w:rPr>
          <w:rFonts w:ascii="Arial" w:eastAsia="Arial" w:hAnsi="Arial" w:cs="Arial"/>
          <w:color w:val="000000"/>
          <w:sz w:val="24"/>
          <w:szCs w:val="24"/>
        </w:rPr>
        <w:t>6.1. Change Management</w:t>
      </w:r>
      <w:r>
        <w:rPr>
          <w:rFonts w:ascii="Arial" w:eastAsia="Arial" w:hAnsi="Arial" w:cs="Arial"/>
          <w:sz w:val="24"/>
          <w:szCs w:val="24"/>
        </w:rPr>
        <w:t>………………………………………………………....</w:t>
      </w:r>
      <w:r>
        <w:rPr>
          <w:rFonts w:ascii="Arial" w:eastAsia="Arial" w:hAnsi="Arial" w:cs="Arial"/>
          <w:b/>
          <w:sz w:val="24"/>
          <w:szCs w:val="24"/>
        </w:rPr>
        <w:t>8</w:t>
      </w:r>
    </w:p>
    <w:p w14:paraId="61346FA6" w14:textId="77777777" w:rsidR="00EE6272" w:rsidRDefault="00000000">
      <w:pPr>
        <w:spacing w:line="360" w:lineRule="auto"/>
        <w:rPr>
          <w:rFonts w:ascii="Arial" w:eastAsia="Arial" w:hAnsi="Arial" w:cs="Arial"/>
          <w:b/>
          <w:sz w:val="24"/>
          <w:szCs w:val="24"/>
        </w:rPr>
      </w:pPr>
      <w:r>
        <w:rPr>
          <w:rFonts w:ascii="Arial" w:eastAsia="Arial" w:hAnsi="Arial" w:cs="Arial"/>
          <w:sz w:val="24"/>
          <w:szCs w:val="24"/>
        </w:rPr>
        <w:t xml:space="preserve">         6.2. Change leadership!....................................................................................</w:t>
      </w:r>
      <w:r>
        <w:rPr>
          <w:rFonts w:ascii="Arial" w:eastAsia="Arial" w:hAnsi="Arial" w:cs="Arial"/>
          <w:b/>
          <w:sz w:val="24"/>
          <w:szCs w:val="24"/>
        </w:rPr>
        <w:t>8</w:t>
      </w:r>
    </w:p>
    <w:p w14:paraId="33AC0C65"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t xml:space="preserve">7. Evaluation of Change Triggers at Hilton Hotels </w:t>
      </w:r>
      <w:r>
        <w:rPr>
          <w:rFonts w:ascii="Arial" w:eastAsia="Arial" w:hAnsi="Arial" w:cs="Arial"/>
          <w:sz w:val="24"/>
          <w:szCs w:val="24"/>
        </w:rPr>
        <w:t>…………..…………………….</w:t>
      </w:r>
      <w:r>
        <w:rPr>
          <w:rFonts w:ascii="Arial" w:eastAsia="Arial" w:hAnsi="Arial" w:cs="Arial"/>
          <w:b/>
          <w:sz w:val="24"/>
          <w:szCs w:val="24"/>
        </w:rPr>
        <w:t>9</w:t>
      </w:r>
    </w:p>
    <w:p w14:paraId="6A645767"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t xml:space="preserve">8. The Boston Matrix: How to Use Strategically </w:t>
      </w:r>
      <w:r>
        <w:rPr>
          <w:rFonts w:ascii="Arial" w:eastAsia="Arial" w:hAnsi="Arial" w:cs="Arial"/>
          <w:sz w:val="24"/>
          <w:szCs w:val="24"/>
        </w:rPr>
        <w:t xml:space="preserve">…………………………………. </w:t>
      </w:r>
      <w:r>
        <w:rPr>
          <w:rFonts w:ascii="Arial" w:eastAsia="Arial" w:hAnsi="Arial" w:cs="Arial"/>
          <w:b/>
          <w:sz w:val="24"/>
          <w:szCs w:val="24"/>
        </w:rPr>
        <w:t>10</w:t>
      </w:r>
    </w:p>
    <w:p w14:paraId="267A0D05" w14:textId="77777777" w:rsidR="00EE6272" w:rsidRDefault="00000000">
      <w:pPr>
        <w:spacing w:line="360" w:lineRule="auto"/>
        <w:ind w:left="720"/>
        <w:jc w:val="both"/>
        <w:rPr>
          <w:rFonts w:ascii="Arial" w:eastAsia="Arial" w:hAnsi="Arial" w:cs="Arial"/>
          <w:b/>
          <w:sz w:val="24"/>
          <w:szCs w:val="24"/>
        </w:rPr>
      </w:pPr>
      <w:r>
        <w:rPr>
          <w:rFonts w:ascii="Arial" w:eastAsia="Arial" w:hAnsi="Arial" w:cs="Arial"/>
          <w:sz w:val="24"/>
          <w:szCs w:val="24"/>
        </w:rPr>
        <w:t>8.1. Stars: Hilton Honors and Innovation Digital………………………………</w:t>
      </w:r>
      <w:r>
        <w:rPr>
          <w:rFonts w:ascii="Arial" w:eastAsia="Arial" w:hAnsi="Arial" w:cs="Arial"/>
          <w:b/>
          <w:sz w:val="24"/>
          <w:szCs w:val="24"/>
        </w:rPr>
        <w:t>10</w:t>
      </w:r>
    </w:p>
    <w:p w14:paraId="3352434C" w14:textId="77777777" w:rsidR="00EE6272" w:rsidRDefault="00000000">
      <w:pPr>
        <w:spacing w:line="360" w:lineRule="auto"/>
        <w:ind w:left="720"/>
        <w:jc w:val="both"/>
        <w:rPr>
          <w:rFonts w:ascii="Arial" w:eastAsia="Arial" w:hAnsi="Arial" w:cs="Arial"/>
          <w:b/>
          <w:sz w:val="24"/>
          <w:szCs w:val="24"/>
        </w:rPr>
      </w:pPr>
      <w:r>
        <w:rPr>
          <w:rFonts w:ascii="Arial" w:eastAsia="Arial" w:hAnsi="Arial" w:cs="Arial"/>
          <w:sz w:val="24"/>
          <w:szCs w:val="24"/>
        </w:rPr>
        <w:t>8.2. Cash Cows: Traditional Full-Service Hotels………………………………</w:t>
      </w:r>
      <w:r>
        <w:rPr>
          <w:rFonts w:ascii="Arial" w:eastAsia="Arial" w:hAnsi="Arial" w:cs="Arial"/>
          <w:b/>
          <w:sz w:val="24"/>
          <w:szCs w:val="24"/>
        </w:rPr>
        <w:t>10</w:t>
      </w:r>
    </w:p>
    <w:p w14:paraId="75EC8336" w14:textId="77777777" w:rsidR="00EE6272" w:rsidRDefault="00000000">
      <w:pPr>
        <w:spacing w:line="360" w:lineRule="auto"/>
        <w:jc w:val="both"/>
        <w:rPr>
          <w:rFonts w:ascii="Arial" w:eastAsia="Arial" w:hAnsi="Arial" w:cs="Arial"/>
          <w:b/>
          <w:sz w:val="24"/>
          <w:szCs w:val="24"/>
        </w:rPr>
      </w:pPr>
      <w:r>
        <w:rPr>
          <w:rFonts w:ascii="Arial" w:eastAsia="Arial" w:hAnsi="Arial" w:cs="Arial"/>
          <w:sz w:val="24"/>
          <w:szCs w:val="24"/>
        </w:rPr>
        <w:t xml:space="preserve">         8.3. Question Marks………………………………………………………………..</w:t>
      </w:r>
      <w:r>
        <w:rPr>
          <w:rFonts w:ascii="Arial" w:eastAsia="Arial" w:hAnsi="Arial" w:cs="Arial"/>
          <w:b/>
          <w:sz w:val="24"/>
          <w:szCs w:val="24"/>
        </w:rPr>
        <w:t>11</w:t>
      </w:r>
    </w:p>
    <w:p w14:paraId="0D72AF33" w14:textId="77777777" w:rsidR="00EE6272" w:rsidRDefault="00000000">
      <w:pPr>
        <w:spacing w:line="360" w:lineRule="auto"/>
        <w:jc w:val="both"/>
        <w:rPr>
          <w:rFonts w:ascii="Arial" w:eastAsia="Arial" w:hAnsi="Arial" w:cs="Arial"/>
          <w:b/>
          <w:sz w:val="24"/>
          <w:szCs w:val="24"/>
        </w:rPr>
      </w:pPr>
      <w:r>
        <w:rPr>
          <w:rFonts w:ascii="Arial" w:eastAsia="Arial" w:hAnsi="Arial" w:cs="Arial"/>
          <w:sz w:val="24"/>
          <w:szCs w:val="24"/>
        </w:rPr>
        <w:t xml:space="preserve">         8.4. Dogs: Underperforming Brands……………………………………….…..…</w:t>
      </w:r>
      <w:r>
        <w:rPr>
          <w:rFonts w:ascii="Arial" w:eastAsia="Arial" w:hAnsi="Arial" w:cs="Arial"/>
          <w:b/>
          <w:sz w:val="24"/>
          <w:szCs w:val="24"/>
        </w:rPr>
        <w:t>11</w:t>
      </w:r>
    </w:p>
    <w:p w14:paraId="03B7DF51"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t>9. Conclusion</w:t>
      </w:r>
      <w:r>
        <w:rPr>
          <w:rFonts w:ascii="Arial" w:eastAsia="Arial" w:hAnsi="Arial" w:cs="Arial"/>
          <w:sz w:val="24"/>
          <w:szCs w:val="24"/>
        </w:rPr>
        <w:t>..…………………………………………………..……….………………</w:t>
      </w:r>
      <w:r>
        <w:rPr>
          <w:rFonts w:ascii="Arial" w:eastAsia="Arial" w:hAnsi="Arial" w:cs="Arial"/>
          <w:b/>
          <w:sz w:val="24"/>
          <w:szCs w:val="24"/>
        </w:rPr>
        <w:t>12</w:t>
      </w:r>
    </w:p>
    <w:p w14:paraId="3FFEEB36"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t>10.Recommendations</w:t>
      </w:r>
      <w:r>
        <w:rPr>
          <w:rFonts w:ascii="Arial" w:eastAsia="Arial" w:hAnsi="Arial" w:cs="Arial"/>
          <w:sz w:val="24"/>
          <w:szCs w:val="24"/>
        </w:rPr>
        <w:t xml:space="preserve"> ……………………………………………………………….…</w:t>
      </w:r>
      <w:r>
        <w:rPr>
          <w:rFonts w:ascii="Arial" w:eastAsia="Arial" w:hAnsi="Arial" w:cs="Arial"/>
          <w:b/>
          <w:sz w:val="24"/>
          <w:szCs w:val="24"/>
        </w:rPr>
        <w:t>13</w:t>
      </w:r>
    </w:p>
    <w:p w14:paraId="319246B7"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t>Reffrences</w:t>
      </w:r>
      <w:r>
        <w:rPr>
          <w:rFonts w:ascii="Arial" w:eastAsia="Arial" w:hAnsi="Arial" w:cs="Arial"/>
          <w:sz w:val="24"/>
          <w:szCs w:val="24"/>
        </w:rPr>
        <w:t xml:space="preserve"> ………………………………………………………………………………..</w:t>
      </w:r>
      <w:r>
        <w:rPr>
          <w:rFonts w:ascii="Arial" w:eastAsia="Arial" w:hAnsi="Arial" w:cs="Arial"/>
          <w:b/>
          <w:sz w:val="24"/>
          <w:szCs w:val="24"/>
        </w:rPr>
        <w:t>14</w:t>
      </w:r>
    </w:p>
    <w:p w14:paraId="53AFBAFD" w14:textId="77777777" w:rsidR="00EE6272" w:rsidRDefault="00EE6272">
      <w:pPr>
        <w:spacing w:line="360" w:lineRule="auto"/>
        <w:jc w:val="both"/>
        <w:rPr>
          <w:rFonts w:ascii="Arial" w:eastAsia="Arial" w:hAnsi="Arial" w:cs="Arial"/>
          <w:sz w:val="24"/>
          <w:szCs w:val="24"/>
        </w:rPr>
      </w:pPr>
    </w:p>
    <w:p w14:paraId="17A553F4" w14:textId="77777777" w:rsidR="00EE6272" w:rsidRDefault="00EE6272">
      <w:pPr>
        <w:shd w:val="clear" w:color="auto" w:fill="FFFFFF"/>
        <w:spacing w:after="0" w:line="360" w:lineRule="auto"/>
        <w:jc w:val="both"/>
        <w:rPr>
          <w:rFonts w:ascii="Arial" w:eastAsia="Arial" w:hAnsi="Arial" w:cs="Arial"/>
          <w:color w:val="222222"/>
          <w:sz w:val="24"/>
          <w:szCs w:val="24"/>
        </w:rPr>
      </w:pPr>
    </w:p>
    <w:p w14:paraId="3C927B87" w14:textId="77777777" w:rsidR="00EE6272" w:rsidRDefault="00000000">
      <w:pPr>
        <w:shd w:val="clear" w:color="auto" w:fill="FFFFFF"/>
        <w:spacing w:after="0" w:line="360" w:lineRule="auto"/>
        <w:jc w:val="both"/>
        <w:rPr>
          <w:rFonts w:ascii="Arial" w:eastAsia="Arial" w:hAnsi="Arial" w:cs="Arial"/>
          <w:b/>
          <w:color w:val="222222"/>
          <w:sz w:val="24"/>
          <w:szCs w:val="24"/>
        </w:rPr>
      </w:pPr>
      <w:bookmarkStart w:id="0" w:name="_heading=h.gjdgxs" w:colFirst="0" w:colLast="0"/>
      <w:bookmarkEnd w:id="0"/>
      <w:r>
        <w:rPr>
          <w:rFonts w:ascii="Arial" w:eastAsia="Arial" w:hAnsi="Arial" w:cs="Arial"/>
          <w:b/>
          <w:color w:val="222222"/>
          <w:sz w:val="24"/>
          <w:szCs w:val="24"/>
        </w:rPr>
        <w:lastRenderedPageBreak/>
        <w:t>2. Introduction</w:t>
      </w:r>
    </w:p>
    <w:p w14:paraId="5A99B33F" w14:textId="77777777" w:rsidR="00EE6272" w:rsidRDefault="00EE6272">
      <w:pPr>
        <w:shd w:val="clear" w:color="auto" w:fill="FFFFFF"/>
        <w:spacing w:after="0" w:line="360" w:lineRule="auto"/>
        <w:jc w:val="both"/>
        <w:rPr>
          <w:rFonts w:ascii="Arial" w:eastAsia="Arial" w:hAnsi="Arial" w:cs="Arial"/>
          <w:color w:val="222222"/>
          <w:sz w:val="24"/>
          <w:szCs w:val="24"/>
        </w:rPr>
      </w:pPr>
    </w:p>
    <w:p w14:paraId="557E637C" w14:textId="77777777" w:rsidR="00EE6272" w:rsidRDefault="00000000">
      <w:pPr>
        <w:spacing w:line="360" w:lineRule="auto"/>
        <w:jc w:val="both"/>
        <w:rPr>
          <w:rFonts w:ascii="Arial" w:eastAsia="Arial" w:hAnsi="Arial" w:cs="Arial"/>
          <w:color w:val="222222"/>
          <w:sz w:val="24"/>
          <w:szCs w:val="24"/>
        </w:rPr>
      </w:pPr>
      <w:r>
        <w:rPr>
          <w:rFonts w:ascii="Arial" w:eastAsia="Arial" w:hAnsi="Arial" w:cs="Arial"/>
          <w:color w:val="222222"/>
          <w:sz w:val="24"/>
          <w:szCs w:val="24"/>
        </w:rPr>
        <w:t xml:space="preserve">Hilton Hotels, a well-established leader in the global hospitality industry, has built an extensive network of over 6,500 properties worldwide since its founding in 1919 by Conrad Hilton. Known for its dedication to providing high-quality service, innovation, and sustainability, Hilton has adjusted its strategies to navigate the ever-changing landscape influenced by technological advancements, evolving consumer behaviours, and increased competition </w:t>
      </w:r>
      <w:r>
        <w:rPr>
          <w:rFonts w:ascii="Arial" w:eastAsia="Arial" w:hAnsi="Arial" w:cs="Arial"/>
          <w:color w:val="2C3E50"/>
          <w:sz w:val="24"/>
          <w:szCs w:val="24"/>
          <w:highlight w:val="white"/>
        </w:rPr>
        <w:t>(Hilton, 2023)</w:t>
      </w:r>
      <w:r>
        <w:rPr>
          <w:rFonts w:ascii="Arial" w:eastAsia="Arial" w:hAnsi="Arial" w:cs="Arial"/>
          <w:color w:val="222222"/>
          <w:sz w:val="24"/>
          <w:szCs w:val="24"/>
        </w:rPr>
        <w:t xml:space="preserve">. </w:t>
      </w:r>
    </w:p>
    <w:p w14:paraId="6CBB5F97" w14:textId="77777777" w:rsidR="00EE6272" w:rsidRDefault="00000000">
      <w:pPr>
        <w:spacing w:line="360" w:lineRule="auto"/>
        <w:jc w:val="both"/>
        <w:rPr>
          <w:rFonts w:ascii="Arial" w:eastAsia="Arial" w:hAnsi="Arial" w:cs="Arial"/>
          <w:color w:val="222222"/>
          <w:sz w:val="24"/>
          <w:szCs w:val="24"/>
        </w:rPr>
      </w:pPr>
      <w:r>
        <w:rPr>
          <w:rFonts w:ascii="Arial" w:eastAsia="Arial" w:hAnsi="Arial" w:cs="Arial"/>
          <w:color w:val="222222"/>
          <w:sz w:val="24"/>
          <w:szCs w:val="24"/>
        </w:rPr>
        <w:t xml:space="preserve">This Report examines Hilton's corporate framework and unit dynamics, exploring essential aspects such as organisational structure, corporate culture, strategic goals, recent change initiatives, and future direction. It underscores Hilton's hierarchical organisational structure as a catalyst for employee engagement and customer satisfaction, and its customer-focused culture based on values of hospitality, integrity, and teamwork. Additionally, it evaluates Hilton's strategic priorities, including achieving net zero emissions by 2050 </w:t>
      </w:r>
      <w:r>
        <w:rPr>
          <w:rFonts w:ascii="Arial" w:eastAsia="Arial" w:hAnsi="Arial" w:cs="Arial"/>
          <w:color w:val="2C3E50"/>
          <w:sz w:val="24"/>
          <w:szCs w:val="24"/>
          <w:highlight w:val="white"/>
        </w:rPr>
        <w:t>(Hilton Food Group plc -Climate Change 2023, n.d.)</w:t>
      </w:r>
      <w:r>
        <w:rPr>
          <w:rFonts w:ascii="Arial" w:eastAsia="Arial" w:hAnsi="Arial" w:cs="Arial"/>
          <w:color w:val="222222"/>
          <w:sz w:val="24"/>
          <w:szCs w:val="24"/>
        </w:rPr>
        <w:t xml:space="preserve">, increasing room occupancy rates, and expanding the Hilton Honors loyalty programme, which supports sustainability efforts and enhances customer loyalty. Hilton effectively navigates environmental changes and market trends through a multifaceted approach to change management that includes adaptability, re-creation, fine-tuning, and re-orientation. </w:t>
      </w:r>
    </w:p>
    <w:p w14:paraId="6B4F11FF" w14:textId="77777777" w:rsidR="00EE6272" w:rsidRDefault="00EE6272">
      <w:pPr>
        <w:spacing w:line="360" w:lineRule="auto"/>
        <w:jc w:val="both"/>
        <w:rPr>
          <w:rFonts w:ascii="Arial" w:eastAsia="Arial" w:hAnsi="Arial" w:cs="Arial"/>
          <w:color w:val="222222"/>
          <w:sz w:val="24"/>
          <w:szCs w:val="24"/>
        </w:rPr>
      </w:pPr>
    </w:p>
    <w:p w14:paraId="53726470" w14:textId="77777777" w:rsidR="00EE6272" w:rsidRDefault="00EE6272">
      <w:pPr>
        <w:spacing w:line="360" w:lineRule="auto"/>
        <w:jc w:val="both"/>
        <w:rPr>
          <w:rFonts w:ascii="Arial" w:eastAsia="Arial" w:hAnsi="Arial" w:cs="Arial"/>
          <w:color w:val="222222"/>
          <w:sz w:val="24"/>
          <w:szCs w:val="24"/>
        </w:rPr>
      </w:pPr>
    </w:p>
    <w:p w14:paraId="6683FFD1" w14:textId="77777777" w:rsidR="00EE6272" w:rsidRDefault="00EE6272">
      <w:pPr>
        <w:spacing w:line="360" w:lineRule="auto"/>
        <w:jc w:val="both"/>
        <w:rPr>
          <w:rFonts w:ascii="Arial" w:eastAsia="Arial" w:hAnsi="Arial" w:cs="Arial"/>
          <w:color w:val="222222"/>
          <w:sz w:val="24"/>
          <w:szCs w:val="24"/>
        </w:rPr>
      </w:pPr>
    </w:p>
    <w:p w14:paraId="70F9DAAD" w14:textId="77777777" w:rsidR="00EE6272" w:rsidRDefault="00EE6272">
      <w:pPr>
        <w:spacing w:line="360" w:lineRule="auto"/>
        <w:jc w:val="both"/>
        <w:rPr>
          <w:rFonts w:ascii="Arial" w:eastAsia="Arial" w:hAnsi="Arial" w:cs="Arial"/>
          <w:color w:val="222222"/>
          <w:sz w:val="24"/>
          <w:szCs w:val="24"/>
        </w:rPr>
      </w:pPr>
    </w:p>
    <w:p w14:paraId="3C471250" w14:textId="77777777" w:rsidR="00EE6272" w:rsidRDefault="00EE6272">
      <w:pPr>
        <w:spacing w:line="360" w:lineRule="auto"/>
        <w:jc w:val="both"/>
        <w:rPr>
          <w:rFonts w:ascii="Arial" w:eastAsia="Arial" w:hAnsi="Arial" w:cs="Arial"/>
          <w:color w:val="222222"/>
          <w:sz w:val="24"/>
          <w:szCs w:val="24"/>
        </w:rPr>
      </w:pPr>
    </w:p>
    <w:p w14:paraId="0D965D75" w14:textId="77777777" w:rsidR="00EE6272" w:rsidRDefault="00EE6272">
      <w:pPr>
        <w:spacing w:line="360" w:lineRule="auto"/>
        <w:jc w:val="both"/>
        <w:rPr>
          <w:rFonts w:ascii="Arial" w:eastAsia="Arial" w:hAnsi="Arial" w:cs="Arial"/>
          <w:color w:val="222222"/>
          <w:sz w:val="24"/>
          <w:szCs w:val="24"/>
        </w:rPr>
      </w:pPr>
    </w:p>
    <w:p w14:paraId="5C8C158A" w14:textId="77777777" w:rsidR="00EE6272" w:rsidRDefault="00EE6272">
      <w:pPr>
        <w:spacing w:line="360" w:lineRule="auto"/>
        <w:jc w:val="both"/>
        <w:rPr>
          <w:rFonts w:ascii="Arial" w:eastAsia="Arial" w:hAnsi="Arial" w:cs="Arial"/>
          <w:color w:val="222222"/>
          <w:sz w:val="24"/>
          <w:szCs w:val="24"/>
        </w:rPr>
      </w:pPr>
    </w:p>
    <w:p w14:paraId="05232647" w14:textId="77777777" w:rsidR="00EE6272" w:rsidRDefault="00EE6272">
      <w:pPr>
        <w:spacing w:line="360" w:lineRule="auto"/>
        <w:jc w:val="both"/>
        <w:rPr>
          <w:rFonts w:ascii="Arial" w:eastAsia="Arial" w:hAnsi="Arial" w:cs="Arial"/>
          <w:color w:val="222222"/>
          <w:sz w:val="24"/>
          <w:szCs w:val="24"/>
        </w:rPr>
      </w:pPr>
    </w:p>
    <w:p w14:paraId="30802EC9" w14:textId="77777777" w:rsidR="00EE6272" w:rsidRDefault="00EE6272">
      <w:pPr>
        <w:spacing w:line="360" w:lineRule="auto"/>
        <w:jc w:val="both"/>
        <w:rPr>
          <w:rFonts w:ascii="Arial" w:eastAsia="Arial" w:hAnsi="Arial" w:cs="Arial"/>
          <w:color w:val="222222"/>
          <w:sz w:val="24"/>
          <w:szCs w:val="24"/>
        </w:rPr>
      </w:pPr>
    </w:p>
    <w:p w14:paraId="408FA950"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lastRenderedPageBreak/>
        <w:t>3. Organisational Structure</w:t>
      </w:r>
    </w:p>
    <w:p w14:paraId="625F4929" w14:textId="77777777" w:rsidR="00EE6272"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An organisational structure is an official formal relationship system that advises lines of control, coordination, and members' motivation to attain organisational goals </w:t>
      </w:r>
      <w:r>
        <w:rPr>
          <w:rFonts w:ascii="Arial" w:eastAsia="Arial" w:hAnsi="Arial" w:cs="Arial"/>
          <w:color w:val="2C3E50"/>
          <w:sz w:val="24"/>
          <w:szCs w:val="24"/>
          <w:highlight w:val="white"/>
        </w:rPr>
        <w:t>(Cooks-Campbell, 2022).</w:t>
      </w:r>
    </w:p>
    <w:p w14:paraId="7C86A7B2" w14:textId="77777777" w:rsidR="00EE6272" w:rsidRDefault="00000000">
      <w:pPr>
        <w:spacing w:line="360" w:lineRule="auto"/>
        <w:jc w:val="both"/>
        <w:rPr>
          <w:rFonts w:ascii="Arial" w:eastAsia="Arial" w:hAnsi="Arial" w:cs="Arial"/>
          <w:color w:val="222222"/>
          <w:sz w:val="24"/>
          <w:szCs w:val="24"/>
          <w:highlight w:val="white"/>
        </w:rPr>
      </w:pPr>
      <w:r>
        <w:rPr>
          <w:rFonts w:ascii="Arial" w:eastAsia="Arial" w:hAnsi="Arial" w:cs="Arial"/>
          <w:sz w:val="24"/>
          <w:szCs w:val="24"/>
        </w:rPr>
        <w:t>The hierarchical organisational structure of Hilton Hotels offers several advantages, including an unambiguous chain of command, fast decision-making, and communication at all levels—defined career paths along the hierarchy foster commitment and motivation among the employees. However, the same system that promotes operational effectiveness and accountability may also pose challenges, such as potential delays in decision-making and, in some cases, acting as a barrier to information flow (</w:t>
      </w:r>
      <w:r>
        <w:rPr>
          <w:rFonts w:ascii="Arial" w:eastAsia="Arial" w:hAnsi="Arial" w:cs="Arial"/>
          <w:color w:val="222222"/>
          <w:sz w:val="24"/>
          <w:szCs w:val="24"/>
          <w:highlight w:val="white"/>
        </w:rPr>
        <w:t>Parker and Chung, 2018).</w:t>
      </w:r>
    </w:p>
    <w:p w14:paraId="54DC56E4" w14:textId="77777777" w:rsidR="00EE6272" w:rsidRDefault="00EE6272">
      <w:pPr>
        <w:spacing w:line="360" w:lineRule="auto"/>
        <w:jc w:val="both"/>
        <w:rPr>
          <w:rFonts w:ascii="Arial" w:eastAsia="Arial" w:hAnsi="Arial" w:cs="Arial"/>
          <w:color w:val="222222"/>
          <w:sz w:val="24"/>
          <w:szCs w:val="24"/>
          <w:highlight w:val="white"/>
        </w:rPr>
      </w:pPr>
    </w:p>
    <w:p w14:paraId="23FE5327"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t>4. Organisational Culture</w:t>
      </w:r>
    </w:p>
    <w:p w14:paraId="6EC8CF57" w14:textId="77777777" w:rsidR="00EE6272"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An organisational culture is a standard set of values, assumptions, and norms that guide the behaviour of all organisation members and their relationships in achieving organisational goals </w:t>
      </w:r>
      <w:r>
        <w:rPr>
          <w:rFonts w:ascii="Arial" w:eastAsia="Arial" w:hAnsi="Arial" w:cs="Arial"/>
          <w:color w:val="2C3E50"/>
          <w:sz w:val="24"/>
          <w:szCs w:val="24"/>
          <w:highlight w:val="white"/>
        </w:rPr>
        <w:t>(Wong, 2023)</w:t>
      </w:r>
      <w:r>
        <w:rPr>
          <w:rFonts w:ascii="Arial" w:eastAsia="Arial" w:hAnsi="Arial" w:cs="Arial"/>
          <w:sz w:val="24"/>
          <w:szCs w:val="24"/>
        </w:rPr>
        <w:t xml:space="preserve">. Hilton's organisational culture is based on hospitality, integrity, leadership, teamwork, and ownership. This culture can be incorporated into Schein's Model of Organisational Culture, which comprises three levels: artifacts, espoused values, and underlying assumptions. Hilton's culture builds a positive workplace that enhances engagement and customer satisfaction </w:t>
      </w:r>
      <w:r>
        <w:rPr>
          <w:rFonts w:ascii="Arial" w:eastAsia="Arial" w:hAnsi="Arial" w:cs="Arial"/>
          <w:color w:val="2C3E50"/>
          <w:sz w:val="24"/>
          <w:szCs w:val="24"/>
          <w:highlight w:val="white"/>
        </w:rPr>
        <w:t>(Lamo, 2019).</w:t>
      </w:r>
    </w:p>
    <w:p w14:paraId="28C72415" w14:textId="77777777" w:rsidR="00EE6272" w:rsidRDefault="00EE6272">
      <w:pPr>
        <w:spacing w:line="360" w:lineRule="auto"/>
        <w:jc w:val="both"/>
        <w:rPr>
          <w:rFonts w:ascii="Arial" w:eastAsia="Arial" w:hAnsi="Arial" w:cs="Arial"/>
          <w:sz w:val="24"/>
          <w:szCs w:val="24"/>
        </w:rPr>
      </w:pPr>
    </w:p>
    <w:p w14:paraId="7AC00D9F" w14:textId="77777777" w:rsidR="00EE6272" w:rsidRDefault="00EE6272">
      <w:pPr>
        <w:spacing w:line="360" w:lineRule="auto"/>
        <w:jc w:val="both"/>
        <w:rPr>
          <w:rFonts w:ascii="Arial" w:eastAsia="Arial" w:hAnsi="Arial" w:cs="Arial"/>
          <w:sz w:val="24"/>
          <w:szCs w:val="24"/>
        </w:rPr>
      </w:pPr>
    </w:p>
    <w:p w14:paraId="34D77E5B" w14:textId="77777777" w:rsidR="00EE6272" w:rsidRDefault="00EE6272">
      <w:pPr>
        <w:spacing w:line="360" w:lineRule="auto"/>
        <w:jc w:val="both"/>
        <w:rPr>
          <w:rFonts w:ascii="Arial" w:eastAsia="Arial" w:hAnsi="Arial" w:cs="Arial"/>
          <w:sz w:val="24"/>
          <w:szCs w:val="24"/>
        </w:rPr>
      </w:pPr>
    </w:p>
    <w:p w14:paraId="4A172A9F" w14:textId="77777777" w:rsidR="00EE6272" w:rsidRDefault="00EE6272">
      <w:pPr>
        <w:spacing w:line="360" w:lineRule="auto"/>
        <w:jc w:val="both"/>
        <w:rPr>
          <w:rFonts w:ascii="Arial" w:eastAsia="Arial" w:hAnsi="Arial" w:cs="Arial"/>
          <w:sz w:val="24"/>
          <w:szCs w:val="24"/>
        </w:rPr>
      </w:pPr>
    </w:p>
    <w:p w14:paraId="75CAED20" w14:textId="77777777" w:rsidR="00EE6272" w:rsidRDefault="00EE6272">
      <w:pPr>
        <w:spacing w:line="360" w:lineRule="auto"/>
        <w:jc w:val="both"/>
        <w:rPr>
          <w:rFonts w:ascii="Arial" w:eastAsia="Arial" w:hAnsi="Arial" w:cs="Arial"/>
          <w:sz w:val="24"/>
          <w:szCs w:val="24"/>
        </w:rPr>
      </w:pPr>
    </w:p>
    <w:p w14:paraId="04F7DCE4" w14:textId="77777777" w:rsidR="00EE6272" w:rsidRDefault="00EE6272">
      <w:pPr>
        <w:spacing w:line="360" w:lineRule="auto"/>
        <w:jc w:val="both"/>
        <w:rPr>
          <w:rFonts w:ascii="Arial" w:eastAsia="Arial" w:hAnsi="Arial" w:cs="Arial"/>
          <w:sz w:val="24"/>
          <w:szCs w:val="24"/>
        </w:rPr>
      </w:pPr>
    </w:p>
    <w:p w14:paraId="33E1B879" w14:textId="77777777" w:rsidR="00EE6272" w:rsidRDefault="00EE6272">
      <w:pPr>
        <w:spacing w:line="360" w:lineRule="auto"/>
        <w:jc w:val="both"/>
        <w:rPr>
          <w:rFonts w:ascii="Arial" w:eastAsia="Arial" w:hAnsi="Arial" w:cs="Arial"/>
          <w:sz w:val="24"/>
          <w:szCs w:val="24"/>
        </w:rPr>
      </w:pPr>
    </w:p>
    <w:p w14:paraId="756EC2C9" w14:textId="77777777" w:rsidR="00EE6272" w:rsidRDefault="00EE6272">
      <w:pPr>
        <w:spacing w:line="360" w:lineRule="auto"/>
        <w:jc w:val="both"/>
        <w:rPr>
          <w:rFonts w:ascii="Arial" w:eastAsia="Arial" w:hAnsi="Arial" w:cs="Arial"/>
          <w:sz w:val="24"/>
          <w:szCs w:val="24"/>
        </w:rPr>
      </w:pPr>
    </w:p>
    <w:p w14:paraId="35338824"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lastRenderedPageBreak/>
        <w:t>5. Goals, Visions, and Strategic Aims at Hilton</w:t>
      </w:r>
    </w:p>
    <w:p w14:paraId="14FA8EF1" w14:textId="77777777" w:rsidR="00EE6272" w:rsidRDefault="00000000">
      <w:pPr>
        <w:shd w:val="clear" w:color="auto" w:fill="FFFFFF"/>
        <w:spacing w:after="0" w:line="360" w:lineRule="auto"/>
        <w:jc w:val="both"/>
        <w:rPr>
          <w:rFonts w:ascii="Arial" w:eastAsia="Arial" w:hAnsi="Arial" w:cs="Arial"/>
          <w:b/>
          <w:color w:val="222222"/>
          <w:sz w:val="24"/>
          <w:szCs w:val="24"/>
        </w:rPr>
      </w:pPr>
      <w:r>
        <w:rPr>
          <w:rFonts w:ascii="Arial" w:eastAsia="Arial" w:hAnsi="Arial" w:cs="Arial"/>
          <w:b/>
          <w:color w:val="222222"/>
          <w:sz w:val="24"/>
          <w:szCs w:val="24"/>
        </w:rPr>
        <w:t>5.1. Expansion and Growth</w:t>
      </w:r>
    </w:p>
    <w:p w14:paraId="6B4A806D" w14:textId="77777777" w:rsidR="00EE6272" w:rsidRDefault="00EE6272">
      <w:pPr>
        <w:shd w:val="clear" w:color="auto" w:fill="FFFFFF"/>
        <w:spacing w:after="0" w:line="360" w:lineRule="auto"/>
        <w:jc w:val="both"/>
        <w:rPr>
          <w:rFonts w:ascii="Arial" w:eastAsia="Arial" w:hAnsi="Arial" w:cs="Arial"/>
          <w:b/>
          <w:color w:val="222222"/>
          <w:sz w:val="24"/>
          <w:szCs w:val="24"/>
        </w:rPr>
      </w:pPr>
    </w:p>
    <w:p w14:paraId="242DBD60" w14:textId="77777777" w:rsidR="00EE6272" w:rsidRDefault="00000000">
      <w:pPr>
        <w:spacing w:line="360" w:lineRule="auto"/>
        <w:jc w:val="both"/>
        <w:rPr>
          <w:rFonts w:ascii="Arial" w:eastAsia="Arial" w:hAnsi="Arial" w:cs="Arial"/>
          <w:color w:val="2C3E50"/>
          <w:sz w:val="24"/>
          <w:szCs w:val="24"/>
          <w:highlight w:val="white"/>
        </w:rPr>
      </w:pPr>
      <w:r>
        <w:rPr>
          <w:rFonts w:ascii="Arial" w:eastAsia="Arial" w:hAnsi="Arial" w:cs="Arial"/>
          <w:color w:val="222222"/>
          <w:sz w:val="24"/>
          <w:szCs w:val="24"/>
        </w:rPr>
        <w:t>Hilton's strategic course lies in geographical expansion and growth to be in a good market position and expand its revenue sources. The form has prioritised the growing markets, primarily in the Asian, African, and Latin American countries, which are targeted due to massive potential regarding growing disposable incomes and rising travel demand. This enables Hilton to tap new customer bases, thereby mitigating the risk associated with the saturation of markets in developed regions. In addition, for Hilton to penetrate these markets effectively, it must engage in intensive market research to identify growing areas and work with local developers and government bodies to streamline the entry process. This further expands Hilton on the global platform and spreads the risk so that an economic downturn would not harshly hit the company in one specific market. However, such business expansions call for significant capital investments and tremendous knowledge about local market conditions, which Hilton Group overcomes through business strategies presence, strategic alliances, and customisation (Jones,</w:t>
      </w:r>
      <w:r>
        <w:rPr>
          <w:rFonts w:ascii="Arial" w:eastAsia="Arial" w:hAnsi="Arial" w:cs="Arial"/>
          <w:color w:val="2C3E50"/>
          <w:sz w:val="24"/>
          <w:szCs w:val="24"/>
          <w:highlight w:val="white"/>
        </w:rPr>
        <w:t xml:space="preserve"> and Comfort, 2019).</w:t>
      </w:r>
    </w:p>
    <w:p w14:paraId="09C6D562" w14:textId="77777777" w:rsidR="00EE6272" w:rsidRDefault="00EE6272">
      <w:pPr>
        <w:spacing w:line="360" w:lineRule="auto"/>
        <w:jc w:val="both"/>
        <w:rPr>
          <w:rFonts w:ascii="Arial" w:eastAsia="Arial" w:hAnsi="Arial" w:cs="Arial"/>
          <w:color w:val="2C3E50"/>
          <w:sz w:val="24"/>
          <w:szCs w:val="24"/>
          <w:highlight w:val="white"/>
        </w:rPr>
      </w:pPr>
    </w:p>
    <w:p w14:paraId="2BF4CB59" w14:textId="77777777" w:rsidR="00EE6272" w:rsidRDefault="00000000">
      <w:pPr>
        <w:shd w:val="clear" w:color="auto" w:fill="FFFFFF"/>
        <w:spacing w:after="0" w:line="360" w:lineRule="auto"/>
        <w:jc w:val="both"/>
        <w:rPr>
          <w:rFonts w:ascii="Arial" w:eastAsia="Arial" w:hAnsi="Arial" w:cs="Arial"/>
          <w:b/>
          <w:color w:val="222222"/>
          <w:sz w:val="24"/>
          <w:szCs w:val="24"/>
        </w:rPr>
      </w:pPr>
      <w:r>
        <w:rPr>
          <w:rFonts w:ascii="Arial" w:eastAsia="Arial" w:hAnsi="Arial" w:cs="Arial"/>
          <w:b/>
          <w:color w:val="222222"/>
          <w:sz w:val="24"/>
          <w:szCs w:val="24"/>
        </w:rPr>
        <w:t>5.2. Digital Transformation</w:t>
      </w:r>
    </w:p>
    <w:p w14:paraId="6929D864" w14:textId="77777777" w:rsidR="00EE6272" w:rsidRDefault="00EE6272">
      <w:pPr>
        <w:shd w:val="clear" w:color="auto" w:fill="FFFFFF"/>
        <w:spacing w:after="0" w:line="360" w:lineRule="auto"/>
        <w:jc w:val="both"/>
        <w:rPr>
          <w:rFonts w:ascii="Arial" w:eastAsia="Arial" w:hAnsi="Arial" w:cs="Arial"/>
          <w:color w:val="222222"/>
          <w:sz w:val="24"/>
          <w:szCs w:val="24"/>
        </w:rPr>
      </w:pPr>
    </w:p>
    <w:p w14:paraId="055F63FA" w14:textId="77777777" w:rsidR="00EE6272" w:rsidRDefault="00000000">
      <w:pPr>
        <w:spacing w:line="360" w:lineRule="auto"/>
        <w:jc w:val="both"/>
        <w:rPr>
          <w:rFonts w:ascii="Arial" w:eastAsia="Arial" w:hAnsi="Arial" w:cs="Arial"/>
          <w:sz w:val="24"/>
          <w:szCs w:val="24"/>
        </w:rPr>
      </w:pPr>
      <w:r>
        <w:rPr>
          <w:rFonts w:ascii="Arial" w:eastAsia="Arial" w:hAnsi="Arial" w:cs="Arial"/>
          <w:color w:val="222222"/>
          <w:sz w:val="24"/>
          <w:szCs w:val="24"/>
        </w:rPr>
        <w:t xml:space="preserve">Digital technology represents a new way for Hilton to bring more significant experience and continue to have a competitive advantage according to changing customer expectations. The Hilton Honors app features digital check-ins and check-outs, keyless room entry, and other customisable digital services. Through data analysis and AI, Hilton can better personalise experiences that go into guest satisfaction. Digital transformation will bring effectiveness to the operation of the chain and make Hilton a step ahead of the competition. Innovations these days will also have to be complemented by sound cyber security to take care of the sensitive customer data generated. This very proactive approach taken by Hilton puts it on the leading path for measures adopted by the hospitality industry toward digitalisation and beyond, meeting the expectations of the modern traveller </w:t>
      </w:r>
      <w:r>
        <w:rPr>
          <w:rFonts w:ascii="Arial" w:eastAsia="Arial" w:hAnsi="Arial" w:cs="Arial"/>
          <w:color w:val="2C3E50"/>
          <w:sz w:val="24"/>
          <w:szCs w:val="24"/>
          <w:highlight w:val="white"/>
        </w:rPr>
        <w:t>(Liasidou, 2018).</w:t>
      </w:r>
    </w:p>
    <w:p w14:paraId="378B13A9" w14:textId="77777777" w:rsidR="00EE6272" w:rsidRDefault="00EE6272">
      <w:pPr>
        <w:spacing w:line="360" w:lineRule="auto"/>
        <w:jc w:val="both"/>
        <w:rPr>
          <w:rFonts w:ascii="Arial" w:eastAsia="Arial" w:hAnsi="Arial" w:cs="Arial"/>
          <w:sz w:val="24"/>
          <w:szCs w:val="24"/>
        </w:rPr>
      </w:pPr>
    </w:p>
    <w:p w14:paraId="6D7E09D1" w14:textId="77777777" w:rsidR="00EE6272" w:rsidRDefault="00EE6272">
      <w:pPr>
        <w:spacing w:line="360" w:lineRule="auto"/>
        <w:jc w:val="both"/>
        <w:rPr>
          <w:rFonts w:ascii="Arial" w:eastAsia="Arial" w:hAnsi="Arial" w:cs="Arial"/>
          <w:sz w:val="24"/>
          <w:szCs w:val="24"/>
        </w:rPr>
      </w:pPr>
    </w:p>
    <w:p w14:paraId="174B8573" w14:textId="77777777" w:rsidR="00EE6272" w:rsidRDefault="00000000">
      <w:pPr>
        <w:shd w:val="clear" w:color="auto" w:fill="FFFFFF"/>
        <w:spacing w:after="0" w:line="360" w:lineRule="auto"/>
        <w:jc w:val="both"/>
        <w:rPr>
          <w:rFonts w:ascii="Arial" w:eastAsia="Arial" w:hAnsi="Arial" w:cs="Arial"/>
          <w:b/>
          <w:color w:val="222222"/>
          <w:sz w:val="24"/>
          <w:szCs w:val="24"/>
        </w:rPr>
      </w:pPr>
      <w:r>
        <w:rPr>
          <w:rFonts w:ascii="Arial" w:eastAsia="Arial" w:hAnsi="Arial" w:cs="Arial"/>
          <w:b/>
          <w:color w:val="222222"/>
          <w:sz w:val="24"/>
          <w:szCs w:val="24"/>
        </w:rPr>
        <w:t>5.3. Sustainability and Corporate Responsibility</w:t>
      </w:r>
    </w:p>
    <w:p w14:paraId="474B3D41" w14:textId="77777777" w:rsidR="00EE6272" w:rsidRDefault="00EE6272">
      <w:pPr>
        <w:shd w:val="clear" w:color="auto" w:fill="FFFFFF"/>
        <w:spacing w:after="0" w:line="360" w:lineRule="auto"/>
        <w:jc w:val="both"/>
        <w:rPr>
          <w:rFonts w:ascii="Arial" w:eastAsia="Arial" w:hAnsi="Arial" w:cs="Arial"/>
          <w:color w:val="222222"/>
          <w:sz w:val="24"/>
          <w:szCs w:val="24"/>
        </w:rPr>
      </w:pPr>
    </w:p>
    <w:p w14:paraId="2C79D476" w14:textId="77777777" w:rsidR="00EE6272" w:rsidRDefault="00000000">
      <w:pPr>
        <w:shd w:val="clear" w:color="auto" w:fill="FFFFFF"/>
        <w:spacing w:after="0" w:line="360" w:lineRule="auto"/>
        <w:jc w:val="both"/>
        <w:rPr>
          <w:rFonts w:ascii="Arial" w:eastAsia="Arial" w:hAnsi="Arial" w:cs="Arial"/>
          <w:sz w:val="24"/>
          <w:szCs w:val="24"/>
        </w:rPr>
      </w:pPr>
      <w:r>
        <w:rPr>
          <w:rFonts w:ascii="Arial" w:eastAsia="Arial" w:hAnsi="Arial" w:cs="Arial"/>
          <w:color w:val="222222"/>
          <w:sz w:val="24"/>
          <w:szCs w:val="24"/>
        </w:rPr>
        <w:t xml:space="preserve">Hilton is driven by consumer pressures and regulations to commit to sustainability and corporate responsibility. The "Travel with Purpose" programme aims to accomplish zero emissions by 2050. It is, therefore, characteristic of significant investments applied to renewable energy sources, sustainable building, and, regarding the two features, reduction of its carbon footprint. With these steps, Hilton creates a much better brand image for itself in the eyes of eco-conscious travellers and seeks to meet new environmental laws. Though these practices are costly at the initial stages of implementation, they are understood to be operationally effective and efficient with time. </w:t>
      </w:r>
      <w:r>
        <w:rPr>
          <w:rFonts w:ascii="Arial" w:eastAsia="Arial" w:hAnsi="Arial" w:cs="Arial"/>
          <w:color w:val="2C3E50"/>
          <w:sz w:val="24"/>
          <w:szCs w:val="24"/>
          <w:highlight w:val="white"/>
        </w:rPr>
        <w:t>(Madrid, 2020)</w:t>
      </w:r>
      <w:r>
        <w:rPr>
          <w:rFonts w:ascii="Arial" w:eastAsia="Arial" w:hAnsi="Arial" w:cs="Arial"/>
          <w:sz w:val="24"/>
          <w:szCs w:val="24"/>
        </w:rPr>
        <w:t>.</w:t>
      </w:r>
    </w:p>
    <w:p w14:paraId="58D87148" w14:textId="77777777" w:rsidR="00EE6272" w:rsidRDefault="00EE6272">
      <w:pPr>
        <w:shd w:val="clear" w:color="auto" w:fill="FFFFFF"/>
        <w:spacing w:after="0" w:line="360" w:lineRule="auto"/>
        <w:jc w:val="both"/>
        <w:rPr>
          <w:rFonts w:ascii="Arial" w:eastAsia="Arial" w:hAnsi="Arial" w:cs="Arial"/>
          <w:color w:val="222222"/>
          <w:sz w:val="24"/>
          <w:szCs w:val="24"/>
        </w:rPr>
      </w:pPr>
    </w:p>
    <w:p w14:paraId="027EBCC3" w14:textId="77777777" w:rsidR="00EE6272" w:rsidRDefault="00000000">
      <w:pPr>
        <w:shd w:val="clear" w:color="auto" w:fill="FFFFFF"/>
        <w:spacing w:after="0" w:line="360" w:lineRule="auto"/>
        <w:jc w:val="both"/>
        <w:rPr>
          <w:rFonts w:ascii="Arial" w:eastAsia="Arial" w:hAnsi="Arial" w:cs="Arial"/>
          <w:b/>
          <w:color w:val="222222"/>
          <w:sz w:val="24"/>
          <w:szCs w:val="24"/>
        </w:rPr>
      </w:pPr>
      <w:r>
        <w:rPr>
          <w:rFonts w:ascii="Arial" w:eastAsia="Arial" w:hAnsi="Arial" w:cs="Arial"/>
          <w:b/>
          <w:color w:val="222222"/>
          <w:sz w:val="24"/>
          <w:szCs w:val="24"/>
        </w:rPr>
        <w:t>5.4. Innovation and Differentiation</w:t>
      </w:r>
    </w:p>
    <w:p w14:paraId="531C4401" w14:textId="77777777" w:rsidR="00EE6272" w:rsidRDefault="00000000">
      <w:pPr>
        <w:spacing w:line="360" w:lineRule="auto"/>
        <w:jc w:val="both"/>
        <w:rPr>
          <w:rFonts w:ascii="Arial" w:eastAsia="Arial" w:hAnsi="Arial" w:cs="Arial"/>
          <w:color w:val="2C3E50"/>
          <w:sz w:val="24"/>
          <w:szCs w:val="24"/>
          <w:highlight w:val="white"/>
        </w:rPr>
      </w:pPr>
      <w:r>
        <w:rPr>
          <w:rFonts w:ascii="Arial" w:eastAsia="Arial" w:hAnsi="Arial" w:cs="Arial"/>
          <w:color w:val="222222"/>
          <w:sz w:val="24"/>
          <w:szCs w:val="24"/>
        </w:rPr>
        <w:t xml:space="preserve">Innovation is among Hilton's main strategic moves, differentiating the hospitality market. The company constantly innovates, creating new, different, and custom guest experiences. An example is the Hilton Connected Room, which targeted tech-savvy guests to drive better guest loyalty. This also involves reinvesting in research and development that cuts across continued competitiveness. This is also why the brand becomes distinctive to the customers, and the leadership status for the company solidifies because Hilton has been advancing in its innovative moves in the hospitality sector </w:t>
      </w:r>
      <w:r>
        <w:rPr>
          <w:rFonts w:ascii="Arial" w:eastAsia="Arial" w:hAnsi="Arial" w:cs="Arial"/>
          <w:color w:val="2C3E50"/>
          <w:sz w:val="24"/>
          <w:szCs w:val="24"/>
          <w:highlight w:val="white"/>
        </w:rPr>
        <w:t>(Singh et al., 2024).</w:t>
      </w:r>
    </w:p>
    <w:p w14:paraId="7E69B8EC" w14:textId="77777777" w:rsidR="00EE6272" w:rsidRDefault="00EE6272">
      <w:pPr>
        <w:spacing w:line="360" w:lineRule="auto"/>
        <w:jc w:val="both"/>
        <w:rPr>
          <w:rFonts w:ascii="Arial" w:eastAsia="Arial" w:hAnsi="Arial" w:cs="Arial"/>
          <w:color w:val="2C3E50"/>
          <w:sz w:val="24"/>
          <w:szCs w:val="24"/>
          <w:highlight w:val="white"/>
        </w:rPr>
      </w:pPr>
    </w:p>
    <w:p w14:paraId="38E82F6B" w14:textId="77777777" w:rsidR="00EE6272" w:rsidRDefault="00EE6272">
      <w:pPr>
        <w:spacing w:line="360" w:lineRule="auto"/>
        <w:jc w:val="both"/>
        <w:rPr>
          <w:rFonts w:ascii="Arial" w:eastAsia="Arial" w:hAnsi="Arial" w:cs="Arial"/>
          <w:color w:val="2C3E50"/>
          <w:sz w:val="24"/>
          <w:szCs w:val="24"/>
          <w:highlight w:val="white"/>
        </w:rPr>
      </w:pPr>
    </w:p>
    <w:p w14:paraId="3E6FF51C" w14:textId="77777777" w:rsidR="00EE6272" w:rsidRDefault="00EE6272">
      <w:pPr>
        <w:spacing w:line="360" w:lineRule="auto"/>
        <w:jc w:val="both"/>
        <w:rPr>
          <w:rFonts w:ascii="Arial" w:eastAsia="Arial" w:hAnsi="Arial" w:cs="Arial"/>
          <w:color w:val="2C3E50"/>
          <w:sz w:val="24"/>
          <w:szCs w:val="24"/>
          <w:highlight w:val="white"/>
        </w:rPr>
      </w:pPr>
    </w:p>
    <w:p w14:paraId="4C1AD6E0" w14:textId="77777777" w:rsidR="00A711F2" w:rsidRDefault="00A711F2">
      <w:pPr>
        <w:spacing w:line="360" w:lineRule="auto"/>
        <w:jc w:val="both"/>
        <w:rPr>
          <w:rFonts w:ascii="Arial" w:eastAsia="Arial" w:hAnsi="Arial" w:cs="Arial"/>
          <w:color w:val="2C3E50"/>
          <w:sz w:val="24"/>
          <w:szCs w:val="24"/>
          <w:highlight w:val="white"/>
        </w:rPr>
      </w:pPr>
    </w:p>
    <w:p w14:paraId="1B652353" w14:textId="77777777" w:rsidR="00A711F2" w:rsidRDefault="00A711F2">
      <w:pPr>
        <w:spacing w:line="360" w:lineRule="auto"/>
        <w:jc w:val="both"/>
        <w:rPr>
          <w:rFonts w:ascii="Arial" w:eastAsia="Arial" w:hAnsi="Arial" w:cs="Arial"/>
          <w:color w:val="2C3E50"/>
          <w:sz w:val="24"/>
          <w:szCs w:val="24"/>
          <w:highlight w:val="white"/>
        </w:rPr>
      </w:pPr>
    </w:p>
    <w:p w14:paraId="7C21FCD7" w14:textId="77777777" w:rsidR="00A711F2" w:rsidRDefault="00A711F2">
      <w:pPr>
        <w:spacing w:line="360" w:lineRule="auto"/>
        <w:jc w:val="both"/>
        <w:rPr>
          <w:rFonts w:ascii="Arial" w:eastAsia="Arial" w:hAnsi="Arial" w:cs="Arial"/>
          <w:color w:val="2C3E50"/>
          <w:sz w:val="24"/>
          <w:szCs w:val="24"/>
          <w:highlight w:val="white"/>
        </w:rPr>
      </w:pPr>
    </w:p>
    <w:p w14:paraId="681B19D2" w14:textId="77777777" w:rsidR="00EE6272" w:rsidRDefault="00EE6272">
      <w:pPr>
        <w:spacing w:line="360" w:lineRule="auto"/>
        <w:jc w:val="both"/>
        <w:rPr>
          <w:rFonts w:ascii="Arial" w:eastAsia="Arial" w:hAnsi="Arial" w:cs="Arial"/>
          <w:color w:val="2C3E50"/>
          <w:sz w:val="24"/>
          <w:szCs w:val="24"/>
          <w:highlight w:val="white"/>
        </w:rPr>
      </w:pPr>
    </w:p>
    <w:p w14:paraId="72BA87A5" w14:textId="77777777" w:rsidR="00EE6272" w:rsidRDefault="00EE6272">
      <w:pPr>
        <w:spacing w:line="360" w:lineRule="auto"/>
        <w:jc w:val="both"/>
        <w:rPr>
          <w:rFonts w:ascii="Arial" w:eastAsia="Arial" w:hAnsi="Arial" w:cs="Arial"/>
          <w:color w:val="2C3E50"/>
          <w:sz w:val="24"/>
          <w:szCs w:val="24"/>
          <w:highlight w:val="white"/>
        </w:rPr>
      </w:pPr>
    </w:p>
    <w:p w14:paraId="78F2B688"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lastRenderedPageBreak/>
        <w:t>6. Change Management and Change Leadership</w:t>
      </w:r>
    </w:p>
    <w:p w14:paraId="12516756"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t>6.1. Change Management</w:t>
      </w:r>
    </w:p>
    <w:p w14:paraId="57F5FF52" w14:textId="77777777" w:rsidR="00EE6272" w:rsidRDefault="00000000">
      <w:pPr>
        <w:spacing w:line="360" w:lineRule="auto"/>
        <w:jc w:val="both"/>
        <w:rPr>
          <w:rFonts w:ascii="Arial" w:eastAsia="Arial" w:hAnsi="Arial" w:cs="Arial"/>
          <w:color w:val="2C3E50"/>
          <w:sz w:val="24"/>
          <w:szCs w:val="24"/>
          <w:highlight w:val="white"/>
        </w:rPr>
      </w:pPr>
      <w:r>
        <w:rPr>
          <w:rFonts w:ascii="Arial" w:eastAsia="Arial" w:hAnsi="Arial" w:cs="Arial"/>
          <w:sz w:val="24"/>
          <w:szCs w:val="24"/>
        </w:rPr>
        <w:t xml:space="preserve">For Hilton Hotels to successfully pass through the challenges in the industry and any opportunity that comes its way, effective change management and efficiency in leadership will be required </w:t>
      </w:r>
      <w:r>
        <w:rPr>
          <w:rFonts w:ascii="Arial" w:eastAsia="Arial" w:hAnsi="Arial" w:cs="Arial"/>
          <w:color w:val="2C3E50"/>
          <w:sz w:val="24"/>
          <w:szCs w:val="24"/>
          <w:highlight w:val="white"/>
        </w:rPr>
        <w:t>(Kotter, 2012)</w:t>
      </w:r>
      <w:r>
        <w:rPr>
          <w:rFonts w:ascii="Arial" w:eastAsia="Arial" w:hAnsi="Arial" w:cs="Arial"/>
          <w:sz w:val="24"/>
          <w:szCs w:val="24"/>
        </w:rPr>
        <w:t xml:space="preserve">. This should start with stakeholder engagement and clear communication on change programmes by Hilton, which would build trust and support for it. At the same time, robust project management frameworks and continuous monitoring will ensure the change process remains on track. Additionally, the company brings in financial discipline with an eye on meticulous budgeting, allocating resources to obtain maximum returns on cost-effective initiatives. The multi-dimensional nature helps Hilton move with the changing market dynamics and remain innovative and competitive in the hospitality industry </w:t>
      </w:r>
      <w:r>
        <w:rPr>
          <w:rFonts w:ascii="Arial" w:eastAsia="Arial" w:hAnsi="Arial" w:cs="Arial"/>
          <w:color w:val="2C3E50"/>
          <w:sz w:val="24"/>
          <w:szCs w:val="24"/>
          <w:highlight w:val="white"/>
        </w:rPr>
        <w:t>(Sakovska et al., 2022).</w:t>
      </w:r>
    </w:p>
    <w:p w14:paraId="1350C5A8" w14:textId="77777777" w:rsidR="00EE6272" w:rsidRDefault="00EE6272">
      <w:pPr>
        <w:spacing w:line="360" w:lineRule="auto"/>
        <w:jc w:val="both"/>
        <w:rPr>
          <w:rFonts w:ascii="Arial" w:eastAsia="Arial" w:hAnsi="Arial" w:cs="Arial"/>
          <w:color w:val="2C3E50"/>
          <w:sz w:val="24"/>
          <w:szCs w:val="24"/>
          <w:highlight w:val="white"/>
        </w:rPr>
      </w:pPr>
    </w:p>
    <w:p w14:paraId="1CBB81D8" w14:textId="77777777" w:rsidR="00EE6272" w:rsidRDefault="00000000">
      <w:pPr>
        <w:spacing w:line="360" w:lineRule="auto"/>
        <w:jc w:val="both"/>
        <w:rPr>
          <w:rFonts w:ascii="Arial" w:eastAsia="Arial" w:hAnsi="Arial" w:cs="Arial"/>
          <w:sz w:val="24"/>
          <w:szCs w:val="24"/>
        </w:rPr>
      </w:pPr>
      <w:r>
        <w:rPr>
          <w:rFonts w:ascii="Arial" w:eastAsia="Arial" w:hAnsi="Arial" w:cs="Arial"/>
          <w:b/>
          <w:sz w:val="24"/>
          <w:szCs w:val="24"/>
        </w:rPr>
        <w:t>6.2. Change leadership!</w:t>
      </w:r>
    </w:p>
    <w:p w14:paraId="6070FDB4" w14:textId="77777777" w:rsidR="00EE6272"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Change leadership in Hilton Hotels involves articulating a clear vision for change: transformative digital innovation in how guests experience the hotel, effectively communicated within the organisation, and aligned with broader strategic objectives. At Hilton, everyone is engaged from the top to the bottom through consistent communication over town hall meetings and digital platforms. Through targeted training programmes, this alignment should help employees understand their role in realising the vision, are motivated to foster it, and enable effective implementation of the change. Building resistance will also involve building trust; thus, if there is any ambiguity on issues related to job security with the rollout of digital check-in, for instance, those are reasons for assurance and training to mitigate resistance, creation of an open and collaborative culture that is important in successful change management </w:t>
      </w:r>
      <w:r>
        <w:rPr>
          <w:rFonts w:ascii="Arial" w:eastAsia="Arial" w:hAnsi="Arial" w:cs="Arial"/>
          <w:color w:val="2C3E50"/>
          <w:sz w:val="24"/>
          <w:szCs w:val="24"/>
          <w:highlight w:val="white"/>
        </w:rPr>
        <w:t>(Akl et al., 2017).</w:t>
      </w:r>
    </w:p>
    <w:p w14:paraId="69C1D21B" w14:textId="77777777" w:rsidR="00EE6272" w:rsidRDefault="00EE6272">
      <w:pPr>
        <w:spacing w:line="360" w:lineRule="auto"/>
        <w:jc w:val="both"/>
        <w:rPr>
          <w:rFonts w:ascii="Arial" w:eastAsia="Arial" w:hAnsi="Arial" w:cs="Arial"/>
          <w:sz w:val="24"/>
          <w:szCs w:val="24"/>
        </w:rPr>
      </w:pPr>
    </w:p>
    <w:p w14:paraId="4BA64F58" w14:textId="77777777" w:rsidR="00EE6272" w:rsidRDefault="00EE6272">
      <w:pPr>
        <w:spacing w:line="360" w:lineRule="auto"/>
        <w:jc w:val="both"/>
        <w:rPr>
          <w:rFonts w:ascii="Arial" w:eastAsia="Arial" w:hAnsi="Arial" w:cs="Arial"/>
          <w:sz w:val="24"/>
          <w:szCs w:val="24"/>
        </w:rPr>
      </w:pPr>
    </w:p>
    <w:p w14:paraId="463EAE46" w14:textId="77777777" w:rsidR="00EE6272" w:rsidRDefault="00EE6272">
      <w:pPr>
        <w:spacing w:line="360" w:lineRule="auto"/>
        <w:jc w:val="both"/>
        <w:rPr>
          <w:rFonts w:ascii="Arial" w:eastAsia="Arial" w:hAnsi="Arial" w:cs="Arial"/>
          <w:sz w:val="24"/>
          <w:szCs w:val="24"/>
        </w:rPr>
      </w:pPr>
    </w:p>
    <w:p w14:paraId="6DB07BF5"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lastRenderedPageBreak/>
        <w:t>7. Evaluation of Change Triggers at Hilton Hotels</w:t>
      </w:r>
    </w:p>
    <w:p w14:paraId="26905F9D" w14:textId="77777777" w:rsidR="00EE6272" w:rsidRDefault="00000000">
      <w:pPr>
        <w:spacing w:line="360" w:lineRule="auto"/>
        <w:jc w:val="both"/>
        <w:rPr>
          <w:rFonts w:ascii="Arial" w:eastAsia="Arial" w:hAnsi="Arial" w:cs="Arial"/>
          <w:sz w:val="24"/>
          <w:szCs w:val="24"/>
        </w:rPr>
      </w:pPr>
      <w:r>
        <w:rPr>
          <w:rFonts w:ascii="Arial" w:eastAsia="Arial" w:hAnsi="Arial" w:cs="Arial"/>
          <w:color w:val="222222"/>
          <w:sz w:val="24"/>
          <w:szCs w:val="24"/>
        </w:rPr>
        <w:t xml:space="preserve">Organisational change refers to how a company adjusts its structures, strategies, methods, or culture in response to internal and external pressures to improve performance or achieve new goals </w:t>
      </w:r>
      <w:r>
        <w:rPr>
          <w:rFonts w:ascii="Arial" w:eastAsia="Arial" w:hAnsi="Arial" w:cs="Arial"/>
          <w:sz w:val="24"/>
          <w:szCs w:val="24"/>
        </w:rPr>
        <w:t>(</w:t>
      </w:r>
      <w:r>
        <w:rPr>
          <w:rFonts w:ascii="Arial" w:eastAsia="Arial" w:hAnsi="Arial" w:cs="Arial"/>
          <w:color w:val="2C3E50"/>
          <w:sz w:val="24"/>
          <w:szCs w:val="24"/>
          <w:highlight w:val="white"/>
        </w:rPr>
        <w:t>Live.com, 2024).</w:t>
      </w:r>
    </w:p>
    <w:p w14:paraId="0BB0DC63" w14:textId="77777777" w:rsidR="00EE6272" w:rsidRDefault="00000000">
      <w:pPr>
        <w:spacing w:line="360" w:lineRule="auto"/>
        <w:jc w:val="both"/>
        <w:rPr>
          <w:rFonts w:ascii="Arial" w:eastAsia="Arial" w:hAnsi="Arial" w:cs="Arial"/>
          <w:color w:val="2C3E50"/>
          <w:sz w:val="24"/>
          <w:szCs w:val="24"/>
          <w:highlight w:val="white"/>
        </w:rPr>
      </w:pPr>
      <w:r>
        <w:rPr>
          <w:rFonts w:ascii="Arial" w:eastAsia="Arial" w:hAnsi="Arial" w:cs="Arial"/>
          <w:color w:val="222222"/>
          <w:sz w:val="24"/>
          <w:szCs w:val="24"/>
        </w:rPr>
        <w:t xml:space="preserve">Hilton Hotels encounters various triggers, both internal and external, that drive organisational change. Internally, changes in leadership, performance concerns, innovation, and cultural shifts all play significant roles. For instance, when Chris Nassetta became CEO in 2007, there was a renewed focus on operational efficiency and global expansion. This resulted in substantial strategic changes like implementing the "Hilton 2010" plan and relocating the company's headquarters. To address performance issues, Hilton improved its "Hilton Honors" programme to enhance customer satisfaction and loyalty. The introduction of digital check-in and keyless entry exemplifies Hilton's commitment to staying ahead in a technology-driven industry. Cultural shifts, such as implementing the "Travel with Purpose" programme, highlight Hilton's dedication to sustainability and social impact, reinforcing its core values </w:t>
      </w:r>
      <w:r>
        <w:rPr>
          <w:rFonts w:ascii="Arial" w:eastAsia="Arial" w:hAnsi="Arial" w:cs="Arial"/>
          <w:color w:val="2C3E50"/>
          <w:sz w:val="24"/>
          <w:szCs w:val="24"/>
          <w:highlight w:val="white"/>
        </w:rPr>
        <w:t>(Griffin, 2022).</w:t>
      </w:r>
    </w:p>
    <w:p w14:paraId="1B0366FB" w14:textId="77777777" w:rsidR="00EE6272" w:rsidRDefault="00000000">
      <w:pPr>
        <w:spacing w:line="360" w:lineRule="auto"/>
        <w:jc w:val="both"/>
        <w:rPr>
          <w:rFonts w:ascii="Arial" w:eastAsia="Arial" w:hAnsi="Arial" w:cs="Arial"/>
          <w:color w:val="222222"/>
          <w:sz w:val="24"/>
          <w:szCs w:val="24"/>
        </w:rPr>
      </w:pPr>
      <w:r>
        <w:rPr>
          <w:rFonts w:ascii="Arial" w:eastAsia="Arial" w:hAnsi="Arial" w:cs="Arial"/>
          <w:color w:val="222222"/>
          <w:sz w:val="24"/>
          <w:szCs w:val="24"/>
        </w:rPr>
        <w:t xml:space="preserve">Externally, market dynamics, economic factors, technological advancements, regulatory changes, and shifts in consumer behaviour all influence Hilton's strategies. The emergence of competitors like Airbnb prompted Hilton to innovate by introducing new brands like Tru by Hilton and Canopy by Hilton. Economic downturns, such as the COVID-19 pandemic, necessitated initiatives like the "Clean Stay" programme to ensure guest safety and maintain operations </w:t>
      </w:r>
      <w:r>
        <w:rPr>
          <w:rFonts w:ascii="Arial" w:eastAsia="Arial" w:hAnsi="Arial" w:cs="Arial"/>
          <w:color w:val="2C3E50"/>
          <w:sz w:val="24"/>
          <w:szCs w:val="24"/>
          <w:highlight w:val="white"/>
        </w:rPr>
        <w:t>(Linxi, 2021)</w:t>
      </w:r>
      <w:r>
        <w:rPr>
          <w:rFonts w:ascii="Arial" w:eastAsia="Arial" w:hAnsi="Arial" w:cs="Arial"/>
          <w:color w:val="222222"/>
          <w:sz w:val="24"/>
          <w:szCs w:val="24"/>
        </w:rPr>
        <w:t xml:space="preserve">. Technological advancements led to the adoption of the Hilton Honors app, providing guests seamless experiences. Regulatory changes, such as the need for GDPR compliance, required updates to Hilton's data handling policies. The shift in consumer behaviour towards sustainability drove Hilton to implement the "Light Stay" programme, which tracks sustainability metrics across its properties </w:t>
      </w:r>
      <w:r>
        <w:rPr>
          <w:rFonts w:ascii="Arial" w:eastAsia="Arial" w:hAnsi="Arial" w:cs="Arial"/>
          <w:color w:val="2C3E50"/>
          <w:sz w:val="24"/>
          <w:szCs w:val="24"/>
          <w:highlight w:val="white"/>
        </w:rPr>
        <w:t>(Leroi-Werelds et al., 2021).</w:t>
      </w:r>
    </w:p>
    <w:p w14:paraId="6C927AAE" w14:textId="77777777" w:rsidR="00EE6272" w:rsidRDefault="00EE6272">
      <w:pPr>
        <w:spacing w:line="360" w:lineRule="auto"/>
        <w:jc w:val="both"/>
        <w:rPr>
          <w:rFonts w:ascii="Arial" w:eastAsia="Arial" w:hAnsi="Arial" w:cs="Arial"/>
          <w:color w:val="222222"/>
          <w:sz w:val="24"/>
          <w:szCs w:val="24"/>
        </w:rPr>
      </w:pPr>
    </w:p>
    <w:p w14:paraId="4A795AB3" w14:textId="77777777" w:rsidR="00EE6272" w:rsidRDefault="00EE6272">
      <w:pPr>
        <w:spacing w:line="360" w:lineRule="auto"/>
        <w:jc w:val="both"/>
        <w:rPr>
          <w:rFonts w:ascii="Arial" w:eastAsia="Arial" w:hAnsi="Arial" w:cs="Arial"/>
          <w:color w:val="222222"/>
          <w:sz w:val="24"/>
          <w:szCs w:val="24"/>
        </w:rPr>
      </w:pPr>
    </w:p>
    <w:p w14:paraId="2C9957AD" w14:textId="77777777" w:rsidR="00EE6272" w:rsidRDefault="00EE6272">
      <w:pPr>
        <w:spacing w:line="360" w:lineRule="auto"/>
        <w:jc w:val="both"/>
        <w:rPr>
          <w:rFonts w:ascii="Arial" w:eastAsia="Arial" w:hAnsi="Arial" w:cs="Arial"/>
          <w:color w:val="222222"/>
          <w:sz w:val="24"/>
          <w:szCs w:val="24"/>
        </w:rPr>
      </w:pPr>
    </w:p>
    <w:p w14:paraId="11C548BD" w14:textId="77777777" w:rsidR="00EE6272" w:rsidRDefault="00EE6272">
      <w:pPr>
        <w:spacing w:line="360" w:lineRule="auto"/>
        <w:jc w:val="both"/>
        <w:rPr>
          <w:rFonts w:ascii="Arial" w:eastAsia="Arial" w:hAnsi="Arial" w:cs="Arial"/>
          <w:color w:val="222222"/>
          <w:sz w:val="24"/>
          <w:szCs w:val="24"/>
        </w:rPr>
      </w:pPr>
    </w:p>
    <w:p w14:paraId="588439AC"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lastRenderedPageBreak/>
        <w:t>8. The Boston Matrix: How to Use Strategically</w:t>
      </w:r>
    </w:p>
    <w:p w14:paraId="63A57278" w14:textId="77777777" w:rsidR="00EE6272" w:rsidRDefault="00000000">
      <w:pPr>
        <w:spacing w:line="360" w:lineRule="auto"/>
        <w:jc w:val="both"/>
        <w:rPr>
          <w:rFonts w:ascii="Arial" w:eastAsia="Arial" w:hAnsi="Arial" w:cs="Arial"/>
          <w:b/>
          <w:sz w:val="24"/>
          <w:szCs w:val="24"/>
        </w:rPr>
      </w:pPr>
      <w:r>
        <w:rPr>
          <w:rFonts w:ascii="Arial" w:eastAsia="Arial" w:hAnsi="Arial" w:cs="Arial"/>
          <w:sz w:val="24"/>
          <w:szCs w:val="24"/>
        </w:rPr>
        <w:t>Hilton Hotels applies the Boston Matrix to develop strategy and resource allocation, diversifying its brand portfolios.</w:t>
      </w:r>
    </w:p>
    <w:p w14:paraId="5D255084"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t>8.1. Stars: Hilton Honors and Innovation Digital</w:t>
      </w:r>
    </w:p>
    <w:p w14:paraId="7B8EB982" w14:textId="77777777" w:rsidR="00EE6272" w:rsidRDefault="00000000">
      <w:pPr>
        <w:spacing w:line="360" w:lineRule="auto"/>
        <w:jc w:val="both"/>
        <w:rPr>
          <w:rFonts w:ascii="Arial" w:eastAsia="Arial" w:hAnsi="Arial" w:cs="Arial"/>
          <w:color w:val="2C3E50"/>
          <w:sz w:val="24"/>
          <w:szCs w:val="24"/>
          <w:highlight w:val="white"/>
        </w:rPr>
      </w:pPr>
      <w:r>
        <w:rPr>
          <w:rFonts w:ascii="Arial" w:eastAsia="Arial" w:hAnsi="Arial" w:cs="Arial"/>
          <w:sz w:val="24"/>
          <w:szCs w:val="24"/>
        </w:rPr>
        <w:t>Stars in the Hilton brand's portfolio include Hilton Honors, its brand loyalty programme, and connected room digital innovation. These are high-growth markets where digital technology penetration is significantly high, and guest personalisation is in demand. Hilton Honors has a massive base of loyal customers, hence ensuring high room occupancy levels and repeat business. That is why Hilton invests heavily in these Stars and remains at the forefront of innovation to cater to tech-savvy, loyalty-driven guests. This not only keeps them satisfied but also ensures that they come back again, fostering long-term loyalty that is important to a business's sustained revenue growth (</w:t>
      </w:r>
      <w:r>
        <w:rPr>
          <w:rFonts w:ascii="Arial" w:eastAsia="Arial" w:hAnsi="Arial" w:cs="Arial"/>
          <w:color w:val="2C3E50"/>
          <w:sz w:val="24"/>
          <w:szCs w:val="24"/>
          <w:highlight w:val="white"/>
        </w:rPr>
        <w:t>Griffin, 2022).</w:t>
      </w:r>
    </w:p>
    <w:p w14:paraId="2D6F9D19" w14:textId="77777777" w:rsidR="00EE6272" w:rsidRDefault="00EE6272">
      <w:pPr>
        <w:spacing w:line="360" w:lineRule="auto"/>
        <w:jc w:val="both"/>
        <w:rPr>
          <w:rFonts w:ascii="Arial" w:eastAsia="Arial" w:hAnsi="Arial" w:cs="Arial"/>
          <w:color w:val="222222"/>
          <w:sz w:val="24"/>
          <w:szCs w:val="24"/>
        </w:rPr>
      </w:pPr>
    </w:p>
    <w:p w14:paraId="2DEA9F13"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t>8.2. Cash Cows: Traditional Full-Service Hotels</w:t>
      </w:r>
    </w:p>
    <w:p w14:paraId="1CE57153" w14:textId="77777777" w:rsidR="00EE6272" w:rsidRDefault="00000000">
      <w:pPr>
        <w:spacing w:line="360" w:lineRule="auto"/>
        <w:jc w:val="both"/>
        <w:rPr>
          <w:rFonts w:ascii="Arial" w:eastAsia="Arial" w:hAnsi="Arial" w:cs="Arial"/>
          <w:color w:val="2C3E50"/>
          <w:sz w:val="24"/>
          <w:szCs w:val="24"/>
          <w:highlight w:val="white"/>
        </w:rPr>
      </w:pPr>
      <w:r>
        <w:rPr>
          <w:rFonts w:ascii="Arial" w:eastAsia="Arial" w:hAnsi="Arial" w:cs="Arial"/>
          <w:sz w:val="24"/>
          <w:szCs w:val="24"/>
        </w:rPr>
        <w:t xml:space="preserve">Traditional full-service hotel brands are part of Hilton's Cash Cow portfolio. They have settled into a mature market with a high market share but low growth. Steady and reliable, they generate revenues that call for low investment compared to other emerging segments. They are placed under Cash Cow because they represent the needed financial stability for Hilton's other growth initiatives to be grounded in strategy </w:t>
      </w:r>
      <w:r>
        <w:rPr>
          <w:rFonts w:ascii="Arial" w:eastAsia="Arial" w:hAnsi="Arial" w:cs="Arial"/>
          <w:color w:val="2C3E50"/>
          <w:sz w:val="24"/>
          <w:szCs w:val="24"/>
          <w:highlight w:val="white"/>
        </w:rPr>
        <w:t>(Fachada, 2023).</w:t>
      </w:r>
    </w:p>
    <w:p w14:paraId="29393354" w14:textId="77777777" w:rsidR="00EE6272" w:rsidRDefault="00EE6272">
      <w:pPr>
        <w:spacing w:line="360" w:lineRule="auto"/>
        <w:jc w:val="both"/>
        <w:rPr>
          <w:rFonts w:ascii="Arial" w:eastAsia="Arial" w:hAnsi="Arial" w:cs="Arial"/>
          <w:sz w:val="24"/>
          <w:szCs w:val="24"/>
        </w:rPr>
      </w:pPr>
    </w:p>
    <w:p w14:paraId="1272DD82" w14:textId="77777777" w:rsidR="00EE6272" w:rsidRDefault="00EE6272">
      <w:pPr>
        <w:spacing w:line="360" w:lineRule="auto"/>
        <w:jc w:val="both"/>
        <w:rPr>
          <w:rFonts w:ascii="Arial" w:eastAsia="Arial" w:hAnsi="Arial" w:cs="Arial"/>
          <w:sz w:val="24"/>
          <w:szCs w:val="24"/>
        </w:rPr>
      </w:pPr>
    </w:p>
    <w:p w14:paraId="5BA87C59" w14:textId="77777777" w:rsidR="00EE6272" w:rsidRDefault="00EE6272">
      <w:pPr>
        <w:spacing w:line="360" w:lineRule="auto"/>
        <w:jc w:val="both"/>
        <w:rPr>
          <w:rFonts w:ascii="Arial" w:eastAsia="Arial" w:hAnsi="Arial" w:cs="Arial"/>
          <w:sz w:val="24"/>
          <w:szCs w:val="24"/>
        </w:rPr>
      </w:pPr>
    </w:p>
    <w:p w14:paraId="69B73E0B" w14:textId="77777777" w:rsidR="00EE6272" w:rsidRDefault="00EE6272">
      <w:pPr>
        <w:spacing w:line="360" w:lineRule="auto"/>
        <w:jc w:val="both"/>
        <w:rPr>
          <w:rFonts w:ascii="Arial" w:eastAsia="Arial" w:hAnsi="Arial" w:cs="Arial"/>
          <w:sz w:val="24"/>
          <w:szCs w:val="24"/>
        </w:rPr>
      </w:pPr>
    </w:p>
    <w:p w14:paraId="35D4126D" w14:textId="77777777" w:rsidR="00EE6272" w:rsidRDefault="00EE6272">
      <w:pPr>
        <w:spacing w:line="360" w:lineRule="auto"/>
        <w:jc w:val="both"/>
        <w:rPr>
          <w:rFonts w:ascii="Arial" w:eastAsia="Arial" w:hAnsi="Arial" w:cs="Arial"/>
          <w:sz w:val="24"/>
          <w:szCs w:val="24"/>
        </w:rPr>
      </w:pPr>
    </w:p>
    <w:p w14:paraId="23D39EB0" w14:textId="77777777" w:rsidR="00EE6272" w:rsidRDefault="00EE6272">
      <w:pPr>
        <w:spacing w:line="360" w:lineRule="auto"/>
        <w:jc w:val="both"/>
        <w:rPr>
          <w:rFonts w:ascii="Arial" w:eastAsia="Arial" w:hAnsi="Arial" w:cs="Arial"/>
          <w:sz w:val="24"/>
          <w:szCs w:val="24"/>
        </w:rPr>
      </w:pPr>
    </w:p>
    <w:p w14:paraId="087B9D88" w14:textId="77777777" w:rsidR="00EE6272" w:rsidRDefault="00EE6272">
      <w:pPr>
        <w:spacing w:line="360" w:lineRule="auto"/>
        <w:jc w:val="both"/>
        <w:rPr>
          <w:rFonts w:ascii="Arial" w:eastAsia="Arial" w:hAnsi="Arial" w:cs="Arial"/>
          <w:sz w:val="24"/>
          <w:szCs w:val="24"/>
        </w:rPr>
      </w:pPr>
    </w:p>
    <w:p w14:paraId="09572AD9"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lastRenderedPageBreak/>
        <w:t xml:space="preserve">8.3. Question Marks: </w:t>
      </w:r>
    </w:p>
    <w:p w14:paraId="70138266" w14:textId="77777777" w:rsidR="00EE6272"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The Question Marks are products that have the potential to grow but can go either way. The market share of the Question Marks is small, while the category ideally refers to the new brand entries by Hilton. For example, the millennials and the market trends of these segments are boutique and lifestyle hotels. If Hilton could improve the conditions of these markets, they could become stars. The boutique and lifestyle hotels that Hilton is diversifying with would be considered a future bet with the corresponding trend. The industry succumbs more and more to personal experience, not only among younger people but also among all generation groups. An investment in building these brands would position Hilton well to capitalise on that growing market. Though high risk, the payoff from these investments may be huge. Turning them into Stars would mean effectively tapping a profitable Hilton market, diversifying its portfolio, and guaranteeing long-term growth </w:t>
      </w:r>
      <w:r>
        <w:rPr>
          <w:rFonts w:ascii="Arial" w:eastAsia="Arial" w:hAnsi="Arial" w:cs="Arial"/>
          <w:color w:val="2C3E50"/>
          <w:sz w:val="24"/>
          <w:szCs w:val="24"/>
          <w:highlight w:val="white"/>
        </w:rPr>
        <w:t>(Liasidou, 2018).</w:t>
      </w:r>
    </w:p>
    <w:p w14:paraId="377E6C68" w14:textId="77777777" w:rsidR="00EE6272" w:rsidRDefault="00EE6272">
      <w:pPr>
        <w:spacing w:line="360" w:lineRule="auto"/>
        <w:jc w:val="both"/>
        <w:rPr>
          <w:rFonts w:ascii="Arial" w:eastAsia="Arial" w:hAnsi="Arial" w:cs="Arial"/>
          <w:sz w:val="24"/>
          <w:szCs w:val="24"/>
        </w:rPr>
      </w:pPr>
    </w:p>
    <w:p w14:paraId="0811943F"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t>8.4. Dogs: Underperforming Brands</w:t>
      </w:r>
    </w:p>
    <w:p w14:paraId="2570ECC9" w14:textId="77777777" w:rsidR="00EE6272" w:rsidRDefault="00000000">
      <w:pPr>
        <w:spacing w:line="360" w:lineRule="auto"/>
        <w:jc w:val="both"/>
        <w:rPr>
          <w:rFonts w:ascii="Arial" w:eastAsia="Arial" w:hAnsi="Arial" w:cs="Arial"/>
          <w:sz w:val="24"/>
          <w:szCs w:val="24"/>
        </w:rPr>
      </w:pPr>
      <w:r>
        <w:rPr>
          <w:rFonts w:ascii="Arial" w:eastAsia="Arial" w:hAnsi="Arial" w:cs="Arial"/>
          <w:sz w:val="24"/>
          <w:szCs w:val="24"/>
        </w:rPr>
        <w:t>These are Hilton's underperforming or weak brands. They have a low market share in low-growth markets, depress resources, and are generally low revenue generators. Dogs are identified and divested to be realistic and help Hilton derive the most out of its resource allocation.</w:t>
      </w:r>
    </w:p>
    <w:p w14:paraId="7838A1D3" w14:textId="77777777" w:rsidR="00EE6272"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Once these non-performing assets are out of the way, Hilton can put that money into other more profitable avenues on the list. These cuts and eliminations contribute to overall profitability and ensure the money is slowed back into those areas providing the most returns. Getting the Dogs out of the portfolio reduced operational inefficiencies. It channelled the company's focus toward new growth and high-yielding investments that now can make Hilton's strategic game plan a reality </w:t>
      </w:r>
      <w:r>
        <w:rPr>
          <w:rFonts w:ascii="Arial" w:eastAsia="Arial" w:hAnsi="Arial" w:cs="Arial"/>
          <w:color w:val="2C3E50"/>
          <w:sz w:val="24"/>
          <w:szCs w:val="24"/>
          <w:highlight w:val="white"/>
        </w:rPr>
        <w:t>(Kim, 2009).</w:t>
      </w:r>
    </w:p>
    <w:p w14:paraId="2FA50E72" w14:textId="77777777" w:rsidR="00EE6272" w:rsidRDefault="00EE6272">
      <w:pPr>
        <w:spacing w:line="360" w:lineRule="auto"/>
        <w:jc w:val="both"/>
        <w:rPr>
          <w:rFonts w:ascii="Arial" w:eastAsia="Arial" w:hAnsi="Arial" w:cs="Arial"/>
          <w:sz w:val="24"/>
          <w:szCs w:val="24"/>
        </w:rPr>
      </w:pPr>
    </w:p>
    <w:p w14:paraId="6A27E961" w14:textId="77777777" w:rsidR="00EE6272" w:rsidRDefault="00EE6272">
      <w:pPr>
        <w:spacing w:line="360" w:lineRule="auto"/>
        <w:jc w:val="both"/>
        <w:rPr>
          <w:rFonts w:ascii="Arial" w:eastAsia="Arial" w:hAnsi="Arial" w:cs="Arial"/>
          <w:sz w:val="24"/>
          <w:szCs w:val="24"/>
        </w:rPr>
      </w:pPr>
    </w:p>
    <w:p w14:paraId="18311066" w14:textId="77777777" w:rsidR="00EE6272" w:rsidRDefault="00EE6272">
      <w:pPr>
        <w:spacing w:line="360" w:lineRule="auto"/>
        <w:jc w:val="both"/>
        <w:rPr>
          <w:rFonts w:ascii="Arial" w:eastAsia="Arial" w:hAnsi="Arial" w:cs="Arial"/>
          <w:sz w:val="24"/>
          <w:szCs w:val="24"/>
        </w:rPr>
      </w:pPr>
    </w:p>
    <w:p w14:paraId="2D4ECA95" w14:textId="77777777" w:rsidR="00EE6272" w:rsidRDefault="00EE6272">
      <w:pPr>
        <w:spacing w:line="360" w:lineRule="auto"/>
        <w:jc w:val="both"/>
        <w:rPr>
          <w:rFonts w:ascii="Arial" w:eastAsia="Arial" w:hAnsi="Arial" w:cs="Arial"/>
          <w:sz w:val="24"/>
          <w:szCs w:val="24"/>
        </w:rPr>
      </w:pPr>
    </w:p>
    <w:p w14:paraId="42BE9271" w14:textId="77777777" w:rsidR="00EE6272" w:rsidRDefault="00EE6272">
      <w:pPr>
        <w:spacing w:line="360" w:lineRule="auto"/>
        <w:jc w:val="both"/>
        <w:rPr>
          <w:rFonts w:ascii="Arial" w:eastAsia="Arial" w:hAnsi="Arial" w:cs="Arial"/>
          <w:sz w:val="24"/>
          <w:szCs w:val="24"/>
        </w:rPr>
      </w:pPr>
    </w:p>
    <w:p w14:paraId="2404CA80" w14:textId="77777777" w:rsidR="00EE6272" w:rsidRDefault="00000000">
      <w:pPr>
        <w:spacing w:line="360" w:lineRule="auto"/>
        <w:jc w:val="both"/>
        <w:rPr>
          <w:rFonts w:ascii="Arial" w:eastAsia="Arial" w:hAnsi="Arial" w:cs="Arial"/>
          <w:sz w:val="24"/>
          <w:szCs w:val="24"/>
        </w:rPr>
      </w:pPr>
      <w:r>
        <w:rPr>
          <w:rFonts w:ascii="Arial" w:eastAsia="Arial" w:hAnsi="Arial" w:cs="Arial"/>
          <w:b/>
          <w:sz w:val="24"/>
          <w:szCs w:val="24"/>
        </w:rPr>
        <w:lastRenderedPageBreak/>
        <w:t>9. Conclusion</w:t>
      </w:r>
      <w:r>
        <w:rPr>
          <w:rFonts w:ascii="Arial" w:eastAsia="Arial" w:hAnsi="Arial" w:cs="Arial"/>
          <w:sz w:val="24"/>
          <w:szCs w:val="24"/>
        </w:rPr>
        <w:t xml:space="preserve">: </w:t>
      </w:r>
    </w:p>
    <w:p w14:paraId="66D954FB" w14:textId="77777777" w:rsidR="00EE6272" w:rsidRDefault="00000000">
      <w:pPr>
        <w:spacing w:line="360" w:lineRule="auto"/>
        <w:jc w:val="both"/>
        <w:rPr>
          <w:rFonts w:ascii="Arial" w:eastAsia="Arial" w:hAnsi="Arial" w:cs="Arial"/>
          <w:color w:val="222222"/>
          <w:sz w:val="24"/>
          <w:szCs w:val="24"/>
          <w:highlight w:val="white"/>
        </w:rPr>
      </w:pPr>
      <w:r>
        <w:rPr>
          <w:rFonts w:ascii="Arial" w:eastAsia="Arial" w:hAnsi="Arial" w:cs="Arial"/>
          <w:color w:val="222222"/>
          <w:sz w:val="24"/>
          <w:szCs w:val="24"/>
          <w:highlight w:val="white"/>
        </w:rPr>
        <w:t xml:space="preserve">Hilton Hotels has shown impressive adaptability and strategic foresight in the ever-changing hospitality industry. With a robust hierarchical structure and a deeply ingrained culture of hospitality and integrity, Hilton has effectively managed change while staying competitive. The company's strategic goals, including sustainability and customer loyalty, highlight its vision of being a top global hospitality provider. Through a comprehensive approach to change management, Hilton has remained agile in response to market demands and technological advancements. Leadership has played a crucial role in driving these changes, setting clear visions, mobilising resources, and promoting organisational alignment </w:t>
      </w:r>
      <w:r>
        <w:rPr>
          <w:rFonts w:ascii="Arial" w:eastAsia="Arial" w:hAnsi="Arial" w:cs="Arial"/>
          <w:color w:val="2C3E50"/>
          <w:sz w:val="24"/>
          <w:szCs w:val="24"/>
          <w:highlight w:val="white"/>
        </w:rPr>
        <w:t>(Maxwell and Watson, 2006)</w:t>
      </w:r>
      <w:r>
        <w:rPr>
          <w:rFonts w:ascii="Arial" w:eastAsia="Arial" w:hAnsi="Arial" w:cs="Arial"/>
          <w:color w:val="222222"/>
          <w:sz w:val="24"/>
          <w:szCs w:val="24"/>
          <w:highlight w:val="white"/>
        </w:rPr>
        <w:t xml:space="preserve">. While the SWOT analysis identifies Hilton's strengths, it also acknowledges ongoing challenges, such as high operational costs and market dependency, requiring sustained strategic focus. However, Hilton's proactive approach and focus on innovation position it well for continued success and growth. By blending tradition with innovation, adapting to customer preferences, and embracing sustainability initiatives, Hilton ensures its resilience and relevance in a constantly evolving industry. As Hilton faces future challenges and opportunities, its commitment to excellence and strategic vision will continue to shape its success in the global hospitality market </w:t>
      </w:r>
      <w:r>
        <w:rPr>
          <w:rFonts w:ascii="Arial" w:eastAsia="Arial" w:hAnsi="Arial" w:cs="Arial"/>
          <w:color w:val="2C3E50"/>
          <w:sz w:val="24"/>
          <w:szCs w:val="24"/>
          <w:highlight w:val="white"/>
        </w:rPr>
        <w:t>(DIVA, n.d.).</w:t>
      </w:r>
    </w:p>
    <w:p w14:paraId="3A9E2223" w14:textId="77777777" w:rsidR="00EE6272" w:rsidRDefault="00EE6272">
      <w:pPr>
        <w:spacing w:line="360" w:lineRule="auto"/>
        <w:jc w:val="both"/>
        <w:rPr>
          <w:rFonts w:ascii="Arial" w:eastAsia="Arial" w:hAnsi="Arial" w:cs="Arial"/>
          <w:sz w:val="24"/>
          <w:szCs w:val="24"/>
        </w:rPr>
      </w:pPr>
    </w:p>
    <w:p w14:paraId="5F906358" w14:textId="77777777" w:rsidR="00EE6272" w:rsidRDefault="00EE6272">
      <w:pPr>
        <w:spacing w:line="360" w:lineRule="auto"/>
        <w:jc w:val="both"/>
        <w:rPr>
          <w:rFonts w:ascii="Arial" w:eastAsia="Arial" w:hAnsi="Arial" w:cs="Arial"/>
          <w:sz w:val="24"/>
          <w:szCs w:val="24"/>
        </w:rPr>
      </w:pPr>
    </w:p>
    <w:p w14:paraId="413FFD83" w14:textId="77777777" w:rsidR="00EE6272" w:rsidRDefault="00EE6272">
      <w:pPr>
        <w:spacing w:line="360" w:lineRule="auto"/>
        <w:jc w:val="both"/>
        <w:rPr>
          <w:rFonts w:ascii="Arial" w:eastAsia="Arial" w:hAnsi="Arial" w:cs="Arial"/>
          <w:sz w:val="24"/>
          <w:szCs w:val="24"/>
        </w:rPr>
      </w:pPr>
    </w:p>
    <w:p w14:paraId="4EED5C90" w14:textId="77777777" w:rsidR="00EE6272" w:rsidRDefault="00EE6272">
      <w:pPr>
        <w:spacing w:line="360" w:lineRule="auto"/>
        <w:jc w:val="both"/>
        <w:rPr>
          <w:rFonts w:ascii="Arial" w:eastAsia="Arial" w:hAnsi="Arial" w:cs="Arial"/>
          <w:sz w:val="24"/>
          <w:szCs w:val="24"/>
        </w:rPr>
      </w:pPr>
    </w:p>
    <w:p w14:paraId="0304CF37" w14:textId="77777777" w:rsidR="00EE6272" w:rsidRDefault="00EE6272">
      <w:pPr>
        <w:spacing w:line="360" w:lineRule="auto"/>
        <w:jc w:val="both"/>
        <w:rPr>
          <w:rFonts w:ascii="Arial" w:eastAsia="Arial" w:hAnsi="Arial" w:cs="Arial"/>
          <w:sz w:val="24"/>
          <w:szCs w:val="24"/>
        </w:rPr>
      </w:pPr>
    </w:p>
    <w:p w14:paraId="6A8E2EB8" w14:textId="77777777" w:rsidR="00EE6272" w:rsidRDefault="00EE6272">
      <w:pPr>
        <w:spacing w:line="360" w:lineRule="auto"/>
        <w:jc w:val="both"/>
        <w:rPr>
          <w:rFonts w:ascii="Arial" w:eastAsia="Arial" w:hAnsi="Arial" w:cs="Arial"/>
          <w:sz w:val="24"/>
          <w:szCs w:val="24"/>
        </w:rPr>
      </w:pPr>
    </w:p>
    <w:p w14:paraId="6BA33C75" w14:textId="77777777" w:rsidR="00EE6272" w:rsidRDefault="00EE6272">
      <w:pPr>
        <w:spacing w:line="360" w:lineRule="auto"/>
        <w:jc w:val="both"/>
        <w:rPr>
          <w:rFonts w:ascii="Arial" w:eastAsia="Arial" w:hAnsi="Arial" w:cs="Arial"/>
          <w:sz w:val="24"/>
          <w:szCs w:val="24"/>
        </w:rPr>
      </w:pPr>
    </w:p>
    <w:p w14:paraId="70534FC2" w14:textId="77777777" w:rsidR="00EE6272" w:rsidRDefault="00EE6272">
      <w:pPr>
        <w:spacing w:line="360" w:lineRule="auto"/>
        <w:jc w:val="both"/>
        <w:rPr>
          <w:rFonts w:ascii="Arial" w:eastAsia="Arial" w:hAnsi="Arial" w:cs="Arial"/>
          <w:sz w:val="24"/>
          <w:szCs w:val="24"/>
        </w:rPr>
      </w:pPr>
    </w:p>
    <w:p w14:paraId="4727BE09" w14:textId="77777777" w:rsidR="00EE6272" w:rsidRDefault="00EE6272">
      <w:pPr>
        <w:spacing w:line="360" w:lineRule="auto"/>
        <w:jc w:val="both"/>
        <w:rPr>
          <w:rFonts w:ascii="Arial" w:eastAsia="Arial" w:hAnsi="Arial" w:cs="Arial"/>
          <w:sz w:val="24"/>
          <w:szCs w:val="24"/>
        </w:rPr>
      </w:pPr>
    </w:p>
    <w:p w14:paraId="5AB24326" w14:textId="77777777" w:rsidR="00EE6272" w:rsidRDefault="00EE6272">
      <w:pPr>
        <w:spacing w:line="360" w:lineRule="auto"/>
        <w:jc w:val="both"/>
        <w:rPr>
          <w:rFonts w:ascii="Arial" w:eastAsia="Arial" w:hAnsi="Arial" w:cs="Arial"/>
          <w:sz w:val="24"/>
          <w:szCs w:val="24"/>
        </w:rPr>
      </w:pPr>
    </w:p>
    <w:p w14:paraId="03C6E785" w14:textId="77777777" w:rsidR="00EE6272" w:rsidRDefault="00EE6272">
      <w:pPr>
        <w:spacing w:line="360" w:lineRule="auto"/>
        <w:jc w:val="both"/>
        <w:rPr>
          <w:rFonts w:ascii="Arial" w:eastAsia="Arial" w:hAnsi="Arial" w:cs="Arial"/>
          <w:sz w:val="24"/>
          <w:szCs w:val="24"/>
        </w:rPr>
      </w:pPr>
    </w:p>
    <w:p w14:paraId="00AC7D36" w14:textId="77777777" w:rsidR="00EE6272" w:rsidRDefault="00000000">
      <w:pPr>
        <w:spacing w:line="360" w:lineRule="auto"/>
        <w:jc w:val="both"/>
        <w:rPr>
          <w:rFonts w:ascii="Arial" w:eastAsia="Arial" w:hAnsi="Arial" w:cs="Arial"/>
          <w:b/>
          <w:sz w:val="24"/>
          <w:szCs w:val="24"/>
        </w:rPr>
      </w:pPr>
      <w:r>
        <w:rPr>
          <w:rFonts w:ascii="Arial" w:eastAsia="Arial" w:hAnsi="Arial" w:cs="Arial"/>
          <w:b/>
          <w:sz w:val="24"/>
          <w:szCs w:val="24"/>
        </w:rPr>
        <w:lastRenderedPageBreak/>
        <w:t>10. Recommendations:</w:t>
      </w:r>
    </w:p>
    <w:p w14:paraId="744C3451" w14:textId="77777777" w:rsidR="00EE6272"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1. Utilise Artificial Intelligence (AI) for Customised Customer Experiences**: Hilton should incorporate cutting-edge AI technology to create personalised guest interactions through customised marketing, real-time chatbots, and data-driven insights. By implementing this strategy, Hilton can enhance guest satisfaction and loyalty and improve operational efficiency. By embracing AI early on, Hilton can gain a competitive edge, like Marriott International's success in enhancing guest satisfaction through personalised recommendations and efficient customer service </w:t>
      </w:r>
      <w:r>
        <w:rPr>
          <w:rFonts w:ascii="Arial" w:eastAsia="Arial" w:hAnsi="Arial" w:cs="Arial"/>
          <w:color w:val="2C3E50"/>
          <w:sz w:val="24"/>
          <w:szCs w:val="24"/>
          <w:highlight w:val="white"/>
        </w:rPr>
        <w:t>(Ku et al., n.d.).</w:t>
      </w:r>
    </w:p>
    <w:p w14:paraId="2A7FEE01" w14:textId="77777777" w:rsidR="00EE6272" w:rsidRDefault="00EE6272">
      <w:pPr>
        <w:spacing w:line="360" w:lineRule="auto"/>
        <w:jc w:val="both"/>
        <w:rPr>
          <w:rFonts w:ascii="Arial" w:eastAsia="Arial" w:hAnsi="Arial" w:cs="Arial"/>
          <w:sz w:val="24"/>
          <w:szCs w:val="24"/>
        </w:rPr>
      </w:pPr>
    </w:p>
    <w:p w14:paraId="08DA7502" w14:textId="77777777" w:rsidR="00EE6272" w:rsidRDefault="00000000">
      <w:pPr>
        <w:spacing w:line="360" w:lineRule="auto"/>
        <w:jc w:val="both"/>
        <w:rPr>
          <w:rFonts w:ascii="Arial" w:eastAsia="Arial" w:hAnsi="Arial" w:cs="Arial"/>
          <w:sz w:val="24"/>
          <w:szCs w:val="24"/>
        </w:rPr>
      </w:pPr>
      <w:r>
        <w:rPr>
          <w:rFonts w:ascii="Arial" w:eastAsia="Arial" w:hAnsi="Arial" w:cs="Arial"/>
          <w:sz w:val="24"/>
          <w:szCs w:val="24"/>
        </w:rPr>
        <w:t xml:space="preserve">2. Hilton Hotels should prioritise sustainability by investing in renewable energy sources such as solar and wind power as part of an enhanced "Travel with Purpose" initiative. By switching to renewable energy, Hilton can support global sustainability objectives, meet customer demands, and improve its brand image among environmentally conscious travellers and corporate partners. Drawing inspiration from the success of InterContinental Hotels Group in implementing renewable energy initiatives, Hilton can establish itself as a frontrunner in sustainability within the industry </w:t>
      </w:r>
      <w:r>
        <w:rPr>
          <w:rFonts w:ascii="Arial" w:eastAsia="Arial" w:hAnsi="Arial" w:cs="Arial"/>
          <w:color w:val="2C3E50"/>
          <w:sz w:val="24"/>
          <w:szCs w:val="24"/>
          <w:highlight w:val="white"/>
        </w:rPr>
        <w:t>(Abdou, Hassan, and Dief, 2020).</w:t>
      </w:r>
    </w:p>
    <w:p w14:paraId="3FC77CA2" w14:textId="77777777" w:rsidR="00EE6272" w:rsidRDefault="00EE6272">
      <w:pPr>
        <w:spacing w:line="360" w:lineRule="auto"/>
        <w:jc w:val="both"/>
        <w:rPr>
          <w:rFonts w:ascii="Arial" w:eastAsia="Arial" w:hAnsi="Arial" w:cs="Arial"/>
          <w:sz w:val="24"/>
          <w:szCs w:val="24"/>
        </w:rPr>
      </w:pPr>
    </w:p>
    <w:p w14:paraId="63052173" w14:textId="77777777" w:rsidR="00EE6272" w:rsidRDefault="00EE6272">
      <w:pPr>
        <w:shd w:val="clear" w:color="auto" w:fill="FFFFFF"/>
        <w:spacing w:after="0" w:line="360" w:lineRule="auto"/>
        <w:jc w:val="both"/>
        <w:rPr>
          <w:rFonts w:ascii="Arial" w:eastAsia="Arial" w:hAnsi="Arial" w:cs="Arial"/>
          <w:sz w:val="24"/>
          <w:szCs w:val="24"/>
        </w:rPr>
      </w:pPr>
    </w:p>
    <w:p w14:paraId="56E1275F" w14:textId="77777777" w:rsidR="00EE6272" w:rsidRDefault="00EE6272">
      <w:pPr>
        <w:shd w:val="clear" w:color="auto" w:fill="FFFFFF"/>
        <w:spacing w:after="0" w:line="360" w:lineRule="auto"/>
        <w:jc w:val="both"/>
        <w:rPr>
          <w:rFonts w:ascii="Arial" w:eastAsia="Arial" w:hAnsi="Arial" w:cs="Arial"/>
          <w:sz w:val="24"/>
          <w:szCs w:val="24"/>
        </w:rPr>
      </w:pPr>
    </w:p>
    <w:p w14:paraId="16B04540" w14:textId="77777777" w:rsidR="00EE6272" w:rsidRDefault="00EE6272">
      <w:pPr>
        <w:shd w:val="clear" w:color="auto" w:fill="FFFFFF"/>
        <w:spacing w:after="0" w:line="360" w:lineRule="auto"/>
        <w:jc w:val="both"/>
        <w:rPr>
          <w:rFonts w:ascii="Arial" w:eastAsia="Arial" w:hAnsi="Arial" w:cs="Arial"/>
          <w:sz w:val="24"/>
          <w:szCs w:val="24"/>
        </w:rPr>
      </w:pPr>
    </w:p>
    <w:p w14:paraId="035D64A5" w14:textId="77777777" w:rsidR="00EE6272" w:rsidRDefault="00EE6272">
      <w:pPr>
        <w:shd w:val="clear" w:color="auto" w:fill="FFFFFF"/>
        <w:spacing w:after="0" w:line="360" w:lineRule="auto"/>
        <w:jc w:val="both"/>
        <w:rPr>
          <w:rFonts w:ascii="Arial" w:eastAsia="Arial" w:hAnsi="Arial" w:cs="Arial"/>
          <w:sz w:val="24"/>
          <w:szCs w:val="24"/>
        </w:rPr>
      </w:pPr>
    </w:p>
    <w:p w14:paraId="30EAD0DB" w14:textId="77777777" w:rsidR="00EE6272" w:rsidRDefault="00EE6272">
      <w:pPr>
        <w:shd w:val="clear" w:color="auto" w:fill="FFFFFF"/>
        <w:spacing w:after="0" w:line="360" w:lineRule="auto"/>
        <w:jc w:val="both"/>
        <w:rPr>
          <w:rFonts w:ascii="Arial" w:eastAsia="Arial" w:hAnsi="Arial" w:cs="Arial"/>
          <w:sz w:val="24"/>
          <w:szCs w:val="24"/>
        </w:rPr>
      </w:pPr>
    </w:p>
    <w:p w14:paraId="3B5B1CE7" w14:textId="77777777" w:rsidR="00EE6272" w:rsidRDefault="00EE6272">
      <w:pPr>
        <w:shd w:val="clear" w:color="auto" w:fill="FFFFFF"/>
        <w:spacing w:after="0" w:line="360" w:lineRule="auto"/>
        <w:jc w:val="both"/>
        <w:rPr>
          <w:rFonts w:ascii="Arial" w:eastAsia="Arial" w:hAnsi="Arial" w:cs="Arial"/>
          <w:sz w:val="24"/>
          <w:szCs w:val="24"/>
        </w:rPr>
      </w:pPr>
    </w:p>
    <w:p w14:paraId="31709E5D" w14:textId="77777777" w:rsidR="00EE6272" w:rsidRDefault="00EE6272">
      <w:pPr>
        <w:shd w:val="clear" w:color="auto" w:fill="FFFFFF"/>
        <w:spacing w:after="0" w:line="360" w:lineRule="auto"/>
        <w:jc w:val="both"/>
        <w:rPr>
          <w:rFonts w:ascii="Arial" w:eastAsia="Arial" w:hAnsi="Arial" w:cs="Arial"/>
          <w:sz w:val="24"/>
          <w:szCs w:val="24"/>
        </w:rPr>
      </w:pPr>
    </w:p>
    <w:p w14:paraId="48782476" w14:textId="77777777" w:rsidR="00EE6272" w:rsidRDefault="00EE6272">
      <w:pPr>
        <w:shd w:val="clear" w:color="auto" w:fill="FFFFFF"/>
        <w:spacing w:after="0" w:line="360" w:lineRule="auto"/>
        <w:jc w:val="both"/>
        <w:rPr>
          <w:rFonts w:ascii="Arial" w:eastAsia="Arial" w:hAnsi="Arial" w:cs="Arial"/>
          <w:sz w:val="24"/>
          <w:szCs w:val="24"/>
        </w:rPr>
      </w:pPr>
    </w:p>
    <w:p w14:paraId="441B9211" w14:textId="77777777" w:rsidR="00EE6272" w:rsidRDefault="00EE6272">
      <w:pPr>
        <w:shd w:val="clear" w:color="auto" w:fill="FFFFFF"/>
        <w:spacing w:after="0" w:line="360" w:lineRule="auto"/>
        <w:jc w:val="both"/>
        <w:rPr>
          <w:rFonts w:ascii="Arial" w:eastAsia="Arial" w:hAnsi="Arial" w:cs="Arial"/>
          <w:sz w:val="24"/>
          <w:szCs w:val="24"/>
        </w:rPr>
      </w:pPr>
    </w:p>
    <w:p w14:paraId="70BF6FCA" w14:textId="77777777" w:rsidR="00EE6272" w:rsidRDefault="00EE6272">
      <w:pPr>
        <w:shd w:val="clear" w:color="auto" w:fill="FFFFFF"/>
        <w:spacing w:after="0" w:line="360" w:lineRule="auto"/>
        <w:jc w:val="both"/>
        <w:rPr>
          <w:rFonts w:ascii="Arial" w:eastAsia="Arial" w:hAnsi="Arial" w:cs="Arial"/>
          <w:sz w:val="24"/>
          <w:szCs w:val="24"/>
        </w:rPr>
      </w:pPr>
    </w:p>
    <w:p w14:paraId="7B307B82" w14:textId="77777777" w:rsidR="00EE6272" w:rsidRDefault="00EE6272">
      <w:pPr>
        <w:shd w:val="clear" w:color="auto" w:fill="FFFFFF"/>
        <w:spacing w:after="0" w:line="360" w:lineRule="auto"/>
        <w:jc w:val="both"/>
        <w:rPr>
          <w:rFonts w:ascii="Arial" w:eastAsia="Arial" w:hAnsi="Arial" w:cs="Arial"/>
          <w:sz w:val="24"/>
          <w:szCs w:val="24"/>
        </w:rPr>
      </w:pPr>
    </w:p>
    <w:p w14:paraId="0DFF366C" w14:textId="77777777" w:rsidR="00EE6272" w:rsidRDefault="00EE6272">
      <w:pPr>
        <w:shd w:val="clear" w:color="auto" w:fill="FFFFFF"/>
        <w:spacing w:after="0" w:line="360" w:lineRule="auto"/>
        <w:jc w:val="both"/>
        <w:rPr>
          <w:rFonts w:ascii="Arial" w:eastAsia="Arial" w:hAnsi="Arial" w:cs="Arial"/>
          <w:sz w:val="24"/>
          <w:szCs w:val="24"/>
        </w:rPr>
      </w:pPr>
    </w:p>
    <w:p w14:paraId="12D77B05" w14:textId="77777777" w:rsidR="00EE6272" w:rsidRDefault="00EE6272">
      <w:pPr>
        <w:shd w:val="clear" w:color="auto" w:fill="FFFFFF"/>
        <w:spacing w:after="0" w:line="360" w:lineRule="auto"/>
        <w:jc w:val="both"/>
        <w:rPr>
          <w:rFonts w:ascii="Arial" w:eastAsia="Arial" w:hAnsi="Arial" w:cs="Arial"/>
          <w:sz w:val="24"/>
          <w:szCs w:val="24"/>
        </w:rPr>
      </w:pPr>
    </w:p>
    <w:p w14:paraId="6F97219D" w14:textId="77777777" w:rsidR="00EE6272" w:rsidRDefault="00000000">
      <w:pPr>
        <w:shd w:val="clear" w:color="auto" w:fill="FFFFFF"/>
        <w:spacing w:after="0" w:line="360" w:lineRule="auto"/>
        <w:jc w:val="both"/>
        <w:rPr>
          <w:rFonts w:ascii="Arial" w:eastAsia="Arial" w:hAnsi="Arial" w:cs="Arial"/>
          <w:b/>
          <w:sz w:val="24"/>
          <w:szCs w:val="24"/>
        </w:rPr>
      </w:pPr>
      <w:r>
        <w:rPr>
          <w:rFonts w:ascii="Arial" w:eastAsia="Arial" w:hAnsi="Arial" w:cs="Arial"/>
          <w:b/>
          <w:sz w:val="24"/>
          <w:szCs w:val="24"/>
        </w:rPr>
        <w:lastRenderedPageBreak/>
        <w:t xml:space="preserve">References: </w:t>
      </w:r>
    </w:p>
    <w:p w14:paraId="13F18A16" w14:textId="77777777" w:rsidR="00EE6272" w:rsidRDefault="00EE6272">
      <w:pPr>
        <w:pBdr>
          <w:top w:val="nil"/>
          <w:left w:val="nil"/>
          <w:bottom w:val="nil"/>
          <w:right w:val="nil"/>
          <w:between w:val="nil"/>
        </w:pBdr>
        <w:spacing w:after="0" w:line="360" w:lineRule="auto"/>
        <w:jc w:val="both"/>
        <w:rPr>
          <w:rFonts w:ascii="Arial" w:eastAsia="Arial" w:hAnsi="Arial" w:cs="Arial"/>
          <w:color w:val="000000"/>
          <w:sz w:val="24"/>
          <w:szCs w:val="24"/>
        </w:rPr>
      </w:pPr>
    </w:p>
    <w:p w14:paraId="344B1FD2"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Abdou, A.H., Hassan, T.H. and Dief, M.M.E. (2020). A Description of Green Hotel Practices and Their Role in Achieving Sustainable Development. </w:t>
      </w:r>
      <w:r>
        <w:rPr>
          <w:rFonts w:ascii="Arial" w:eastAsia="Arial" w:hAnsi="Arial" w:cs="Arial"/>
          <w:i/>
          <w:color w:val="000000"/>
          <w:sz w:val="24"/>
          <w:szCs w:val="24"/>
        </w:rPr>
        <w:t>Sustainability</w:t>
      </w:r>
      <w:r>
        <w:rPr>
          <w:rFonts w:ascii="Arial" w:eastAsia="Arial" w:hAnsi="Arial" w:cs="Arial"/>
          <w:color w:val="000000"/>
          <w:sz w:val="24"/>
          <w:szCs w:val="24"/>
        </w:rPr>
        <w:t xml:space="preserve">, [online] 12(22), p.9624. Available at: </w:t>
      </w:r>
      <w:hyperlink r:id="rId8">
        <w:r>
          <w:rPr>
            <w:rFonts w:ascii="Arial" w:eastAsia="Arial" w:hAnsi="Arial" w:cs="Arial"/>
            <w:color w:val="0563C1"/>
            <w:sz w:val="24"/>
            <w:szCs w:val="24"/>
            <w:u w:val="single"/>
          </w:rPr>
          <w:t>https://doi.org/10.3390/su12229624</w:t>
        </w:r>
      </w:hyperlink>
      <w:r>
        <w:rPr>
          <w:rFonts w:ascii="Arial" w:eastAsia="Arial" w:hAnsi="Arial" w:cs="Arial"/>
          <w:color w:val="000000"/>
          <w:sz w:val="24"/>
          <w:szCs w:val="24"/>
        </w:rPr>
        <w:t>.</w:t>
      </w:r>
    </w:p>
    <w:p w14:paraId="41108D1C" w14:textId="77777777" w:rsidR="00EE6272"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28 May 2024).</w:t>
      </w:r>
    </w:p>
    <w:p w14:paraId="33025280"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Akl, E.A., Meerpohl, J.J., Elliott, J., Kahale, L.A., Schünemann, H.J., Agoritsas, T., Hilton, J., Perron, C., Akl, E., Hodder, R., Pestridge, C., Albrecht, L., Horsley, T., Platt, J., Armstrong, R., Nguyen, P.H., Plovnick, R., Arno, A., Ivers, N. and Quinn, G. (2017). Living systematic reviews: 4. Living guideline recommendations. </w:t>
      </w:r>
      <w:r>
        <w:rPr>
          <w:rFonts w:ascii="Arial" w:eastAsia="Arial" w:hAnsi="Arial" w:cs="Arial"/>
          <w:i/>
          <w:color w:val="000000"/>
          <w:sz w:val="24"/>
          <w:szCs w:val="24"/>
        </w:rPr>
        <w:t>Journal of Clinical Epidemiology</w:t>
      </w:r>
      <w:r>
        <w:rPr>
          <w:rFonts w:ascii="Arial" w:eastAsia="Arial" w:hAnsi="Arial" w:cs="Arial"/>
          <w:color w:val="000000"/>
          <w:sz w:val="24"/>
          <w:szCs w:val="24"/>
        </w:rPr>
        <w:t xml:space="preserve">, 91, pp.47–53. Available at: </w:t>
      </w:r>
      <w:hyperlink r:id="rId9">
        <w:r>
          <w:rPr>
            <w:rFonts w:ascii="Arial" w:eastAsia="Arial" w:hAnsi="Arial" w:cs="Arial"/>
            <w:color w:val="0563C1"/>
            <w:sz w:val="24"/>
            <w:szCs w:val="24"/>
            <w:u w:val="single"/>
          </w:rPr>
          <w:t>https://doi.org/10.1016/j.jclinepi.2017.08.009</w:t>
        </w:r>
      </w:hyperlink>
      <w:r>
        <w:rPr>
          <w:rFonts w:ascii="Arial" w:eastAsia="Arial" w:hAnsi="Arial" w:cs="Arial"/>
          <w:color w:val="000000"/>
          <w:sz w:val="24"/>
          <w:szCs w:val="24"/>
        </w:rPr>
        <w:t>.</w:t>
      </w:r>
    </w:p>
    <w:p w14:paraId="7B23BE7B" w14:textId="77777777" w:rsidR="00EE6272" w:rsidRDefault="00000000">
      <w:pPr>
        <w:pBdr>
          <w:top w:val="nil"/>
          <w:left w:val="nil"/>
          <w:bottom w:val="nil"/>
          <w:right w:val="nil"/>
          <w:between w:val="nil"/>
        </w:pBdr>
        <w:spacing w:after="0" w:line="360" w:lineRule="auto"/>
        <w:ind w:left="360"/>
        <w:jc w:val="both"/>
        <w:rPr>
          <w:rFonts w:ascii="Arial" w:eastAsia="Arial" w:hAnsi="Arial" w:cs="Arial"/>
          <w:color w:val="000000"/>
          <w:sz w:val="24"/>
          <w:szCs w:val="24"/>
        </w:rPr>
      </w:pPr>
      <w:r>
        <w:rPr>
          <w:rFonts w:ascii="Arial" w:eastAsia="Arial" w:hAnsi="Arial" w:cs="Arial"/>
          <w:color w:val="000000"/>
          <w:sz w:val="24"/>
          <w:szCs w:val="24"/>
        </w:rPr>
        <w:t xml:space="preserve">     (Accessed 22</w:t>
      </w:r>
      <w:r>
        <w:rPr>
          <w:rFonts w:ascii="Arial" w:eastAsia="Arial" w:hAnsi="Arial" w:cs="Arial"/>
          <w:color w:val="000000"/>
          <w:sz w:val="24"/>
          <w:szCs w:val="24"/>
          <w:vertAlign w:val="superscript"/>
        </w:rPr>
        <w:t>nd</w:t>
      </w:r>
      <w:r>
        <w:rPr>
          <w:rFonts w:ascii="Arial" w:eastAsia="Arial" w:hAnsi="Arial" w:cs="Arial"/>
          <w:color w:val="000000"/>
          <w:sz w:val="24"/>
          <w:szCs w:val="24"/>
        </w:rPr>
        <w:t xml:space="preserve"> May 2024).</w:t>
      </w:r>
    </w:p>
    <w:p w14:paraId="254F678D"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Cooks-Campbell, A. (2022). </w:t>
      </w:r>
      <w:r>
        <w:rPr>
          <w:rFonts w:ascii="Arial" w:eastAsia="Arial" w:hAnsi="Arial" w:cs="Arial"/>
          <w:i/>
          <w:color w:val="000000"/>
          <w:sz w:val="24"/>
          <w:szCs w:val="24"/>
        </w:rPr>
        <w:t>Organizational structure: Your guide to configuring and growing teams</w:t>
      </w:r>
      <w:r>
        <w:rPr>
          <w:rFonts w:ascii="Arial" w:eastAsia="Arial" w:hAnsi="Arial" w:cs="Arial"/>
          <w:color w:val="000000"/>
          <w:sz w:val="24"/>
          <w:szCs w:val="24"/>
        </w:rPr>
        <w:t xml:space="preserve">. [online] www.betterup.com. Available at: </w:t>
      </w:r>
      <w:hyperlink r:id="rId10" w:anchor=":~:text=An%20organizational%20structure%20defines%20how">
        <w:r>
          <w:rPr>
            <w:rFonts w:ascii="Arial" w:eastAsia="Arial" w:hAnsi="Arial" w:cs="Arial"/>
            <w:color w:val="0563C1"/>
            <w:sz w:val="24"/>
            <w:szCs w:val="24"/>
            <w:u w:val="single"/>
          </w:rPr>
          <w:t>https://www.betterup.com/blog/organizational-structure#:~:text=An%20organizational%20structure%20defines%20how</w:t>
        </w:r>
      </w:hyperlink>
      <w:r>
        <w:rPr>
          <w:rFonts w:ascii="Arial" w:eastAsia="Arial" w:hAnsi="Arial" w:cs="Arial"/>
          <w:color w:val="000000"/>
          <w:sz w:val="24"/>
          <w:szCs w:val="24"/>
        </w:rPr>
        <w:t>.</w:t>
      </w:r>
    </w:p>
    <w:p w14:paraId="7244513B" w14:textId="77777777" w:rsidR="00EE6272"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28 May 2024).</w:t>
      </w:r>
    </w:p>
    <w:p w14:paraId="41ED2970"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‌DIVA. (n.d.). </w:t>
      </w:r>
      <w:r>
        <w:rPr>
          <w:rFonts w:ascii="Arial" w:eastAsia="Arial" w:hAnsi="Arial" w:cs="Arial"/>
          <w:i/>
          <w:color w:val="000000"/>
          <w:sz w:val="24"/>
          <w:szCs w:val="24"/>
        </w:rPr>
        <w:t>http://www.diva-portal.org/smash/record.jsf?pid=diva2%3A10870</w:t>
      </w:r>
      <w:r>
        <w:rPr>
          <w:rFonts w:ascii="Arial" w:eastAsia="Arial" w:hAnsi="Arial" w:cs="Arial"/>
          <w:color w:val="000000"/>
          <w:sz w:val="24"/>
          <w:szCs w:val="24"/>
        </w:rPr>
        <w:t xml:space="preserve">. [online] Available at: </w:t>
      </w:r>
      <w:hyperlink r:id="rId11">
        <w:r>
          <w:rPr>
            <w:rFonts w:ascii="Arial" w:eastAsia="Arial" w:hAnsi="Arial" w:cs="Arial"/>
            <w:color w:val="0563C1"/>
            <w:sz w:val="24"/>
            <w:szCs w:val="24"/>
            <w:u w:val="single"/>
          </w:rPr>
          <w:t>https://www.diva-portal.org/smash/record.jsf?pid=diva2%3A10870&amp;dswid=9752</w:t>
        </w:r>
      </w:hyperlink>
    </w:p>
    <w:p w14:paraId="425B81D5" w14:textId="77777777" w:rsidR="00EE6272"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28 May 2024).</w:t>
      </w:r>
    </w:p>
    <w:p w14:paraId="4B90A18B"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Griffin, R. (2022). </w:t>
      </w:r>
      <w:r>
        <w:rPr>
          <w:rFonts w:ascii="Arial" w:eastAsia="Arial" w:hAnsi="Arial" w:cs="Arial"/>
          <w:i/>
          <w:color w:val="000000"/>
          <w:sz w:val="24"/>
          <w:szCs w:val="24"/>
        </w:rPr>
        <w:t>MANAGEMENT Fundamentals of 10 TH EDITION</w:t>
      </w:r>
      <w:r>
        <w:rPr>
          <w:rFonts w:ascii="Arial" w:eastAsia="Arial" w:hAnsi="Arial" w:cs="Arial"/>
          <w:color w:val="000000"/>
          <w:sz w:val="24"/>
          <w:szCs w:val="24"/>
        </w:rPr>
        <w:t xml:space="preserve">. [online] Available at: </w:t>
      </w:r>
      <w:hyperlink r:id="rId12">
        <w:r>
          <w:rPr>
            <w:rFonts w:ascii="Arial" w:eastAsia="Arial" w:hAnsi="Arial" w:cs="Arial"/>
            <w:color w:val="0563C1"/>
            <w:sz w:val="24"/>
            <w:szCs w:val="24"/>
            <w:u w:val="single"/>
          </w:rPr>
          <w:t>https://thuvienso.hoasen.edu.vn/bitstream/handle/123456789/13211/Contents.pdf?sequence=1&amp;isAllowed=y</w:t>
        </w:r>
      </w:hyperlink>
      <w:r>
        <w:rPr>
          <w:rFonts w:ascii="Arial" w:eastAsia="Arial" w:hAnsi="Arial" w:cs="Arial"/>
          <w:color w:val="000000"/>
          <w:sz w:val="24"/>
          <w:szCs w:val="24"/>
        </w:rPr>
        <w:t>.</w:t>
      </w:r>
    </w:p>
    <w:p w14:paraId="0692312F" w14:textId="77777777" w:rsidR="00EE6272" w:rsidRDefault="00000000">
      <w:pPr>
        <w:pBdr>
          <w:top w:val="nil"/>
          <w:left w:val="nil"/>
          <w:bottom w:val="nil"/>
          <w:right w:val="nil"/>
          <w:between w:val="nil"/>
        </w:pBdr>
        <w:spacing w:after="0" w:line="360" w:lineRule="auto"/>
        <w:ind w:left="360"/>
        <w:jc w:val="both"/>
        <w:rPr>
          <w:rFonts w:ascii="Arial" w:eastAsia="Arial" w:hAnsi="Arial" w:cs="Arial"/>
          <w:color w:val="000000"/>
          <w:sz w:val="24"/>
          <w:szCs w:val="24"/>
        </w:rPr>
      </w:pPr>
      <w:r>
        <w:rPr>
          <w:rFonts w:ascii="Arial" w:eastAsia="Arial" w:hAnsi="Arial" w:cs="Arial"/>
          <w:color w:val="000000"/>
          <w:sz w:val="24"/>
          <w:szCs w:val="24"/>
        </w:rPr>
        <w:t xml:space="preserve">     (Accessed 22</w:t>
      </w:r>
      <w:r>
        <w:rPr>
          <w:rFonts w:ascii="Arial" w:eastAsia="Arial" w:hAnsi="Arial" w:cs="Arial"/>
          <w:color w:val="000000"/>
          <w:sz w:val="24"/>
          <w:szCs w:val="24"/>
          <w:vertAlign w:val="superscript"/>
        </w:rPr>
        <w:t>nd</w:t>
      </w:r>
      <w:r>
        <w:rPr>
          <w:rFonts w:ascii="Arial" w:eastAsia="Arial" w:hAnsi="Arial" w:cs="Arial"/>
          <w:color w:val="000000"/>
          <w:sz w:val="24"/>
          <w:szCs w:val="24"/>
        </w:rPr>
        <w:t xml:space="preserve"> May 2024).</w:t>
      </w:r>
    </w:p>
    <w:p w14:paraId="317589D4"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Hilton (2023). </w:t>
      </w:r>
      <w:r>
        <w:rPr>
          <w:rFonts w:ascii="Arial" w:eastAsia="Arial" w:hAnsi="Arial" w:cs="Arial"/>
          <w:i/>
          <w:color w:val="000000"/>
          <w:sz w:val="24"/>
          <w:szCs w:val="24"/>
        </w:rPr>
        <w:t>Hilton Brands | Global Hospitality Company</w:t>
      </w:r>
      <w:r>
        <w:rPr>
          <w:rFonts w:ascii="Arial" w:eastAsia="Arial" w:hAnsi="Arial" w:cs="Arial"/>
          <w:color w:val="000000"/>
          <w:sz w:val="24"/>
          <w:szCs w:val="24"/>
        </w:rPr>
        <w:t xml:space="preserve">. [online] Hilton.com. Available at: </w:t>
      </w:r>
      <w:hyperlink r:id="rId13">
        <w:r>
          <w:rPr>
            <w:rFonts w:ascii="Arial" w:eastAsia="Arial" w:hAnsi="Arial" w:cs="Arial"/>
            <w:color w:val="0563C1"/>
            <w:sz w:val="24"/>
            <w:szCs w:val="24"/>
            <w:u w:val="single"/>
          </w:rPr>
          <w:t>https://www.hilton.com/en/corporate/</w:t>
        </w:r>
      </w:hyperlink>
      <w:r>
        <w:rPr>
          <w:rFonts w:ascii="Arial" w:eastAsia="Arial" w:hAnsi="Arial" w:cs="Arial"/>
          <w:color w:val="000000"/>
          <w:sz w:val="24"/>
          <w:szCs w:val="24"/>
        </w:rPr>
        <w:t>.</w:t>
      </w:r>
    </w:p>
    <w:p w14:paraId="053554DF" w14:textId="77777777" w:rsidR="00EE6272" w:rsidRDefault="00000000">
      <w:pPr>
        <w:pBdr>
          <w:top w:val="nil"/>
          <w:left w:val="nil"/>
          <w:bottom w:val="nil"/>
          <w:right w:val="nil"/>
          <w:between w:val="nil"/>
        </w:pBdr>
        <w:spacing w:after="0" w:line="360" w:lineRule="auto"/>
        <w:ind w:left="360"/>
        <w:jc w:val="both"/>
        <w:rPr>
          <w:rFonts w:ascii="Arial" w:eastAsia="Arial" w:hAnsi="Arial" w:cs="Arial"/>
          <w:color w:val="000000"/>
          <w:sz w:val="24"/>
          <w:szCs w:val="24"/>
        </w:rPr>
      </w:pPr>
      <w:r>
        <w:rPr>
          <w:rFonts w:ascii="Arial" w:eastAsia="Arial" w:hAnsi="Arial" w:cs="Arial"/>
          <w:color w:val="000000"/>
          <w:sz w:val="24"/>
          <w:szCs w:val="24"/>
        </w:rPr>
        <w:t>(Accessed: 19</w:t>
      </w:r>
      <w:r>
        <w:rPr>
          <w:rFonts w:ascii="Arial" w:eastAsia="Arial" w:hAnsi="Arial" w:cs="Arial"/>
          <w:color w:val="000000"/>
          <w:sz w:val="24"/>
          <w:szCs w:val="24"/>
          <w:vertAlign w:val="superscript"/>
        </w:rPr>
        <w:t>th</w:t>
      </w:r>
      <w:r>
        <w:rPr>
          <w:rFonts w:ascii="Arial" w:eastAsia="Arial" w:hAnsi="Arial" w:cs="Arial"/>
          <w:color w:val="000000"/>
          <w:sz w:val="24"/>
          <w:szCs w:val="24"/>
        </w:rPr>
        <w:t xml:space="preserve"> May 2024).</w:t>
      </w:r>
    </w:p>
    <w:p w14:paraId="6A05B418"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 xml:space="preserve">‌ Hilton Food Group plc -Climate Change 2023. (n.d.). Available at: </w:t>
      </w:r>
      <w:hyperlink r:id="rId14">
        <w:r>
          <w:rPr>
            <w:rFonts w:ascii="Arial" w:eastAsia="Arial" w:hAnsi="Arial" w:cs="Arial"/>
            <w:color w:val="0563C1"/>
            <w:sz w:val="24"/>
            <w:szCs w:val="24"/>
            <w:u w:val="single"/>
          </w:rPr>
          <w:t>https://www.hiltonfoods.com/media/paaj4vvq/cdp-climate-submission-2023.pdf</w:t>
        </w:r>
      </w:hyperlink>
      <w:r>
        <w:rPr>
          <w:rFonts w:ascii="Arial" w:eastAsia="Arial" w:hAnsi="Arial" w:cs="Arial"/>
          <w:color w:val="000000"/>
          <w:sz w:val="24"/>
          <w:szCs w:val="24"/>
        </w:rPr>
        <w:t xml:space="preserve"> </w:t>
      </w:r>
    </w:p>
    <w:p w14:paraId="77DAE8B0" w14:textId="77777777" w:rsidR="00EE6272" w:rsidRDefault="00000000">
      <w:pPr>
        <w:pBdr>
          <w:top w:val="nil"/>
          <w:left w:val="nil"/>
          <w:bottom w:val="nil"/>
          <w:right w:val="nil"/>
          <w:between w:val="nil"/>
        </w:pBdr>
        <w:spacing w:after="0" w:line="360" w:lineRule="auto"/>
        <w:ind w:left="360"/>
        <w:jc w:val="both"/>
        <w:rPr>
          <w:rFonts w:ascii="Arial" w:eastAsia="Arial" w:hAnsi="Arial" w:cs="Arial"/>
          <w:color w:val="000000"/>
          <w:sz w:val="24"/>
          <w:szCs w:val="24"/>
        </w:rPr>
      </w:pPr>
      <w:r>
        <w:rPr>
          <w:rFonts w:ascii="Arial" w:eastAsia="Arial" w:hAnsi="Arial" w:cs="Arial"/>
          <w:color w:val="000000"/>
          <w:sz w:val="24"/>
          <w:szCs w:val="24"/>
        </w:rPr>
        <w:t>(Accessed 20</w:t>
      </w:r>
      <w:r>
        <w:rPr>
          <w:rFonts w:ascii="Arial" w:eastAsia="Arial" w:hAnsi="Arial" w:cs="Arial"/>
          <w:color w:val="000000"/>
          <w:sz w:val="24"/>
          <w:szCs w:val="24"/>
          <w:vertAlign w:val="superscript"/>
        </w:rPr>
        <w:t>th</w:t>
      </w:r>
      <w:r>
        <w:rPr>
          <w:rFonts w:ascii="Arial" w:eastAsia="Arial" w:hAnsi="Arial" w:cs="Arial"/>
          <w:color w:val="000000"/>
          <w:sz w:val="24"/>
          <w:szCs w:val="24"/>
        </w:rPr>
        <w:t xml:space="preserve"> May 2024).</w:t>
      </w:r>
    </w:p>
    <w:p w14:paraId="241D9E54" w14:textId="77777777" w:rsidR="00EE6272" w:rsidRDefault="00EE627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1F4FAFB2"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Jones, P. and Comfort, D. (2019). Sustainable Development Goals and the World’s Leading Hotel Groups. </w:t>
      </w:r>
      <w:r>
        <w:rPr>
          <w:rFonts w:ascii="Arial" w:eastAsia="Arial" w:hAnsi="Arial" w:cs="Arial"/>
          <w:i/>
          <w:color w:val="000000"/>
          <w:sz w:val="24"/>
          <w:szCs w:val="24"/>
        </w:rPr>
        <w:t>ATHENS JOURNAL OF TOURISM</w:t>
      </w:r>
      <w:r>
        <w:rPr>
          <w:rFonts w:ascii="Arial" w:eastAsia="Arial" w:hAnsi="Arial" w:cs="Arial"/>
          <w:color w:val="000000"/>
          <w:sz w:val="24"/>
          <w:szCs w:val="24"/>
        </w:rPr>
        <w:t xml:space="preserve">, [online] 6(1), pp.1–14. Available at: </w:t>
      </w:r>
      <w:hyperlink r:id="rId15">
        <w:r>
          <w:rPr>
            <w:rFonts w:ascii="Arial" w:eastAsia="Arial" w:hAnsi="Arial" w:cs="Arial"/>
            <w:color w:val="0563C1"/>
            <w:sz w:val="24"/>
            <w:szCs w:val="24"/>
            <w:u w:val="single"/>
          </w:rPr>
          <w:t>https://doi.org/10.30958/ajt.6-1-1</w:t>
        </w:r>
      </w:hyperlink>
      <w:r>
        <w:rPr>
          <w:rFonts w:ascii="Arial" w:eastAsia="Arial" w:hAnsi="Arial" w:cs="Arial"/>
          <w:color w:val="000000"/>
          <w:sz w:val="24"/>
          <w:szCs w:val="24"/>
        </w:rPr>
        <w:t>.</w:t>
      </w:r>
    </w:p>
    <w:p w14:paraId="4F13F576" w14:textId="77777777" w:rsidR="00EE6272"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19</w:t>
      </w:r>
      <w:r>
        <w:rPr>
          <w:rFonts w:ascii="Arial" w:eastAsia="Arial" w:hAnsi="Arial" w:cs="Arial"/>
          <w:color w:val="000000"/>
          <w:sz w:val="24"/>
          <w:szCs w:val="24"/>
          <w:vertAlign w:val="superscript"/>
        </w:rPr>
        <w:t>th</w:t>
      </w:r>
      <w:r>
        <w:rPr>
          <w:rFonts w:ascii="Arial" w:eastAsia="Arial" w:hAnsi="Arial" w:cs="Arial"/>
          <w:color w:val="000000"/>
          <w:sz w:val="24"/>
          <w:szCs w:val="24"/>
        </w:rPr>
        <w:t xml:space="preserve"> May 2024).</w:t>
      </w:r>
    </w:p>
    <w:p w14:paraId="4BBC99BE"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Kim, S.-H. (2009). </w:t>
      </w:r>
      <w:r>
        <w:rPr>
          <w:rFonts w:ascii="Arial" w:eastAsia="Arial" w:hAnsi="Arial" w:cs="Arial"/>
          <w:i/>
          <w:color w:val="000000"/>
          <w:sz w:val="24"/>
          <w:szCs w:val="24"/>
        </w:rPr>
        <w:t>An Investigation Into Hotel Employees’ Perception Of Green An Investigation Into Hotel Employees’ Perception Of Green Practices Practices Part of the Hospitality Administration and Management Commons, and the Tourism and Travel Commons</w:t>
      </w:r>
      <w:r>
        <w:rPr>
          <w:rFonts w:ascii="Arial" w:eastAsia="Arial" w:hAnsi="Arial" w:cs="Arial"/>
          <w:color w:val="000000"/>
          <w:sz w:val="24"/>
          <w:szCs w:val="24"/>
        </w:rPr>
        <w:t xml:space="preserve">. [online] Available at: </w:t>
      </w:r>
      <w:hyperlink r:id="rId16">
        <w:r>
          <w:rPr>
            <w:rFonts w:ascii="Arial" w:eastAsia="Arial" w:hAnsi="Arial" w:cs="Arial"/>
            <w:color w:val="0563C1"/>
            <w:sz w:val="24"/>
            <w:szCs w:val="24"/>
            <w:u w:val="single"/>
          </w:rPr>
          <w:t>https://stars.library.ucf.edu/cgi/viewcontent.cgi?article=5166&amp;context=etd</w:t>
        </w:r>
      </w:hyperlink>
    </w:p>
    <w:p w14:paraId="1D62DAC1" w14:textId="77777777" w:rsidR="00EE6272"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21</w:t>
      </w:r>
      <w:r>
        <w:rPr>
          <w:rFonts w:ascii="Arial" w:eastAsia="Arial" w:hAnsi="Arial" w:cs="Arial"/>
          <w:color w:val="000000"/>
          <w:sz w:val="24"/>
          <w:szCs w:val="24"/>
          <w:vertAlign w:val="superscript"/>
        </w:rPr>
        <w:t>st</w:t>
      </w:r>
      <w:r>
        <w:rPr>
          <w:rFonts w:ascii="Arial" w:eastAsia="Arial" w:hAnsi="Arial" w:cs="Arial"/>
          <w:color w:val="000000"/>
          <w:sz w:val="24"/>
          <w:szCs w:val="24"/>
        </w:rPr>
        <w:t xml:space="preserve"> May 2024).</w:t>
      </w:r>
    </w:p>
    <w:p w14:paraId="746ED196"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Kotter, J. (2012). </w:t>
      </w:r>
      <w:r>
        <w:rPr>
          <w:rFonts w:ascii="Arial" w:eastAsia="Arial" w:hAnsi="Arial" w:cs="Arial"/>
          <w:i/>
          <w:color w:val="000000"/>
          <w:sz w:val="24"/>
          <w:szCs w:val="24"/>
        </w:rPr>
        <w:t>Change Management vs. Change Leadership — What’s the Difference?</w:t>
      </w:r>
      <w:r>
        <w:rPr>
          <w:rFonts w:ascii="Arial" w:eastAsia="Arial" w:hAnsi="Arial" w:cs="Arial"/>
          <w:color w:val="000000"/>
          <w:sz w:val="24"/>
          <w:szCs w:val="24"/>
        </w:rPr>
        <w:t> </w:t>
      </w:r>
      <w:r>
        <w:rPr>
          <w:rFonts w:ascii="Arial" w:eastAsia="Arial" w:hAnsi="Arial" w:cs="Arial"/>
          <w:i/>
          <w:color w:val="000000"/>
          <w:sz w:val="24"/>
          <w:szCs w:val="24"/>
        </w:rPr>
        <w:t>YouTube</w:t>
      </w:r>
      <w:r>
        <w:rPr>
          <w:rFonts w:ascii="Arial" w:eastAsia="Arial" w:hAnsi="Arial" w:cs="Arial"/>
          <w:color w:val="000000"/>
          <w:sz w:val="24"/>
          <w:szCs w:val="24"/>
        </w:rPr>
        <w:t xml:space="preserve">. Available at: </w:t>
      </w:r>
      <w:hyperlink r:id="rId17">
        <w:r>
          <w:rPr>
            <w:rFonts w:ascii="Arial" w:eastAsia="Arial" w:hAnsi="Arial" w:cs="Arial"/>
            <w:color w:val="0563C1"/>
            <w:sz w:val="24"/>
            <w:szCs w:val="24"/>
            <w:u w:val="single"/>
          </w:rPr>
          <w:t>https://www.youtube.com/watch?v=2ssUnbrhf_U</w:t>
        </w:r>
      </w:hyperlink>
      <w:r>
        <w:rPr>
          <w:rFonts w:ascii="Arial" w:eastAsia="Arial" w:hAnsi="Arial" w:cs="Arial"/>
          <w:color w:val="000000"/>
          <w:sz w:val="24"/>
          <w:szCs w:val="24"/>
        </w:rPr>
        <w:t>.</w:t>
      </w:r>
    </w:p>
    <w:p w14:paraId="5A6B5F87" w14:textId="77777777" w:rsidR="00EE6272"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19</w:t>
      </w:r>
      <w:r>
        <w:rPr>
          <w:rFonts w:ascii="Arial" w:eastAsia="Arial" w:hAnsi="Arial" w:cs="Arial"/>
          <w:color w:val="000000"/>
          <w:sz w:val="24"/>
          <w:szCs w:val="24"/>
          <w:vertAlign w:val="superscript"/>
        </w:rPr>
        <w:t>th</w:t>
      </w:r>
      <w:r>
        <w:rPr>
          <w:rFonts w:ascii="Arial" w:eastAsia="Arial" w:hAnsi="Arial" w:cs="Arial"/>
          <w:color w:val="000000"/>
          <w:sz w:val="24"/>
          <w:szCs w:val="24"/>
        </w:rPr>
        <w:t xml:space="preserve"> May 2024).</w:t>
      </w:r>
    </w:p>
    <w:p w14:paraId="643C9795"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‌Lamo, E. (2019). </w:t>
      </w:r>
      <w:r>
        <w:rPr>
          <w:rFonts w:ascii="Arial" w:eastAsia="Arial" w:hAnsi="Arial" w:cs="Arial"/>
          <w:i/>
          <w:color w:val="000000"/>
          <w:sz w:val="24"/>
          <w:szCs w:val="24"/>
        </w:rPr>
        <w:t>The Center of Success: A Case Study on Hilton’s Company Culture A Senior Project presented to</w:t>
      </w:r>
      <w:r>
        <w:rPr>
          <w:rFonts w:ascii="Arial" w:eastAsia="Arial" w:hAnsi="Arial" w:cs="Arial"/>
          <w:color w:val="000000"/>
          <w:sz w:val="24"/>
          <w:szCs w:val="24"/>
        </w:rPr>
        <w:t xml:space="preserve">. [online] Available at: </w:t>
      </w:r>
      <w:hyperlink r:id="rId18">
        <w:r>
          <w:rPr>
            <w:rFonts w:ascii="Arial" w:eastAsia="Arial" w:hAnsi="Arial" w:cs="Arial"/>
            <w:color w:val="0563C1"/>
            <w:sz w:val="24"/>
            <w:szCs w:val="24"/>
            <w:u w:val="single"/>
          </w:rPr>
          <w:t>https://digitalcommons.calpoly.edu/cgi/viewcontent.cgi?article=1002&amp;context=expindsp</w:t>
        </w:r>
      </w:hyperlink>
      <w:r>
        <w:rPr>
          <w:rFonts w:ascii="Arial" w:eastAsia="Arial" w:hAnsi="Arial" w:cs="Arial"/>
          <w:color w:val="000000"/>
          <w:sz w:val="24"/>
          <w:szCs w:val="24"/>
        </w:rPr>
        <w:t>.</w:t>
      </w:r>
    </w:p>
    <w:p w14:paraId="03900B4B" w14:textId="77777777" w:rsidR="00EE6272"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20</w:t>
      </w:r>
      <w:r>
        <w:rPr>
          <w:rFonts w:ascii="Arial" w:eastAsia="Arial" w:hAnsi="Arial" w:cs="Arial"/>
          <w:color w:val="000000"/>
          <w:sz w:val="24"/>
          <w:szCs w:val="24"/>
          <w:vertAlign w:val="superscript"/>
        </w:rPr>
        <w:t>th</w:t>
      </w:r>
      <w:r>
        <w:rPr>
          <w:rFonts w:ascii="Arial" w:eastAsia="Arial" w:hAnsi="Arial" w:cs="Arial"/>
          <w:color w:val="000000"/>
          <w:sz w:val="24"/>
          <w:szCs w:val="24"/>
        </w:rPr>
        <w:t xml:space="preserve"> May 2024).</w:t>
      </w:r>
    </w:p>
    <w:p w14:paraId="480DFFC2"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Leroi-Werelds, S., Verleye, K., Line, N. and Bove, L. (2021). Value proposition dynamics in response to external event triggers. </w:t>
      </w:r>
      <w:r>
        <w:rPr>
          <w:rFonts w:ascii="Arial" w:eastAsia="Arial" w:hAnsi="Arial" w:cs="Arial"/>
          <w:i/>
          <w:color w:val="000000"/>
          <w:sz w:val="24"/>
          <w:szCs w:val="24"/>
        </w:rPr>
        <w:t>Journal of Business Research</w:t>
      </w:r>
      <w:r>
        <w:rPr>
          <w:rFonts w:ascii="Arial" w:eastAsia="Arial" w:hAnsi="Arial" w:cs="Arial"/>
          <w:color w:val="000000"/>
          <w:sz w:val="24"/>
          <w:szCs w:val="24"/>
        </w:rPr>
        <w:t xml:space="preserve">, 136, pp.274–283. Available at: </w:t>
      </w:r>
      <w:hyperlink r:id="rId19">
        <w:r>
          <w:rPr>
            <w:rFonts w:ascii="Arial" w:eastAsia="Arial" w:hAnsi="Arial" w:cs="Arial"/>
            <w:color w:val="0563C1"/>
            <w:sz w:val="24"/>
            <w:szCs w:val="24"/>
            <w:u w:val="single"/>
          </w:rPr>
          <w:t>https://doi.org/10.1016/j.jbusres.2021.07.041</w:t>
        </w:r>
      </w:hyperlink>
      <w:r>
        <w:rPr>
          <w:rFonts w:ascii="Arial" w:eastAsia="Arial" w:hAnsi="Arial" w:cs="Arial"/>
          <w:color w:val="000000"/>
          <w:sz w:val="24"/>
          <w:szCs w:val="24"/>
        </w:rPr>
        <w:t>.</w:t>
      </w:r>
    </w:p>
    <w:p w14:paraId="5C198234" w14:textId="77777777" w:rsidR="00EE6272" w:rsidRDefault="00000000">
      <w:pPr>
        <w:pBdr>
          <w:top w:val="nil"/>
          <w:left w:val="nil"/>
          <w:bottom w:val="nil"/>
          <w:right w:val="nil"/>
          <w:between w:val="nil"/>
        </w:pBdr>
        <w:spacing w:after="0" w:line="360" w:lineRule="auto"/>
        <w:ind w:left="360"/>
        <w:jc w:val="both"/>
        <w:rPr>
          <w:rFonts w:ascii="Arial" w:eastAsia="Arial" w:hAnsi="Arial" w:cs="Arial"/>
          <w:color w:val="000000"/>
          <w:sz w:val="24"/>
          <w:szCs w:val="24"/>
        </w:rPr>
      </w:pPr>
      <w:r>
        <w:rPr>
          <w:rFonts w:ascii="Arial" w:eastAsia="Arial" w:hAnsi="Arial" w:cs="Arial"/>
          <w:color w:val="000000"/>
          <w:sz w:val="24"/>
          <w:szCs w:val="24"/>
        </w:rPr>
        <w:t xml:space="preserve">     (Accessed 22</w:t>
      </w:r>
      <w:r>
        <w:rPr>
          <w:rFonts w:ascii="Arial" w:eastAsia="Arial" w:hAnsi="Arial" w:cs="Arial"/>
          <w:color w:val="000000"/>
          <w:sz w:val="24"/>
          <w:szCs w:val="24"/>
          <w:vertAlign w:val="superscript"/>
        </w:rPr>
        <w:t>nd</w:t>
      </w:r>
      <w:r>
        <w:rPr>
          <w:rFonts w:ascii="Arial" w:eastAsia="Arial" w:hAnsi="Arial" w:cs="Arial"/>
          <w:color w:val="000000"/>
          <w:sz w:val="24"/>
          <w:szCs w:val="24"/>
        </w:rPr>
        <w:t xml:space="preserve"> May 2024).</w:t>
      </w:r>
    </w:p>
    <w:p w14:paraId="59A4DEBA"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Liasidou, S. (2018). Understanding tourism policy development: a documentary analysis. </w:t>
      </w:r>
      <w:r>
        <w:rPr>
          <w:rFonts w:ascii="Arial" w:eastAsia="Arial" w:hAnsi="Arial" w:cs="Arial"/>
          <w:i/>
          <w:color w:val="000000"/>
          <w:sz w:val="24"/>
          <w:szCs w:val="24"/>
        </w:rPr>
        <w:t>Journal of Policy Research in Tourism, Leisure and Events</w:t>
      </w:r>
      <w:r>
        <w:rPr>
          <w:rFonts w:ascii="Arial" w:eastAsia="Arial" w:hAnsi="Arial" w:cs="Arial"/>
          <w:color w:val="000000"/>
          <w:sz w:val="24"/>
          <w:szCs w:val="24"/>
        </w:rPr>
        <w:t xml:space="preserve">, 11(1), pp.70–93. Available at: </w:t>
      </w:r>
      <w:hyperlink r:id="rId20">
        <w:r>
          <w:rPr>
            <w:rFonts w:ascii="Arial" w:eastAsia="Arial" w:hAnsi="Arial" w:cs="Arial"/>
            <w:color w:val="0563C1"/>
            <w:sz w:val="24"/>
            <w:szCs w:val="24"/>
            <w:u w:val="single"/>
          </w:rPr>
          <w:t>https://doi.org/10.1080/19407963.2018.1465063</w:t>
        </w:r>
      </w:hyperlink>
      <w:r>
        <w:rPr>
          <w:rFonts w:ascii="Arial" w:eastAsia="Arial" w:hAnsi="Arial" w:cs="Arial"/>
          <w:color w:val="000000"/>
          <w:sz w:val="24"/>
          <w:szCs w:val="24"/>
        </w:rPr>
        <w:t>.</w:t>
      </w:r>
    </w:p>
    <w:p w14:paraId="25017D9B" w14:textId="77777777" w:rsidR="00EE6272" w:rsidRDefault="00000000">
      <w:p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(Accessed 21</w:t>
      </w:r>
      <w:r>
        <w:rPr>
          <w:rFonts w:ascii="Arial" w:eastAsia="Arial" w:hAnsi="Arial" w:cs="Arial"/>
          <w:color w:val="000000"/>
          <w:sz w:val="24"/>
          <w:szCs w:val="24"/>
          <w:vertAlign w:val="superscript"/>
        </w:rPr>
        <w:t>st</w:t>
      </w:r>
      <w:r>
        <w:rPr>
          <w:rFonts w:ascii="Arial" w:eastAsia="Arial" w:hAnsi="Arial" w:cs="Arial"/>
          <w:color w:val="000000"/>
          <w:sz w:val="24"/>
          <w:szCs w:val="24"/>
        </w:rPr>
        <w:t xml:space="preserve"> May 2024).</w:t>
      </w:r>
    </w:p>
    <w:p w14:paraId="453C7CB3" w14:textId="77777777" w:rsidR="00EE6272" w:rsidRDefault="00EE6272">
      <w:pPr>
        <w:pBdr>
          <w:top w:val="nil"/>
          <w:left w:val="nil"/>
          <w:bottom w:val="nil"/>
          <w:right w:val="nil"/>
          <w:between w:val="nil"/>
        </w:pBdr>
        <w:spacing w:after="0" w:line="360" w:lineRule="auto"/>
        <w:jc w:val="both"/>
        <w:rPr>
          <w:rFonts w:ascii="Arial" w:eastAsia="Arial" w:hAnsi="Arial" w:cs="Arial"/>
          <w:color w:val="000000"/>
          <w:sz w:val="24"/>
          <w:szCs w:val="24"/>
        </w:rPr>
      </w:pPr>
    </w:p>
    <w:p w14:paraId="3C88AD41" w14:textId="77777777" w:rsidR="00EE6272" w:rsidRDefault="00EE6272">
      <w:pPr>
        <w:pBdr>
          <w:top w:val="nil"/>
          <w:left w:val="nil"/>
          <w:bottom w:val="nil"/>
          <w:right w:val="nil"/>
          <w:between w:val="nil"/>
        </w:pBdr>
        <w:spacing w:after="0" w:line="360" w:lineRule="auto"/>
        <w:jc w:val="both"/>
        <w:rPr>
          <w:rFonts w:ascii="Arial" w:eastAsia="Arial" w:hAnsi="Arial" w:cs="Arial"/>
          <w:color w:val="000000"/>
          <w:sz w:val="24"/>
          <w:szCs w:val="24"/>
        </w:rPr>
      </w:pPr>
    </w:p>
    <w:p w14:paraId="626B625D" w14:textId="77777777" w:rsidR="00EE6272" w:rsidRDefault="00000000">
      <w:pPr>
        <w:numPr>
          <w:ilvl w:val="0"/>
          <w:numId w:val="2"/>
        </w:numPr>
        <w:pBdr>
          <w:top w:val="nil"/>
          <w:left w:val="nil"/>
          <w:bottom w:val="nil"/>
          <w:right w:val="nil"/>
          <w:between w:val="nil"/>
        </w:pBdr>
        <w:spacing w:before="280" w:after="280"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‌Linxi, X. (2021). </w:t>
      </w:r>
      <w:r>
        <w:rPr>
          <w:rFonts w:ascii="Arial" w:eastAsia="Arial" w:hAnsi="Arial" w:cs="Arial"/>
          <w:i/>
          <w:color w:val="000000"/>
          <w:sz w:val="24"/>
          <w:szCs w:val="24"/>
        </w:rPr>
        <w:t>The Digital Transformation Strategy of Hilton During COVID-19</w:t>
      </w:r>
      <w:r>
        <w:rPr>
          <w:rFonts w:ascii="Arial" w:eastAsia="Arial" w:hAnsi="Arial" w:cs="Arial"/>
          <w:color w:val="000000"/>
          <w:sz w:val="24"/>
          <w:szCs w:val="24"/>
        </w:rPr>
        <w:t xml:space="preserve">. [online] www.atlantis-press.com. Available at: </w:t>
      </w:r>
      <w:hyperlink r:id="rId21">
        <w:r>
          <w:rPr>
            <w:rFonts w:ascii="Arial" w:eastAsia="Arial" w:hAnsi="Arial" w:cs="Arial"/>
            <w:color w:val="0563C1"/>
            <w:sz w:val="24"/>
            <w:szCs w:val="24"/>
            <w:u w:val="single"/>
          </w:rPr>
          <w:t>https://doi.org/10.2991/aebmr.k.210917.050</w:t>
        </w:r>
      </w:hyperlink>
      <w:r>
        <w:rPr>
          <w:rFonts w:ascii="Arial" w:eastAsia="Arial" w:hAnsi="Arial" w:cs="Arial"/>
          <w:color w:val="000000"/>
          <w:sz w:val="24"/>
          <w:szCs w:val="24"/>
        </w:rPr>
        <w:t>.</w:t>
      </w:r>
    </w:p>
    <w:p w14:paraId="4CA97C20" w14:textId="77777777" w:rsidR="00EE6272" w:rsidRDefault="00000000">
      <w:pPr>
        <w:pBdr>
          <w:top w:val="nil"/>
          <w:left w:val="nil"/>
          <w:bottom w:val="nil"/>
          <w:right w:val="nil"/>
          <w:between w:val="nil"/>
        </w:pBdr>
        <w:spacing w:before="280" w:after="28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23</w:t>
      </w:r>
      <w:r>
        <w:rPr>
          <w:rFonts w:ascii="Arial" w:eastAsia="Arial" w:hAnsi="Arial" w:cs="Arial"/>
          <w:color w:val="000000"/>
          <w:sz w:val="24"/>
          <w:szCs w:val="24"/>
          <w:vertAlign w:val="superscript"/>
        </w:rPr>
        <w:t>rd</w:t>
      </w:r>
      <w:r>
        <w:rPr>
          <w:rFonts w:ascii="Arial" w:eastAsia="Arial" w:hAnsi="Arial" w:cs="Arial"/>
          <w:color w:val="000000"/>
          <w:sz w:val="24"/>
          <w:szCs w:val="24"/>
        </w:rPr>
        <w:t xml:space="preserve"> May 2024).</w:t>
      </w:r>
    </w:p>
    <w:p w14:paraId="1D0BB882"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Live.com. (2024). Available at: </w:t>
      </w:r>
      <w:hyperlink r:id="rId22">
        <w:r>
          <w:rPr>
            <w:rFonts w:ascii="Arial" w:eastAsia="Arial" w:hAnsi="Arial" w:cs="Arial"/>
            <w:color w:val="0563C1"/>
            <w:sz w:val="24"/>
            <w:szCs w:val="24"/>
            <w:u w:val="single"/>
          </w:rPr>
          <w:t>https://view.officeapps.live.com/op/view.aspx?src=https%3A%2F%2Frepository.uwl.ac.uk%2Fid%2Feprint%2F5493%2F1%2FManuscript%2520R1.docx&amp;wdOrigin=BROWSELINK</w:t>
        </w:r>
      </w:hyperlink>
    </w:p>
    <w:p w14:paraId="65B227BE" w14:textId="77777777" w:rsidR="00EE6272"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20</w:t>
      </w:r>
      <w:r>
        <w:rPr>
          <w:rFonts w:ascii="Arial" w:eastAsia="Arial" w:hAnsi="Arial" w:cs="Arial"/>
          <w:color w:val="000000"/>
          <w:sz w:val="24"/>
          <w:szCs w:val="24"/>
          <w:vertAlign w:val="superscript"/>
        </w:rPr>
        <w:t>th</w:t>
      </w:r>
      <w:r>
        <w:rPr>
          <w:rFonts w:ascii="Arial" w:eastAsia="Arial" w:hAnsi="Arial" w:cs="Arial"/>
          <w:color w:val="000000"/>
          <w:sz w:val="24"/>
          <w:szCs w:val="24"/>
        </w:rPr>
        <w:t xml:space="preserve"> May 2024).</w:t>
      </w:r>
    </w:p>
    <w:p w14:paraId="7EABA007"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Liu, Q. (2022). </w:t>
      </w:r>
      <w:r>
        <w:rPr>
          <w:rFonts w:ascii="Arial" w:eastAsia="Arial" w:hAnsi="Arial" w:cs="Arial"/>
          <w:i/>
          <w:color w:val="000000"/>
          <w:sz w:val="24"/>
          <w:szCs w:val="24"/>
        </w:rPr>
        <w:t>Development Trend of Hilton in the Post Epidemic Era and Development Suggestions Based on Quantitative and Qualitative Analysis Model</w:t>
      </w:r>
      <w:r>
        <w:rPr>
          <w:rFonts w:ascii="Arial" w:eastAsia="Arial" w:hAnsi="Arial" w:cs="Arial"/>
          <w:color w:val="000000"/>
          <w:sz w:val="24"/>
          <w:szCs w:val="24"/>
        </w:rPr>
        <w:t xml:space="preserve">. [online] www.atlantis-press.com. Available at: </w:t>
      </w:r>
      <w:hyperlink r:id="rId23">
        <w:r>
          <w:rPr>
            <w:rFonts w:ascii="Arial" w:eastAsia="Arial" w:hAnsi="Arial" w:cs="Arial"/>
            <w:color w:val="0563C1"/>
            <w:sz w:val="24"/>
            <w:szCs w:val="24"/>
            <w:u w:val="single"/>
          </w:rPr>
          <w:t>https://doi.org/10.2991/978-94-6463-036-7_181</w:t>
        </w:r>
      </w:hyperlink>
      <w:r>
        <w:rPr>
          <w:rFonts w:ascii="Arial" w:eastAsia="Arial" w:hAnsi="Arial" w:cs="Arial"/>
          <w:color w:val="000000"/>
          <w:sz w:val="24"/>
          <w:szCs w:val="24"/>
        </w:rPr>
        <w:t>.</w:t>
      </w:r>
    </w:p>
    <w:p w14:paraId="19271DFD" w14:textId="77777777" w:rsidR="00EE6272"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23</w:t>
      </w:r>
      <w:r>
        <w:rPr>
          <w:rFonts w:ascii="Arial" w:eastAsia="Arial" w:hAnsi="Arial" w:cs="Arial"/>
          <w:color w:val="000000"/>
          <w:sz w:val="24"/>
          <w:szCs w:val="24"/>
          <w:vertAlign w:val="superscript"/>
        </w:rPr>
        <w:t>rd</w:t>
      </w:r>
      <w:r>
        <w:rPr>
          <w:rFonts w:ascii="Arial" w:eastAsia="Arial" w:hAnsi="Arial" w:cs="Arial"/>
          <w:color w:val="000000"/>
          <w:sz w:val="24"/>
          <w:szCs w:val="24"/>
        </w:rPr>
        <w:t xml:space="preserve"> May 2024).</w:t>
      </w:r>
    </w:p>
    <w:p w14:paraId="0CB626B0"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Madrid, N. (2020). </w:t>
      </w:r>
      <w:r>
        <w:rPr>
          <w:rFonts w:ascii="Arial" w:eastAsia="Arial" w:hAnsi="Arial" w:cs="Arial"/>
          <w:i/>
          <w:color w:val="000000"/>
          <w:sz w:val="24"/>
          <w:szCs w:val="24"/>
        </w:rPr>
        <w:t>Designing a Digital Key for Hotel Applications</w:t>
      </w:r>
      <w:r>
        <w:rPr>
          <w:rFonts w:ascii="Arial" w:eastAsia="Arial" w:hAnsi="Arial" w:cs="Arial"/>
          <w:color w:val="000000"/>
          <w:sz w:val="24"/>
          <w:szCs w:val="24"/>
        </w:rPr>
        <w:t xml:space="preserve">. [online] Available at: </w:t>
      </w:r>
      <w:hyperlink r:id="rId24">
        <w:r>
          <w:rPr>
            <w:rFonts w:ascii="Arial" w:eastAsia="Arial" w:hAnsi="Arial" w:cs="Arial"/>
            <w:color w:val="0563C1"/>
            <w:sz w:val="24"/>
            <w:szCs w:val="24"/>
            <w:u w:val="single"/>
          </w:rPr>
          <w:t>https://oa.upm.es/65864/1/TFM_NIELS_DIKKEN.pdf</w:t>
        </w:r>
      </w:hyperlink>
      <w:r>
        <w:rPr>
          <w:rFonts w:ascii="Arial" w:eastAsia="Arial" w:hAnsi="Arial" w:cs="Arial"/>
          <w:color w:val="000000"/>
          <w:sz w:val="24"/>
          <w:szCs w:val="24"/>
        </w:rPr>
        <w:t xml:space="preserve"> </w:t>
      </w:r>
    </w:p>
    <w:p w14:paraId="42F6F51F" w14:textId="77777777" w:rsidR="00EE6272"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19</w:t>
      </w:r>
      <w:r>
        <w:rPr>
          <w:rFonts w:ascii="Arial" w:eastAsia="Arial" w:hAnsi="Arial" w:cs="Arial"/>
          <w:color w:val="000000"/>
          <w:sz w:val="24"/>
          <w:szCs w:val="24"/>
          <w:vertAlign w:val="superscript"/>
        </w:rPr>
        <w:t>th</w:t>
      </w:r>
      <w:r>
        <w:rPr>
          <w:rFonts w:ascii="Arial" w:eastAsia="Arial" w:hAnsi="Arial" w:cs="Arial"/>
          <w:color w:val="000000"/>
          <w:sz w:val="24"/>
          <w:szCs w:val="24"/>
        </w:rPr>
        <w:t xml:space="preserve"> May 2024).</w:t>
      </w:r>
    </w:p>
    <w:p w14:paraId="17266F2B"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Maxwell, G.A. and Watson, S. (2006). Perspectives on line managers in human resource management: Hilton International’s UK hotels. </w:t>
      </w:r>
      <w:r>
        <w:rPr>
          <w:rFonts w:ascii="Arial" w:eastAsia="Arial" w:hAnsi="Arial" w:cs="Arial"/>
          <w:i/>
          <w:color w:val="000000"/>
          <w:sz w:val="24"/>
          <w:szCs w:val="24"/>
        </w:rPr>
        <w:t>The International Journal of Human Resource Management</w:t>
      </w:r>
      <w:r>
        <w:rPr>
          <w:rFonts w:ascii="Arial" w:eastAsia="Arial" w:hAnsi="Arial" w:cs="Arial"/>
          <w:color w:val="000000"/>
          <w:sz w:val="24"/>
          <w:szCs w:val="24"/>
        </w:rPr>
        <w:t xml:space="preserve">, 17(6), pp.1152–1170. Available at: </w:t>
      </w:r>
      <w:hyperlink r:id="rId25">
        <w:r>
          <w:rPr>
            <w:rFonts w:ascii="Arial" w:eastAsia="Arial" w:hAnsi="Arial" w:cs="Arial"/>
            <w:color w:val="0563C1"/>
            <w:sz w:val="24"/>
            <w:szCs w:val="24"/>
            <w:u w:val="single"/>
          </w:rPr>
          <w:t>https://doi.org/10.1080/09585190600697638</w:t>
        </w:r>
      </w:hyperlink>
      <w:r>
        <w:rPr>
          <w:rFonts w:ascii="Arial" w:eastAsia="Arial" w:hAnsi="Arial" w:cs="Arial"/>
          <w:color w:val="000000"/>
          <w:sz w:val="24"/>
          <w:szCs w:val="24"/>
        </w:rPr>
        <w:t>.</w:t>
      </w:r>
    </w:p>
    <w:p w14:paraId="38839458" w14:textId="77777777" w:rsidR="00EE6272"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28 May 2024).</w:t>
      </w:r>
    </w:p>
    <w:p w14:paraId="2ADED800" w14:textId="77777777" w:rsidR="00EE6272" w:rsidRDefault="00000000">
      <w:pPr>
        <w:numPr>
          <w:ilvl w:val="0"/>
          <w:numId w:val="2"/>
        </w:numPr>
        <w:pBdr>
          <w:top w:val="nil"/>
          <w:left w:val="nil"/>
          <w:bottom w:val="nil"/>
          <w:right w:val="nil"/>
          <w:between w:val="nil"/>
        </w:pBdr>
        <w:spacing w:before="280" w:after="280" w:line="360" w:lineRule="auto"/>
        <w:jc w:val="both"/>
        <w:rPr>
          <w:rFonts w:ascii="Arial" w:eastAsia="Arial" w:hAnsi="Arial" w:cs="Arial"/>
          <w:color w:val="000000"/>
          <w:sz w:val="24"/>
          <w:szCs w:val="24"/>
        </w:rPr>
      </w:pPr>
      <w:r>
        <w:rPr>
          <w:rFonts w:ascii="Arial" w:eastAsia="Arial" w:hAnsi="Arial" w:cs="Arial"/>
          <w:color w:val="222222"/>
          <w:sz w:val="24"/>
          <w:szCs w:val="24"/>
          <w:highlight w:val="white"/>
        </w:rPr>
        <w:t>Parker, L.D. and Chung, L.H. (2018). Structuring social and environmental management control and accountability: Behind the hotel doors. </w:t>
      </w:r>
      <w:r>
        <w:rPr>
          <w:rFonts w:ascii="Arial" w:eastAsia="Arial" w:hAnsi="Arial" w:cs="Arial"/>
          <w:i/>
          <w:color w:val="222222"/>
          <w:sz w:val="24"/>
          <w:szCs w:val="24"/>
          <w:highlight w:val="white"/>
        </w:rPr>
        <w:t>Accounting, Auditing &amp; Accountability Journal</w:t>
      </w:r>
      <w:r>
        <w:rPr>
          <w:rFonts w:ascii="Arial" w:eastAsia="Arial" w:hAnsi="Arial" w:cs="Arial"/>
          <w:color w:val="222222"/>
          <w:sz w:val="24"/>
          <w:szCs w:val="24"/>
          <w:highlight w:val="white"/>
        </w:rPr>
        <w:t>, </w:t>
      </w:r>
      <w:r>
        <w:rPr>
          <w:rFonts w:ascii="Arial" w:eastAsia="Arial" w:hAnsi="Arial" w:cs="Arial"/>
          <w:i/>
          <w:color w:val="222222"/>
          <w:sz w:val="24"/>
          <w:szCs w:val="24"/>
          <w:highlight w:val="white"/>
        </w:rPr>
        <w:t>31</w:t>
      </w:r>
      <w:r>
        <w:rPr>
          <w:rFonts w:ascii="Arial" w:eastAsia="Arial" w:hAnsi="Arial" w:cs="Arial"/>
          <w:color w:val="222222"/>
          <w:sz w:val="24"/>
          <w:szCs w:val="24"/>
          <w:highlight w:val="white"/>
        </w:rPr>
        <w:t>(3), pp.993-1023.</w:t>
      </w:r>
      <w:r>
        <w:rPr>
          <w:rFonts w:ascii="Arial" w:eastAsia="Arial" w:hAnsi="Arial" w:cs="Arial"/>
          <w:color w:val="000000"/>
          <w:sz w:val="24"/>
          <w:szCs w:val="24"/>
        </w:rPr>
        <w:t xml:space="preserve"> ‌Available at: </w:t>
      </w:r>
      <w:hyperlink r:id="rId26">
        <w:r>
          <w:rPr>
            <w:rFonts w:ascii="Arial" w:eastAsia="Arial" w:hAnsi="Arial" w:cs="Arial"/>
            <w:color w:val="0563C1"/>
            <w:sz w:val="24"/>
            <w:szCs w:val="24"/>
            <w:u w:val="single"/>
          </w:rPr>
          <w:t>144925.pdf (gla.ac.uk)</w:t>
        </w:r>
      </w:hyperlink>
    </w:p>
    <w:p w14:paraId="42113E48" w14:textId="77777777" w:rsidR="00EE6272" w:rsidRDefault="00000000">
      <w:pPr>
        <w:pBdr>
          <w:top w:val="nil"/>
          <w:left w:val="nil"/>
          <w:bottom w:val="nil"/>
          <w:right w:val="nil"/>
          <w:between w:val="nil"/>
        </w:pBdr>
        <w:spacing w:before="280" w:after="28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28 May 2024).</w:t>
      </w:r>
    </w:p>
    <w:p w14:paraId="2A8F3888" w14:textId="77777777" w:rsidR="00EE6272" w:rsidRDefault="00EE6272">
      <w:pPr>
        <w:pBdr>
          <w:top w:val="nil"/>
          <w:left w:val="nil"/>
          <w:bottom w:val="nil"/>
          <w:right w:val="nil"/>
          <w:between w:val="nil"/>
        </w:pBdr>
        <w:spacing w:before="280" w:after="280" w:line="360" w:lineRule="auto"/>
        <w:ind w:left="720"/>
        <w:jc w:val="both"/>
        <w:rPr>
          <w:rFonts w:ascii="Arial" w:eastAsia="Arial" w:hAnsi="Arial" w:cs="Arial"/>
          <w:color w:val="000000"/>
          <w:sz w:val="24"/>
          <w:szCs w:val="24"/>
        </w:rPr>
      </w:pPr>
    </w:p>
    <w:p w14:paraId="53789438"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lastRenderedPageBreak/>
        <w:t>Sakovska, O., Kozhukhivska, R., Kustrich, L., Gomeniuk, M. and Podzihun, S. (2022). Improvement of the Marketing Management System of Tourism and Hospitality Industry Enterprises on the Basis of Innovations. </w:t>
      </w:r>
      <w:r>
        <w:rPr>
          <w:rFonts w:ascii="Arial" w:eastAsia="Arial" w:hAnsi="Arial" w:cs="Arial"/>
          <w:i/>
          <w:color w:val="000000"/>
          <w:sz w:val="24"/>
          <w:szCs w:val="24"/>
        </w:rPr>
        <w:t>Impact of Artificial Intelligence, and the Fourth Industrial Revolution on Business Success</w:t>
      </w:r>
      <w:r>
        <w:rPr>
          <w:rFonts w:ascii="Arial" w:eastAsia="Arial" w:hAnsi="Arial" w:cs="Arial"/>
          <w:color w:val="000000"/>
          <w:sz w:val="24"/>
          <w:szCs w:val="24"/>
        </w:rPr>
        <w:t xml:space="preserve">, pp.881–895. Available at: </w:t>
      </w:r>
      <w:hyperlink r:id="rId27">
        <w:r>
          <w:rPr>
            <w:rFonts w:ascii="Arial" w:eastAsia="Arial" w:hAnsi="Arial" w:cs="Arial"/>
            <w:color w:val="0563C1"/>
            <w:sz w:val="24"/>
            <w:szCs w:val="24"/>
            <w:u w:val="single"/>
          </w:rPr>
          <w:t>https://doi.org/10.1007/978-3-031-08093-7_58</w:t>
        </w:r>
      </w:hyperlink>
      <w:r>
        <w:rPr>
          <w:rFonts w:ascii="Arial" w:eastAsia="Arial" w:hAnsi="Arial" w:cs="Arial"/>
          <w:color w:val="000000"/>
          <w:sz w:val="24"/>
          <w:szCs w:val="24"/>
        </w:rPr>
        <w:t>.</w:t>
      </w:r>
    </w:p>
    <w:p w14:paraId="53DB07E0" w14:textId="77777777" w:rsidR="00EE6272"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19</w:t>
      </w:r>
      <w:r>
        <w:rPr>
          <w:rFonts w:ascii="Arial" w:eastAsia="Arial" w:hAnsi="Arial" w:cs="Arial"/>
          <w:color w:val="000000"/>
          <w:sz w:val="24"/>
          <w:szCs w:val="24"/>
          <w:vertAlign w:val="superscript"/>
        </w:rPr>
        <w:t>th</w:t>
      </w:r>
      <w:r>
        <w:rPr>
          <w:rFonts w:ascii="Arial" w:eastAsia="Arial" w:hAnsi="Arial" w:cs="Arial"/>
          <w:color w:val="000000"/>
          <w:sz w:val="24"/>
          <w:szCs w:val="24"/>
        </w:rPr>
        <w:t xml:space="preserve"> May 2024).</w:t>
      </w:r>
    </w:p>
    <w:p w14:paraId="14CA0CEC"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Saunders, M.N.K., Altinay, L. and Riordan, K. (2009). The management of post-merger cultural integration: implications from the hotel industry. </w:t>
      </w:r>
      <w:r>
        <w:rPr>
          <w:rFonts w:ascii="Arial" w:eastAsia="Arial" w:hAnsi="Arial" w:cs="Arial"/>
          <w:i/>
          <w:color w:val="000000"/>
          <w:sz w:val="24"/>
          <w:szCs w:val="24"/>
        </w:rPr>
        <w:t>The Service Industries Journal</w:t>
      </w:r>
      <w:r>
        <w:rPr>
          <w:rFonts w:ascii="Arial" w:eastAsia="Arial" w:hAnsi="Arial" w:cs="Arial"/>
          <w:color w:val="000000"/>
          <w:sz w:val="24"/>
          <w:szCs w:val="24"/>
        </w:rPr>
        <w:t xml:space="preserve">, 29(10), pp.1359–1375. Available at: </w:t>
      </w:r>
      <w:hyperlink r:id="rId28">
        <w:r>
          <w:rPr>
            <w:rFonts w:ascii="Arial" w:eastAsia="Arial" w:hAnsi="Arial" w:cs="Arial"/>
            <w:color w:val="0563C1"/>
            <w:sz w:val="24"/>
            <w:szCs w:val="24"/>
            <w:u w:val="single"/>
          </w:rPr>
          <w:t>https://doi.org/10.1080/02642060903026213</w:t>
        </w:r>
      </w:hyperlink>
      <w:r>
        <w:rPr>
          <w:rFonts w:ascii="Arial" w:eastAsia="Arial" w:hAnsi="Arial" w:cs="Arial"/>
          <w:color w:val="000000"/>
          <w:sz w:val="24"/>
          <w:szCs w:val="24"/>
        </w:rPr>
        <w:t>.</w:t>
      </w:r>
    </w:p>
    <w:p w14:paraId="265E6678" w14:textId="77777777" w:rsidR="00EE6272"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28 May 2024).</w:t>
      </w:r>
    </w:p>
    <w:p w14:paraId="0E8DCDEF"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Singh, R., Gehlot, A., Shaik Vaseem Akram, Amit Kumar Thakur, Lovi Raj Gupta, Neeraj Priyadarshi and Bhekisipho Twala (2024). Integration of advanced digital technologies in the hospitality industry: A technological approach towards sustainability. </w:t>
      </w:r>
      <w:r>
        <w:rPr>
          <w:rFonts w:ascii="Arial" w:eastAsia="Arial" w:hAnsi="Arial" w:cs="Arial"/>
          <w:i/>
          <w:color w:val="000000"/>
          <w:sz w:val="24"/>
          <w:szCs w:val="24"/>
        </w:rPr>
        <w:t>Sustainable Engineering and Innovation</w:t>
      </w:r>
      <w:r>
        <w:rPr>
          <w:rFonts w:ascii="Arial" w:eastAsia="Arial" w:hAnsi="Arial" w:cs="Arial"/>
          <w:color w:val="000000"/>
          <w:sz w:val="24"/>
          <w:szCs w:val="24"/>
        </w:rPr>
        <w:t xml:space="preserve">, 6(1), pp.37–56. Available at: </w:t>
      </w:r>
      <w:hyperlink r:id="rId29">
        <w:r>
          <w:rPr>
            <w:rFonts w:ascii="Arial" w:eastAsia="Arial" w:hAnsi="Arial" w:cs="Arial"/>
            <w:color w:val="0563C1"/>
            <w:sz w:val="24"/>
            <w:szCs w:val="24"/>
            <w:u w:val="single"/>
          </w:rPr>
          <w:t>https://doi.org/10.37868/sei.v6i1.id208</w:t>
        </w:r>
      </w:hyperlink>
      <w:r>
        <w:rPr>
          <w:rFonts w:ascii="Arial" w:eastAsia="Arial" w:hAnsi="Arial" w:cs="Arial"/>
          <w:color w:val="000000"/>
          <w:sz w:val="24"/>
          <w:szCs w:val="24"/>
        </w:rPr>
        <w:t>.</w:t>
      </w:r>
    </w:p>
    <w:p w14:paraId="7121F01C" w14:textId="77777777" w:rsidR="00EE6272" w:rsidRDefault="00000000">
      <w:pPr>
        <w:pBdr>
          <w:top w:val="nil"/>
          <w:left w:val="nil"/>
          <w:bottom w:val="nil"/>
          <w:right w:val="nil"/>
          <w:between w:val="nil"/>
        </w:pBdr>
        <w:spacing w:after="0" w:line="360" w:lineRule="auto"/>
        <w:ind w:left="720"/>
        <w:jc w:val="both"/>
        <w:rPr>
          <w:rFonts w:ascii="Arial" w:eastAsia="Arial" w:hAnsi="Arial" w:cs="Arial"/>
          <w:color w:val="000000"/>
          <w:sz w:val="24"/>
          <w:szCs w:val="24"/>
        </w:rPr>
      </w:pPr>
      <w:r>
        <w:rPr>
          <w:rFonts w:ascii="Arial" w:eastAsia="Arial" w:hAnsi="Arial" w:cs="Arial"/>
          <w:color w:val="000000"/>
          <w:sz w:val="24"/>
          <w:szCs w:val="24"/>
        </w:rPr>
        <w:t>(Accessed 21</w:t>
      </w:r>
      <w:r>
        <w:rPr>
          <w:rFonts w:ascii="Arial" w:eastAsia="Arial" w:hAnsi="Arial" w:cs="Arial"/>
          <w:color w:val="000000"/>
          <w:sz w:val="24"/>
          <w:szCs w:val="24"/>
          <w:vertAlign w:val="superscript"/>
        </w:rPr>
        <w:t>st</w:t>
      </w:r>
      <w:r>
        <w:rPr>
          <w:rFonts w:ascii="Arial" w:eastAsia="Arial" w:hAnsi="Arial" w:cs="Arial"/>
          <w:color w:val="000000"/>
          <w:sz w:val="24"/>
          <w:szCs w:val="24"/>
        </w:rPr>
        <w:t xml:space="preserve"> May 2024).</w:t>
      </w:r>
    </w:p>
    <w:p w14:paraId="3E055B68" w14:textId="77777777" w:rsidR="00EE6272" w:rsidRDefault="00000000">
      <w:pPr>
        <w:numPr>
          <w:ilvl w:val="0"/>
          <w:numId w:val="2"/>
        </w:num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Wong, K. (2023). </w:t>
      </w:r>
      <w:r>
        <w:rPr>
          <w:rFonts w:ascii="Arial" w:eastAsia="Arial" w:hAnsi="Arial" w:cs="Arial"/>
          <w:i/>
          <w:color w:val="000000"/>
          <w:sz w:val="24"/>
          <w:szCs w:val="24"/>
        </w:rPr>
        <w:t>Organizational Culture: Definition, Importance, and development</w:t>
      </w:r>
      <w:r>
        <w:rPr>
          <w:rFonts w:ascii="Arial" w:eastAsia="Arial" w:hAnsi="Arial" w:cs="Arial"/>
          <w:color w:val="000000"/>
          <w:sz w:val="24"/>
          <w:szCs w:val="24"/>
        </w:rPr>
        <w:t xml:space="preserve">. [online] Achievers. Available at: </w:t>
      </w:r>
      <w:hyperlink r:id="rId30">
        <w:r>
          <w:rPr>
            <w:rFonts w:ascii="Arial" w:eastAsia="Arial" w:hAnsi="Arial" w:cs="Arial"/>
            <w:color w:val="0563C1"/>
            <w:sz w:val="24"/>
            <w:szCs w:val="24"/>
            <w:u w:val="single"/>
          </w:rPr>
          <w:t>https://www.achievers.com/blog/organizational-culture-definition/</w:t>
        </w:r>
      </w:hyperlink>
      <w:r>
        <w:rPr>
          <w:rFonts w:ascii="Arial" w:eastAsia="Arial" w:hAnsi="Arial" w:cs="Arial"/>
          <w:color w:val="000000"/>
          <w:sz w:val="24"/>
          <w:szCs w:val="24"/>
        </w:rPr>
        <w:t>.</w:t>
      </w:r>
    </w:p>
    <w:p w14:paraId="6E907AB9" w14:textId="77777777" w:rsidR="00EE6272" w:rsidRDefault="00000000">
      <w:pPr>
        <w:pBdr>
          <w:top w:val="nil"/>
          <w:left w:val="nil"/>
          <w:bottom w:val="nil"/>
          <w:right w:val="nil"/>
          <w:between w:val="nil"/>
        </w:pBdr>
        <w:spacing w:after="0" w:line="360" w:lineRule="auto"/>
        <w:jc w:val="both"/>
        <w:rPr>
          <w:rFonts w:ascii="Arial" w:eastAsia="Arial" w:hAnsi="Arial" w:cs="Arial"/>
          <w:color w:val="000000"/>
          <w:sz w:val="24"/>
          <w:szCs w:val="24"/>
        </w:rPr>
      </w:pPr>
      <w:r>
        <w:rPr>
          <w:rFonts w:ascii="Arial" w:eastAsia="Arial" w:hAnsi="Arial" w:cs="Arial"/>
          <w:color w:val="000000"/>
          <w:sz w:val="24"/>
          <w:szCs w:val="24"/>
        </w:rPr>
        <w:t xml:space="preserve">           (Accessed 30</w:t>
      </w:r>
      <w:r>
        <w:rPr>
          <w:rFonts w:ascii="Arial" w:eastAsia="Arial" w:hAnsi="Arial" w:cs="Arial"/>
          <w:color w:val="000000"/>
          <w:sz w:val="24"/>
          <w:szCs w:val="24"/>
          <w:vertAlign w:val="superscript"/>
        </w:rPr>
        <w:t>th</w:t>
      </w:r>
      <w:r>
        <w:rPr>
          <w:rFonts w:ascii="Arial" w:eastAsia="Arial" w:hAnsi="Arial" w:cs="Arial"/>
          <w:color w:val="000000"/>
          <w:sz w:val="24"/>
          <w:szCs w:val="24"/>
        </w:rPr>
        <w:t xml:space="preserve"> May 2024).</w:t>
      </w:r>
    </w:p>
    <w:p w14:paraId="37C0F229" w14:textId="77777777" w:rsidR="00EE6272" w:rsidRDefault="00EE6272">
      <w:pPr>
        <w:pBdr>
          <w:top w:val="nil"/>
          <w:left w:val="nil"/>
          <w:bottom w:val="nil"/>
          <w:right w:val="nil"/>
          <w:between w:val="nil"/>
        </w:pBdr>
        <w:spacing w:before="280" w:after="280" w:line="360" w:lineRule="auto"/>
        <w:jc w:val="both"/>
        <w:rPr>
          <w:rFonts w:ascii="Arial" w:eastAsia="Arial" w:hAnsi="Arial" w:cs="Arial"/>
          <w:color w:val="000000"/>
          <w:sz w:val="24"/>
          <w:szCs w:val="24"/>
        </w:rPr>
      </w:pPr>
    </w:p>
    <w:p w14:paraId="0016D88E" w14:textId="77777777" w:rsidR="00EE6272" w:rsidRDefault="00EE6272">
      <w:pPr>
        <w:pBdr>
          <w:top w:val="nil"/>
          <w:left w:val="nil"/>
          <w:bottom w:val="nil"/>
          <w:right w:val="nil"/>
          <w:between w:val="nil"/>
        </w:pBdr>
        <w:spacing w:after="0" w:line="360" w:lineRule="auto"/>
        <w:ind w:left="720"/>
        <w:jc w:val="both"/>
        <w:rPr>
          <w:rFonts w:ascii="Arial" w:eastAsia="Arial" w:hAnsi="Arial" w:cs="Arial"/>
          <w:color w:val="000000"/>
          <w:sz w:val="24"/>
          <w:szCs w:val="24"/>
        </w:rPr>
      </w:pPr>
    </w:p>
    <w:p w14:paraId="077E61E8" w14:textId="77777777" w:rsidR="00EE6272" w:rsidRDefault="00EE6272">
      <w:pPr>
        <w:pBdr>
          <w:top w:val="nil"/>
          <w:left w:val="nil"/>
          <w:bottom w:val="nil"/>
          <w:right w:val="nil"/>
          <w:between w:val="nil"/>
        </w:pBdr>
        <w:spacing w:after="0" w:line="360" w:lineRule="auto"/>
        <w:ind w:left="720"/>
        <w:jc w:val="both"/>
        <w:rPr>
          <w:rFonts w:ascii="Arial" w:eastAsia="Arial" w:hAnsi="Arial" w:cs="Arial"/>
          <w:color w:val="000000"/>
          <w:sz w:val="24"/>
          <w:szCs w:val="24"/>
        </w:rPr>
      </w:pPr>
    </w:p>
    <w:sectPr w:rsidR="00EE6272">
      <w:footerReference w:type="default" r:id="rId31"/>
      <w:pgSz w:w="11906" w:h="16838"/>
      <w:pgMar w:top="1440" w:right="1440" w:bottom="1440" w:left="1440" w:header="708" w:footer="708" w:gutter="0"/>
      <w:pgNumType w:start="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572BE3" w14:textId="77777777" w:rsidR="00044C01" w:rsidRDefault="00044C01">
      <w:pPr>
        <w:spacing w:after="0" w:line="240" w:lineRule="auto"/>
      </w:pPr>
      <w:r>
        <w:separator/>
      </w:r>
    </w:p>
  </w:endnote>
  <w:endnote w:type="continuationSeparator" w:id="0">
    <w:p w14:paraId="2E1D8CB1" w14:textId="77777777" w:rsidR="00044C01" w:rsidRDefault="00044C0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DengXian Light">
    <w:altName w:val="等线 Light"/>
    <w:panose1 w:val="02010600030101010101"/>
    <w:charset w:val="86"/>
    <w:family w:val="auto"/>
    <w:pitch w:val="variable"/>
    <w:sig w:usb0="A00002BF" w:usb1="38CF7CFA" w:usb2="00000016" w:usb3="00000000" w:csb0="0004000F" w:csb1="00000000"/>
  </w:font>
  <w:font w:name="Georgia">
    <w:panose1 w:val="02040502050405020303"/>
    <w:charset w:val="00"/>
    <w:family w:val="auto"/>
    <w:pitch w:val="default"/>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9290CC4" w14:textId="77777777" w:rsidR="00EE6272" w:rsidRDefault="00000000">
    <w:pPr>
      <w:pBdr>
        <w:top w:val="nil"/>
        <w:left w:val="nil"/>
        <w:bottom w:val="nil"/>
        <w:right w:val="nil"/>
        <w:between w:val="nil"/>
      </w:pBdr>
      <w:tabs>
        <w:tab w:val="center" w:pos="4513"/>
        <w:tab w:val="right" w:pos="9026"/>
      </w:tabs>
      <w:spacing w:after="0" w:line="240" w:lineRule="auto"/>
      <w:rPr>
        <w:color w:val="000000"/>
      </w:rPr>
    </w:pPr>
    <w:r>
      <w:rPr>
        <w:color w:val="000000"/>
      </w:rPr>
      <w:fldChar w:fldCharType="begin"/>
    </w:r>
    <w:r>
      <w:rPr>
        <w:color w:val="000000"/>
      </w:rPr>
      <w:instrText>PAGE</w:instrText>
    </w:r>
    <w:r>
      <w:rPr>
        <w:color w:val="000000"/>
      </w:rPr>
      <w:fldChar w:fldCharType="separate"/>
    </w:r>
    <w:r w:rsidR="00A711F2">
      <w:rPr>
        <w:noProof/>
        <w:color w:val="000000"/>
      </w:rPr>
      <w:t>1</w:t>
    </w:r>
    <w:r>
      <w:rPr>
        <w:color w:val="000000"/>
      </w:rPr>
      <w:fldChar w:fldCharType="end"/>
    </w:r>
  </w:p>
  <w:p w14:paraId="36DBC453" w14:textId="77777777" w:rsidR="00EE6272" w:rsidRDefault="00EE6272">
    <w:pPr>
      <w:pBdr>
        <w:top w:val="nil"/>
        <w:left w:val="nil"/>
        <w:bottom w:val="nil"/>
        <w:right w:val="nil"/>
        <w:between w:val="nil"/>
      </w:pBdr>
      <w:tabs>
        <w:tab w:val="center" w:pos="4513"/>
        <w:tab w:val="right" w:pos="9026"/>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06FA377" w14:textId="77777777" w:rsidR="00044C01" w:rsidRDefault="00044C01">
      <w:pPr>
        <w:spacing w:after="0" w:line="240" w:lineRule="auto"/>
      </w:pPr>
      <w:r>
        <w:separator/>
      </w:r>
    </w:p>
  </w:footnote>
  <w:footnote w:type="continuationSeparator" w:id="0">
    <w:p w14:paraId="6EDA6400" w14:textId="77777777" w:rsidR="00044C01" w:rsidRDefault="00044C0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4B276216"/>
    <w:multiLevelType w:val="multilevel"/>
    <w:tmpl w:val="7120799C"/>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73014AF8"/>
    <w:multiLevelType w:val="multilevel"/>
    <w:tmpl w:val="A3244AB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num w:numId="1" w16cid:durableId="1182939406">
    <w:abstractNumId w:val="1"/>
  </w:num>
  <w:num w:numId="2" w16cid:durableId="210410956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E6272"/>
    <w:rsid w:val="00044C01"/>
    <w:rsid w:val="00A711F2"/>
    <w:rsid w:val="00EE6272"/>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161B08C"/>
  <w15:docId w15:val="{AF10CE5F-487F-465D-9D87-22B3BB40C23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Calibri"/>
        <w:sz w:val="22"/>
        <w:szCs w:val="22"/>
        <w:lang w:val="en-GB"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063572"/>
    <w:pPr>
      <w:keepNext/>
      <w:keepLines/>
      <w:spacing w:before="240" w:after="0"/>
      <w:outlineLvl w:val="0"/>
    </w:pPr>
    <w:rPr>
      <w:rFonts w:asciiTheme="majorHAnsi" w:eastAsiaTheme="majorEastAsia" w:hAnsiTheme="majorHAnsi" w:cstheme="majorBidi"/>
      <w:color w:val="2F5496" w:themeColor="accent1" w:themeShade="BF"/>
      <w:sz w:val="32"/>
      <w:szCs w:val="32"/>
    </w:rPr>
  </w:style>
  <w:style w:type="paragraph" w:styleId="Heading2">
    <w:name w:val="heading 2"/>
    <w:basedOn w:val="Normal"/>
    <w:next w:val="Normal"/>
    <w:uiPriority w:val="9"/>
    <w:semiHidden/>
    <w:unhideWhenUsed/>
    <w:qFormat/>
    <w:pPr>
      <w:keepNext/>
      <w:keepLines/>
      <w:spacing w:before="360" w:after="80"/>
      <w:outlineLvl w:val="1"/>
    </w:pPr>
    <w:rPr>
      <w:b/>
      <w:sz w:val="36"/>
      <w:szCs w:val="36"/>
    </w:rPr>
  </w:style>
  <w:style w:type="paragraph" w:styleId="Heading3">
    <w:name w:val="heading 3"/>
    <w:basedOn w:val="Normal"/>
    <w:next w:val="Normal"/>
    <w:uiPriority w:val="9"/>
    <w:semiHidden/>
    <w:unhideWhenUsed/>
    <w:qFormat/>
    <w:pPr>
      <w:keepNext/>
      <w:keepLines/>
      <w:spacing w:before="280" w:after="80"/>
      <w:outlineLvl w:val="2"/>
    </w:pPr>
    <w:rPr>
      <w:b/>
      <w:sz w:val="28"/>
      <w:szCs w:val="28"/>
    </w:rPr>
  </w:style>
  <w:style w:type="paragraph" w:styleId="Heading4">
    <w:name w:val="heading 4"/>
    <w:basedOn w:val="Normal"/>
    <w:next w:val="Normal"/>
    <w:uiPriority w:val="9"/>
    <w:semiHidden/>
    <w:unhideWhenUsed/>
    <w:qFormat/>
    <w:pPr>
      <w:keepNext/>
      <w:keepLines/>
      <w:spacing w:before="240" w:after="40"/>
      <w:outlineLvl w:val="3"/>
    </w:pPr>
    <w:rPr>
      <w:b/>
      <w:sz w:val="24"/>
      <w:szCs w:val="24"/>
    </w:rPr>
  </w:style>
  <w:style w:type="paragraph" w:styleId="Heading5">
    <w:name w:val="heading 5"/>
    <w:basedOn w:val="Normal"/>
    <w:next w:val="Normal"/>
    <w:uiPriority w:val="9"/>
    <w:semiHidden/>
    <w:unhideWhenUsed/>
    <w:qFormat/>
    <w:pPr>
      <w:keepNext/>
      <w:keepLines/>
      <w:spacing w:before="220" w:after="40"/>
      <w:outlineLvl w:val="4"/>
    </w:pPr>
    <w:rPr>
      <w:b/>
    </w:rPr>
  </w:style>
  <w:style w:type="paragraph" w:styleId="Heading6">
    <w:name w:val="heading 6"/>
    <w:basedOn w:val="Normal"/>
    <w:next w:val="Normal"/>
    <w:uiPriority w:val="9"/>
    <w:semiHidden/>
    <w:unhideWhenUsed/>
    <w:qFormat/>
    <w:pPr>
      <w:keepNext/>
      <w:keepLines/>
      <w:spacing w:before="200" w:after="40"/>
      <w:outlineLvl w:val="5"/>
    </w:pPr>
    <w:rPr>
      <w:b/>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before="480" w:after="120"/>
    </w:pPr>
    <w:rPr>
      <w:b/>
      <w:sz w:val="72"/>
      <w:szCs w:val="72"/>
    </w:rPr>
  </w:style>
  <w:style w:type="character" w:customStyle="1" w:styleId="ams">
    <w:name w:val="ams"/>
    <w:basedOn w:val="DefaultParagraphFont"/>
    <w:rsid w:val="00575F22"/>
  </w:style>
  <w:style w:type="paragraph" w:styleId="Header">
    <w:name w:val="header"/>
    <w:basedOn w:val="Normal"/>
    <w:link w:val="HeaderChar"/>
    <w:uiPriority w:val="99"/>
    <w:unhideWhenUsed/>
    <w:rsid w:val="003A3E3F"/>
    <w:pPr>
      <w:tabs>
        <w:tab w:val="center" w:pos="4513"/>
        <w:tab w:val="right" w:pos="9026"/>
      </w:tabs>
      <w:spacing w:after="0" w:line="240" w:lineRule="auto"/>
    </w:pPr>
  </w:style>
  <w:style w:type="character" w:customStyle="1" w:styleId="HeaderChar">
    <w:name w:val="Header Char"/>
    <w:basedOn w:val="DefaultParagraphFont"/>
    <w:link w:val="Header"/>
    <w:uiPriority w:val="99"/>
    <w:rsid w:val="003A3E3F"/>
  </w:style>
  <w:style w:type="paragraph" w:styleId="Footer">
    <w:name w:val="footer"/>
    <w:basedOn w:val="Normal"/>
    <w:link w:val="FooterChar"/>
    <w:uiPriority w:val="99"/>
    <w:unhideWhenUsed/>
    <w:rsid w:val="003A3E3F"/>
    <w:pPr>
      <w:tabs>
        <w:tab w:val="center" w:pos="4513"/>
        <w:tab w:val="right" w:pos="9026"/>
      </w:tabs>
      <w:spacing w:after="0" w:line="240" w:lineRule="auto"/>
    </w:pPr>
  </w:style>
  <w:style w:type="character" w:customStyle="1" w:styleId="FooterChar">
    <w:name w:val="Footer Char"/>
    <w:basedOn w:val="DefaultParagraphFont"/>
    <w:link w:val="Footer"/>
    <w:uiPriority w:val="99"/>
    <w:rsid w:val="003A3E3F"/>
  </w:style>
  <w:style w:type="paragraph" w:styleId="NoSpacing">
    <w:name w:val="No Spacing"/>
    <w:link w:val="NoSpacingChar"/>
    <w:uiPriority w:val="1"/>
    <w:qFormat/>
    <w:rsid w:val="007B719C"/>
    <w:pPr>
      <w:spacing w:after="0" w:line="240" w:lineRule="auto"/>
    </w:pPr>
    <w:rPr>
      <w:lang w:val="en-US" w:eastAsia="en-US"/>
    </w:rPr>
  </w:style>
  <w:style w:type="character" w:customStyle="1" w:styleId="NoSpacingChar">
    <w:name w:val="No Spacing Char"/>
    <w:basedOn w:val="DefaultParagraphFont"/>
    <w:link w:val="NoSpacing"/>
    <w:uiPriority w:val="1"/>
    <w:rsid w:val="007B719C"/>
    <w:rPr>
      <w:kern w:val="0"/>
      <w:lang w:val="en-US" w:eastAsia="en-US"/>
    </w:rPr>
  </w:style>
  <w:style w:type="character" w:customStyle="1" w:styleId="Heading1Char">
    <w:name w:val="Heading 1 Char"/>
    <w:basedOn w:val="DefaultParagraphFont"/>
    <w:link w:val="Heading1"/>
    <w:uiPriority w:val="9"/>
    <w:rsid w:val="00063572"/>
    <w:rPr>
      <w:rFonts w:asciiTheme="majorHAnsi" w:eastAsiaTheme="majorEastAsia" w:hAnsiTheme="majorHAnsi" w:cstheme="majorBidi"/>
      <w:color w:val="2F5496" w:themeColor="accent1" w:themeShade="BF"/>
      <w:sz w:val="32"/>
      <w:szCs w:val="32"/>
    </w:rPr>
  </w:style>
  <w:style w:type="paragraph" w:styleId="TOCHeading">
    <w:name w:val="TOC Heading"/>
    <w:basedOn w:val="Heading1"/>
    <w:next w:val="Normal"/>
    <w:uiPriority w:val="39"/>
    <w:unhideWhenUsed/>
    <w:qFormat/>
    <w:rsid w:val="00063572"/>
    <w:pPr>
      <w:outlineLvl w:val="9"/>
    </w:pPr>
    <w:rPr>
      <w:lang w:val="en-US" w:eastAsia="en-US"/>
    </w:rPr>
  </w:style>
  <w:style w:type="paragraph" w:styleId="TOC2">
    <w:name w:val="toc 2"/>
    <w:basedOn w:val="Normal"/>
    <w:next w:val="Normal"/>
    <w:autoRedefine/>
    <w:uiPriority w:val="39"/>
    <w:unhideWhenUsed/>
    <w:rsid w:val="00063572"/>
    <w:pPr>
      <w:spacing w:after="100"/>
      <w:ind w:left="220"/>
    </w:pPr>
    <w:rPr>
      <w:rFonts w:cs="Times New Roman"/>
      <w:lang w:val="en-US" w:eastAsia="en-US"/>
    </w:rPr>
  </w:style>
  <w:style w:type="paragraph" w:styleId="TOC1">
    <w:name w:val="toc 1"/>
    <w:basedOn w:val="Normal"/>
    <w:next w:val="Normal"/>
    <w:autoRedefine/>
    <w:uiPriority w:val="39"/>
    <w:unhideWhenUsed/>
    <w:rsid w:val="00063572"/>
    <w:pPr>
      <w:spacing w:after="100"/>
    </w:pPr>
    <w:rPr>
      <w:rFonts w:cs="Times New Roman"/>
      <w:lang w:val="en-US" w:eastAsia="en-US"/>
    </w:rPr>
  </w:style>
  <w:style w:type="paragraph" w:styleId="TOC3">
    <w:name w:val="toc 3"/>
    <w:basedOn w:val="Normal"/>
    <w:next w:val="Normal"/>
    <w:autoRedefine/>
    <w:uiPriority w:val="39"/>
    <w:unhideWhenUsed/>
    <w:rsid w:val="00063572"/>
    <w:pPr>
      <w:spacing w:after="100"/>
      <w:ind w:left="440"/>
    </w:pPr>
    <w:rPr>
      <w:rFonts w:cs="Times New Roman"/>
      <w:lang w:val="en-US" w:eastAsia="en-US"/>
    </w:rPr>
  </w:style>
  <w:style w:type="paragraph" w:styleId="ListParagraph">
    <w:name w:val="List Paragraph"/>
    <w:basedOn w:val="Normal"/>
    <w:uiPriority w:val="34"/>
    <w:qFormat/>
    <w:rsid w:val="00164C3E"/>
    <w:pPr>
      <w:ind w:left="720"/>
      <w:contextualSpacing/>
    </w:pPr>
  </w:style>
  <w:style w:type="paragraph" w:styleId="NormalWeb">
    <w:name w:val="Normal (Web)"/>
    <w:basedOn w:val="Normal"/>
    <w:uiPriority w:val="99"/>
    <w:unhideWhenUsed/>
    <w:rsid w:val="00571622"/>
    <w:pPr>
      <w:spacing w:before="100" w:beforeAutospacing="1" w:after="100" w:afterAutospacing="1" w:line="240" w:lineRule="auto"/>
    </w:pPr>
    <w:rPr>
      <w:rFonts w:ascii="Times New Roman" w:eastAsia="Times New Roman" w:hAnsi="Times New Roman" w:cs="Times New Roman"/>
      <w:sz w:val="24"/>
      <w:szCs w:val="24"/>
    </w:rPr>
  </w:style>
  <w:style w:type="character" w:styleId="Hyperlink">
    <w:name w:val="Hyperlink"/>
    <w:basedOn w:val="DefaultParagraphFont"/>
    <w:uiPriority w:val="99"/>
    <w:unhideWhenUsed/>
    <w:rsid w:val="00571622"/>
    <w:rPr>
      <w:color w:val="0563C1" w:themeColor="hyperlink"/>
      <w:u w:val="single"/>
    </w:rPr>
  </w:style>
  <w:style w:type="character" w:styleId="UnresolvedMention">
    <w:name w:val="Unresolved Mention"/>
    <w:basedOn w:val="DefaultParagraphFont"/>
    <w:uiPriority w:val="99"/>
    <w:semiHidden/>
    <w:unhideWhenUsed/>
    <w:rsid w:val="00571622"/>
    <w:rPr>
      <w:color w:val="605E5C"/>
      <w:shd w:val="clear" w:color="auto" w:fill="E1DFDD"/>
    </w:rPr>
  </w:style>
  <w:style w:type="paragraph" w:styleId="Subtitle">
    <w:name w:val="Subtitle"/>
    <w:basedOn w:val="Normal"/>
    <w:next w:val="Normal"/>
    <w:uiPriority w:val="11"/>
    <w:qFormat/>
    <w:pPr>
      <w:keepNext/>
      <w:keepLines/>
      <w:spacing w:before="360" w:after="80"/>
    </w:pPr>
    <w:rPr>
      <w:rFonts w:ascii="Georgia" w:eastAsia="Georgia" w:hAnsi="Georgia" w:cs="Georgia"/>
      <w:i/>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doi.org/10.3390/su12229624" TargetMode="External"/><Relationship Id="rId13" Type="http://schemas.openxmlformats.org/officeDocument/2006/relationships/hyperlink" Target="https://www.hilton.com/en/corporate/" TargetMode="External"/><Relationship Id="rId18" Type="http://schemas.openxmlformats.org/officeDocument/2006/relationships/hyperlink" Target="https://digitalcommons.calpoly.edu/cgi/viewcontent.cgi?article=1002&amp;context=expindsp" TargetMode="External"/><Relationship Id="rId26" Type="http://schemas.openxmlformats.org/officeDocument/2006/relationships/hyperlink" Target="https://eprints.gla.ac.uk/144925/7/144925.pdf" TargetMode="External"/><Relationship Id="rId3" Type="http://schemas.openxmlformats.org/officeDocument/2006/relationships/styles" Target="styles.xml"/><Relationship Id="rId21" Type="http://schemas.openxmlformats.org/officeDocument/2006/relationships/hyperlink" Target="https://doi.org/10.2991/aebmr.k.210917.050" TargetMode="External"/><Relationship Id="rId7" Type="http://schemas.openxmlformats.org/officeDocument/2006/relationships/endnotes" Target="endnotes.xml"/><Relationship Id="rId12" Type="http://schemas.openxmlformats.org/officeDocument/2006/relationships/hyperlink" Target="https://thuvienso.hoasen.edu.vn/bitstream/handle/123456789/13211/Contents.pdf?sequence=1&amp;isAllowed=y" TargetMode="External"/><Relationship Id="rId17" Type="http://schemas.openxmlformats.org/officeDocument/2006/relationships/hyperlink" Target="https://www.youtube.com/watch?v=2ssUnbrhf_U" TargetMode="External"/><Relationship Id="rId25" Type="http://schemas.openxmlformats.org/officeDocument/2006/relationships/hyperlink" Target="https://doi.org/10.1080/09585190600697638" TargetMode="External"/><Relationship Id="rId33" Type="http://schemas.openxmlformats.org/officeDocument/2006/relationships/theme" Target="theme/theme1.xml"/><Relationship Id="rId2" Type="http://schemas.openxmlformats.org/officeDocument/2006/relationships/numbering" Target="numbering.xml"/><Relationship Id="rId16" Type="http://schemas.openxmlformats.org/officeDocument/2006/relationships/hyperlink" Target="https://stars.library.ucf.edu/cgi/viewcontent.cgi?article=5166&amp;context=etd" TargetMode="External"/><Relationship Id="rId20" Type="http://schemas.openxmlformats.org/officeDocument/2006/relationships/hyperlink" Target="https://doi.org/10.1080/19407963.2018.1465063" TargetMode="External"/><Relationship Id="rId29" Type="http://schemas.openxmlformats.org/officeDocument/2006/relationships/hyperlink" Target="https://doi.org/10.37868/sei.v6i1.id208" TargetMode="Externa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diva-portal.org/smash/record.jsf?pid=diva2%3A10870&amp;dswid=9752" TargetMode="External"/><Relationship Id="rId24" Type="http://schemas.openxmlformats.org/officeDocument/2006/relationships/hyperlink" Target="https://oa.upm.es/65864/1/TFM_NIELS_DIKKEN.pdf" TargetMode="External"/><Relationship Id="rId32" Type="http://schemas.openxmlformats.org/officeDocument/2006/relationships/fontTable" Target="fontTable.xml"/><Relationship Id="rId5" Type="http://schemas.openxmlformats.org/officeDocument/2006/relationships/webSettings" Target="webSettings.xml"/><Relationship Id="rId15" Type="http://schemas.openxmlformats.org/officeDocument/2006/relationships/hyperlink" Target="https://doi.org/10.30958/ajt.6-1-1" TargetMode="External"/><Relationship Id="rId23" Type="http://schemas.openxmlformats.org/officeDocument/2006/relationships/hyperlink" Target="https://doi.org/10.2991/978-94-6463-036-7_181" TargetMode="External"/><Relationship Id="rId28" Type="http://schemas.openxmlformats.org/officeDocument/2006/relationships/hyperlink" Target="https://doi.org/10.1080/02642060903026213" TargetMode="External"/><Relationship Id="rId10" Type="http://schemas.openxmlformats.org/officeDocument/2006/relationships/hyperlink" Target="https://www.betterup.com/blog/organizational-structure" TargetMode="External"/><Relationship Id="rId19" Type="http://schemas.openxmlformats.org/officeDocument/2006/relationships/hyperlink" Target="https://doi.org/10.1016/j.jbusres.2021.07.041" TargetMode="External"/><Relationship Id="rId31"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doi.org/10.1016/j.jclinepi.2017.08.009" TargetMode="External"/><Relationship Id="rId14" Type="http://schemas.openxmlformats.org/officeDocument/2006/relationships/hyperlink" Target="https://www.hiltonfoods.com/media/paaj4vvq/cdp-climate-submission-2023.pdf" TargetMode="External"/><Relationship Id="rId22" Type="http://schemas.openxmlformats.org/officeDocument/2006/relationships/hyperlink" Target="https://view.officeapps.live.com/op/view.aspx?src=https%3A%2F%2Frepository.uwl.ac.uk%2Fid%2Feprint%2F5493%2F1%2FManuscript%2520R1.docx&amp;wdOrigin=BROWSELINK" TargetMode="External"/><Relationship Id="rId27" Type="http://schemas.openxmlformats.org/officeDocument/2006/relationships/hyperlink" Target="https://doi.org/10.1007/978-3-031-08093-7_58" TargetMode="External"/><Relationship Id="rId30" Type="http://schemas.openxmlformats.org/officeDocument/2006/relationships/hyperlink" Target="https://www.achievers.com/blog/organizational-culture-definition/"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nGlYTB5h5qDpVMhdyhTbKHlHrKQ==">CgMxLjAyCGguZ2pkZ3hzOAByITFvMUF2N3ZQc1F1dDd0Uk5PdTV3MkROSkUwS25XN3lJTg==</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18</Pages>
  <Words>3505</Words>
  <Characters>23740</Characters>
  <Application>Microsoft Office Word</Application>
  <DocSecurity>0</DocSecurity>
  <Lines>512</Lines>
  <Paragraphs>131</Paragraphs>
  <ScaleCrop>false</ScaleCrop>
  <Company/>
  <LinksUpToDate>false</LinksUpToDate>
  <CharactersWithSpaces>27278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Shahd Omer (2130010)</dc:creator>
  <cp:lastModifiedBy>Shahd Omer (2130010)</cp:lastModifiedBy>
  <cp:revision>2</cp:revision>
  <dcterms:created xsi:type="dcterms:W3CDTF">2024-05-30T21:17:00Z</dcterms:created>
  <dcterms:modified xsi:type="dcterms:W3CDTF">2024-05-30T21:17:00Z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126e67af-d862-47f9-bdb9-b4bf81fb4050</vt:lpwstr>
  </property>
</Properties>
</file>