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96EB9" w:rsidP="00696EB9" w:rsidRDefault="00696EB9" w14:paraId="1EC8583A"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eastAsiaTheme="minorHAnsi"/>
          <w:color w:val="000000"/>
          <w:lang w:eastAsia="en-US"/>
          <w14:ligatures w14:val="standardContextual"/>
        </w:rPr>
      </w:pPr>
      <w:r>
        <w:rPr>
          <w:rFonts w:ascii="Helvetica" w:hAnsi="Helvetica" w:cs="Helvetica" w:eastAsiaTheme="minorHAnsi"/>
          <w:color w:val="000000"/>
          <w:lang w:eastAsia="en-US"/>
          <w14:ligatures w14:val="standardContextual"/>
        </w:rPr>
        <w:t>I confirm that I have not used any AI tools in the research and creation of this</w:t>
      </w:r>
    </w:p>
    <w:p w:rsidRPr="00696EB9" w:rsidR="00696EB9" w:rsidP="00696EB9" w:rsidRDefault="00696EB9" w14:paraId="6296DBA8" w14:textId="74373D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eastAsiaTheme="minorHAnsi"/>
          <w:color w:val="000000"/>
          <w:lang w:eastAsia="en-US"/>
          <w14:ligatures w14:val="standardContextual"/>
        </w:rPr>
      </w:pPr>
      <w:r>
        <w:rPr>
          <w:rFonts w:ascii="Helvetica" w:hAnsi="Helvetica" w:cs="Helvetica" w:eastAsiaTheme="minorHAnsi"/>
          <w:color w:val="000000"/>
          <w:lang w:eastAsia="en-US"/>
          <w14:ligatures w14:val="standardContextual"/>
        </w:rPr>
        <w:t xml:space="preserve">assignment. I confirm that I have not presented any AI generated materials as my </w:t>
      </w:r>
      <w:r>
        <w:rPr>
          <w:rFonts w:ascii="Helvetica" w:hAnsi="Helvetica" w:cs="Helvetica" w:eastAsiaTheme="minorHAnsi"/>
          <w:color w:val="000000"/>
          <w:lang w:eastAsia="en-US"/>
          <w14:ligatures w14:val="standardContextual"/>
        </w:rPr>
        <w:t>own work</w:t>
      </w:r>
      <w:r>
        <w:rPr>
          <w:rFonts w:ascii="Helvetica" w:hAnsi="Helvetica" w:cs="Helvetica" w:eastAsiaTheme="minorHAnsi"/>
          <w:color w:val="000000"/>
          <w:lang w:eastAsia="en-US"/>
          <w14:ligatures w14:val="standardContextual"/>
        </w:rPr>
        <w:t>. I confirm I have copies of my drafts, notes, and other resources I used, which I</w:t>
      </w:r>
      <w:r>
        <w:rPr>
          <w:rFonts w:ascii="Helvetica" w:hAnsi="Helvetica" w:cs="Helvetica" w:eastAsiaTheme="minorHAnsi"/>
          <w:color w:val="000000"/>
          <w:lang w:eastAsia="en-US"/>
          <w14:ligatures w14:val="standardContextual"/>
        </w:rPr>
        <w:t xml:space="preserve"> </w:t>
      </w:r>
      <w:r>
        <w:rPr>
          <w:rFonts w:ascii="Helvetica" w:hAnsi="Helvetica" w:cs="Helvetica" w:eastAsiaTheme="minorHAnsi"/>
          <w:color w:val="000000"/>
          <w:lang w:eastAsia="en-US"/>
          <w14:ligatures w14:val="standardContextual"/>
        </w:rPr>
        <w:t>may be asked to provide in evidence.</w:t>
      </w:r>
    </w:p>
    <w:p w:rsidR="00696EB9" w:rsidP="003960CA" w:rsidRDefault="00696EB9" w14:paraId="28EFBE36" w14:textId="77777777">
      <w:pPr>
        <w:spacing w:line="480" w:lineRule="auto"/>
        <w:jc w:val="center"/>
        <w:rPr>
          <w:rFonts w:ascii="Arial" w:hAnsi="Arial" w:cs="Arial"/>
          <w:b/>
          <w:bCs/>
          <w:i/>
          <w:iCs/>
        </w:rPr>
      </w:pPr>
    </w:p>
    <w:p w:rsidR="00696EB9" w:rsidP="003960CA" w:rsidRDefault="00696EB9" w14:paraId="710B0BCE" w14:textId="77777777">
      <w:pPr>
        <w:spacing w:line="480" w:lineRule="auto"/>
        <w:jc w:val="center"/>
        <w:rPr>
          <w:rFonts w:ascii="Arial" w:hAnsi="Arial" w:cs="Arial"/>
          <w:b/>
          <w:bCs/>
          <w:i/>
          <w:iCs/>
        </w:rPr>
      </w:pPr>
    </w:p>
    <w:p w:rsidR="00696EB9" w:rsidP="003960CA" w:rsidRDefault="00696EB9" w14:paraId="19A9A567" w14:textId="77777777">
      <w:pPr>
        <w:spacing w:line="480" w:lineRule="auto"/>
        <w:jc w:val="center"/>
        <w:rPr>
          <w:rFonts w:ascii="Arial" w:hAnsi="Arial" w:cs="Arial"/>
          <w:b/>
          <w:bCs/>
          <w:i/>
          <w:iCs/>
        </w:rPr>
      </w:pPr>
    </w:p>
    <w:p w:rsidR="00696EB9" w:rsidP="003960CA" w:rsidRDefault="00696EB9" w14:paraId="25793BB2" w14:textId="77777777">
      <w:pPr>
        <w:spacing w:line="480" w:lineRule="auto"/>
        <w:jc w:val="center"/>
        <w:rPr>
          <w:rFonts w:ascii="Arial" w:hAnsi="Arial" w:cs="Arial"/>
          <w:b/>
          <w:bCs/>
          <w:i/>
          <w:iCs/>
        </w:rPr>
      </w:pPr>
    </w:p>
    <w:p w:rsidR="00696EB9" w:rsidP="003960CA" w:rsidRDefault="00696EB9" w14:paraId="460A5F76" w14:textId="77777777">
      <w:pPr>
        <w:spacing w:line="480" w:lineRule="auto"/>
        <w:jc w:val="center"/>
        <w:rPr>
          <w:rFonts w:ascii="Arial" w:hAnsi="Arial" w:cs="Arial"/>
          <w:b/>
          <w:bCs/>
          <w:i/>
          <w:iCs/>
        </w:rPr>
      </w:pPr>
    </w:p>
    <w:p w:rsidR="00696EB9" w:rsidP="003960CA" w:rsidRDefault="00696EB9" w14:paraId="03EAD99D" w14:textId="77777777">
      <w:pPr>
        <w:spacing w:line="480" w:lineRule="auto"/>
        <w:jc w:val="center"/>
        <w:rPr>
          <w:rFonts w:ascii="Arial" w:hAnsi="Arial" w:cs="Arial"/>
          <w:b/>
          <w:bCs/>
          <w:i/>
          <w:iCs/>
        </w:rPr>
      </w:pPr>
    </w:p>
    <w:p w:rsidR="00696EB9" w:rsidP="003960CA" w:rsidRDefault="00696EB9" w14:paraId="32489FBD" w14:textId="77777777">
      <w:pPr>
        <w:spacing w:line="480" w:lineRule="auto"/>
        <w:jc w:val="center"/>
        <w:rPr>
          <w:rFonts w:ascii="Arial" w:hAnsi="Arial" w:cs="Arial"/>
          <w:b/>
          <w:bCs/>
          <w:i/>
          <w:iCs/>
        </w:rPr>
      </w:pPr>
    </w:p>
    <w:p w:rsidR="00696EB9" w:rsidP="003960CA" w:rsidRDefault="00696EB9" w14:paraId="4FE22937" w14:textId="77777777">
      <w:pPr>
        <w:spacing w:line="480" w:lineRule="auto"/>
        <w:jc w:val="center"/>
        <w:rPr>
          <w:rFonts w:ascii="Arial" w:hAnsi="Arial" w:cs="Arial"/>
          <w:b/>
          <w:bCs/>
          <w:i/>
          <w:iCs/>
        </w:rPr>
      </w:pPr>
    </w:p>
    <w:p w:rsidR="00696EB9" w:rsidP="003960CA" w:rsidRDefault="00696EB9" w14:paraId="597608B6" w14:textId="77777777">
      <w:pPr>
        <w:spacing w:line="480" w:lineRule="auto"/>
        <w:jc w:val="center"/>
        <w:rPr>
          <w:rFonts w:ascii="Arial" w:hAnsi="Arial" w:cs="Arial"/>
          <w:b/>
          <w:bCs/>
          <w:i/>
          <w:iCs/>
        </w:rPr>
      </w:pPr>
    </w:p>
    <w:p w:rsidR="00696EB9" w:rsidP="003960CA" w:rsidRDefault="00696EB9" w14:paraId="4A31CE4D" w14:textId="77777777">
      <w:pPr>
        <w:spacing w:line="480" w:lineRule="auto"/>
        <w:jc w:val="center"/>
        <w:rPr>
          <w:rFonts w:ascii="Arial" w:hAnsi="Arial" w:cs="Arial"/>
          <w:b/>
          <w:bCs/>
          <w:i/>
          <w:iCs/>
        </w:rPr>
      </w:pPr>
    </w:p>
    <w:p w:rsidR="00696EB9" w:rsidP="003960CA" w:rsidRDefault="00696EB9" w14:paraId="499755FC" w14:textId="77777777">
      <w:pPr>
        <w:spacing w:line="480" w:lineRule="auto"/>
        <w:jc w:val="center"/>
        <w:rPr>
          <w:rFonts w:ascii="Arial" w:hAnsi="Arial" w:cs="Arial"/>
          <w:b/>
          <w:bCs/>
          <w:i/>
          <w:iCs/>
        </w:rPr>
      </w:pPr>
    </w:p>
    <w:p w:rsidR="00696EB9" w:rsidP="003960CA" w:rsidRDefault="00696EB9" w14:paraId="6CFAA6A7" w14:textId="77777777">
      <w:pPr>
        <w:spacing w:line="480" w:lineRule="auto"/>
        <w:jc w:val="center"/>
        <w:rPr>
          <w:rFonts w:ascii="Arial" w:hAnsi="Arial" w:cs="Arial"/>
          <w:b/>
          <w:bCs/>
          <w:i/>
          <w:iCs/>
        </w:rPr>
      </w:pPr>
    </w:p>
    <w:p w:rsidR="00696EB9" w:rsidP="003960CA" w:rsidRDefault="00696EB9" w14:paraId="0F90F690" w14:textId="77777777">
      <w:pPr>
        <w:spacing w:line="480" w:lineRule="auto"/>
        <w:jc w:val="center"/>
        <w:rPr>
          <w:rFonts w:ascii="Arial" w:hAnsi="Arial" w:cs="Arial"/>
          <w:b/>
          <w:bCs/>
          <w:i/>
          <w:iCs/>
        </w:rPr>
      </w:pPr>
    </w:p>
    <w:p w:rsidR="00696EB9" w:rsidP="003960CA" w:rsidRDefault="00696EB9" w14:paraId="54C6317F" w14:textId="77777777">
      <w:pPr>
        <w:spacing w:line="480" w:lineRule="auto"/>
        <w:jc w:val="center"/>
        <w:rPr>
          <w:rFonts w:ascii="Arial" w:hAnsi="Arial" w:cs="Arial"/>
          <w:b/>
          <w:bCs/>
          <w:i/>
          <w:iCs/>
        </w:rPr>
      </w:pPr>
    </w:p>
    <w:p w:rsidR="00696EB9" w:rsidP="003960CA" w:rsidRDefault="00696EB9" w14:paraId="20FC69BF" w14:textId="77777777">
      <w:pPr>
        <w:spacing w:line="480" w:lineRule="auto"/>
        <w:jc w:val="center"/>
        <w:rPr>
          <w:rFonts w:ascii="Arial" w:hAnsi="Arial" w:cs="Arial"/>
          <w:b/>
          <w:bCs/>
          <w:i/>
          <w:iCs/>
        </w:rPr>
      </w:pPr>
    </w:p>
    <w:p w:rsidR="00696EB9" w:rsidP="003960CA" w:rsidRDefault="00696EB9" w14:paraId="33FBB4D8" w14:textId="77777777">
      <w:pPr>
        <w:spacing w:line="480" w:lineRule="auto"/>
        <w:jc w:val="center"/>
        <w:rPr>
          <w:rFonts w:ascii="Arial" w:hAnsi="Arial" w:cs="Arial"/>
          <w:b/>
          <w:bCs/>
          <w:i/>
          <w:iCs/>
        </w:rPr>
      </w:pPr>
    </w:p>
    <w:p w:rsidR="00696EB9" w:rsidP="003960CA" w:rsidRDefault="00696EB9" w14:paraId="1F29CD98" w14:textId="77777777">
      <w:pPr>
        <w:spacing w:line="480" w:lineRule="auto"/>
        <w:jc w:val="center"/>
        <w:rPr>
          <w:rFonts w:ascii="Arial" w:hAnsi="Arial" w:cs="Arial"/>
          <w:b/>
          <w:bCs/>
          <w:i/>
          <w:iCs/>
        </w:rPr>
      </w:pPr>
    </w:p>
    <w:p w:rsidR="00696EB9" w:rsidP="003960CA" w:rsidRDefault="00696EB9" w14:paraId="01F2E99C" w14:textId="77777777">
      <w:pPr>
        <w:spacing w:line="480" w:lineRule="auto"/>
        <w:jc w:val="center"/>
        <w:rPr>
          <w:rFonts w:ascii="Arial" w:hAnsi="Arial" w:cs="Arial"/>
          <w:b/>
          <w:bCs/>
          <w:i/>
          <w:iCs/>
        </w:rPr>
      </w:pPr>
    </w:p>
    <w:p w:rsidR="00696EB9" w:rsidP="003960CA" w:rsidRDefault="00696EB9" w14:paraId="0434B764" w14:textId="77777777">
      <w:pPr>
        <w:spacing w:line="480" w:lineRule="auto"/>
        <w:jc w:val="center"/>
        <w:rPr>
          <w:rFonts w:ascii="Arial" w:hAnsi="Arial" w:cs="Arial"/>
          <w:b/>
          <w:bCs/>
          <w:i/>
          <w:iCs/>
        </w:rPr>
      </w:pPr>
    </w:p>
    <w:p w:rsidR="00696EB9" w:rsidP="00696EB9" w:rsidRDefault="00696EB9" w14:paraId="2FD37DA4" w14:textId="77777777">
      <w:pPr>
        <w:spacing w:line="480" w:lineRule="auto"/>
        <w:rPr>
          <w:rFonts w:ascii="Arial" w:hAnsi="Arial" w:cs="Arial"/>
          <w:b/>
          <w:bCs/>
          <w:i/>
          <w:iCs/>
        </w:rPr>
      </w:pPr>
    </w:p>
    <w:p w:rsidR="00696EB9" w:rsidP="00696EB9" w:rsidRDefault="00696EB9" w14:paraId="43F8600A" w14:textId="77777777">
      <w:pPr>
        <w:spacing w:line="480" w:lineRule="auto"/>
        <w:rPr>
          <w:rFonts w:ascii="Arial" w:hAnsi="Arial" w:cs="Arial"/>
          <w:b/>
          <w:bCs/>
          <w:i/>
          <w:iCs/>
        </w:rPr>
      </w:pPr>
    </w:p>
    <w:p w:rsidR="00696EB9" w:rsidP="003960CA" w:rsidRDefault="00696EB9" w14:paraId="4E4A8C69" w14:textId="77777777">
      <w:pPr>
        <w:spacing w:line="480" w:lineRule="auto"/>
        <w:jc w:val="center"/>
        <w:rPr>
          <w:rFonts w:ascii="Arial" w:hAnsi="Arial" w:cs="Arial"/>
          <w:b/>
          <w:bCs/>
          <w:i/>
          <w:iCs/>
        </w:rPr>
      </w:pPr>
    </w:p>
    <w:p w:rsidR="004345B0" w:rsidP="003960CA" w:rsidRDefault="003960CA" w14:paraId="6D32E800" w14:textId="5075B26B">
      <w:pPr>
        <w:spacing w:line="480" w:lineRule="auto"/>
        <w:jc w:val="center"/>
        <w:rPr>
          <w:rFonts w:ascii="Arial" w:hAnsi="Arial" w:cs="Arial"/>
          <w:b/>
          <w:bCs/>
          <w:i/>
          <w:iCs/>
        </w:rPr>
      </w:pPr>
      <w:r w:rsidRPr="003960CA">
        <w:rPr>
          <w:rFonts w:ascii="Arial" w:hAnsi="Arial" w:cs="Arial"/>
          <w:b/>
          <w:bCs/>
          <w:i/>
          <w:iCs/>
        </w:rPr>
        <w:lastRenderedPageBreak/>
        <w:t>Critically evaluate the contribution of psychological theory and evidence in aiding our understanding of judicial processes from the choice of processes provided: Factors affecting Jury decision making</w:t>
      </w:r>
    </w:p>
    <w:p w:rsidR="003960CA" w:rsidP="003960CA" w:rsidRDefault="003960CA" w14:paraId="41B33830" w14:textId="77777777">
      <w:pPr>
        <w:spacing w:line="480" w:lineRule="auto"/>
        <w:jc w:val="center"/>
        <w:rPr>
          <w:rFonts w:ascii="Arial" w:hAnsi="Arial" w:cs="Arial"/>
          <w:b/>
          <w:bCs/>
          <w:i/>
          <w:iCs/>
        </w:rPr>
      </w:pPr>
    </w:p>
    <w:p w:rsidR="003960CA" w:rsidP="003960CA" w:rsidRDefault="003960CA" w14:paraId="4262E88C" w14:textId="1B2972F7">
      <w:pPr>
        <w:spacing w:line="480" w:lineRule="auto"/>
        <w:ind w:firstLine="851"/>
        <w:rPr>
          <w:rFonts w:ascii="Arial" w:hAnsi="Arial" w:cs="Arial"/>
        </w:rPr>
      </w:pPr>
      <w:r>
        <w:rPr>
          <w:rFonts w:ascii="Arial" w:hAnsi="Arial" w:cs="Arial"/>
        </w:rPr>
        <w:t xml:space="preserve">Juries play a pivotal role within the legal justice system, comprising of laypersons, to hear evidence and evaluate in order to make a decision based on reliability and credibility to reach a verdict through a fair trial (Curley et al., 2022). This is naturally of curiosity to psychologists, in particular around concepts in social and cognitive psychology which in turn can both advance psychological research and inform trial processes (Bornstein &amp; Greene, 2011). However, the reality is that there is no gold standard for jurors and there are a number of factors of which can impact the decisions of an individual and of a group (Jussim &amp; Honeycutt, 2024). This essay will review factors that can impact this decision making process, in particular juror attitudes and biases, media influence on juries as well as expert witness influence and critically evaluate each based on the research currently available. </w:t>
      </w:r>
    </w:p>
    <w:p w:rsidR="003960CA" w:rsidP="003960CA" w:rsidRDefault="003960CA" w14:paraId="4FAF4C5D" w14:textId="6684C8E0">
      <w:pPr>
        <w:spacing w:line="480" w:lineRule="auto"/>
        <w:ind w:firstLine="851"/>
        <w:rPr>
          <w:rFonts w:ascii="Arial" w:hAnsi="Arial" w:cs="Arial"/>
        </w:rPr>
      </w:pPr>
      <w:r>
        <w:rPr>
          <w:rFonts w:ascii="Arial" w:hAnsi="Arial" w:cs="Arial"/>
        </w:rPr>
        <w:t xml:space="preserve">Each person is an individual, and in turn will have their own personal attitudes and biases when entering a court room. Attractiveness is one of these factors, often referred to as the “halo/horns effect” (Nisbett &amp; Wilson, 1977; Westbury &amp; King, 2024) whereby positive or negative impressions can influence traits or ratings of an individual. This effect is shown in research by </w:t>
      </w:r>
      <w:r w:rsidR="000C5D10">
        <w:rPr>
          <w:rFonts w:ascii="Arial" w:hAnsi="Arial" w:cs="Arial"/>
        </w:rPr>
        <w:t>Yang</w:t>
      </w:r>
      <w:r>
        <w:rPr>
          <w:rFonts w:ascii="Arial" w:hAnsi="Arial" w:cs="Arial"/>
        </w:rPr>
        <w:t xml:space="preserve"> et al. (2019) comparing physical attractiveness and levels of trust. Participants were asked to make judicial decisions based on a fraud case involving a male defendant which was manipulated over four categories to adjust trustworthiness and attractiveness. Findings suggest that biases on appearance can be evident in judicial decisions, with </w:t>
      </w:r>
      <w:r>
        <w:rPr>
          <w:rFonts w:ascii="Arial" w:hAnsi="Arial" w:cs="Arial"/>
        </w:rPr>
        <w:lastRenderedPageBreak/>
        <w:t>attractive but untrustworthy defendant obtaining the larger punishment among female participants. In a similar crime scenario, perceived trustworthiness was also valued over attractiveness, trustworthiness played a factor in judging physically attractive faces in particular when looks may have played a factor in facilitating the crime accused (Olivera-La Rosa et al., 2024) which suggests this is a universal factor as found in studies replicated across the globe (Beaver et al., 2019;) in line with cross-cultural attraction preferences (Coetzee et al., 2014). Attractiveness can also play a role in the sentences given to defendants, such as in Jaeger et al. (2020), whereby an attraction-leniency effect can be seen. This is further supported by Yang et al. (2019) who found facial attractiveness can differ dependent on the crime being charged. In contrast, as seen in</w:t>
      </w:r>
      <w:r w:rsidR="000C5D10">
        <w:rPr>
          <w:rFonts w:ascii="Arial" w:hAnsi="Arial" w:cs="Arial"/>
        </w:rPr>
        <w:t xml:space="preserve"> Yang </w:t>
      </w:r>
      <w:r>
        <w:rPr>
          <w:rFonts w:ascii="Arial" w:hAnsi="Arial" w:cs="Arial"/>
        </w:rPr>
        <w:t xml:space="preserve">et al. (2019), perceived trust can also override attractiveness, even in cases which may result in the death penalty, even when participants viewed defendants who had since been proven innocent (Wilson &amp; Rule, 2015). </w:t>
      </w:r>
      <w:r w:rsidR="000C5D10">
        <w:rPr>
          <w:rFonts w:ascii="Arial" w:hAnsi="Arial" w:cs="Arial"/>
        </w:rPr>
        <w:t xml:space="preserve">This can also influence decision being made about victims of crimes, in particular with females. When looking at both the halo-effect (Nisbett &amp; Wilson, 1977; Westbury &amp; King, 2024) and victim blaming in sexual assault cases, Wakler (2024) found that during mock sexual assault testimonies against levels of either hostile or benevolent sexism stemming from ambivalent sexism theory (Glick &amp; Fiske, 1996, as cited in Bareket &amp; Fiske, 2023) those higher in hostile sexism, which has roots in male superiority, were more likely to believe attractive female victims of sexual assault when compared against a less attractive victim and that attractiveness acted as a predictor of their verdict rather than case facts. This impact is not only linear, with attractiveness contributing to increased blame on victims. Just-world hypothesis (Lerner, 1965, as cited by Furnham, 2003) suggests that victims can often carry self-blame based on character and attitudes. Similar results have been found with factors </w:t>
      </w:r>
      <w:r w:rsidR="000C5D10">
        <w:rPr>
          <w:rFonts w:ascii="Arial" w:hAnsi="Arial" w:cs="Arial"/>
        </w:rPr>
        <w:lastRenderedPageBreak/>
        <w:t xml:space="preserve">outside of appearance in regard to credibility and just-world theory, such as victim alcohol-consumption (Le-Grand et al., 2021; Martin &amp; Monds, 2023) as well as age and race (Barager et al., 2025). This has been acknowledged within real world legal systems, with UK courts  including appearance through clothing, a Crown Court Compendium (Judicial College, 2024) recognises these biases on clothing, attractiveness and behaviour on sexual offences and the influence they can hold on a victim’s credibility but evidence in mock-juror outcomes suggests these may not be clearly communicated or adhered to. </w:t>
      </w:r>
    </w:p>
    <w:p w:rsidR="003960CA" w:rsidP="000C5D10" w:rsidRDefault="003960CA" w14:paraId="12293DCF" w14:textId="555F5357">
      <w:pPr>
        <w:spacing w:line="480" w:lineRule="auto"/>
        <w:ind w:firstLine="851"/>
        <w:rPr>
          <w:rFonts w:ascii="Arial" w:hAnsi="Arial" w:cs="Arial"/>
        </w:rPr>
      </w:pPr>
      <w:r>
        <w:rPr>
          <w:rFonts w:ascii="Arial" w:hAnsi="Arial" w:cs="Arial"/>
        </w:rPr>
        <w:t>Perceived appearance outside of attractiveness can also impact a juror’s decision making. Both the gender of the juror and the gender of the defendant can influence decision-making. Implicit bias, introduced by Greenwald and Banaji (1995) begins outside the courtroom where individuals will unconsciously place judgement based on their own past experiences</w:t>
      </w:r>
      <w:r w:rsidR="000C5D10">
        <w:rPr>
          <w:rFonts w:ascii="Arial" w:hAnsi="Arial" w:cs="Arial"/>
        </w:rPr>
        <w:t xml:space="preserve"> and thought.</w:t>
      </w:r>
      <w:r>
        <w:rPr>
          <w:rFonts w:ascii="Arial" w:hAnsi="Arial" w:cs="Arial"/>
        </w:rPr>
        <w:t xml:space="preserve"> Gender identity of defendants can also play a role, in particular with transgender individuals. This was found within Ringger (2021), whereby guilt in prostitution, drug possession or vandalism was compared with biases relating to gender identity and sexual orientation of the defendant. Although it was found that transgender heterosexual females were more likely to be guilty than their cisgender counterparts, it should be noted that although transphobia was shown to influence this decision, trust in the legal authorities was rated more highly among participants. When a transgender person is the victim of a crime, Carter et al. (2023) found that male participants were more likely to reduce the severity of sentencing for a sexually motivated crime for a transgender victim when compared with cisgender victims and delivered more not-guilty verdicts as a result when compared to female participants. This was also found in Ellingwood et al. (2023), whereby participants were more likely to provide a not-guilty verdict for </w:t>
      </w:r>
      <w:r>
        <w:rPr>
          <w:rFonts w:ascii="Arial" w:hAnsi="Arial" w:cs="Arial"/>
        </w:rPr>
        <w:lastRenderedPageBreak/>
        <w:t>sexual assault on a transgender victim. Meta-analyses of juror biases relating to gender identity however show that the significance of these findings can vary and can also depend on victim age and significance was also found more in cisgender aspects of the research (Ribeiro &amp; Nitschke, 2025).</w:t>
      </w:r>
    </w:p>
    <w:p w:rsidR="000C5D10" w:rsidP="000C5D10" w:rsidRDefault="000C5D10" w14:paraId="4452A54C" w14:textId="5E574284">
      <w:pPr>
        <w:spacing w:line="480" w:lineRule="auto"/>
        <w:ind w:firstLine="851"/>
        <w:rPr>
          <w:rFonts w:ascii="Arial" w:hAnsi="Arial" w:cs="Arial"/>
        </w:rPr>
      </w:pPr>
      <w:r>
        <w:rPr>
          <w:rFonts w:ascii="Arial" w:hAnsi="Arial" w:cs="Arial"/>
        </w:rPr>
        <w:t xml:space="preserve">Role congruity theory can also influence decisions, this is typical of female defendants when acting outside of their feminine stereotype. Role congruity theory is typically identified in leadership roles, often associated with males (Eagly &amp; Karau, 2002) but can apply to jurors’ decisions on defendants, victims and witnesses. However, this impact can vary, research by Maeder et al. (2019) found no significant difference in guilty verdicts or defendant blame on mock trials with gender stereotype crimes of grand theft auto and shoplifting, but did find that female participants rated defendants more positively within the shoplifting category regardless of gender. Although not the primary focus of the bias, crime severity may also play a role in gender-related biases, as evident in a mock jury scenario on intimate partner homicides whereby male defendants were more likely to be provided longer sentences and receive a guilty verdict than female defendants (Ruva et al., 2023). It should be noted that emotion was also reported during this study, and the high rating of juror anger may also have influence on the sentence provided. Emotion displayed in jury-decision making can also be interpreted differently based on gender, in a mock-jury setting, a male who displayed anger had an increase in influence whereby a female lost influence (Salerno &amp; Peter-Hagene, 2015) when holding a minority opinion during deliberations. This display of emotion is supported by the hot cognition theory (Abelson, 1963), where a persons’ thinking is influenced by their emotions and emotional state and can have influence other the decision making of others. In contrast, Hasenour (2023) investigated emotional expression and gender </w:t>
      </w:r>
      <w:r>
        <w:rPr>
          <w:rFonts w:ascii="Arial" w:hAnsi="Arial" w:cs="Arial"/>
        </w:rPr>
        <w:lastRenderedPageBreak/>
        <w:t xml:space="preserve">in a mock-jury deliberation for a woman being murdered by her husband. In both studies conducted, a holdout juror did not impact the actual influence during deliberation based on gender or emotional expression. As mentioned in the literature review on gender disparity disadvantaging men by Graso and Reynolds (2024), it is important to consider the binary categories of gender stereotypes often in research, which is not reflective of the constantly evolving gender-norms and stereotypes. Large scale data does exist in order to demonstrate biases that jurors may hold, in particular the National Bureau of Economic Statistics (NBES) in the United States, in which a working paper found the gender of jurors is identified in having an impact on the verdict in specific cases, in particular with sexual or violent offences with female jurors deliberating a case with a female victim (Anwar et al., 2016) showing real world gender biases within the legal system. </w:t>
      </w:r>
    </w:p>
    <w:p w:rsidR="000C5D10" w:rsidP="000C5D10" w:rsidRDefault="000C5D10" w14:paraId="40F5ACEF" w14:textId="38AAEE10">
      <w:pPr>
        <w:spacing w:line="480" w:lineRule="auto"/>
        <w:ind w:firstLine="851"/>
        <w:rPr>
          <w:rFonts w:ascii="Arial" w:hAnsi="Arial" w:cs="Arial"/>
        </w:rPr>
      </w:pPr>
      <w:r>
        <w:rPr>
          <w:rFonts w:ascii="Arial" w:hAnsi="Arial" w:cs="Arial"/>
        </w:rPr>
        <w:t xml:space="preserve">Media can have a significant impact on jury decisions, particularly in high profile cases. Pretrial publicity has become more of a factor that can influence decision making within the courts, with digital and social media access freely accessible this can raise concerns on trials truly being fair. Hope et al. (2004) observed that mock-jurors who received media resources with negative pretrial publicity in the form of newspaper cuttings containing negative interview testimony from others, excluding any previous convictions or indications of direct guilt, on the defendant’s character resulted in higher guilty verdicts when compared with control group. This is further supported in meta-analyses, where negative pretrial publicity analysed 40 reports based on 11,240 participants in mock-juror studies and found that this negative publicity increased the rates of guilty verdicts given (Hoetger et al., 2022). Pretrial publicity can also have an influence on mock-juror judgements in criminal convictions when also presented with varying strengths of evidence. </w:t>
      </w:r>
      <w:r>
        <w:rPr>
          <w:rFonts w:ascii="Arial" w:hAnsi="Arial" w:cs="Arial"/>
        </w:rPr>
        <w:lastRenderedPageBreak/>
        <w:t>Participants were separated into one type of pretrial publicity which was either positively or negatively skewed media which did not indicate guilt or blame or controlled on either victim or defendant, in addition to being presented with either strong or moderate evidence of crime. It was found that those who experienced negative pretrial publicity on the defendant were influenced on their verdicts and sentencing recommendations with harsher sentencing received within this condition (Jarrett, 2013). This can also be seen through social media, Tarrant and Taylor (2019) manipulated social media comments participants were exposed to prior to a mock-jury scenario either positively, negatively or neutral toward a defendant in a murder conviction. Before collaborative deliberation, it was found that participants exposed to negative comments on the defendant resulted in a higher number of guilty verdicts and over half of those who took part reported that before a real life jury scenario they would be likely to conduct a social media search of the defendant if possible. This is not a factor in a real-life juror scenario that can be heavily monitored through the judicial system, with discussions ongoing on safeguarding against these effects on fair trials (Attorney General’s Office, 2019).</w:t>
      </w:r>
    </w:p>
    <w:p w:rsidR="000C5D10" w:rsidP="000C5D10" w:rsidRDefault="000C5D10" w14:paraId="17D738B0" w14:textId="73B587B1">
      <w:pPr>
        <w:spacing w:line="480" w:lineRule="auto"/>
        <w:ind w:firstLine="851"/>
        <w:rPr>
          <w:rFonts w:ascii="Arial" w:hAnsi="Arial" w:cs="Arial"/>
        </w:rPr>
      </w:pPr>
      <w:r>
        <w:rPr>
          <w:rFonts w:ascii="Arial" w:hAnsi="Arial" w:cs="Arial"/>
        </w:rPr>
        <w:t xml:space="preserve">This bias is not limited to publicity surrounding trials but also can be influenced by the media the public choose to consume. The CSI Effect is one such term to describe the schema-based bias and influence that fictitious or sensationalised crime media can have on the perceptions and expectations of individuals (Turner, 2012). Schweitzer and Saks (2007) found that mock jurors who reported being viewers of the show CSI were more critical of expert testimony provided by a forensic scientist and judged forensic evidence more harshly than those in the control group, with only 18% of mock-jurors reaching a convicting verdict compared to 29% in the control. However, more recent research has suggested that </w:t>
      </w:r>
      <w:r>
        <w:rPr>
          <w:rFonts w:ascii="Arial" w:hAnsi="Arial" w:cs="Arial"/>
        </w:rPr>
        <w:lastRenderedPageBreak/>
        <w:t>mock-juror deliberations on forensic evidence, such as DNA, and the absence of evidence and crime drama viewing habits have a no relation to guilt judgements regardless of the strength of evidence presented for a conviction (Klentz et al., 2018).</w:t>
      </w:r>
    </w:p>
    <w:p w:rsidR="003960CA" w:rsidP="003960CA" w:rsidRDefault="003960CA" w14:paraId="460A2EFB" w14:noSpellErr="1" w14:textId="528C659C">
      <w:pPr>
        <w:spacing w:line="480" w:lineRule="auto"/>
        <w:ind w:firstLine="851"/>
        <w:rPr>
          <w:rFonts w:ascii="Arial" w:hAnsi="Arial" w:cs="Arial"/>
        </w:rPr>
      </w:pPr>
      <w:r w:rsidRPr="2D3EA135" w:rsidR="2A0E5C7C">
        <w:rPr>
          <w:rFonts w:ascii="Arial" w:hAnsi="Arial" w:cs="Arial"/>
        </w:rPr>
        <w:t xml:space="preserve">Although </w:t>
      </w:r>
      <w:r w:rsidRPr="2D3EA135" w:rsidR="2A0E5C7C">
        <w:rPr>
          <w:rFonts w:ascii="Arial" w:hAnsi="Arial" w:cs="Arial"/>
        </w:rPr>
        <w:t>evident</w:t>
      </w:r>
      <w:r w:rsidRPr="2D3EA135" w:rsidR="2A0E5C7C">
        <w:rPr>
          <w:rFonts w:ascii="Arial" w:hAnsi="Arial" w:cs="Arial"/>
        </w:rPr>
        <w:t xml:space="preserve"> from the above research areas, the field of psychology and juries is continuing to grow. Studies have </w:t>
      </w:r>
      <w:r w:rsidRPr="2D3EA135" w:rsidR="2A0E5C7C">
        <w:rPr>
          <w:rFonts w:ascii="Arial" w:hAnsi="Arial" w:cs="Arial"/>
        </w:rPr>
        <w:t>attempted</w:t>
      </w:r>
      <w:r w:rsidRPr="2D3EA135" w:rsidR="2A0E5C7C">
        <w:rPr>
          <w:rFonts w:ascii="Arial" w:hAnsi="Arial" w:cs="Arial"/>
        </w:rPr>
        <w:t xml:space="preserve"> to mitigate these implicit biases within juries, and when judges were asked about their role in reducing these biases in a courtroom setting it was found that 72% do not alert jurors to these biases (Kirshenbaum &amp; Miller, 2020). There is always the question of the ecological validity of using psychological research surrounding juries, which implements mock-juries and trials, utilises archived recorded from prior trials, as well as the use of post-juror interviews are common methodologies used in order to investigate and study juror behaviours (Willmott, 2017). Furthermore, cross-cultural analysis should be considered for future jury research, including but not limited to interpretations of behaviours such as nonverbal cues (Pang et al. 2024)</w:t>
      </w:r>
      <w:r w:rsidRPr="2D3EA135" w:rsidR="543A147A">
        <w:rPr>
          <w:rFonts w:ascii="Arial" w:hAnsi="Arial" w:cs="Arial"/>
        </w:rPr>
        <w:t xml:space="preserve"> </w:t>
      </w:r>
      <w:r w:rsidRPr="2D3EA135" w:rsidR="2A0E5C7C">
        <w:rPr>
          <w:rFonts w:ascii="Arial" w:hAnsi="Arial" w:cs="Arial"/>
        </w:rPr>
        <w:t>and globally different legal systems</w:t>
      </w:r>
      <w:r w:rsidRPr="2D3EA135" w:rsidR="543A147A">
        <w:rPr>
          <w:rFonts w:ascii="Arial" w:hAnsi="Arial" w:cs="Arial"/>
        </w:rPr>
        <w:t xml:space="preserve"> and ethnocentrisms</w:t>
      </w:r>
      <w:r w:rsidRPr="2D3EA135" w:rsidR="2A0E5C7C">
        <w:rPr>
          <w:rFonts w:ascii="Arial" w:hAnsi="Arial" w:cs="Arial"/>
        </w:rPr>
        <w:t xml:space="preserve"> (</w:t>
      </w:r>
      <w:r w:rsidRPr="2D3EA135" w:rsidR="543A147A">
        <w:rPr>
          <w:rFonts w:ascii="Arial" w:hAnsi="Arial" w:cs="Arial"/>
        </w:rPr>
        <w:t>Maeder &amp; Yamamoto, 2015; Miller et al., 2021</w:t>
      </w:r>
      <w:r w:rsidRPr="2D3EA135" w:rsidR="2A0E5C7C">
        <w:rPr>
          <w:rFonts w:ascii="Arial" w:hAnsi="Arial" w:cs="Arial"/>
        </w:rPr>
        <w:t>) are all factors of which make the research area more complex. Moreso, topics discussed above have real world implication, when looking at crime statistics there are disparities in gender identity (</w:t>
      </w:r>
      <w:r w:rsidRPr="2D3EA135" w:rsidR="2A0E5C7C">
        <w:rPr>
          <w:rFonts w:ascii="Arial" w:hAnsi="Arial" w:cs="Arial"/>
        </w:rPr>
        <w:t>Evji</w:t>
      </w:r>
      <w:r w:rsidRPr="2D3EA135" w:rsidR="2A0E5C7C">
        <w:rPr>
          <w:rFonts w:ascii="Arial" w:hAnsi="Arial" w:cs="Arial"/>
        </w:rPr>
        <w:t xml:space="preserve"> et al., 2024; Flores et al., 2020). </w:t>
      </w:r>
      <w:r w:rsidRPr="2D3EA135" w:rsidR="543A147A">
        <w:rPr>
          <w:rFonts w:ascii="Arial" w:hAnsi="Arial" w:cs="Arial"/>
        </w:rPr>
        <w:t xml:space="preserve">Further study taking these differences into account is currently in its infancy (Munger, 2007), and there is much work to be done </w:t>
      </w:r>
      <w:r w:rsidRPr="2D3EA135" w:rsidR="543A147A">
        <w:rPr>
          <w:rFonts w:ascii="Arial" w:hAnsi="Arial" w:cs="Arial"/>
        </w:rPr>
        <w:t>in order to</w:t>
      </w:r>
      <w:r w:rsidRPr="2D3EA135" w:rsidR="543A147A">
        <w:rPr>
          <w:rFonts w:ascii="Arial" w:hAnsi="Arial" w:cs="Arial"/>
        </w:rPr>
        <w:t xml:space="preserve"> </w:t>
      </w:r>
      <w:r w:rsidRPr="2D3EA135" w:rsidR="543A147A">
        <w:rPr>
          <w:rFonts w:ascii="Arial" w:hAnsi="Arial" w:cs="Arial"/>
        </w:rPr>
        <w:t>properly assess</w:t>
      </w:r>
      <w:r w:rsidRPr="2D3EA135" w:rsidR="543A147A">
        <w:rPr>
          <w:rFonts w:ascii="Arial" w:hAnsi="Arial" w:cs="Arial"/>
        </w:rPr>
        <w:t xml:space="preserve"> factors within the jury and judicial </w:t>
      </w:r>
      <w:r w:rsidRPr="2D3EA135" w:rsidR="543A147A">
        <w:rPr>
          <w:rFonts w:ascii="Arial" w:hAnsi="Arial" w:cs="Arial"/>
        </w:rPr>
        <w:t>decision making</w:t>
      </w:r>
      <w:r w:rsidRPr="2D3EA135" w:rsidR="543A147A">
        <w:rPr>
          <w:rFonts w:ascii="Arial" w:hAnsi="Arial" w:cs="Arial"/>
        </w:rPr>
        <w:t xml:space="preserve"> processes. Although psychological research can help </w:t>
      </w:r>
      <w:r w:rsidRPr="2D3EA135" w:rsidR="543A147A">
        <w:rPr>
          <w:rFonts w:ascii="Arial" w:hAnsi="Arial" w:cs="Arial"/>
        </w:rPr>
        <w:t>identify</w:t>
      </w:r>
      <w:r w:rsidRPr="2D3EA135" w:rsidR="543A147A">
        <w:rPr>
          <w:rFonts w:ascii="Arial" w:hAnsi="Arial" w:cs="Arial"/>
        </w:rPr>
        <w:t xml:space="preserve"> cognitive and social processes informed with decision making to aid with policy within the jury and legal system, continued effort within research should be pursued. </w:t>
      </w:r>
    </w:p>
    <w:p w:rsidR="2D3EA135" w:rsidP="2D3EA135" w:rsidRDefault="2D3EA135" w14:paraId="14D93A6E" w14:textId="6F06C8AB">
      <w:pPr>
        <w:spacing w:line="480" w:lineRule="auto"/>
        <w:ind w:firstLine="851"/>
        <w:rPr>
          <w:rFonts w:ascii="Arial" w:hAnsi="Arial" w:cs="Arial"/>
        </w:rPr>
      </w:pPr>
    </w:p>
    <w:p w:rsidR="003960CA" w:rsidP="003960CA" w:rsidRDefault="003960CA" w14:paraId="4DB09479" w14:textId="77777777">
      <w:pPr>
        <w:spacing w:line="480" w:lineRule="auto"/>
        <w:ind w:firstLine="851"/>
        <w:rPr>
          <w:rFonts w:ascii="Arial" w:hAnsi="Arial" w:cs="Arial"/>
        </w:rPr>
      </w:pPr>
    </w:p>
    <w:p w:rsidRPr="00B2688B" w:rsidR="003960CA" w:rsidP="00FD427E" w:rsidRDefault="003960CA" w14:paraId="5791070A" w14:textId="6F9C666A">
      <w:pPr>
        <w:spacing w:line="480" w:lineRule="auto"/>
        <w:ind w:firstLine="851"/>
        <w:jc w:val="center"/>
        <w:rPr>
          <w:rFonts w:ascii="Arial" w:hAnsi="Arial" w:cs="Arial"/>
          <w:b/>
          <w:bCs/>
        </w:rPr>
      </w:pPr>
      <w:r w:rsidRPr="00B2688B">
        <w:rPr>
          <w:rFonts w:ascii="Arial" w:hAnsi="Arial" w:cs="Arial"/>
          <w:b/>
          <w:bCs/>
        </w:rPr>
        <w:t>Reference</w:t>
      </w:r>
      <w:r w:rsidRPr="00B2688B" w:rsidR="000C5D10">
        <w:rPr>
          <w:rFonts w:ascii="Arial" w:hAnsi="Arial" w:cs="Arial"/>
          <w:b/>
          <w:bCs/>
        </w:rPr>
        <w:t>s</w:t>
      </w:r>
    </w:p>
    <w:p w:rsidRPr="00B2688B" w:rsidR="000C5D10" w:rsidP="00FD427E" w:rsidRDefault="000C5D10" w14:paraId="75995733" w14:textId="799B781E">
      <w:pPr>
        <w:spacing w:line="480" w:lineRule="auto"/>
        <w:ind w:left="851" w:hanging="851"/>
        <w:rPr>
          <w:rFonts w:ascii="Arial" w:hAnsi="Arial" w:cs="Arial"/>
          <w:color w:val="000000" w:themeColor="text1"/>
          <w:shd w:val="clear" w:color="auto" w:fill="FFFFFF"/>
        </w:rPr>
      </w:pPr>
      <w:r w:rsidRPr="00B2688B">
        <w:rPr>
          <w:rFonts w:ascii="Arial" w:hAnsi="Arial" w:cs="Arial"/>
          <w:color w:val="000000" w:themeColor="text1"/>
          <w:shd w:val="clear" w:color="auto" w:fill="FFFFFF"/>
        </w:rPr>
        <w:lastRenderedPageBreak/>
        <w:t>Abelson, R. P. (1963). Computer simulation of “hot” cognition. In S. S. Tomkins &amp; S. Messick (Eds.),</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Computer simulation of personality: Frontier of psychological theory</w:t>
      </w:r>
      <w:r w:rsidRPr="00B2688B">
        <w:rPr>
          <w:rStyle w:val="apple-converted-space"/>
          <w:rFonts w:ascii="Arial" w:hAnsi="Arial" w:cs="Arial" w:eastAsiaTheme="majorEastAsia"/>
          <w:i/>
          <w:iCs/>
          <w:color w:val="000000" w:themeColor="text1"/>
          <w:shd w:val="clear" w:color="auto" w:fill="FFFFFF"/>
        </w:rPr>
        <w:t> </w:t>
      </w:r>
      <w:r w:rsidRPr="00B2688B">
        <w:rPr>
          <w:rFonts w:ascii="Arial" w:hAnsi="Arial" w:cs="Arial"/>
          <w:color w:val="000000" w:themeColor="text1"/>
          <w:shd w:val="clear" w:color="auto" w:fill="FFFFFF"/>
        </w:rPr>
        <w:t>(pp. 237–264).</w:t>
      </w:r>
      <w:r w:rsidRPr="00B2688B">
        <w:rPr>
          <w:rStyle w:val="apple-converted-space"/>
          <w:rFonts w:ascii="Arial" w:hAnsi="Arial" w:cs="Arial" w:eastAsiaTheme="majorEastAsia"/>
          <w:color w:val="000000" w:themeColor="text1"/>
          <w:shd w:val="clear" w:color="auto" w:fill="FFFFFF"/>
        </w:rPr>
        <w:t> </w:t>
      </w:r>
      <w:r w:rsidRPr="00B2688B">
        <w:rPr>
          <w:rStyle w:val="Emphasis"/>
          <w:rFonts w:ascii="Arial" w:hAnsi="Arial" w:cs="Arial" w:eastAsiaTheme="majorEastAsia"/>
          <w:i w:val="0"/>
          <w:iCs w:val="0"/>
          <w:color w:val="000000" w:themeColor="text1"/>
        </w:rPr>
        <w:t>John Wiley &amp; Sons</w:t>
      </w:r>
      <w:r w:rsidRPr="00B2688B">
        <w:rPr>
          <w:rFonts w:ascii="Arial" w:hAnsi="Arial" w:cs="Arial"/>
          <w:i/>
          <w:iCs/>
          <w:color w:val="000000" w:themeColor="text1"/>
          <w:shd w:val="clear" w:color="auto" w:fill="FFFFFF"/>
        </w:rPr>
        <w:t>.</w:t>
      </w:r>
    </w:p>
    <w:p w:rsidRPr="00B2688B" w:rsidR="000C5D10" w:rsidP="00FD427E" w:rsidRDefault="000C5D10" w14:paraId="4EAD8AEB" w14:textId="6F54020E">
      <w:pPr>
        <w:spacing w:line="480" w:lineRule="auto"/>
        <w:ind w:left="851" w:hanging="851"/>
        <w:rPr>
          <w:rFonts w:ascii="Arial" w:hAnsi="Arial" w:cs="Arial"/>
          <w:color w:val="000000" w:themeColor="text1"/>
          <w:shd w:val="clear" w:color="auto" w:fill="FFFFFF"/>
        </w:rPr>
      </w:pPr>
      <w:r w:rsidRPr="00B2688B">
        <w:rPr>
          <w:rFonts w:ascii="Arial" w:hAnsi="Arial" w:cs="Arial"/>
          <w:color w:val="000000" w:themeColor="text1"/>
          <w:shd w:val="clear" w:color="auto" w:fill="FFFFFF"/>
        </w:rPr>
        <w:t xml:space="preserve">Anwar, S., Bayer, P., &amp; Hjalmarsson, R. (2016). </w:t>
      </w:r>
      <w:r w:rsidRPr="00B2688B">
        <w:rPr>
          <w:rFonts w:ascii="Arial" w:hAnsi="Arial" w:cs="Arial"/>
          <w:i/>
          <w:iCs/>
          <w:color w:val="000000" w:themeColor="text1"/>
          <w:shd w:val="clear" w:color="auto" w:fill="FFFFFF"/>
        </w:rPr>
        <w:t>A Jury Of Her Peers: The Impact Of The First Female Jurors On Criminal Convictions</w:t>
      </w:r>
      <w:r w:rsidRPr="00B2688B">
        <w:rPr>
          <w:rFonts w:ascii="Arial" w:hAnsi="Arial" w:cs="Arial"/>
          <w:color w:val="000000" w:themeColor="text1"/>
          <w:shd w:val="clear" w:color="auto" w:fill="FFFFFF"/>
        </w:rPr>
        <w:t>. (Working Paper No. 21960). http://www.nber.org/papers/w21960</w:t>
      </w:r>
    </w:p>
    <w:p w:rsidRPr="00B2688B" w:rsidR="000C5D10" w:rsidP="00FD427E" w:rsidRDefault="000C5D10" w14:paraId="01A17BE5" w14:textId="779AF34B">
      <w:pPr>
        <w:spacing w:line="480" w:lineRule="auto"/>
        <w:ind w:left="851" w:hanging="851"/>
        <w:rPr>
          <w:rFonts w:ascii="Arial" w:hAnsi="Arial" w:cs="Arial"/>
          <w:color w:val="000000" w:themeColor="text1"/>
          <w:shd w:val="clear" w:color="auto" w:fill="FFFFFF"/>
        </w:rPr>
      </w:pPr>
      <w:r w:rsidRPr="00B2688B">
        <w:rPr>
          <w:rFonts w:ascii="Arial" w:hAnsi="Arial" w:cs="Arial"/>
          <w:color w:val="000000" w:themeColor="text1"/>
          <w:shd w:val="clear" w:color="auto" w:fill="FFFFFF"/>
        </w:rPr>
        <w:t xml:space="preserve">Attorney General’s Office. (2019). </w:t>
      </w:r>
      <w:r w:rsidRPr="00B2688B">
        <w:rPr>
          <w:rFonts w:ascii="Arial" w:hAnsi="Arial" w:cs="Arial"/>
          <w:i/>
          <w:iCs/>
          <w:color w:val="000000" w:themeColor="text1"/>
          <w:shd w:val="clear" w:color="auto" w:fill="FFFFFF"/>
        </w:rPr>
        <w:t>Response to Call for Evidence on the Impact of Social Media on the Administration of Justice</w:t>
      </w:r>
      <w:r w:rsidRPr="00B2688B">
        <w:rPr>
          <w:rFonts w:ascii="Arial" w:hAnsi="Arial" w:cs="Arial"/>
          <w:color w:val="000000" w:themeColor="text1"/>
          <w:shd w:val="clear" w:color="auto" w:fill="FFFFFF"/>
        </w:rPr>
        <w:t>, UK Government. https://assets.publishing.service.gov.uk/media/5c7e846ce5274a3f8b91a3f6/Call_For_Evidence_05.03.2019_v2.pdf</w:t>
      </w:r>
    </w:p>
    <w:p w:rsidRPr="00B2688B" w:rsidR="000C5D10" w:rsidP="00FD427E" w:rsidRDefault="000C5D10" w14:paraId="6BCC05E9" w14:textId="6FE364DE">
      <w:pPr>
        <w:spacing w:line="480" w:lineRule="auto"/>
        <w:ind w:left="851" w:hanging="851"/>
        <w:rPr>
          <w:rFonts w:ascii="Arial" w:hAnsi="Arial" w:cs="Arial"/>
          <w:color w:val="000000" w:themeColor="text1"/>
          <w:shd w:val="clear" w:color="auto" w:fill="FFFFFF"/>
        </w:rPr>
      </w:pPr>
      <w:r w:rsidRPr="00B2688B">
        <w:rPr>
          <w:rFonts w:ascii="Arial" w:hAnsi="Arial" w:cs="Arial"/>
          <w:color w:val="000000" w:themeColor="text1"/>
          <w:shd w:val="clear" w:color="auto" w:fill="FFFFFF"/>
        </w:rPr>
        <w:t>Barager, R.T., Thompson, L.E. &amp; Pozzulo, J. (2025). Perceptions in a Sexual Assault Trial: The Influence of Age and Race on Canadian Mock-Jurors.</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J Police Crim Psych</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color w:val="000000" w:themeColor="text1"/>
        </w:rPr>
        <w:t>40</w:t>
      </w:r>
      <w:r w:rsidRPr="00B2688B">
        <w:rPr>
          <w:rFonts w:ascii="Arial" w:hAnsi="Arial" w:cs="Arial"/>
          <w:color w:val="000000" w:themeColor="text1"/>
          <w:shd w:val="clear" w:color="auto" w:fill="FFFFFF"/>
        </w:rPr>
        <w:t>, 128–140. https://doi.org/10.1007/s11896-024-09721-7</w:t>
      </w:r>
    </w:p>
    <w:p w:rsidRPr="00B2688B" w:rsidR="000C5D10" w:rsidP="00FD427E" w:rsidRDefault="000C5D10" w14:paraId="3EC8890B" w14:textId="22E093A7">
      <w:pPr>
        <w:spacing w:line="480" w:lineRule="auto"/>
        <w:ind w:left="851" w:hanging="851"/>
        <w:rPr>
          <w:rFonts w:ascii="Arial" w:hAnsi="Arial" w:cs="Arial"/>
          <w:color w:val="000000" w:themeColor="text1"/>
          <w:shd w:val="clear" w:color="auto" w:fill="FFFFFF"/>
        </w:rPr>
      </w:pPr>
      <w:r w:rsidRPr="00B2688B">
        <w:rPr>
          <w:rFonts w:ascii="Arial" w:hAnsi="Arial" w:cs="Arial"/>
          <w:color w:val="000000" w:themeColor="text1"/>
          <w:shd w:val="clear" w:color="auto" w:fill="FFFFFF"/>
        </w:rPr>
        <w:t xml:space="preserve">Bareket, O., &amp; Fiske, S. T. (2023). A systematic review of the ambivalent sexism literature: Hostile sexism protects men’s power; benevolent sexism guards traditional gender roles. </w:t>
      </w:r>
      <w:r w:rsidRPr="00B2688B">
        <w:rPr>
          <w:rStyle w:val="Emphasis"/>
          <w:rFonts w:ascii="Arial" w:hAnsi="Arial" w:cs="Arial" w:eastAsiaTheme="majorEastAsia"/>
          <w:color w:val="000000" w:themeColor="text1"/>
        </w:rPr>
        <w:t>Psychological Bulletin, 149</w:t>
      </w:r>
      <w:r w:rsidRPr="00B2688B">
        <w:rPr>
          <w:rFonts w:ascii="Arial" w:hAnsi="Arial" w:cs="Arial"/>
          <w:color w:val="000000" w:themeColor="text1"/>
          <w:shd w:val="clear" w:color="auto" w:fill="FFFFFF"/>
        </w:rPr>
        <w:t>(11-12), 637–698. https://doi.org/10.1037/bul0000400</w:t>
      </w:r>
    </w:p>
    <w:p w:rsidRPr="00B2688B" w:rsidR="003960CA" w:rsidP="00FD427E" w:rsidRDefault="003960CA" w14:paraId="42CF5E05" w14:textId="2C58331C">
      <w:pPr>
        <w:spacing w:line="480" w:lineRule="auto"/>
        <w:ind w:left="851" w:hanging="851"/>
        <w:rPr>
          <w:rFonts w:ascii="Arial" w:hAnsi="Arial" w:cs="Arial"/>
          <w:color w:val="000000" w:themeColor="text1"/>
        </w:rPr>
      </w:pPr>
      <w:r w:rsidRPr="00B2688B">
        <w:rPr>
          <w:rFonts w:ascii="Arial" w:hAnsi="Arial" w:cs="Arial"/>
          <w:color w:val="000000" w:themeColor="text1"/>
          <w:shd w:val="clear" w:color="auto" w:fill="FFFFFF"/>
        </w:rPr>
        <w:t>Beaver, K. M., Boccio, C., Smith, S., &amp; Ferguson, C. J. (2019). Physical attractiveness and criminal justice processing: results from a longitudinal sample of youth and young adults.</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Psychiatry, psychology, and law : an interdisciplinary journal of the Australian and New Zealand Association of Psychiatry, Psychology and Law</w:t>
      </w:r>
      <w:r w:rsidRPr="00B2688B">
        <w:rPr>
          <w:rFonts w:ascii="Arial" w:hAnsi="Arial" w:cs="Arial"/>
          <w:color w:val="000000" w:themeColor="text1"/>
          <w:shd w:val="clear" w:color="auto" w:fill="FFFFFF"/>
        </w:rPr>
        <w:t>,</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26</w:t>
      </w:r>
      <w:r w:rsidRPr="00B2688B">
        <w:rPr>
          <w:rFonts w:ascii="Arial" w:hAnsi="Arial" w:cs="Arial"/>
          <w:color w:val="000000" w:themeColor="text1"/>
          <w:shd w:val="clear" w:color="auto" w:fill="FFFFFF"/>
        </w:rPr>
        <w:t>(4), 669–681. https://doi.org/10.1080/13218719.2019.1618750</w:t>
      </w:r>
    </w:p>
    <w:p w:rsidRPr="00B2688B" w:rsidR="003960CA" w:rsidP="00FD427E" w:rsidRDefault="003960CA" w14:paraId="6BED780F" w14:textId="364C297E">
      <w:pPr>
        <w:spacing w:line="480" w:lineRule="auto"/>
        <w:ind w:left="851" w:hanging="851"/>
        <w:rPr>
          <w:rFonts w:ascii="Arial" w:hAnsi="Arial" w:cs="Arial"/>
          <w:color w:val="000000" w:themeColor="text1"/>
        </w:rPr>
      </w:pPr>
      <w:r w:rsidRPr="00B2688B">
        <w:rPr>
          <w:rFonts w:ascii="Arial" w:hAnsi="Arial" w:cs="Arial"/>
          <w:color w:val="000000" w:themeColor="text1"/>
        </w:rPr>
        <w:lastRenderedPageBreak/>
        <w:t>Bornstein, B. H., &amp; Greene, E. (2011). Jury Decision Making: Implications For and From Psychology.</w:t>
      </w:r>
      <w:r w:rsidRPr="00B2688B">
        <w:rPr>
          <w:rStyle w:val="apple-converted-space"/>
          <w:rFonts w:ascii="Arial" w:hAnsi="Arial" w:cs="Arial" w:eastAsiaTheme="majorEastAsia"/>
          <w:color w:val="000000" w:themeColor="text1"/>
        </w:rPr>
        <w:t> </w:t>
      </w:r>
      <w:r w:rsidRPr="00B2688B">
        <w:rPr>
          <w:rFonts w:ascii="Arial" w:hAnsi="Arial" w:cs="Arial"/>
          <w:i/>
          <w:iCs/>
          <w:color w:val="000000" w:themeColor="text1"/>
        </w:rPr>
        <w:t>Current Directions in Psychological Science</w:t>
      </w:r>
      <w:r w:rsidRPr="00B2688B">
        <w:rPr>
          <w:rFonts w:ascii="Arial" w:hAnsi="Arial" w:cs="Arial"/>
          <w:color w:val="000000" w:themeColor="text1"/>
        </w:rPr>
        <w:t>,</w:t>
      </w:r>
      <w:r w:rsidRPr="00B2688B">
        <w:rPr>
          <w:rStyle w:val="apple-converted-space"/>
          <w:rFonts w:ascii="Arial" w:hAnsi="Arial" w:cs="Arial" w:eastAsiaTheme="majorEastAsia"/>
          <w:color w:val="000000" w:themeColor="text1"/>
        </w:rPr>
        <w:t> </w:t>
      </w:r>
      <w:r w:rsidRPr="00B2688B">
        <w:rPr>
          <w:rFonts w:ascii="Arial" w:hAnsi="Arial" w:cs="Arial"/>
          <w:i/>
          <w:iCs/>
          <w:color w:val="000000" w:themeColor="text1"/>
        </w:rPr>
        <w:t>20</w:t>
      </w:r>
      <w:r w:rsidRPr="00B2688B">
        <w:rPr>
          <w:rFonts w:ascii="Arial" w:hAnsi="Arial" w:cs="Arial"/>
          <w:color w:val="000000" w:themeColor="text1"/>
        </w:rPr>
        <w:t>(1), 63-67.</w:t>
      </w:r>
      <w:r w:rsidRPr="00B2688B">
        <w:rPr>
          <w:rStyle w:val="apple-converted-space"/>
          <w:rFonts w:ascii="Arial" w:hAnsi="Arial" w:cs="Arial" w:eastAsiaTheme="majorEastAsia"/>
          <w:color w:val="000000" w:themeColor="text1"/>
        </w:rPr>
        <w:t> </w:t>
      </w:r>
      <w:r w:rsidRPr="00B2688B">
        <w:rPr>
          <w:rFonts w:ascii="Arial" w:hAnsi="Arial" w:cs="Arial" w:eastAsiaTheme="majorEastAsia"/>
          <w:color w:val="000000" w:themeColor="text1"/>
        </w:rPr>
        <w:t>https://doi.org/10.1177/0963721410397282</w:t>
      </w:r>
      <w:r w:rsidRPr="00B2688B">
        <w:rPr>
          <w:rStyle w:val="apple-converted-space"/>
          <w:rFonts w:ascii="Arial" w:hAnsi="Arial" w:cs="Arial" w:eastAsiaTheme="majorEastAsia"/>
          <w:color w:val="000000" w:themeColor="text1"/>
        </w:rPr>
        <w:t> </w:t>
      </w:r>
    </w:p>
    <w:p w:rsidRPr="00B2688B" w:rsidR="003960CA" w:rsidP="00FD427E" w:rsidRDefault="003960CA" w14:paraId="6A3A008D" w14:textId="13B88E0B">
      <w:pPr>
        <w:spacing w:line="480" w:lineRule="auto"/>
        <w:ind w:left="851" w:hanging="851"/>
        <w:rPr>
          <w:rFonts w:ascii="Arial" w:hAnsi="Arial" w:cs="Arial"/>
          <w:color w:val="000000" w:themeColor="text1"/>
          <w:u w:val="single"/>
        </w:rPr>
      </w:pPr>
      <w:r w:rsidRPr="00B2688B">
        <w:rPr>
          <w:rFonts w:ascii="Arial" w:hAnsi="Arial" w:cs="Arial"/>
          <w:color w:val="000000" w:themeColor="text1"/>
          <w:shd w:val="clear" w:color="auto" w:fill="FFFFFF"/>
        </w:rPr>
        <w:t>Coetzee, V., Greeff, J. M., Stephen, I. D., &amp; Perrett, D. I. (2014). Cross-cultural agreement in facial attractiveness preferences: the role of ethnicity and gender.</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PloS one</w:t>
      </w:r>
      <w:r w:rsidRPr="00B2688B">
        <w:rPr>
          <w:rFonts w:ascii="Arial" w:hAnsi="Arial" w:cs="Arial"/>
          <w:color w:val="000000" w:themeColor="text1"/>
          <w:shd w:val="clear" w:color="auto" w:fill="FFFFFF"/>
        </w:rPr>
        <w:t>,</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9</w:t>
      </w:r>
      <w:r w:rsidRPr="00B2688B">
        <w:rPr>
          <w:rFonts w:ascii="Arial" w:hAnsi="Arial" w:cs="Arial"/>
          <w:color w:val="000000" w:themeColor="text1"/>
          <w:shd w:val="clear" w:color="auto" w:fill="FFFFFF"/>
        </w:rPr>
        <w:t>(7), e99629. https://doi.org/10.1371/journal.pone.0099629</w:t>
      </w:r>
    </w:p>
    <w:p w:rsidRPr="00B2688B" w:rsidR="003960CA" w:rsidP="00FD427E" w:rsidRDefault="003960CA" w14:paraId="49106F15" w14:textId="77777777">
      <w:pPr>
        <w:spacing w:line="480" w:lineRule="auto"/>
        <w:ind w:left="851" w:hanging="851"/>
        <w:rPr>
          <w:rFonts w:ascii="Arial" w:hAnsi="Arial" w:cs="Arial"/>
          <w:color w:val="000000" w:themeColor="text1"/>
        </w:rPr>
      </w:pPr>
      <w:r w:rsidRPr="00B2688B">
        <w:rPr>
          <w:rFonts w:ascii="Arial" w:hAnsi="Arial" w:cs="Arial"/>
          <w:color w:val="000000" w:themeColor="text1"/>
          <w:shd w:val="clear" w:color="auto" w:fill="FFFFFF"/>
        </w:rPr>
        <w:t>Curley, L. J., Munro, J., &amp; Dror, I. E. (2022). Cognitive and human factors in legal layperson decision making: Sources of bias in juror decision making.</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Medicine, science, and the law</w:t>
      </w:r>
      <w:r w:rsidRPr="00B2688B">
        <w:rPr>
          <w:rFonts w:ascii="Arial" w:hAnsi="Arial" w:cs="Arial"/>
          <w:color w:val="000000" w:themeColor="text1"/>
          <w:shd w:val="clear" w:color="auto" w:fill="FFFFFF"/>
        </w:rPr>
        <w:t>,</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62</w:t>
      </w:r>
      <w:r w:rsidRPr="00B2688B">
        <w:rPr>
          <w:rFonts w:ascii="Arial" w:hAnsi="Arial" w:cs="Arial"/>
          <w:color w:val="000000" w:themeColor="text1"/>
          <w:shd w:val="clear" w:color="auto" w:fill="FFFFFF"/>
        </w:rPr>
        <w:t>(3), 206–215. https://doi.org/10.1177/00258024221080655</w:t>
      </w:r>
      <w:r w:rsidRPr="00B2688B">
        <w:rPr>
          <w:rFonts w:ascii="Arial" w:hAnsi="Arial" w:cs="Arial"/>
          <w:color w:val="000000" w:themeColor="text1"/>
        </w:rPr>
        <w:t xml:space="preserve">  </w:t>
      </w:r>
    </w:p>
    <w:p w:rsidRPr="00B2688B" w:rsidR="000C5D10" w:rsidP="00FD427E" w:rsidRDefault="000C5D10" w14:paraId="6C1349FB" w14:textId="41A28ECC">
      <w:pPr>
        <w:spacing w:line="480" w:lineRule="auto"/>
        <w:ind w:left="851" w:hanging="851"/>
        <w:rPr>
          <w:rFonts w:ascii="Arial" w:hAnsi="Arial" w:cs="Arial"/>
          <w:color w:val="000000" w:themeColor="text1"/>
        </w:rPr>
      </w:pPr>
      <w:r w:rsidRPr="00B2688B">
        <w:rPr>
          <w:rFonts w:ascii="Arial" w:hAnsi="Arial" w:cs="Arial"/>
          <w:color w:val="000000" w:themeColor="text1"/>
          <w:shd w:val="clear" w:color="auto" w:fill="FFFFFF"/>
        </w:rPr>
        <w:t>Eagly, A. H., &amp; Karau, S. J. (2002). Role congruity theory of prejudice toward female leaders.</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Psychological review</w:t>
      </w:r>
      <w:r w:rsidRPr="00B2688B">
        <w:rPr>
          <w:rFonts w:ascii="Arial" w:hAnsi="Arial" w:cs="Arial"/>
          <w:color w:val="000000" w:themeColor="text1"/>
          <w:shd w:val="clear" w:color="auto" w:fill="FFFFFF"/>
        </w:rPr>
        <w:t>,</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109</w:t>
      </w:r>
      <w:r w:rsidRPr="00B2688B">
        <w:rPr>
          <w:rFonts w:ascii="Arial" w:hAnsi="Arial" w:cs="Arial"/>
          <w:color w:val="000000" w:themeColor="text1"/>
          <w:shd w:val="clear" w:color="auto" w:fill="FFFFFF"/>
        </w:rPr>
        <w:t>(3), 573–598. https://doi.org/10.1037/0033-295x.109.3.573</w:t>
      </w:r>
    </w:p>
    <w:p w:rsidRPr="00B2688B" w:rsidR="003960CA" w:rsidP="00FD427E" w:rsidRDefault="003960CA" w14:paraId="69A78F45" w14:textId="30690739">
      <w:pPr>
        <w:spacing w:line="480" w:lineRule="auto"/>
        <w:ind w:left="851" w:hanging="851"/>
        <w:rPr>
          <w:rFonts w:ascii="Arial" w:hAnsi="Arial" w:cs="Arial"/>
          <w:color w:val="000000" w:themeColor="text1"/>
        </w:rPr>
      </w:pPr>
      <w:r w:rsidRPr="00B2688B">
        <w:rPr>
          <w:rFonts w:ascii="Arial" w:hAnsi="Arial" w:cs="Arial"/>
          <w:color w:val="000000" w:themeColor="text1"/>
          <w:shd w:val="clear" w:color="auto" w:fill="FFFFFF"/>
        </w:rPr>
        <w:t>Evje, J., Fluit, S., &amp; von Soest, T. (2024). Transgender people experience more discrimination and violence than cisgender lesbian, gay, or bisexual people: a multilevel analysis across 30 European countries.</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International Journal of Transgender Health</w:t>
      </w:r>
      <w:r w:rsidRPr="00B2688B">
        <w:rPr>
          <w:rFonts w:ascii="Arial" w:hAnsi="Arial" w:cs="Arial"/>
          <w:color w:val="000000" w:themeColor="text1"/>
          <w:shd w:val="clear" w:color="auto" w:fill="FFFFFF"/>
        </w:rPr>
        <w:t>, 1–15. https://doi.org/10.1080/26895269.2024.2440856</w:t>
      </w:r>
    </w:p>
    <w:p w:rsidRPr="00B2688B" w:rsidR="000C5D10" w:rsidP="00FD427E" w:rsidRDefault="000C5D10" w14:paraId="50E135E3" w14:textId="41319069">
      <w:pPr>
        <w:spacing w:line="480" w:lineRule="auto"/>
        <w:ind w:left="851" w:hanging="851"/>
        <w:rPr>
          <w:rFonts w:ascii="Arial" w:hAnsi="Arial" w:cs="Arial"/>
          <w:color w:val="212121"/>
          <w:shd w:val="clear" w:color="auto" w:fill="FFFFFF"/>
        </w:rPr>
      </w:pPr>
      <w:r w:rsidRPr="00B2688B">
        <w:rPr>
          <w:rFonts w:ascii="Arial" w:hAnsi="Arial" w:cs="Arial"/>
          <w:color w:val="212121"/>
          <w:shd w:val="clear" w:color="auto" w:fill="FFFFFF"/>
        </w:rPr>
        <w:t>Flores, A. R., Meyer, I. H., Langton, L., &amp; Herman, J. L. (2021). Gender Identity Disparities in Criminal Victimization: National Crime Victimization Survey, 2017-2018.</w:t>
      </w:r>
      <w:r w:rsidRPr="00B2688B">
        <w:rPr>
          <w:rStyle w:val="apple-converted-space"/>
          <w:rFonts w:ascii="Arial" w:hAnsi="Arial" w:cs="Arial" w:eastAsiaTheme="majorEastAsia"/>
          <w:color w:val="212121"/>
          <w:shd w:val="clear" w:color="auto" w:fill="FFFFFF"/>
        </w:rPr>
        <w:t> </w:t>
      </w:r>
      <w:r w:rsidRPr="00B2688B">
        <w:rPr>
          <w:rFonts w:ascii="Arial" w:hAnsi="Arial" w:cs="Arial"/>
          <w:i/>
          <w:iCs/>
          <w:color w:val="212121"/>
        </w:rPr>
        <w:t>American journal of public health</w:t>
      </w:r>
      <w:r w:rsidRPr="00B2688B">
        <w:rPr>
          <w:rFonts w:ascii="Arial" w:hAnsi="Arial" w:cs="Arial"/>
          <w:color w:val="212121"/>
          <w:shd w:val="clear" w:color="auto" w:fill="FFFFFF"/>
        </w:rPr>
        <w:t>,</w:t>
      </w:r>
      <w:r w:rsidRPr="00B2688B">
        <w:rPr>
          <w:rStyle w:val="apple-converted-space"/>
          <w:rFonts w:ascii="Arial" w:hAnsi="Arial" w:cs="Arial" w:eastAsiaTheme="majorEastAsia"/>
          <w:color w:val="212121"/>
          <w:shd w:val="clear" w:color="auto" w:fill="FFFFFF"/>
        </w:rPr>
        <w:t> </w:t>
      </w:r>
      <w:r w:rsidRPr="00B2688B">
        <w:rPr>
          <w:rFonts w:ascii="Arial" w:hAnsi="Arial" w:cs="Arial"/>
          <w:i/>
          <w:iCs/>
          <w:color w:val="212121"/>
        </w:rPr>
        <w:t>111</w:t>
      </w:r>
      <w:r w:rsidRPr="00B2688B">
        <w:rPr>
          <w:rFonts w:ascii="Arial" w:hAnsi="Arial" w:cs="Arial"/>
          <w:color w:val="212121"/>
          <w:shd w:val="clear" w:color="auto" w:fill="FFFFFF"/>
        </w:rPr>
        <w:t>(4), 726–729. https://doi.org/10.2105/AJPH.2020.306099</w:t>
      </w:r>
    </w:p>
    <w:p w:rsidRPr="00B2688B" w:rsidR="000C5D10" w:rsidP="00FD427E" w:rsidRDefault="000C5D10" w14:paraId="1009B83C" w14:textId="5FF6BC5D">
      <w:pPr>
        <w:spacing w:line="480" w:lineRule="auto"/>
        <w:ind w:left="851" w:hanging="851"/>
        <w:rPr>
          <w:rFonts w:ascii="Arial" w:hAnsi="Arial" w:cs="Arial"/>
          <w:color w:val="000000" w:themeColor="text1"/>
        </w:rPr>
      </w:pPr>
      <w:r w:rsidRPr="00B2688B">
        <w:rPr>
          <w:rFonts w:ascii="Arial" w:hAnsi="Arial" w:cs="Arial"/>
          <w:color w:val="000000" w:themeColor="text1"/>
        </w:rPr>
        <w:t xml:space="preserve">Furnham, A. (2003). Belief in a just world: research progress over the past decade. </w:t>
      </w:r>
      <w:r w:rsidRPr="00B2688B">
        <w:rPr>
          <w:rFonts w:ascii="Arial" w:hAnsi="Arial" w:cs="Arial"/>
          <w:i/>
          <w:iCs/>
          <w:color w:val="000000" w:themeColor="text1"/>
        </w:rPr>
        <w:t>Personality and Individual Differences</w:t>
      </w:r>
      <w:r w:rsidRPr="00B2688B">
        <w:rPr>
          <w:rFonts w:ascii="Arial" w:hAnsi="Arial" w:cs="Arial"/>
          <w:color w:val="000000" w:themeColor="text1"/>
        </w:rPr>
        <w:t xml:space="preserve">, 34(5), 795-817. </w:t>
      </w:r>
      <w:r w:rsidRPr="00B2688B">
        <w:rPr>
          <w:rStyle w:val="anchor-text"/>
          <w:rFonts w:ascii="Arial" w:hAnsi="Arial" w:cs="Arial" w:eastAsiaTheme="majorEastAsia"/>
          <w:color w:val="000000" w:themeColor="text1"/>
        </w:rPr>
        <w:t>https://doi.org/10.1016/S0191-8869(02)00072-7</w:t>
      </w:r>
    </w:p>
    <w:p w:rsidRPr="00B2688B" w:rsidR="000C5D10" w:rsidP="00FD427E" w:rsidRDefault="000C5D10" w14:paraId="494F7914" w14:textId="2BEBCC4F">
      <w:pPr>
        <w:spacing w:line="480" w:lineRule="auto"/>
        <w:ind w:left="851" w:hanging="851"/>
        <w:rPr>
          <w:rFonts w:ascii="Arial" w:hAnsi="Arial" w:cs="Arial"/>
          <w:color w:val="000000" w:themeColor="text1"/>
        </w:rPr>
      </w:pPr>
      <w:r w:rsidRPr="00B2688B">
        <w:rPr>
          <w:rFonts w:ascii="Arial" w:hAnsi="Arial" w:cs="Arial"/>
          <w:color w:val="000000" w:themeColor="text1"/>
          <w:shd w:val="clear" w:color="auto" w:fill="FFFFFF"/>
        </w:rPr>
        <w:lastRenderedPageBreak/>
        <w:t>Graso, M., &amp; Reynolds, T. (2024). A feminine advantage in the domain of harm: a review and path forward.</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Biology letters</w:t>
      </w:r>
      <w:r w:rsidRPr="00B2688B">
        <w:rPr>
          <w:rFonts w:ascii="Arial" w:hAnsi="Arial" w:cs="Arial"/>
          <w:color w:val="000000" w:themeColor="text1"/>
          <w:shd w:val="clear" w:color="auto" w:fill="FFFFFF"/>
        </w:rPr>
        <w:t>,</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20</w:t>
      </w:r>
      <w:r w:rsidRPr="00B2688B">
        <w:rPr>
          <w:rFonts w:ascii="Arial" w:hAnsi="Arial" w:cs="Arial"/>
          <w:color w:val="000000" w:themeColor="text1"/>
          <w:shd w:val="clear" w:color="auto" w:fill="FFFFFF"/>
        </w:rPr>
        <w:t>(11), 20240381. https://doi.org/10.1098/rsbl.2024.0381</w:t>
      </w:r>
    </w:p>
    <w:p w:rsidRPr="00B2688B" w:rsidR="000C5D10" w:rsidP="00FD427E" w:rsidRDefault="003960CA" w14:paraId="62A3A3FE" w14:textId="73975BF4">
      <w:pPr>
        <w:spacing w:line="480" w:lineRule="auto"/>
        <w:ind w:left="851" w:hanging="851"/>
        <w:rPr>
          <w:rFonts w:ascii="Arial" w:hAnsi="Arial" w:cs="Arial"/>
          <w:color w:val="000000" w:themeColor="text1"/>
        </w:rPr>
      </w:pPr>
      <w:r w:rsidRPr="00B2688B">
        <w:rPr>
          <w:rFonts w:ascii="Arial" w:hAnsi="Arial" w:cs="Arial"/>
          <w:color w:val="000000" w:themeColor="text1"/>
          <w:shd w:val="clear" w:color="auto" w:fill="FFFFFF"/>
        </w:rPr>
        <w:t>Greenwald, A. G., &amp; Banaji, M. R. (1995). Implicit social cognition: Attitudes, self-esteem, and stereotypes.</w:t>
      </w:r>
      <w:r w:rsidRPr="00B2688B">
        <w:rPr>
          <w:rStyle w:val="apple-converted-space"/>
          <w:rFonts w:ascii="Arial" w:hAnsi="Arial" w:cs="Arial" w:eastAsiaTheme="majorEastAsia"/>
          <w:color w:val="000000" w:themeColor="text1"/>
          <w:shd w:val="clear" w:color="auto" w:fill="FFFFFF"/>
        </w:rPr>
        <w:t> </w:t>
      </w:r>
      <w:r w:rsidRPr="00B2688B">
        <w:rPr>
          <w:rStyle w:val="Emphasis"/>
          <w:rFonts w:ascii="Arial" w:hAnsi="Arial" w:cs="Arial" w:eastAsiaTheme="majorEastAsia"/>
          <w:color w:val="000000" w:themeColor="text1"/>
        </w:rPr>
        <w:t>Psychological Review, 102</w:t>
      </w:r>
      <w:r w:rsidRPr="00B2688B">
        <w:rPr>
          <w:rFonts w:ascii="Arial" w:hAnsi="Arial" w:cs="Arial"/>
          <w:color w:val="000000" w:themeColor="text1"/>
          <w:shd w:val="clear" w:color="auto" w:fill="FFFFFF"/>
        </w:rPr>
        <w:t>(1), 4</w:t>
      </w:r>
      <w:r w:rsidRPr="00B2688B" w:rsidR="000C5D10">
        <w:rPr>
          <w:rFonts w:ascii="Arial" w:hAnsi="Arial" w:cs="Arial"/>
          <w:color w:val="000000" w:themeColor="text1"/>
          <w:shd w:val="clear" w:color="auto" w:fill="FFFFFF"/>
        </w:rPr>
        <w:t>-</w:t>
      </w:r>
      <w:r w:rsidRPr="00B2688B">
        <w:rPr>
          <w:rFonts w:ascii="Arial" w:hAnsi="Arial" w:cs="Arial"/>
          <w:color w:val="000000" w:themeColor="text1"/>
          <w:shd w:val="clear" w:color="auto" w:fill="FFFFFF"/>
        </w:rPr>
        <w:t>27.</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eastAsiaTheme="majorEastAsia"/>
          <w:color w:val="000000" w:themeColor="text1"/>
        </w:rPr>
        <w:t>https://doi.org/10.1037/0033-295X.102.1.4</w:t>
      </w:r>
    </w:p>
    <w:p w:rsidRPr="00B2688B" w:rsidR="000C5D10" w:rsidP="00FD427E" w:rsidRDefault="000C5D10" w14:paraId="7BE050A8" w14:textId="10AF8DDD">
      <w:pPr>
        <w:spacing w:line="480" w:lineRule="auto"/>
        <w:ind w:left="851" w:hanging="851"/>
        <w:rPr>
          <w:rFonts w:ascii="Arial" w:hAnsi="Arial" w:cs="Arial"/>
          <w:color w:val="000000" w:themeColor="text1"/>
        </w:rPr>
      </w:pPr>
      <w:r w:rsidRPr="00B2688B">
        <w:rPr>
          <w:rFonts w:ascii="Arial" w:hAnsi="Arial" w:cs="Arial"/>
          <w:color w:val="000000" w:themeColor="text1"/>
        </w:rPr>
        <w:t xml:space="preserve">Hoetger, L. A., Devine, D. J., Brank, E. M., Drew, R. M., Rees, R. (2022). The Impact of Pretrial Publicity on Mock Juror and Jury Verdicts: A Meta-analysis. </w:t>
      </w:r>
      <w:r w:rsidRPr="00B2688B">
        <w:rPr>
          <w:rFonts w:ascii="Arial" w:hAnsi="Arial" w:cs="Arial"/>
          <w:i/>
          <w:iCs/>
          <w:color w:val="000000" w:themeColor="text1"/>
        </w:rPr>
        <w:t>Law and Human Behavior</w:t>
      </w:r>
      <w:r w:rsidRPr="00B2688B">
        <w:rPr>
          <w:rFonts w:ascii="Arial" w:hAnsi="Arial" w:cs="Arial"/>
          <w:color w:val="000000" w:themeColor="text1"/>
        </w:rPr>
        <w:t xml:space="preserve">, Vol 46(2), 121-139. </w:t>
      </w:r>
    </w:p>
    <w:p w:rsidRPr="00B2688B" w:rsidR="000C5D10" w:rsidP="00FD427E" w:rsidRDefault="000C5D10" w14:paraId="476FA222" w14:textId="12122FC3">
      <w:pPr>
        <w:spacing w:line="480" w:lineRule="auto"/>
        <w:ind w:left="851" w:hanging="851"/>
        <w:rPr>
          <w:rFonts w:ascii="Arial" w:hAnsi="Arial" w:cs="Arial"/>
          <w:color w:val="000000" w:themeColor="text1"/>
        </w:rPr>
      </w:pPr>
      <w:r w:rsidRPr="00B2688B">
        <w:rPr>
          <w:rFonts w:ascii="Arial" w:hAnsi="Arial" w:cs="Arial"/>
          <w:color w:val="000000" w:themeColor="text1"/>
          <w:shd w:val="clear" w:color="auto" w:fill="FFFFFF"/>
        </w:rPr>
        <w:t>Hope, L., Memon, A., &amp; McGeorge, P. (2004). Understanding Pretrial Publicity: Predecisional Distortion of Evidence by Mock Jurors.</w:t>
      </w:r>
      <w:r w:rsidRPr="00B2688B">
        <w:rPr>
          <w:rStyle w:val="apple-converted-space"/>
          <w:rFonts w:ascii="Arial" w:hAnsi="Arial" w:cs="Arial" w:eastAsiaTheme="majorEastAsia"/>
          <w:color w:val="000000" w:themeColor="text1"/>
          <w:shd w:val="clear" w:color="auto" w:fill="FFFFFF"/>
        </w:rPr>
        <w:t> </w:t>
      </w:r>
      <w:r w:rsidRPr="00B2688B">
        <w:rPr>
          <w:rStyle w:val="Emphasis"/>
          <w:rFonts w:ascii="Arial" w:hAnsi="Arial" w:cs="Arial" w:eastAsiaTheme="majorEastAsia"/>
          <w:color w:val="000000" w:themeColor="text1"/>
        </w:rPr>
        <w:t>Journal of Experimental Psychology: Applied, 10</w:t>
      </w:r>
      <w:r w:rsidRPr="00B2688B">
        <w:rPr>
          <w:rFonts w:ascii="Arial" w:hAnsi="Arial" w:cs="Arial"/>
          <w:color w:val="000000" w:themeColor="text1"/>
          <w:shd w:val="clear" w:color="auto" w:fill="FFFFFF"/>
        </w:rPr>
        <w:t>(2), 111–119.</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eastAsiaTheme="majorEastAsia"/>
          <w:color w:val="000000" w:themeColor="text1"/>
        </w:rPr>
        <w:t>https://doi.org/10.1037/1076-898X.10.2.111</w:t>
      </w:r>
    </w:p>
    <w:p w:rsidRPr="00B2688B" w:rsidR="000C5D10" w:rsidP="00FD427E" w:rsidRDefault="000C5D10" w14:paraId="25E5B61A" w14:textId="3F3A204F">
      <w:pPr>
        <w:spacing w:line="480" w:lineRule="auto"/>
        <w:ind w:left="851" w:hanging="851"/>
        <w:rPr>
          <w:rFonts w:ascii="Arial" w:hAnsi="Arial" w:cs="Arial"/>
          <w:color w:val="000000" w:themeColor="text1"/>
        </w:rPr>
      </w:pPr>
      <w:r w:rsidRPr="00B2688B">
        <w:rPr>
          <w:rFonts w:ascii="Arial" w:hAnsi="Arial" w:cs="Arial"/>
          <w:color w:val="000000" w:themeColor="text1"/>
        </w:rPr>
        <w:t xml:space="preserve">Jarrett, J. L. (2014). </w:t>
      </w:r>
      <w:r w:rsidRPr="00B2688B">
        <w:rPr>
          <w:rFonts w:ascii="Arial" w:hAnsi="Arial" w:cs="Arial"/>
          <w:i/>
          <w:iCs/>
          <w:color w:val="000000" w:themeColor="text1"/>
        </w:rPr>
        <w:t>Jurors’ Judgments and the Media: Is All Pretrial Publicity Equal?</w:t>
      </w:r>
      <w:r w:rsidRPr="00B2688B">
        <w:rPr>
          <w:rFonts w:ascii="Arial" w:hAnsi="Arial" w:cs="Arial"/>
          <w:color w:val="000000" w:themeColor="text1"/>
        </w:rPr>
        <w:t xml:space="preserve"> (Version 1). [Doctoral dissertation, Appalachian State University]. Appalachian State University ScholarWorks. https://doi.org/10.71889/5fylantbak.29860511.v1</w:t>
      </w:r>
    </w:p>
    <w:p w:rsidRPr="00B2688B" w:rsidR="000C5D10" w:rsidP="00FD427E" w:rsidRDefault="000C5D10" w14:paraId="793B9DFF" w14:textId="23AFBF2B">
      <w:pPr>
        <w:spacing w:line="480" w:lineRule="auto"/>
        <w:ind w:left="851" w:hanging="851"/>
        <w:rPr>
          <w:rFonts w:ascii="Arial" w:hAnsi="Arial" w:cs="Arial"/>
          <w:color w:val="000000" w:themeColor="text1"/>
        </w:rPr>
      </w:pPr>
      <w:r w:rsidRPr="00B2688B">
        <w:rPr>
          <w:rFonts w:ascii="Arial" w:hAnsi="Arial" w:cs="Arial"/>
          <w:color w:val="000000" w:themeColor="text1"/>
        </w:rPr>
        <w:t>Judicial College. (2024).</w:t>
      </w:r>
      <w:r w:rsidRPr="00B2688B">
        <w:rPr>
          <w:rStyle w:val="apple-converted-space"/>
          <w:rFonts w:ascii="Arial" w:hAnsi="Arial" w:cs="Arial" w:eastAsiaTheme="majorEastAsia"/>
          <w:color w:val="000000" w:themeColor="text1"/>
        </w:rPr>
        <w:t> </w:t>
      </w:r>
      <w:r w:rsidRPr="00B2688B">
        <w:rPr>
          <w:rStyle w:val="Emphasis"/>
          <w:rFonts w:ascii="Arial" w:hAnsi="Arial" w:cs="Arial" w:eastAsiaTheme="majorEastAsia"/>
          <w:color w:val="000000" w:themeColor="text1"/>
        </w:rPr>
        <w:t>Crown Court Compendium Part I: Jury and trial management and summing</w:t>
      </w:r>
      <w:r w:rsidRPr="00B2688B">
        <w:rPr>
          <w:rStyle w:val="Emphasis"/>
          <w:rFonts w:ascii="Arial" w:hAnsi="Arial" w:cs="Arial" w:eastAsiaTheme="majorEastAsia"/>
          <w:color w:val="000000" w:themeColor="text1"/>
        </w:rPr>
        <w:noBreakHyphen/>
        <w:t>up</w:t>
      </w:r>
      <w:r w:rsidRPr="00B2688B">
        <w:rPr>
          <w:rStyle w:val="apple-converted-space"/>
          <w:rFonts w:ascii="Arial" w:hAnsi="Arial" w:cs="Arial" w:eastAsiaTheme="majorEastAsia"/>
          <w:color w:val="000000" w:themeColor="text1"/>
        </w:rPr>
        <w:t> </w:t>
      </w:r>
      <w:r w:rsidRPr="00B2688B">
        <w:rPr>
          <w:rFonts w:ascii="Arial" w:hAnsi="Arial" w:cs="Arial"/>
          <w:color w:val="000000" w:themeColor="text1"/>
        </w:rPr>
        <w:t xml:space="preserve">(July 2024 ed.), 20-1 – 20-12. https://www.judiciary.uk/wp-content/uploads/2024/09/Crown-Court-Compendium-Part-I-July-2024.pdf </w:t>
      </w:r>
    </w:p>
    <w:p w:rsidRPr="00B2688B" w:rsidR="003960CA" w:rsidP="00FD427E" w:rsidRDefault="003960CA" w14:paraId="58841A1B" w14:textId="4F7982D5">
      <w:pPr>
        <w:spacing w:line="480" w:lineRule="auto"/>
        <w:ind w:left="851" w:hanging="851"/>
        <w:rPr>
          <w:rFonts w:ascii="Arial" w:hAnsi="Arial" w:cs="Arial"/>
          <w:color w:val="000000" w:themeColor="text1"/>
        </w:rPr>
      </w:pPr>
      <w:r w:rsidRPr="00B2688B">
        <w:rPr>
          <w:rFonts w:ascii="Arial" w:hAnsi="Arial" w:cs="Arial"/>
          <w:color w:val="000000" w:themeColor="text1"/>
        </w:rPr>
        <w:t xml:space="preserve">Jussim, L. &amp; Honeycutt, N. (2024). Bias in Psychology: A Critical, Historical and Empirical Review. </w:t>
      </w:r>
      <w:r w:rsidRPr="00B2688B">
        <w:rPr>
          <w:rFonts w:ascii="Arial" w:hAnsi="Arial" w:cs="Arial"/>
          <w:i/>
          <w:iCs/>
          <w:color w:val="000000" w:themeColor="text1"/>
        </w:rPr>
        <w:t xml:space="preserve">Swiss Psychology Open, </w:t>
      </w:r>
      <w:r w:rsidRPr="00B2688B">
        <w:rPr>
          <w:rFonts w:ascii="Arial" w:hAnsi="Arial" w:cs="Arial"/>
          <w:color w:val="000000" w:themeColor="text1"/>
        </w:rPr>
        <w:t xml:space="preserve">4(1), 5. </w:t>
      </w:r>
    </w:p>
    <w:p w:rsidRPr="00B2688B" w:rsidR="000C5D10" w:rsidP="00FD427E" w:rsidRDefault="003960CA" w14:paraId="71DFB319" w14:textId="7807CEF9">
      <w:pPr>
        <w:spacing w:line="480" w:lineRule="auto"/>
        <w:ind w:left="851" w:hanging="851"/>
        <w:rPr>
          <w:rFonts w:ascii="Arial" w:hAnsi="Arial" w:cs="Arial"/>
          <w:color w:val="000000" w:themeColor="text1"/>
          <w:shd w:val="clear" w:color="auto" w:fill="FFFFFF"/>
        </w:rPr>
      </w:pPr>
      <w:r w:rsidRPr="00B2688B">
        <w:rPr>
          <w:rFonts w:ascii="Arial" w:hAnsi="Arial" w:cs="Arial"/>
          <w:color w:val="000000" w:themeColor="text1"/>
          <w:shd w:val="clear" w:color="auto" w:fill="FFFFFF"/>
        </w:rPr>
        <w:t>Kirshenbaum, J. M., &amp; Miller, M. K. (2020). Judges' experiences with mitigating jurors' implicit biases.</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 xml:space="preserve">Psychiatry, psychology, and law : an interdisciplinary </w:t>
      </w:r>
      <w:r w:rsidRPr="00B2688B">
        <w:rPr>
          <w:rFonts w:ascii="Arial" w:hAnsi="Arial" w:cs="Arial"/>
          <w:i/>
          <w:iCs/>
          <w:color w:val="000000" w:themeColor="text1"/>
        </w:rPr>
        <w:lastRenderedPageBreak/>
        <w:t>journal of the Australian and New Zealand Association of Psychiatry, Psychology and Law</w:t>
      </w:r>
      <w:r w:rsidRPr="00B2688B">
        <w:rPr>
          <w:rFonts w:ascii="Arial" w:hAnsi="Arial" w:cs="Arial"/>
          <w:color w:val="000000" w:themeColor="text1"/>
          <w:shd w:val="clear" w:color="auto" w:fill="FFFFFF"/>
        </w:rPr>
        <w:t>,</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28</w:t>
      </w:r>
      <w:r w:rsidRPr="00B2688B">
        <w:rPr>
          <w:rFonts w:ascii="Arial" w:hAnsi="Arial" w:cs="Arial"/>
          <w:color w:val="000000" w:themeColor="text1"/>
          <w:shd w:val="clear" w:color="auto" w:fill="FFFFFF"/>
        </w:rPr>
        <w:t xml:space="preserve">(5), 683–693. </w:t>
      </w:r>
      <w:r w:rsidRPr="00B2688B" w:rsidR="000C5D10">
        <w:rPr>
          <w:rFonts w:ascii="Arial" w:hAnsi="Arial" w:cs="Arial"/>
          <w:color w:val="000000" w:themeColor="text1"/>
          <w:shd w:val="clear" w:color="auto" w:fill="FFFFFF"/>
        </w:rPr>
        <w:t>https://doi.org/10.1080/13218719.2020.1837029</w:t>
      </w:r>
    </w:p>
    <w:p w:rsidRPr="00B2688B" w:rsidR="000C5D10" w:rsidP="00FD427E" w:rsidRDefault="000C5D10" w14:paraId="0AB74ED3" w14:textId="5A1BCEB2">
      <w:pPr>
        <w:spacing w:line="480" w:lineRule="auto"/>
        <w:ind w:left="851" w:hanging="851"/>
        <w:rPr>
          <w:rFonts w:ascii="Arial" w:hAnsi="Arial" w:cs="Arial"/>
          <w:color w:val="000000" w:themeColor="text1"/>
          <w:shd w:val="clear" w:color="auto" w:fill="FFFFFF"/>
        </w:rPr>
      </w:pPr>
      <w:r w:rsidRPr="00B2688B">
        <w:rPr>
          <w:rFonts w:ascii="Arial" w:hAnsi="Arial" w:cs="Arial"/>
          <w:color w:val="000000" w:themeColor="text1"/>
          <w:shd w:val="clear" w:color="auto" w:fill="FFFFFF"/>
        </w:rPr>
        <w:t>Klentz, B. A., Winters, G. M., &amp; Chapman, J. E. (2020). The CSI Effect and the impact of DNA evidence on mock jurors and jury deliberations.</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Psychology, Crime &amp; Law</w:t>
      </w:r>
      <w:r w:rsidRPr="00B2688B">
        <w:rPr>
          <w:rFonts w:ascii="Arial" w:hAnsi="Arial" w:cs="Arial"/>
          <w:color w:val="000000" w:themeColor="text1"/>
          <w:shd w:val="clear" w:color="auto" w:fill="FFFFFF"/>
        </w:rPr>
        <w:t>,</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26</w:t>
      </w:r>
      <w:r w:rsidRPr="00B2688B">
        <w:rPr>
          <w:rFonts w:ascii="Arial" w:hAnsi="Arial" w:cs="Arial"/>
          <w:color w:val="000000" w:themeColor="text1"/>
          <w:shd w:val="clear" w:color="auto" w:fill="FFFFFF"/>
        </w:rPr>
        <w:t>(6), 552–570. https://doi.org/10.1080/1068316X.2019.1708353</w:t>
      </w:r>
    </w:p>
    <w:p w:rsidRPr="00B2688B" w:rsidR="000C5D10" w:rsidP="00FD427E" w:rsidRDefault="000C5D10" w14:paraId="0850C26D" w14:textId="087FF236">
      <w:pPr>
        <w:spacing w:line="480" w:lineRule="auto"/>
        <w:ind w:left="851" w:hanging="851"/>
        <w:rPr>
          <w:rFonts w:ascii="Arial" w:hAnsi="Arial" w:cs="Arial"/>
          <w:color w:val="000000" w:themeColor="text1"/>
        </w:rPr>
      </w:pPr>
      <w:r w:rsidRPr="00B2688B">
        <w:rPr>
          <w:rFonts w:ascii="Arial" w:hAnsi="Arial" w:cs="Arial"/>
          <w:color w:val="000000" w:themeColor="text1"/>
          <w:shd w:val="clear" w:color="auto" w:fill="FFFFFF"/>
        </w:rPr>
        <w:t xml:space="preserve">Klein, K. S. (2023). Juror gender and influence in a domestic violence trial. </w:t>
      </w:r>
      <w:r w:rsidRPr="00B2688B">
        <w:rPr>
          <w:rFonts w:ascii="Arial" w:hAnsi="Arial" w:cs="Arial"/>
          <w:i/>
          <w:iCs/>
          <w:color w:val="000000" w:themeColor="text1"/>
          <w:shd w:val="clear" w:color="auto" w:fill="FFFFFF"/>
        </w:rPr>
        <w:t>Social Science and Humanities Open,</w:t>
      </w:r>
      <w:r w:rsidRPr="00B2688B">
        <w:rPr>
          <w:rFonts w:ascii="Arial" w:hAnsi="Arial" w:cs="Arial"/>
          <w:color w:val="000000" w:themeColor="text1"/>
          <w:shd w:val="clear" w:color="auto" w:fill="FFFFFF"/>
        </w:rPr>
        <w:t xml:space="preserve"> 8(1), 100745. </w:t>
      </w:r>
      <w:r w:rsidRPr="00B2688B">
        <w:rPr>
          <w:rStyle w:val="anchor-text"/>
          <w:rFonts w:ascii="Arial" w:hAnsi="Arial" w:cs="Arial" w:eastAsiaTheme="majorEastAsia"/>
          <w:color w:val="000000" w:themeColor="text1"/>
        </w:rPr>
        <w:t>https://doi.org/10.1016/j.ssaho.2023.100745</w:t>
      </w:r>
    </w:p>
    <w:p w:rsidRPr="00B2688B" w:rsidR="000C5D10" w:rsidP="00FD427E" w:rsidRDefault="000C5D10" w14:paraId="6F06441D" w14:textId="4FE41D87">
      <w:pPr>
        <w:spacing w:line="480" w:lineRule="auto"/>
        <w:ind w:left="851" w:hanging="851"/>
        <w:rPr>
          <w:rFonts w:ascii="Arial" w:hAnsi="Arial" w:cs="Arial"/>
          <w:color w:val="000000" w:themeColor="text1"/>
          <w:shd w:val="clear" w:color="auto" w:fill="FFFFFF"/>
        </w:rPr>
      </w:pPr>
      <w:r w:rsidRPr="00B2688B">
        <w:rPr>
          <w:rFonts w:ascii="Arial" w:hAnsi="Arial" w:cs="Arial"/>
          <w:color w:val="000000" w:themeColor="text1"/>
          <w:shd w:val="clear" w:color="auto" w:fill="FFFFFF"/>
        </w:rPr>
        <w:t>Le Grand, A. M., Jenkins, B. D., Golding, J. M., Neuschatz, J. S., Pals, A. M., &amp; Wetmore, S. A. (2021). The Sobering Effects of Jailhouse Informant Testimony on Perceptions of an Intoxicated Rape Victim.</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Basic and Applied Social Psychology</w:t>
      </w:r>
      <w:r w:rsidRPr="00B2688B">
        <w:rPr>
          <w:rFonts w:ascii="Arial" w:hAnsi="Arial" w:cs="Arial"/>
          <w:color w:val="000000" w:themeColor="text1"/>
          <w:shd w:val="clear" w:color="auto" w:fill="FFFFFF"/>
        </w:rPr>
        <w:t>,</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43</w:t>
      </w:r>
      <w:r w:rsidRPr="00B2688B">
        <w:rPr>
          <w:rFonts w:ascii="Arial" w:hAnsi="Arial" w:cs="Arial"/>
          <w:color w:val="000000" w:themeColor="text1"/>
          <w:shd w:val="clear" w:color="auto" w:fill="FFFFFF"/>
        </w:rPr>
        <w:t>(3), 195–212. https://doi.org/10.1080/01973533.2021.1896520</w:t>
      </w:r>
    </w:p>
    <w:p w:rsidRPr="00B2688B" w:rsidR="000C5D10" w:rsidP="00FD427E" w:rsidRDefault="000C5D10" w14:paraId="7AB6729D" w14:textId="7150B079">
      <w:pPr>
        <w:spacing w:line="480" w:lineRule="auto"/>
        <w:ind w:left="851" w:hanging="851"/>
        <w:rPr>
          <w:rFonts w:ascii="Arial" w:hAnsi="Arial" w:cs="Arial"/>
          <w:color w:val="000000" w:themeColor="text1"/>
        </w:rPr>
      </w:pPr>
      <w:r w:rsidRPr="00B2688B">
        <w:rPr>
          <w:rFonts w:ascii="Arial" w:hAnsi="Arial" w:cs="Arial"/>
          <w:color w:val="000000" w:themeColor="text1"/>
        </w:rPr>
        <w:t xml:space="preserve">Maeder, E. M., McManus, L. A., Yamamoto, S. &amp; McLaughlin, K. (2018) A test of gender–crime congruency on mock juror decision-making, </w:t>
      </w:r>
      <w:r w:rsidRPr="00B2688B">
        <w:rPr>
          <w:rFonts w:ascii="Arial" w:hAnsi="Arial" w:cs="Arial"/>
          <w:i/>
          <w:iCs/>
          <w:color w:val="000000" w:themeColor="text1"/>
        </w:rPr>
        <w:t>Cogent Psychology</w:t>
      </w:r>
      <w:r w:rsidRPr="00B2688B">
        <w:rPr>
          <w:rFonts w:ascii="Arial" w:hAnsi="Arial" w:cs="Arial"/>
          <w:color w:val="000000" w:themeColor="text1"/>
        </w:rPr>
        <w:t xml:space="preserve">, 5:1, 1461543. https://doi.org/10.1080/23311908.2018.1461543 </w:t>
      </w:r>
    </w:p>
    <w:p w:rsidRPr="00B2688B" w:rsidR="000C5D10" w:rsidP="00FD427E" w:rsidRDefault="000C5D10" w14:paraId="244D3B70" w14:textId="3DAAEEA7">
      <w:pPr>
        <w:spacing w:line="480" w:lineRule="auto"/>
        <w:ind w:left="851" w:hanging="851"/>
        <w:rPr>
          <w:rFonts w:ascii="Arial" w:hAnsi="Arial" w:cs="Arial"/>
          <w:color w:val="000000" w:themeColor="text1"/>
          <w:shd w:val="clear" w:color="auto" w:fill="FFFFFF"/>
        </w:rPr>
      </w:pPr>
      <w:r w:rsidRPr="00B2688B">
        <w:rPr>
          <w:rFonts w:ascii="Arial" w:hAnsi="Arial" w:cs="Arial"/>
          <w:color w:val="000000" w:themeColor="text1"/>
          <w:shd w:val="clear" w:color="auto" w:fill="FFFFFF"/>
        </w:rPr>
        <w:t>Maeder, E. M., &amp; Yamamoto, S. (2015). Culture in the Courtroom: Ethnocentrism and Juror Decision-Making.</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PloS one</w:t>
      </w:r>
      <w:r w:rsidRPr="00B2688B">
        <w:rPr>
          <w:rFonts w:ascii="Arial" w:hAnsi="Arial" w:cs="Arial"/>
          <w:color w:val="000000" w:themeColor="text1"/>
          <w:shd w:val="clear" w:color="auto" w:fill="FFFFFF"/>
        </w:rPr>
        <w:t>,</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10</w:t>
      </w:r>
      <w:r w:rsidRPr="00B2688B">
        <w:rPr>
          <w:rFonts w:ascii="Arial" w:hAnsi="Arial" w:cs="Arial"/>
          <w:color w:val="000000" w:themeColor="text1"/>
          <w:shd w:val="clear" w:color="auto" w:fill="FFFFFF"/>
        </w:rPr>
        <w:t>(9), e0137799. https://doi.org/10.1371/journal.pone.0137799</w:t>
      </w:r>
    </w:p>
    <w:p w:rsidRPr="00B2688B" w:rsidR="000C5D10" w:rsidP="00FD427E" w:rsidRDefault="000C5D10" w14:paraId="3AD3A7E6" w14:textId="73BB7EE1">
      <w:pPr>
        <w:spacing w:line="480" w:lineRule="auto"/>
        <w:ind w:left="851" w:hanging="851"/>
        <w:rPr>
          <w:rFonts w:ascii="Arial" w:hAnsi="Arial" w:cs="Arial"/>
          <w:color w:val="000000" w:themeColor="text1"/>
        </w:rPr>
      </w:pPr>
      <w:r w:rsidRPr="00B2688B">
        <w:rPr>
          <w:rFonts w:ascii="Arial" w:hAnsi="Arial" w:cs="Arial"/>
          <w:color w:val="000000" w:themeColor="text1"/>
          <w:shd w:val="clear" w:color="auto" w:fill="FFFFFF"/>
        </w:rPr>
        <w:t>Martin, E., &amp; Monds, L. A. (2023). The effect of victim intoxication and crime type on mock jury decision-making.</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Psychology, Crime &amp; Law</w:t>
      </w:r>
      <w:r w:rsidRPr="00B2688B">
        <w:rPr>
          <w:rFonts w:ascii="Arial" w:hAnsi="Arial" w:cs="Arial"/>
          <w:color w:val="000000" w:themeColor="text1"/>
          <w:shd w:val="clear" w:color="auto" w:fill="FFFFFF"/>
        </w:rPr>
        <w:t>,</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30</w:t>
      </w:r>
      <w:r w:rsidRPr="00B2688B">
        <w:rPr>
          <w:rFonts w:ascii="Arial" w:hAnsi="Arial" w:cs="Arial"/>
          <w:color w:val="000000" w:themeColor="text1"/>
          <w:shd w:val="clear" w:color="auto" w:fill="FFFFFF"/>
        </w:rPr>
        <w:t>(9), 1231–1252. https://doi.org/10.1080/1068316X.2023.2176498</w:t>
      </w:r>
    </w:p>
    <w:p w:rsidRPr="00B2688B" w:rsidR="000C5D10" w:rsidP="00FD427E" w:rsidRDefault="000C5D10" w14:paraId="71F93078" w14:textId="65FFB9BB">
      <w:pPr>
        <w:spacing w:line="480" w:lineRule="auto"/>
        <w:ind w:left="851" w:hanging="851"/>
        <w:rPr>
          <w:rFonts w:ascii="Arial" w:hAnsi="Arial" w:cs="Arial"/>
          <w:color w:val="000000" w:themeColor="text1"/>
          <w:shd w:val="clear" w:color="auto" w:fill="FFFFFF"/>
        </w:rPr>
      </w:pPr>
      <w:r w:rsidRPr="00B2688B">
        <w:rPr>
          <w:rFonts w:ascii="Arial" w:hAnsi="Arial" w:cs="Arial"/>
          <w:color w:val="000000" w:themeColor="text1"/>
          <w:shd w:val="clear" w:color="auto" w:fill="FFFFFF"/>
        </w:rPr>
        <w:lastRenderedPageBreak/>
        <w:t>Miller, M. K., Pfeifer, J., Bornstein, B. H., &amp; Kaplan, T. (2021). Trust in the jury system: a comparison of Australian and U.S. samples.</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Psychiatry, psychology, and law : an interdisciplinary journal of the Australian and New Zealand Association of Psychiatry, Psychology and Law</w:t>
      </w:r>
      <w:r w:rsidRPr="00B2688B">
        <w:rPr>
          <w:rFonts w:ascii="Arial" w:hAnsi="Arial" w:cs="Arial"/>
          <w:color w:val="000000" w:themeColor="text1"/>
          <w:shd w:val="clear" w:color="auto" w:fill="FFFFFF"/>
        </w:rPr>
        <w:t>,</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28</w:t>
      </w:r>
      <w:r w:rsidRPr="00B2688B">
        <w:rPr>
          <w:rFonts w:ascii="Arial" w:hAnsi="Arial" w:cs="Arial"/>
          <w:color w:val="000000" w:themeColor="text1"/>
          <w:shd w:val="clear" w:color="auto" w:fill="FFFFFF"/>
        </w:rPr>
        <w:t>(6), 823–840. https://doi.org/10.1080/13218719.2020.1862002</w:t>
      </w:r>
    </w:p>
    <w:p w:rsidRPr="00B2688B" w:rsidR="003960CA" w:rsidP="00FD427E" w:rsidRDefault="003960CA" w14:paraId="43836DFA" w14:textId="480B3B92">
      <w:pPr>
        <w:spacing w:line="480" w:lineRule="auto"/>
        <w:ind w:left="851" w:hanging="851"/>
        <w:rPr>
          <w:rFonts w:ascii="Arial" w:hAnsi="Arial" w:cs="Arial"/>
          <w:color w:val="000000" w:themeColor="text1"/>
          <w:shd w:val="clear" w:color="auto" w:fill="FFFFFF"/>
        </w:rPr>
      </w:pPr>
      <w:r w:rsidRPr="00B2688B">
        <w:rPr>
          <w:rFonts w:ascii="Arial" w:hAnsi="Arial" w:cs="Arial"/>
          <w:color w:val="000000" w:themeColor="text1"/>
          <w:shd w:val="clear" w:color="auto" w:fill="FFFFFF"/>
        </w:rPr>
        <w:t>Munger, F. (2007). Constitutional reform, legal consciousness, and citizen participation in Thailand.</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Cornell Int'l LJ</w:t>
      </w:r>
      <w:r w:rsidRPr="00B2688B">
        <w:rPr>
          <w:rFonts w:ascii="Arial" w:hAnsi="Arial" w:cs="Arial"/>
          <w:color w:val="000000" w:themeColor="text1"/>
          <w:shd w:val="clear" w:color="auto" w:fill="FFFFFF"/>
        </w:rPr>
        <w:t>,</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40</w:t>
      </w:r>
      <w:r w:rsidRPr="00B2688B">
        <w:rPr>
          <w:rFonts w:ascii="Arial" w:hAnsi="Arial" w:cs="Arial"/>
          <w:color w:val="000000" w:themeColor="text1"/>
          <w:shd w:val="clear" w:color="auto" w:fill="FFFFFF"/>
        </w:rPr>
        <w:t>, 455.</w:t>
      </w:r>
    </w:p>
    <w:p w:rsidRPr="00B2688B" w:rsidR="003960CA" w:rsidP="00FD427E" w:rsidRDefault="003960CA" w14:paraId="627AFBBA" w14:textId="5E98645F">
      <w:pPr>
        <w:spacing w:line="480" w:lineRule="auto"/>
        <w:ind w:left="851" w:hanging="851"/>
        <w:rPr>
          <w:rFonts w:ascii="Arial" w:hAnsi="Arial" w:cs="Arial"/>
          <w:color w:val="000000" w:themeColor="text1"/>
          <w:shd w:val="clear" w:color="auto" w:fill="FFFFFF"/>
        </w:rPr>
      </w:pPr>
      <w:r w:rsidRPr="00B2688B">
        <w:rPr>
          <w:rFonts w:ascii="Arial" w:hAnsi="Arial" w:cs="Arial"/>
          <w:color w:val="000000" w:themeColor="text1"/>
          <w:shd w:val="clear" w:color="auto" w:fill="FFFFFF"/>
        </w:rPr>
        <w:t xml:space="preserve">Nisbett, R. E. &amp; Wilson, T. (1977). The Halo Effect: Evidence for Unconscious Alteration of Judgements. </w:t>
      </w:r>
      <w:r w:rsidRPr="00B2688B">
        <w:rPr>
          <w:rFonts w:ascii="Arial" w:hAnsi="Arial" w:cs="Arial"/>
          <w:i/>
          <w:iCs/>
          <w:color w:val="000000" w:themeColor="text1"/>
          <w:shd w:val="clear" w:color="auto" w:fill="FFFFFF"/>
        </w:rPr>
        <w:t xml:space="preserve">Journal of Personality and Social Psychology, </w:t>
      </w:r>
      <w:r w:rsidRPr="00B2688B">
        <w:rPr>
          <w:rFonts w:ascii="Arial" w:hAnsi="Arial" w:cs="Arial"/>
          <w:color w:val="000000" w:themeColor="text1"/>
          <w:shd w:val="clear" w:color="auto" w:fill="FFFFFF"/>
        </w:rPr>
        <w:t>35(4), 250-256.</w:t>
      </w:r>
    </w:p>
    <w:p w:rsidRPr="00B2688B" w:rsidR="003960CA" w:rsidP="00FD427E" w:rsidRDefault="003960CA" w14:paraId="627C04E2" w14:textId="5EB62FDB">
      <w:pPr>
        <w:spacing w:line="480" w:lineRule="auto"/>
        <w:ind w:left="851" w:hanging="851"/>
        <w:rPr>
          <w:rFonts w:ascii="Arial" w:hAnsi="Arial" w:cs="Arial"/>
          <w:color w:val="000000" w:themeColor="text1"/>
          <w:shd w:val="clear" w:color="auto" w:fill="FFFFFF"/>
        </w:rPr>
      </w:pPr>
      <w:r w:rsidRPr="00B2688B">
        <w:rPr>
          <w:rFonts w:ascii="Arial" w:hAnsi="Arial" w:cs="Arial"/>
          <w:color w:val="000000" w:themeColor="text1"/>
          <w:shd w:val="clear" w:color="auto" w:fill="FFFFFF"/>
        </w:rPr>
        <w:t>Olivera-La Rosa, A., Ayala, L. D., &amp; Tamayo, R. M. (2024). When being unattractive is an advantage: effects of face perception on intuitive culpability judgments.</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Psychiatry, psychology, and law : an interdisciplinary journal of the Australian and New Zealand Association of Psychiatry, Psychology and Law</w:t>
      </w:r>
      <w:r w:rsidRPr="00B2688B">
        <w:rPr>
          <w:rFonts w:ascii="Arial" w:hAnsi="Arial" w:cs="Arial"/>
          <w:color w:val="000000" w:themeColor="text1"/>
          <w:shd w:val="clear" w:color="auto" w:fill="FFFFFF"/>
        </w:rPr>
        <w:t>,</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31</w:t>
      </w:r>
      <w:r w:rsidRPr="00B2688B">
        <w:rPr>
          <w:rFonts w:ascii="Arial" w:hAnsi="Arial" w:cs="Arial"/>
          <w:color w:val="000000" w:themeColor="text1"/>
          <w:shd w:val="clear" w:color="auto" w:fill="FFFFFF"/>
        </w:rPr>
        <w:t>(6), 1114–1130. https://doi.org/10.1080/13218719.2023.2260847</w:t>
      </w:r>
    </w:p>
    <w:p w:rsidRPr="00B2688B" w:rsidR="003960CA" w:rsidP="00FD427E" w:rsidRDefault="003960CA" w14:paraId="37852B9E" w14:textId="6B29498F">
      <w:pPr>
        <w:spacing w:line="480" w:lineRule="auto"/>
        <w:ind w:left="851" w:hanging="851"/>
        <w:rPr>
          <w:rFonts w:ascii="Arial" w:hAnsi="Arial" w:cs="Arial"/>
          <w:color w:val="000000" w:themeColor="text1"/>
          <w:shd w:val="clear" w:color="auto" w:fill="FFFFFF"/>
        </w:rPr>
      </w:pPr>
      <w:r w:rsidRPr="00B2688B">
        <w:rPr>
          <w:rFonts w:ascii="Arial" w:hAnsi="Arial" w:cs="Arial"/>
          <w:color w:val="000000" w:themeColor="text1"/>
          <w:shd w:val="clear" w:color="auto" w:fill="FFFFFF"/>
        </w:rPr>
        <w:t>Pang, H.T., Zhou, X. &amp; Chu, M. (2024). Cross-cultural Differences in Using Nonverbal Behaviors to Identify Indirect Replies.</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J Nonverbal Behav</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color w:val="000000" w:themeColor="text1"/>
        </w:rPr>
        <w:t>48</w:t>
      </w:r>
      <w:r w:rsidRPr="00B2688B">
        <w:rPr>
          <w:rFonts w:ascii="Arial" w:hAnsi="Arial" w:cs="Arial"/>
          <w:color w:val="000000" w:themeColor="text1"/>
          <w:shd w:val="clear" w:color="auto" w:fill="FFFFFF"/>
        </w:rPr>
        <w:t>, 323–344. https://doi.org/10.1007/s10919-024-00454-z</w:t>
      </w:r>
    </w:p>
    <w:p w:rsidRPr="00B2688B" w:rsidR="003960CA" w:rsidP="00FD427E" w:rsidRDefault="003960CA" w14:paraId="546C8332" w14:textId="28744E20">
      <w:pPr>
        <w:spacing w:line="480" w:lineRule="auto"/>
        <w:ind w:left="851" w:hanging="851"/>
        <w:rPr>
          <w:rFonts w:ascii="Arial" w:hAnsi="Arial" w:cs="Arial"/>
          <w:color w:val="000000" w:themeColor="text1"/>
          <w:shd w:val="clear" w:color="auto" w:fill="FFFFFF"/>
        </w:rPr>
      </w:pPr>
      <w:r w:rsidRPr="00B2688B">
        <w:rPr>
          <w:rStyle w:val="author"/>
          <w:rFonts w:ascii="Arial" w:hAnsi="Arial" w:cs="Arial" w:eastAsiaTheme="majorEastAsia"/>
          <w:color w:val="000000" w:themeColor="text1"/>
        </w:rPr>
        <w:t>Ribeiro,</w:t>
      </w:r>
      <w:r w:rsidRPr="00B2688B">
        <w:rPr>
          <w:rStyle w:val="apple-converted-space"/>
          <w:rFonts w:ascii="Arial" w:hAnsi="Arial" w:cs="Arial" w:eastAsiaTheme="majorEastAsia"/>
          <w:color w:val="000000" w:themeColor="text1"/>
        </w:rPr>
        <w:t> </w:t>
      </w:r>
      <w:r w:rsidRPr="00B2688B">
        <w:rPr>
          <w:rStyle w:val="author"/>
          <w:rFonts w:ascii="Arial" w:hAnsi="Arial" w:cs="Arial" w:eastAsiaTheme="majorEastAsia"/>
          <w:color w:val="000000" w:themeColor="text1"/>
        </w:rPr>
        <w:t>G.</w:t>
      </w:r>
      <w:r w:rsidRPr="00B2688B">
        <w:rPr>
          <w:rFonts w:ascii="Arial" w:hAnsi="Arial" w:cs="Arial"/>
          <w:color w:val="000000" w:themeColor="text1"/>
          <w:shd w:val="clear" w:color="auto" w:fill="FFFFFF"/>
        </w:rPr>
        <w:t>, &amp;</w:t>
      </w:r>
      <w:r w:rsidRPr="00B2688B">
        <w:rPr>
          <w:rStyle w:val="apple-converted-space"/>
          <w:rFonts w:ascii="Arial" w:hAnsi="Arial" w:cs="Arial" w:eastAsiaTheme="majorEastAsia"/>
          <w:color w:val="000000" w:themeColor="text1"/>
          <w:shd w:val="clear" w:color="auto" w:fill="FFFFFF"/>
        </w:rPr>
        <w:t>  </w:t>
      </w:r>
      <w:r w:rsidRPr="00B2688B">
        <w:rPr>
          <w:rStyle w:val="author"/>
          <w:rFonts w:ascii="Arial" w:hAnsi="Arial" w:cs="Arial" w:eastAsiaTheme="majorEastAsia"/>
          <w:color w:val="000000" w:themeColor="text1"/>
        </w:rPr>
        <w:t>Nitschke,</w:t>
      </w:r>
      <w:r w:rsidRPr="00B2688B">
        <w:rPr>
          <w:rStyle w:val="apple-converted-space"/>
          <w:rFonts w:ascii="Arial" w:hAnsi="Arial" w:cs="Arial" w:eastAsiaTheme="majorEastAsia"/>
          <w:color w:val="000000" w:themeColor="text1"/>
        </w:rPr>
        <w:t> </w:t>
      </w:r>
      <w:r w:rsidRPr="00B2688B">
        <w:rPr>
          <w:rStyle w:val="author"/>
          <w:rFonts w:ascii="Arial" w:hAnsi="Arial" w:cs="Arial" w:eastAsiaTheme="majorEastAsia"/>
          <w:color w:val="000000" w:themeColor="text1"/>
        </w:rPr>
        <w:t>F. T.</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color w:val="000000" w:themeColor="text1"/>
          <w:shd w:val="clear" w:color="auto" w:fill="FFFFFF"/>
        </w:rPr>
        <w:t>(</w:t>
      </w:r>
      <w:r w:rsidRPr="00B2688B">
        <w:rPr>
          <w:rStyle w:val="pubyear"/>
          <w:rFonts w:ascii="Arial" w:hAnsi="Arial" w:cs="Arial" w:eastAsiaTheme="majorEastAsia"/>
          <w:color w:val="000000" w:themeColor="text1"/>
        </w:rPr>
        <w:t>2025</w:t>
      </w:r>
      <w:r w:rsidRPr="00B2688B">
        <w:rPr>
          <w:rFonts w:ascii="Arial" w:hAnsi="Arial" w:cs="Arial"/>
          <w:color w:val="000000" w:themeColor="text1"/>
          <w:shd w:val="clear" w:color="auto" w:fill="FFFFFF"/>
        </w:rPr>
        <w:t>).</w:t>
      </w:r>
      <w:r w:rsidRPr="00B2688B">
        <w:rPr>
          <w:rStyle w:val="apple-converted-space"/>
          <w:rFonts w:ascii="Arial" w:hAnsi="Arial" w:cs="Arial" w:eastAsiaTheme="majorEastAsia"/>
          <w:color w:val="000000" w:themeColor="text1"/>
          <w:shd w:val="clear" w:color="auto" w:fill="FFFFFF"/>
        </w:rPr>
        <w:t>  </w:t>
      </w:r>
      <w:r w:rsidRPr="00B2688B">
        <w:rPr>
          <w:rStyle w:val="articletitle"/>
          <w:rFonts w:ascii="Arial" w:hAnsi="Arial" w:cs="Arial" w:eastAsiaTheme="majorEastAsia"/>
          <w:color w:val="000000" w:themeColor="text1"/>
        </w:rPr>
        <w:t>Jurors’ perceptions of transgender victims of sexual assault: A literature review of empirical research and policy review of judicial instructions</w:t>
      </w:r>
      <w:r w:rsidRPr="00B2688B">
        <w:rPr>
          <w:rFonts w:ascii="Arial" w:hAnsi="Arial" w:cs="Arial"/>
          <w:color w:val="000000" w:themeColor="text1"/>
          <w:shd w:val="clear" w:color="auto" w:fill="FFFFFF"/>
        </w:rPr>
        <w:t>.</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Behavioral Sciences &amp; the Law</w:t>
      </w:r>
      <w:r w:rsidRPr="00B2688B">
        <w:rPr>
          <w:rFonts w:ascii="Arial" w:hAnsi="Arial" w:cs="Arial"/>
          <w:color w:val="000000" w:themeColor="text1"/>
          <w:shd w:val="clear" w:color="auto" w:fill="FFFFFF"/>
        </w:rPr>
        <w:t>,</w:t>
      </w:r>
      <w:r w:rsidRPr="00B2688B">
        <w:rPr>
          <w:rStyle w:val="apple-converted-space"/>
          <w:rFonts w:ascii="Arial" w:hAnsi="Arial" w:cs="Arial" w:eastAsiaTheme="majorEastAsia"/>
          <w:color w:val="000000" w:themeColor="text1"/>
          <w:shd w:val="clear" w:color="auto" w:fill="FFFFFF"/>
        </w:rPr>
        <w:t>  </w:t>
      </w:r>
      <w:r w:rsidRPr="00B2688B">
        <w:rPr>
          <w:rStyle w:val="vol"/>
          <w:rFonts w:ascii="Arial" w:hAnsi="Arial" w:cs="Arial" w:eastAsiaTheme="majorEastAsia"/>
          <w:color w:val="000000" w:themeColor="text1"/>
        </w:rPr>
        <w:t>43</w:t>
      </w:r>
      <w:r w:rsidRPr="00B2688B">
        <w:rPr>
          <w:rFonts w:ascii="Arial" w:hAnsi="Arial" w:cs="Arial"/>
          <w:color w:val="000000" w:themeColor="text1"/>
          <w:shd w:val="clear" w:color="auto" w:fill="FFFFFF"/>
        </w:rPr>
        <w:t>(</w:t>
      </w:r>
      <w:r w:rsidRPr="00B2688B">
        <w:rPr>
          <w:rStyle w:val="citedissue"/>
          <w:rFonts w:ascii="Arial" w:hAnsi="Arial" w:cs="Arial" w:eastAsiaTheme="majorEastAsia"/>
          <w:color w:val="000000" w:themeColor="text1"/>
        </w:rPr>
        <w:t>1</w:t>
      </w:r>
      <w:r w:rsidRPr="00B2688B">
        <w:rPr>
          <w:rFonts w:ascii="Arial" w:hAnsi="Arial" w:cs="Arial"/>
          <w:color w:val="000000" w:themeColor="text1"/>
          <w:shd w:val="clear" w:color="auto" w:fill="FFFFFF"/>
        </w:rPr>
        <w:t>),</w:t>
      </w:r>
      <w:r w:rsidRPr="00B2688B">
        <w:rPr>
          <w:rStyle w:val="apple-converted-space"/>
          <w:rFonts w:ascii="Arial" w:hAnsi="Arial" w:cs="Arial" w:eastAsiaTheme="majorEastAsia"/>
          <w:color w:val="000000" w:themeColor="text1"/>
          <w:shd w:val="clear" w:color="auto" w:fill="FFFFFF"/>
        </w:rPr>
        <w:t>  </w:t>
      </w:r>
      <w:r w:rsidRPr="00B2688B">
        <w:rPr>
          <w:rStyle w:val="pagefirst"/>
          <w:rFonts w:ascii="Arial" w:hAnsi="Arial" w:cs="Arial" w:eastAsiaTheme="majorEastAsia"/>
          <w:color w:val="000000" w:themeColor="text1"/>
        </w:rPr>
        <w:t>7</w:t>
      </w:r>
      <w:r w:rsidRPr="00B2688B">
        <w:rPr>
          <w:rFonts w:ascii="Arial" w:hAnsi="Arial" w:cs="Arial"/>
          <w:color w:val="000000" w:themeColor="text1"/>
          <w:shd w:val="clear" w:color="auto" w:fill="FFFFFF"/>
        </w:rPr>
        <w:t>–</w:t>
      </w:r>
      <w:r w:rsidRPr="00B2688B">
        <w:rPr>
          <w:rStyle w:val="pagelast"/>
          <w:rFonts w:ascii="Arial" w:hAnsi="Arial" w:cs="Arial" w:eastAsiaTheme="majorEastAsia"/>
          <w:color w:val="000000" w:themeColor="text1"/>
        </w:rPr>
        <w:t>27</w:t>
      </w:r>
      <w:r w:rsidRPr="00B2688B">
        <w:rPr>
          <w:rFonts w:ascii="Arial" w:hAnsi="Arial" w:cs="Arial"/>
          <w:color w:val="000000" w:themeColor="text1"/>
          <w:shd w:val="clear" w:color="auto" w:fill="FFFFFF"/>
        </w:rPr>
        <w:t>.</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color w:val="000000" w:themeColor="text1"/>
        </w:rPr>
        <w:t>https://doi.org/10.1002/bsl.2694</w:t>
      </w:r>
    </w:p>
    <w:p w:rsidRPr="00B2688B" w:rsidR="003960CA" w:rsidP="00FD427E" w:rsidRDefault="003960CA" w14:paraId="40AD8813" w14:textId="6063079E">
      <w:pPr>
        <w:spacing w:line="480" w:lineRule="auto"/>
        <w:ind w:left="851" w:hanging="851"/>
        <w:rPr>
          <w:rFonts w:ascii="Arial" w:hAnsi="Arial" w:cs="Arial"/>
          <w:color w:val="000000" w:themeColor="text1"/>
          <w:shd w:val="clear" w:color="auto" w:fill="FFFFFF"/>
        </w:rPr>
      </w:pPr>
      <w:r w:rsidRPr="00B2688B">
        <w:rPr>
          <w:rFonts w:ascii="Arial" w:hAnsi="Arial" w:cs="Arial"/>
          <w:color w:val="000000" w:themeColor="text1"/>
          <w:shd w:val="clear" w:color="auto" w:fill="FFFFFF"/>
        </w:rPr>
        <w:t>Ringger C. S. (2021). Attitudinal Predictors of Juror Decisions on Gender and Sexual Minority Defendants.</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Journal of homosexuality</w:t>
      </w:r>
      <w:r w:rsidRPr="00B2688B">
        <w:rPr>
          <w:rFonts w:ascii="Arial" w:hAnsi="Arial" w:cs="Arial"/>
          <w:color w:val="000000" w:themeColor="text1"/>
          <w:shd w:val="clear" w:color="auto" w:fill="FFFFFF"/>
        </w:rPr>
        <w:t>,</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68</w:t>
      </w:r>
      <w:r w:rsidRPr="00B2688B">
        <w:rPr>
          <w:rFonts w:ascii="Arial" w:hAnsi="Arial" w:cs="Arial"/>
          <w:color w:val="000000" w:themeColor="text1"/>
          <w:shd w:val="clear" w:color="auto" w:fill="FFFFFF"/>
        </w:rPr>
        <w:t xml:space="preserve">(12), 2047–2074. </w:t>
      </w:r>
      <w:r w:rsidRPr="00B2688B" w:rsidR="000C5D10">
        <w:rPr>
          <w:rFonts w:ascii="Arial" w:hAnsi="Arial" w:cs="Arial"/>
          <w:color w:val="000000" w:themeColor="text1"/>
          <w:shd w:val="clear" w:color="auto" w:fill="FFFFFF"/>
        </w:rPr>
        <w:t>https://doi.org/10.1080/00918369.2020.1717839</w:t>
      </w:r>
    </w:p>
    <w:p w:rsidRPr="00B2688B" w:rsidR="000C5D10" w:rsidP="00FD427E" w:rsidRDefault="000C5D10" w14:paraId="68A88B1F" w14:textId="6A5E3125">
      <w:pPr>
        <w:spacing w:line="480" w:lineRule="auto"/>
        <w:ind w:left="851" w:hanging="851"/>
        <w:rPr>
          <w:rFonts w:ascii="Arial" w:hAnsi="Arial" w:cs="Arial"/>
          <w:color w:val="000000" w:themeColor="text1"/>
          <w:shd w:val="clear" w:color="auto" w:fill="FFFFFF"/>
        </w:rPr>
      </w:pPr>
      <w:r w:rsidRPr="00B2688B">
        <w:rPr>
          <w:rFonts w:ascii="Arial" w:hAnsi="Arial" w:cs="Arial"/>
          <w:color w:val="000000" w:themeColor="text1"/>
          <w:shd w:val="clear" w:color="auto" w:fill="FFFFFF"/>
        </w:rPr>
        <w:lastRenderedPageBreak/>
        <w:t>Ruva, C. L., Smith, K. D., &amp; Sykes, E. C. (2023). Gender, Generations, and Guilt: Defendant Gender and Age Affect Jurors' Decisions and Perceptions in an Intimate Partner Homicide Trial.</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Journal of interpersonal violence</w:t>
      </w:r>
      <w:r w:rsidRPr="00B2688B">
        <w:rPr>
          <w:rFonts w:ascii="Arial" w:hAnsi="Arial" w:cs="Arial"/>
          <w:color w:val="000000" w:themeColor="text1"/>
          <w:shd w:val="clear" w:color="auto" w:fill="FFFFFF"/>
        </w:rPr>
        <w:t>,</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38</w:t>
      </w:r>
      <w:r w:rsidRPr="00B2688B">
        <w:rPr>
          <w:rFonts w:ascii="Arial" w:hAnsi="Arial" w:cs="Arial"/>
          <w:color w:val="000000" w:themeColor="text1"/>
          <w:shd w:val="clear" w:color="auto" w:fill="FFFFFF"/>
        </w:rPr>
        <w:t>(23-24), 12089–12112. https://doi.org/10.1177/08862605231191227</w:t>
      </w:r>
    </w:p>
    <w:p w:rsidRPr="00B2688B" w:rsidR="000C5D10" w:rsidP="00FD427E" w:rsidRDefault="000C5D10" w14:paraId="73CF504F" w14:textId="6DFD6728">
      <w:pPr>
        <w:spacing w:line="480" w:lineRule="auto"/>
        <w:ind w:left="851" w:hanging="851"/>
        <w:rPr>
          <w:rFonts w:ascii="Arial" w:hAnsi="Arial" w:cs="Arial"/>
          <w:color w:val="000000" w:themeColor="text1"/>
          <w:shd w:val="clear" w:color="auto" w:fill="FFFFFF"/>
        </w:rPr>
      </w:pPr>
      <w:r w:rsidRPr="00B2688B">
        <w:rPr>
          <w:rFonts w:ascii="Arial" w:hAnsi="Arial" w:cs="Arial"/>
          <w:color w:val="000000" w:themeColor="text1"/>
          <w:shd w:val="clear" w:color="auto" w:fill="FFFFFF"/>
        </w:rPr>
        <w:t xml:space="preserve">Schweitzer, N.J. &amp; Saks, M. J. (2007) The CSI Effect: Popular Fiction About Forensic Science Affects Public Expectations About Real Forensic Science. </w:t>
      </w:r>
      <w:r w:rsidRPr="00B2688B">
        <w:rPr>
          <w:rFonts w:ascii="Arial" w:hAnsi="Arial" w:cs="Arial"/>
          <w:i/>
          <w:iCs/>
          <w:color w:val="000000" w:themeColor="text1"/>
          <w:shd w:val="clear" w:color="auto" w:fill="FFFFFF"/>
        </w:rPr>
        <w:t>Jurimetrics</w:t>
      </w:r>
      <w:r w:rsidRPr="00B2688B">
        <w:rPr>
          <w:rFonts w:ascii="Arial" w:hAnsi="Arial" w:cs="Arial"/>
          <w:color w:val="000000" w:themeColor="text1"/>
          <w:shd w:val="clear" w:color="auto" w:fill="FFFFFF"/>
        </w:rPr>
        <w:t xml:space="preserve">, 47, 357. </w:t>
      </w:r>
    </w:p>
    <w:p w:rsidRPr="00B2688B" w:rsidR="000C5D10" w:rsidP="00FD427E" w:rsidRDefault="000C5D10" w14:paraId="1EE5365E" w14:textId="3C3BA221">
      <w:pPr>
        <w:spacing w:line="480" w:lineRule="auto"/>
        <w:ind w:left="851" w:hanging="851"/>
        <w:rPr>
          <w:rFonts w:ascii="Arial" w:hAnsi="Arial" w:cs="Arial"/>
          <w:color w:val="000000" w:themeColor="text1"/>
          <w:shd w:val="clear" w:color="auto" w:fill="FFFFFF"/>
        </w:rPr>
      </w:pPr>
      <w:r w:rsidRPr="00B2688B">
        <w:rPr>
          <w:rFonts w:ascii="Arial" w:hAnsi="Arial" w:cs="Arial"/>
          <w:color w:val="000000" w:themeColor="text1"/>
          <w:shd w:val="clear" w:color="auto" w:fill="FFFFFF"/>
        </w:rPr>
        <w:t xml:space="preserve">Taylor, J. &amp; Tarrant, G. (2019). Trial by Social Media: How do you find the jury, guilty or not guilty?. </w:t>
      </w:r>
      <w:r w:rsidRPr="00B2688B">
        <w:rPr>
          <w:rFonts w:ascii="Arial" w:hAnsi="Arial" w:cs="Arial"/>
          <w:i/>
          <w:iCs/>
          <w:color w:val="000000" w:themeColor="text1"/>
          <w:shd w:val="clear" w:color="auto" w:fill="FFFFFF"/>
        </w:rPr>
        <w:t>International Journal of Cyber Research and Education</w:t>
      </w:r>
      <w:r w:rsidRPr="00B2688B">
        <w:rPr>
          <w:rFonts w:ascii="Arial" w:hAnsi="Arial" w:cs="Arial"/>
          <w:color w:val="000000" w:themeColor="text1"/>
          <w:shd w:val="clear" w:color="auto" w:fill="FFFFFF"/>
        </w:rPr>
        <w:t>. 1(2), 50-61.</w:t>
      </w:r>
    </w:p>
    <w:p w:rsidRPr="00B2688B" w:rsidR="000C5D10" w:rsidP="00FD427E" w:rsidRDefault="000C5D10" w14:paraId="26283C60" w14:textId="10AB839F">
      <w:pPr>
        <w:spacing w:line="480" w:lineRule="auto"/>
        <w:ind w:left="851" w:hanging="851"/>
        <w:rPr>
          <w:rFonts w:ascii="Arial" w:hAnsi="Arial" w:cs="Arial"/>
          <w:color w:val="000000" w:themeColor="text1"/>
          <w:shd w:val="clear" w:color="auto" w:fill="FFFFFF"/>
        </w:rPr>
      </w:pPr>
      <w:r w:rsidRPr="00B2688B">
        <w:rPr>
          <w:rFonts w:ascii="Arial" w:hAnsi="Arial" w:cs="Arial"/>
          <w:color w:val="000000" w:themeColor="text1"/>
          <w:shd w:val="clear" w:color="auto" w:fill="FFFFFF"/>
        </w:rPr>
        <w:t>Turner, Jim (2012). The ‘CSI Effect’: Are potential jurors sensitive to the (un)realism of fictional forensic evidence? In: European Association of Psychology and Law Conference 2012 (EAPL 2012), 10-13 Apr 2012, Nicosia, Cyprus.</w:t>
      </w:r>
    </w:p>
    <w:p w:rsidRPr="00B2688B" w:rsidR="000C5D10" w:rsidP="00FD427E" w:rsidRDefault="000C5D10" w14:paraId="7480F96A" w14:textId="2F4C5E78">
      <w:pPr>
        <w:spacing w:line="480" w:lineRule="auto"/>
        <w:ind w:left="851" w:hanging="851"/>
        <w:rPr>
          <w:rFonts w:ascii="Arial" w:hAnsi="Arial" w:cs="Arial"/>
          <w:color w:val="000000" w:themeColor="text1"/>
        </w:rPr>
      </w:pPr>
      <w:r w:rsidRPr="00B2688B">
        <w:rPr>
          <w:rFonts w:ascii="Arial" w:hAnsi="Arial" w:cs="Arial"/>
          <w:color w:val="000000" w:themeColor="text1"/>
          <w:shd w:val="clear" w:color="auto" w:fill="FFFFFF"/>
        </w:rPr>
        <w:t>Wackler, A. J. (2024).</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Ambivalent Sexism and the Impact of Victim Attractiveness on Believability</w:t>
      </w:r>
      <w:r w:rsidRPr="00B2688B">
        <w:rPr>
          <w:rStyle w:val="apple-converted-space"/>
          <w:rFonts w:ascii="Arial" w:hAnsi="Arial" w:cs="Arial" w:eastAsiaTheme="majorEastAsia"/>
          <w:i/>
          <w:iCs/>
          <w:color w:val="000000" w:themeColor="text1"/>
        </w:rPr>
        <w:t> </w:t>
      </w:r>
      <w:r w:rsidRPr="00B2688B">
        <w:rPr>
          <w:rFonts w:ascii="Arial" w:hAnsi="Arial" w:cs="Arial"/>
          <w:color w:val="000000" w:themeColor="text1"/>
          <w:shd w:val="clear" w:color="auto" w:fill="FFFFFF"/>
        </w:rPr>
        <w:t>[Master’s dissertation, University of Central Oklahoma], University of Central Oklahoma.</w:t>
      </w:r>
    </w:p>
    <w:p w:rsidRPr="00B2688B" w:rsidR="000C5D10" w:rsidP="00FD427E" w:rsidRDefault="000C5D10" w14:paraId="0DE82F48" w14:textId="77777777">
      <w:pPr>
        <w:spacing w:line="480" w:lineRule="auto"/>
        <w:ind w:left="851" w:hanging="851"/>
        <w:rPr>
          <w:rFonts w:ascii="Arial" w:hAnsi="Arial" w:cs="Arial"/>
          <w:color w:val="000000" w:themeColor="text1"/>
          <w:shd w:val="clear" w:color="auto" w:fill="FFFFFF"/>
        </w:rPr>
      </w:pPr>
      <w:r w:rsidRPr="00B2688B">
        <w:rPr>
          <w:rFonts w:ascii="Arial" w:hAnsi="Arial" w:cs="Arial"/>
          <w:color w:val="000000" w:themeColor="text1"/>
          <w:shd w:val="clear" w:color="auto" w:fill="FFFFFF"/>
        </w:rPr>
        <w:t>Willmott, D. (2017).</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color w:val="000000" w:themeColor="text1"/>
        </w:rPr>
        <w:t>Jury Psychology</w:t>
      </w:r>
      <w:r w:rsidRPr="00B2688B">
        <w:rPr>
          <w:rFonts w:ascii="Arial" w:hAnsi="Arial" w:cs="Arial"/>
          <w:color w:val="000000" w:themeColor="text1"/>
          <w:shd w:val="clear" w:color="auto" w:fill="FFFFFF"/>
        </w:rPr>
        <w:t>. In B. Baker, R. Minhas, &amp; L. Wilson (Eds.),</w:t>
      </w:r>
      <w:r w:rsidRPr="00B2688B">
        <w:rPr>
          <w:rStyle w:val="apple-converted-space"/>
          <w:rFonts w:ascii="Arial" w:hAnsi="Arial" w:cs="Arial" w:eastAsiaTheme="majorEastAsia"/>
          <w:color w:val="000000" w:themeColor="text1"/>
          <w:shd w:val="clear" w:color="auto" w:fill="FFFFFF"/>
        </w:rPr>
        <w:t> </w:t>
      </w:r>
      <w:r w:rsidRPr="00B2688B">
        <w:rPr>
          <w:rStyle w:val="Emphasis"/>
          <w:rFonts w:ascii="Arial" w:hAnsi="Arial" w:cs="Arial" w:eastAsiaTheme="majorEastAsia"/>
          <w:color w:val="000000" w:themeColor="text1"/>
        </w:rPr>
        <w:t>Factbook: Psychology and Law</w:t>
      </w:r>
      <w:r w:rsidRPr="00B2688B">
        <w:rPr>
          <w:rStyle w:val="apple-converted-space"/>
          <w:rFonts w:ascii="Arial" w:hAnsi="Arial" w:cs="Arial" w:eastAsiaTheme="majorEastAsia"/>
          <w:i/>
          <w:iCs/>
          <w:color w:val="000000" w:themeColor="text1"/>
        </w:rPr>
        <w:t> </w:t>
      </w:r>
      <w:r w:rsidRPr="00B2688B">
        <w:rPr>
          <w:rFonts w:ascii="Arial" w:hAnsi="Arial" w:cs="Arial"/>
          <w:color w:val="000000" w:themeColor="text1"/>
          <w:shd w:val="clear" w:color="auto" w:fill="FFFFFF"/>
        </w:rPr>
        <w:t>(2 ed.). European Association of Psychology and Law.</w:t>
      </w:r>
    </w:p>
    <w:p w:rsidRPr="00B2688B" w:rsidR="003960CA" w:rsidP="00FD427E" w:rsidRDefault="003960CA" w14:paraId="517AD799" w14:textId="43F7A0FF">
      <w:pPr>
        <w:spacing w:line="480" w:lineRule="auto"/>
        <w:ind w:left="851" w:hanging="851"/>
        <w:rPr>
          <w:rFonts w:ascii="Arial" w:hAnsi="Arial" w:cs="Arial"/>
          <w:color w:val="000000" w:themeColor="text1"/>
          <w:shd w:val="clear" w:color="auto" w:fill="FFFFFF"/>
        </w:rPr>
      </w:pPr>
      <w:r w:rsidRPr="00B2688B">
        <w:rPr>
          <w:rFonts w:ascii="Arial" w:hAnsi="Arial" w:cs="Arial"/>
          <w:color w:val="000000" w:themeColor="text1"/>
          <w:shd w:val="clear" w:color="auto" w:fill="FFFFFF"/>
        </w:rPr>
        <w:t>Wilson, J. P., &amp; Rule, N. O. (2015). Facial Trustworthiness Predicts Extreme Criminal-Sentencing Outcomes.</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Psychological science</w:t>
      </w:r>
      <w:r w:rsidRPr="00B2688B">
        <w:rPr>
          <w:rFonts w:ascii="Arial" w:hAnsi="Arial" w:cs="Arial"/>
          <w:color w:val="000000" w:themeColor="text1"/>
          <w:shd w:val="clear" w:color="auto" w:fill="FFFFFF"/>
        </w:rPr>
        <w:t>,</w:t>
      </w:r>
      <w:r w:rsidRPr="00B2688B">
        <w:rPr>
          <w:rStyle w:val="apple-converted-space"/>
          <w:rFonts w:ascii="Arial" w:hAnsi="Arial" w:cs="Arial" w:eastAsiaTheme="majorEastAsia"/>
          <w:color w:val="000000" w:themeColor="text1"/>
          <w:shd w:val="clear" w:color="auto" w:fill="FFFFFF"/>
        </w:rPr>
        <w:t> </w:t>
      </w:r>
      <w:r w:rsidRPr="00B2688B">
        <w:rPr>
          <w:rFonts w:ascii="Arial" w:hAnsi="Arial" w:cs="Arial"/>
          <w:i/>
          <w:iCs/>
          <w:color w:val="000000" w:themeColor="text1"/>
        </w:rPr>
        <w:t>26</w:t>
      </w:r>
      <w:r w:rsidRPr="00B2688B">
        <w:rPr>
          <w:rFonts w:ascii="Arial" w:hAnsi="Arial" w:cs="Arial"/>
          <w:color w:val="000000" w:themeColor="text1"/>
          <w:shd w:val="clear" w:color="auto" w:fill="FFFFFF"/>
        </w:rPr>
        <w:t xml:space="preserve">(8), 1325–1331. </w:t>
      </w:r>
      <w:r w:rsidRPr="00B2688B" w:rsidR="000C5D10">
        <w:rPr>
          <w:rFonts w:ascii="Arial" w:hAnsi="Arial" w:cs="Arial"/>
          <w:color w:val="000000" w:themeColor="text1"/>
          <w:shd w:val="clear" w:color="auto" w:fill="FFFFFF"/>
        </w:rPr>
        <w:t>https://doi.org/10.1177/0956797615590992</w:t>
      </w:r>
    </w:p>
    <w:p w:rsidRPr="003960CA" w:rsidR="000C5D10" w:rsidP="00FD427E" w:rsidRDefault="000C5D10" w14:paraId="1F663536" w14:textId="7100C862">
      <w:pPr>
        <w:spacing w:line="480" w:lineRule="auto"/>
        <w:ind w:left="851" w:hanging="851"/>
        <w:rPr>
          <w:rFonts w:ascii="Arial" w:hAnsi="Arial" w:cs="Arial"/>
          <w:color w:val="000000" w:themeColor="text1"/>
        </w:rPr>
      </w:pPr>
      <w:r w:rsidRPr="00B2688B">
        <w:rPr>
          <w:rFonts w:ascii="Arial" w:hAnsi="Arial" w:cs="Arial"/>
          <w:color w:val="000000" w:themeColor="text1"/>
          <w:shd w:val="clear" w:color="auto" w:fill="FFFFFF"/>
        </w:rPr>
        <w:t xml:space="preserve">Yang, Q., Zhu, B., Zhang, Q., Wang, Y., Hu, R., Liu, S. &amp; Sun, D. (2019). Effects of Male Defendants’ Attractiveness and Trustworthiness on Simulated Judicial </w:t>
      </w:r>
      <w:r w:rsidRPr="00B2688B">
        <w:rPr>
          <w:rFonts w:ascii="Arial" w:hAnsi="Arial" w:cs="Arial"/>
          <w:color w:val="000000" w:themeColor="text1"/>
          <w:shd w:val="clear" w:color="auto" w:fill="FFFFFF"/>
        </w:rPr>
        <w:lastRenderedPageBreak/>
        <w:t xml:space="preserve">Decisions in Two Different Swindles. </w:t>
      </w:r>
      <w:r w:rsidRPr="00B2688B">
        <w:rPr>
          <w:rFonts w:ascii="Arial" w:hAnsi="Arial" w:cs="Arial"/>
          <w:i/>
          <w:iCs/>
          <w:color w:val="000000" w:themeColor="text1"/>
          <w:shd w:val="clear" w:color="auto" w:fill="FFFFFF"/>
        </w:rPr>
        <w:t>Frontiers in Psychology,</w:t>
      </w:r>
      <w:r w:rsidRPr="00B2688B">
        <w:rPr>
          <w:rFonts w:ascii="Arial" w:hAnsi="Arial" w:cs="Arial"/>
          <w:color w:val="000000" w:themeColor="text1"/>
          <w:shd w:val="clear" w:color="auto" w:fill="FFFFFF"/>
        </w:rPr>
        <w:t xml:space="preserve"> 10, </w:t>
      </w:r>
      <w:r w:rsidRPr="00B2688B">
        <w:rPr>
          <w:rFonts w:ascii="Arial" w:hAnsi="Arial" w:cs="Arial" w:eastAsiaTheme="majorEastAsia"/>
          <w:color w:val="000000" w:themeColor="text1"/>
        </w:rPr>
        <w:t>https://doi.org/10.3389/fpsyg.2019.02160</w:t>
      </w:r>
    </w:p>
    <w:p w:rsidRPr="00B2688B" w:rsidR="003960CA" w:rsidP="00B2688B" w:rsidRDefault="003960CA" w14:paraId="09D104CF" w14:textId="77777777">
      <w:pPr>
        <w:spacing w:line="480" w:lineRule="auto"/>
        <w:ind w:firstLine="851"/>
        <w:rPr>
          <w:rFonts w:ascii="Arial" w:hAnsi="Arial" w:cs="Arial"/>
          <w:color w:val="000000" w:themeColor="text1"/>
        </w:rPr>
      </w:pPr>
    </w:p>
    <w:sectPr w:rsidRPr="00B2688B" w:rsidR="003960C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9"/>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0CA"/>
    <w:rsid w:val="000C5D10"/>
    <w:rsid w:val="003960CA"/>
    <w:rsid w:val="004345B0"/>
    <w:rsid w:val="00696EB9"/>
    <w:rsid w:val="00876280"/>
    <w:rsid w:val="00A23BF4"/>
    <w:rsid w:val="00B2688B"/>
    <w:rsid w:val="00BE2678"/>
    <w:rsid w:val="00FD427E"/>
    <w:rsid w:val="2A0E5C7C"/>
    <w:rsid w:val="2D3EA135"/>
    <w:rsid w:val="543A1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75569"/>
  <w15:chartTrackingRefBased/>
  <w15:docId w15:val="{E55628CB-4C8B-5B4B-A8FA-44FCB4AE1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5D10"/>
    <w:rPr>
      <w:rFonts w:ascii="Times New Roman" w:hAnsi="Times New Roman" w:eastAsia="Times New Roman" w:cs="Times New Roman"/>
      <w:kern w:val="0"/>
      <w:lang w:eastAsia="en-GB"/>
      <w14:ligatures w14:val="none"/>
    </w:rPr>
  </w:style>
  <w:style w:type="paragraph" w:styleId="Heading1">
    <w:name w:val="heading 1"/>
    <w:basedOn w:val="Normal"/>
    <w:next w:val="Normal"/>
    <w:link w:val="Heading1Char"/>
    <w:uiPriority w:val="9"/>
    <w:qFormat/>
    <w:rsid w:val="003960CA"/>
    <w:pPr>
      <w:keepNext/>
      <w:keepLines/>
      <w:spacing w:before="360" w:after="80"/>
      <w:outlineLvl w:val="0"/>
    </w:pPr>
    <w:rPr>
      <w:rFonts w:asciiTheme="majorHAnsi" w:hAnsiTheme="majorHAnsi" w:eastAsiaTheme="majorEastAsia"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3960CA"/>
    <w:pPr>
      <w:keepNext/>
      <w:keepLines/>
      <w:spacing w:before="160" w:after="80"/>
      <w:outlineLvl w:val="1"/>
    </w:pPr>
    <w:rPr>
      <w:rFonts w:asciiTheme="majorHAnsi" w:hAnsiTheme="majorHAnsi" w:eastAsiaTheme="majorEastAsia"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3960CA"/>
    <w:pPr>
      <w:keepNext/>
      <w:keepLines/>
      <w:spacing w:before="160" w:after="80"/>
      <w:outlineLvl w:val="2"/>
    </w:pPr>
    <w:rPr>
      <w:rFonts w:asciiTheme="minorHAnsi" w:hAnsiTheme="minorHAnsi"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3960CA"/>
    <w:pPr>
      <w:keepNext/>
      <w:keepLines/>
      <w:spacing w:before="80" w:after="40"/>
      <w:outlineLvl w:val="3"/>
    </w:pPr>
    <w:rPr>
      <w:rFonts w:asciiTheme="minorHAnsi" w:hAnsiTheme="minorHAnsi" w:eastAsiaTheme="majorEastAsia"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3960CA"/>
    <w:pPr>
      <w:keepNext/>
      <w:keepLines/>
      <w:spacing w:before="80" w:after="40"/>
      <w:outlineLvl w:val="4"/>
    </w:pPr>
    <w:rPr>
      <w:rFonts w:asciiTheme="minorHAnsi" w:hAnsiTheme="minorHAnsi" w:eastAsiaTheme="majorEastAsia"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3960CA"/>
    <w:pPr>
      <w:keepNext/>
      <w:keepLines/>
      <w:spacing w:before="40"/>
      <w:outlineLvl w:val="5"/>
    </w:pPr>
    <w:rPr>
      <w:rFonts w:asciiTheme="minorHAnsi" w:hAnsiTheme="minorHAnsi" w:eastAsiaTheme="majorEastAsia"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3960CA"/>
    <w:pPr>
      <w:keepNext/>
      <w:keepLines/>
      <w:spacing w:before="40"/>
      <w:outlineLvl w:val="6"/>
    </w:pPr>
    <w:rPr>
      <w:rFonts w:asciiTheme="minorHAnsi" w:hAnsiTheme="minorHAnsi" w:eastAsiaTheme="majorEastAsia"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3960CA"/>
    <w:pPr>
      <w:keepNext/>
      <w:keepLines/>
      <w:outlineLvl w:val="7"/>
    </w:pPr>
    <w:rPr>
      <w:rFonts w:asciiTheme="minorHAnsi" w:hAnsiTheme="minorHAnsi" w:eastAsiaTheme="majorEastAsia"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3960CA"/>
    <w:pPr>
      <w:keepNext/>
      <w:keepLines/>
      <w:outlineLvl w:val="8"/>
    </w:pPr>
    <w:rPr>
      <w:rFonts w:asciiTheme="minorHAnsi" w:hAnsiTheme="minorHAnsi" w:eastAsiaTheme="majorEastAsia" w:cstheme="majorBidi"/>
      <w:color w:val="272727" w:themeColor="text1" w:themeTint="D8"/>
      <w:kern w:val="2"/>
      <w:lang w:eastAsia="en-US"/>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960C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960C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960C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960C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960C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960C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960C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960C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960CA"/>
    <w:rPr>
      <w:rFonts w:eastAsiaTheme="majorEastAsia" w:cstheme="majorBidi"/>
      <w:color w:val="272727" w:themeColor="text1" w:themeTint="D8"/>
    </w:rPr>
  </w:style>
  <w:style w:type="paragraph" w:styleId="Title">
    <w:name w:val="Title"/>
    <w:basedOn w:val="Normal"/>
    <w:next w:val="Normal"/>
    <w:link w:val="TitleChar"/>
    <w:uiPriority w:val="10"/>
    <w:qFormat/>
    <w:rsid w:val="003960CA"/>
    <w:pPr>
      <w:spacing w:after="80"/>
      <w:contextualSpacing/>
    </w:pPr>
    <w:rPr>
      <w:rFonts w:asciiTheme="majorHAnsi" w:hAnsiTheme="majorHAnsi" w:eastAsiaTheme="majorEastAsia" w:cstheme="majorBidi"/>
      <w:spacing w:val="-10"/>
      <w:kern w:val="28"/>
      <w:sz w:val="56"/>
      <w:szCs w:val="56"/>
      <w:lang w:eastAsia="en-US"/>
      <w14:ligatures w14:val="standardContextual"/>
    </w:rPr>
  </w:style>
  <w:style w:type="character" w:styleId="TitleChar" w:customStyle="1">
    <w:name w:val="Title Char"/>
    <w:basedOn w:val="DefaultParagraphFont"/>
    <w:link w:val="Title"/>
    <w:uiPriority w:val="10"/>
    <w:rsid w:val="003960C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960CA"/>
    <w:pPr>
      <w:numPr>
        <w:ilvl w:val="1"/>
      </w:numPr>
      <w:spacing w:after="160"/>
    </w:pPr>
    <w:rPr>
      <w:rFonts w:asciiTheme="minorHAnsi" w:hAnsiTheme="minorHAnsi" w:eastAsiaTheme="majorEastAsia" w:cstheme="majorBidi"/>
      <w:color w:val="595959" w:themeColor="text1" w:themeTint="A6"/>
      <w:spacing w:val="15"/>
      <w:kern w:val="2"/>
      <w:sz w:val="28"/>
      <w:szCs w:val="28"/>
      <w:lang w:eastAsia="en-US"/>
      <w14:ligatures w14:val="standardContextual"/>
    </w:rPr>
  </w:style>
  <w:style w:type="character" w:styleId="SubtitleChar" w:customStyle="1">
    <w:name w:val="Subtitle Char"/>
    <w:basedOn w:val="DefaultParagraphFont"/>
    <w:link w:val="Subtitle"/>
    <w:uiPriority w:val="11"/>
    <w:rsid w:val="003960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60CA"/>
    <w:pPr>
      <w:spacing w:before="160" w:after="160"/>
      <w:jc w:val="center"/>
    </w:pPr>
    <w:rPr>
      <w:rFonts w:asciiTheme="minorHAnsi" w:hAnsiTheme="minorHAnsi" w:eastAsiaTheme="minorHAnsi" w:cstheme="minorBidi"/>
      <w:i/>
      <w:iCs/>
      <w:color w:val="404040" w:themeColor="text1" w:themeTint="BF"/>
      <w:kern w:val="2"/>
      <w:lang w:eastAsia="en-US"/>
      <w14:ligatures w14:val="standardContextual"/>
    </w:rPr>
  </w:style>
  <w:style w:type="character" w:styleId="QuoteChar" w:customStyle="1">
    <w:name w:val="Quote Char"/>
    <w:basedOn w:val="DefaultParagraphFont"/>
    <w:link w:val="Quote"/>
    <w:uiPriority w:val="29"/>
    <w:rsid w:val="003960CA"/>
    <w:rPr>
      <w:i/>
      <w:iCs/>
      <w:color w:val="404040" w:themeColor="text1" w:themeTint="BF"/>
    </w:rPr>
  </w:style>
  <w:style w:type="paragraph" w:styleId="ListParagraph">
    <w:name w:val="List Paragraph"/>
    <w:basedOn w:val="Normal"/>
    <w:uiPriority w:val="34"/>
    <w:qFormat/>
    <w:rsid w:val="003960CA"/>
    <w:pPr>
      <w:ind w:left="720"/>
      <w:contextualSpacing/>
    </w:pPr>
    <w:rPr>
      <w:rFonts w:asciiTheme="minorHAnsi" w:hAnsiTheme="minorHAnsi" w:eastAsiaTheme="minorHAnsi" w:cstheme="minorBidi"/>
      <w:kern w:val="2"/>
      <w:lang w:eastAsia="en-US"/>
      <w14:ligatures w14:val="standardContextual"/>
    </w:rPr>
  </w:style>
  <w:style w:type="character" w:styleId="IntenseEmphasis">
    <w:name w:val="Intense Emphasis"/>
    <w:basedOn w:val="DefaultParagraphFont"/>
    <w:uiPriority w:val="21"/>
    <w:qFormat/>
    <w:rsid w:val="003960CA"/>
    <w:rPr>
      <w:i/>
      <w:iCs/>
      <w:color w:val="0F4761" w:themeColor="accent1" w:themeShade="BF"/>
    </w:rPr>
  </w:style>
  <w:style w:type="paragraph" w:styleId="IntenseQuote">
    <w:name w:val="Intense Quote"/>
    <w:basedOn w:val="Normal"/>
    <w:next w:val="Normal"/>
    <w:link w:val="IntenseQuoteChar"/>
    <w:uiPriority w:val="30"/>
    <w:qFormat/>
    <w:rsid w:val="003960CA"/>
    <w:pPr>
      <w:pBdr>
        <w:top w:val="single" w:color="0F4761" w:themeColor="accent1" w:themeShade="BF" w:sz="4" w:space="10"/>
        <w:bottom w:val="single" w:color="0F4761" w:themeColor="accent1" w:themeShade="BF" w:sz="4" w:space="10"/>
      </w:pBdr>
      <w:spacing w:before="360" w:after="360"/>
      <w:ind w:left="864" w:right="864"/>
      <w:jc w:val="center"/>
    </w:pPr>
    <w:rPr>
      <w:rFonts w:asciiTheme="minorHAnsi" w:hAnsiTheme="minorHAnsi" w:eastAsiaTheme="minorHAnsi" w:cstheme="minorBidi"/>
      <w:i/>
      <w:iCs/>
      <w:color w:val="0F4761" w:themeColor="accent1" w:themeShade="BF"/>
      <w:kern w:val="2"/>
      <w:lang w:eastAsia="en-US"/>
      <w14:ligatures w14:val="standardContextual"/>
    </w:rPr>
  </w:style>
  <w:style w:type="character" w:styleId="IntenseQuoteChar" w:customStyle="1">
    <w:name w:val="Intense Quote Char"/>
    <w:basedOn w:val="DefaultParagraphFont"/>
    <w:link w:val="IntenseQuote"/>
    <w:uiPriority w:val="30"/>
    <w:rsid w:val="003960CA"/>
    <w:rPr>
      <w:i/>
      <w:iCs/>
      <w:color w:val="0F4761" w:themeColor="accent1" w:themeShade="BF"/>
    </w:rPr>
  </w:style>
  <w:style w:type="character" w:styleId="IntenseReference">
    <w:name w:val="Intense Reference"/>
    <w:basedOn w:val="DefaultParagraphFont"/>
    <w:uiPriority w:val="32"/>
    <w:qFormat/>
    <w:rsid w:val="003960CA"/>
    <w:rPr>
      <w:b/>
      <w:bCs/>
      <w:smallCaps/>
      <w:color w:val="0F4761" w:themeColor="accent1" w:themeShade="BF"/>
      <w:spacing w:val="5"/>
    </w:rPr>
  </w:style>
  <w:style w:type="character" w:styleId="apple-converted-space" w:customStyle="1">
    <w:name w:val="apple-converted-space"/>
    <w:basedOn w:val="DefaultParagraphFont"/>
    <w:rsid w:val="003960CA"/>
  </w:style>
  <w:style w:type="character" w:styleId="Hyperlink">
    <w:name w:val="Hyperlink"/>
    <w:basedOn w:val="DefaultParagraphFont"/>
    <w:uiPriority w:val="99"/>
    <w:unhideWhenUsed/>
    <w:rsid w:val="003960CA"/>
    <w:rPr>
      <w:color w:val="0000FF"/>
      <w:u w:val="single"/>
    </w:rPr>
  </w:style>
  <w:style w:type="character" w:styleId="Emphasis">
    <w:name w:val="Emphasis"/>
    <w:basedOn w:val="DefaultParagraphFont"/>
    <w:uiPriority w:val="20"/>
    <w:qFormat/>
    <w:rsid w:val="003960CA"/>
    <w:rPr>
      <w:i/>
      <w:iCs/>
    </w:rPr>
  </w:style>
  <w:style w:type="character" w:styleId="UnresolvedMention">
    <w:name w:val="Unresolved Mention"/>
    <w:basedOn w:val="DefaultParagraphFont"/>
    <w:uiPriority w:val="99"/>
    <w:semiHidden/>
    <w:unhideWhenUsed/>
    <w:rsid w:val="003960CA"/>
    <w:rPr>
      <w:color w:val="605E5C"/>
      <w:shd w:val="clear" w:color="auto" w:fill="E1DFDD"/>
    </w:rPr>
  </w:style>
  <w:style w:type="character" w:styleId="author" w:customStyle="1">
    <w:name w:val="author"/>
    <w:basedOn w:val="DefaultParagraphFont"/>
    <w:rsid w:val="003960CA"/>
  </w:style>
  <w:style w:type="character" w:styleId="pubyear" w:customStyle="1">
    <w:name w:val="pubyear"/>
    <w:basedOn w:val="DefaultParagraphFont"/>
    <w:rsid w:val="003960CA"/>
  </w:style>
  <w:style w:type="character" w:styleId="articletitle" w:customStyle="1">
    <w:name w:val="articletitle"/>
    <w:basedOn w:val="DefaultParagraphFont"/>
    <w:rsid w:val="003960CA"/>
  </w:style>
  <w:style w:type="character" w:styleId="vol" w:customStyle="1">
    <w:name w:val="vol"/>
    <w:basedOn w:val="DefaultParagraphFont"/>
    <w:rsid w:val="003960CA"/>
  </w:style>
  <w:style w:type="character" w:styleId="citedissue" w:customStyle="1">
    <w:name w:val="citedissue"/>
    <w:basedOn w:val="DefaultParagraphFont"/>
    <w:rsid w:val="003960CA"/>
  </w:style>
  <w:style w:type="character" w:styleId="pagefirst" w:customStyle="1">
    <w:name w:val="pagefirst"/>
    <w:basedOn w:val="DefaultParagraphFont"/>
    <w:rsid w:val="003960CA"/>
  </w:style>
  <w:style w:type="character" w:styleId="pagelast" w:customStyle="1">
    <w:name w:val="pagelast"/>
    <w:basedOn w:val="DefaultParagraphFont"/>
    <w:rsid w:val="003960CA"/>
  </w:style>
  <w:style w:type="character" w:styleId="artauthors" w:customStyle="1">
    <w:name w:val="art_authors"/>
    <w:basedOn w:val="DefaultParagraphFont"/>
    <w:rsid w:val="003960CA"/>
  </w:style>
  <w:style w:type="character" w:styleId="journalname" w:customStyle="1">
    <w:name w:val="journalname"/>
    <w:basedOn w:val="DefaultParagraphFont"/>
    <w:rsid w:val="003960CA"/>
  </w:style>
  <w:style w:type="character" w:styleId="volume" w:customStyle="1">
    <w:name w:val="volume"/>
    <w:basedOn w:val="DefaultParagraphFont"/>
    <w:rsid w:val="003960CA"/>
  </w:style>
  <w:style w:type="character" w:styleId="page" w:customStyle="1">
    <w:name w:val="page"/>
    <w:basedOn w:val="DefaultParagraphFont"/>
    <w:rsid w:val="003960CA"/>
  </w:style>
  <w:style w:type="paragraph" w:styleId="NormalWeb">
    <w:name w:val="Normal (Web)"/>
    <w:basedOn w:val="Normal"/>
    <w:uiPriority w:val="99"/>
    <w:semiHidden/>
    <w:unhideWhenUsed/>
    <w:rsid w:val="000C5D10"/>
    <w:pPr>
      <w:spacing w:before="100" w:beforeAutospacing="1" w:after="100" w:afterAutospacing="1"/>
    </w:pPr>
  </w:style>
  <w:style w:type="character" w:styleId="anchor-text" w:customStyle="1">
    <w:name w:val="anchor-text"/>
    <w:basedOn w:val="DefaultParagraphFont"/>
    <w:rsid w:val="000C5D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960666">
      <w:bodyDiv w:val="1"/>
      <w:marLeft w:val="0"/>
      <w:marRight w:val="0"/>
      <w:marTop w:val="0"/>
      <w:marBottom w:val="0"/>
      <w:divBdr>
        <w:top w:val="none" w:sz="0" w:space="0" w:color="auto"/>
        <w:left w:val="none" w:sz="0" w:space="0" w:color="auto"/>
        <w:bottom w:val="none" w:sz="0" w:space="0" w:color="auto"/>
        <w:right w:val="none" w:sz="0" w:space="0" w:color="auto"/>
      </w:divBdr>
      <w:divsChild>
        <w:div w:id="1421675595">
          <w:marLeft w:val="0"/>
          <w:marRight w:val="0"/>
          <w:marTop w:val="0"/>
          <w:marBottom w:val="0"/>
          <w:divBdr>
            <w:top w:val="none" w:sz="0" w:space="0" w:color="auto"/>
            <w:left w:val="none" w:sz="0" w:space="0" w:color="auto"/>
            <w:bottom w:val="none" w:sz="0" w:space="0" w:color="auto"/>
            <w:right w:val="none" w:sz="0" w:space="0" w:color="auto"/>
          </w:divBdr>
          <w:divsChild>
            <w:div w:id="862401592">
              <w:marLeft w:val="0"/>
              <w:marRight w:val="0"/>
              <w:marTop w:val="0"/>
              <w:marBottom w:val="0"/>
              <w:divBdr>
                <w:top w:val="none" w:sz="0" w:space="0" w:color="auto"/>
                <w:left w:val="none" w:sz="0" w:space="0" w:color="auto"/>
                <w:bottom w:val="none" w:sz="0" w:space="0" w:color="auto"/>
                <w:right w:val="none" w:sz="0" w:space="0" w:color="auto"/>
              </w:divBdr>
              <w:divsChild>
                <w:div w:id="213667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101130">
      <w:bodyDiv w:val="1"/>
      <w:marLeft w:val="0"/>
      <w:marRight w:val="0"/>
      <w:marTop w:val="0"/>
      <w:marBottom w:val="0"/>
      <w:divBdr>
        <w:top w:val="none" w:sz="0" w:space="0" w:color="auto"/>
        <w:left w:val="none" w:sz="0" w:space="0" w:color="auto"/>
        <w:bottom w:val="none" w:sz="0" w:space="0" w:color="auto"/>
        <w:right w:val="none" w:sz="0" w:space="0" w:color="auto"/>
      </w:divBdr>
      <w:divsChild>
        <w:div w:id="447286194">
          <w:marLeft w:val="0"/>
          <w:marRight w:val="0"/>
          <w:marTop w:val="0"/>
          <w:marBottom w:val="0"/>
          <w:divBdr>
            <w:top w:val="none" w:sz="0" w:space="0" w:color="auto"/>
            <w:left w:val="none" w:sz="0" w:space="0" w:color="auto"/>
            <w:bottom w:val="none" w:sz="0" w:space="0" w:color="auto"/>
            <w:right w:val="none" w:sz="0" w:space="0" w:color="auto"/>
          </w:divBdr>
        </w:div>
        <w:div w:id="1061560570">
          <w:marLeft w:val="0"/>
          <w:marRight w:val="0"/>
          <w:marTop w:val="0"/>
          <w:marBottom w:val="0"/>
          <w:divBdr>
            <w:top w:val="none" w:sz="0" w:space="0" w:color="auto"/>
            <w:left w:val="none" w:sz="0" w:space="0" w:color="auto"/>
            <w:bottom w:val="none" w:sz="0" w:space="0" w:color="auto"/>
            <w:right w:val="none" w:sz="0" w:space="0" w:color="auto"/>
          </w:divBdr>
        </w:div>
      </w:divsChild>
    </w:div>
    <w:div w:id="1024748997">
      <w:bodyDiv w:val="1"/>
      <w:marLeft w:val="0"/>
      <w:marRight w:val="0"/>
      <w:marTop w:val="0"/>
      <w:marBottom w:val="0"/>
      <w:divBdr>
        <w:top w:val="none" w:sz="0" w:space="0" w:color="auto"/>
        <w:left w:val="none" w:sz="0" w:space="0" w:color="auto"/>
        <w:bottom w:val="none" w:sz="0" w:space="0" w:color="auto"/>
        <w:right w:val="none" w:sz="0" w:space="0" w:color="auto"/>
      </w:divBdr>
      <w:divsChild>
        <w:div w:id="1271351429">
          <w:marLeft w:val="0"/>
          <w:marRight w:val="0"/>
          <w:marTop w:val="0"/>
          <w:marBottom w:val="0"/>
          <w:divBdr>
            <w:top w:val="none" w:sz="0" w:space="0" w:color="auto"/>
            <w:left w:val="none" w:sz="0" w:space="0" w:color="auto"/>
            <w:bottom w:val="none" w:sz="0" w:space="0" w:color="auto"/>
            <w:right w:val="none" w:sz="0" w:space="0" w:color="auto"/>
          </w:divBdr>
        </w:div>
      </w:divsChild>
    </w:div>
    <w:div w:id="1387528599">
      <w:bodyDiv w:val="1"/>
      <w:marLeft w:val="0"/>
      <w:marRight w:val="0"/>
      <w:marTop w:val="0"/>
      <w:marBottom w:val="0"/>
      <w:divBdr>
        <w:top w:val="none" w:sz="0" w:space="0" w:color="auto"/>
        <w:left w:val="none" w:sz="0" w:space="0" w:color="auto"/>
        <w:bottom w:val="none" w:sz="0" w:space="0" w:color="auto"/>
        <w:right w:val="none" w:sz="0" w:space="0" w:color="auto"/>
      </w:divBdr>
      <w:divsChild>
        <w:div w:id="11806625">
          <w:marLeft w:val="0"/>
          <w:marRight w:val="0"/>
          <w:marTop w:val="0"/>
          <w:marBottom w:val="0"/>
          <w:divBdr>
            <w:top w:val="none" w:sz="0" w:space="0" w:color="auto"/>
            <w:left w:val="none" w:sz="0" w:space="0" w:color="auto"/>
            <w:bottom w:val="none" w:sz="0" w:space="0" w:color="auto"/>
            <w:right w:val="none" w:sz="0" w:space="0" w:color="auto"/>
          </w:divBdr>
          <w:divsChild>
            <w:div w:id="229580669">
              <w:marLeft w:val="0"/>
              <w:marRight w:val="0"/>
              <w:marTop w:val="0"/>
              <w:marBottom w:val="0"/>
              <w:divBdr>
                <w:top w:val="none" w:sz="0" w:space="0" w:color="auto"/>
                <w:left w:val="none" w:sz="0" w:space="0" w:color="auto"/>
                <w:bottom w:val="none" w:sz="0" w:space="0" w:color="auto"/>
                <w:right w:val="none" w:sz="0" w:space="0" w:color="auto"/>
              </w:divBdr>
              <w:divsChild>
                <w:div w:id="29244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472465">
      <w:bodyDiv w:val="1"/>
      <w:marLeft w:val="0"/>
      <w:marRight w:val="0"/>
      <w:marTop w:val="0"/>
      <w:marBottom w:val="0"/>
      <w:divBdr>
        <w:top w:val="none" w:sz="0" w:space="0" w:color="auto"/>
        <w:left w:val="none" w:sz="0" w:space="0" w:color="auto"/>
        <w:bottom w:val="none" w:sz="0" w:space="0" w:color="auto"/>
        <w:right w:val="none" w:sz="0" w:space="0" w:color="auto"/>
      </w:divBdr>
      <w:divsChild>
        <w:div w:id="1201479341">
          <w:marLeft w:val="0"/>
          <w:marRight w:val="0"/>
          <w:marTop w:val="0"/>
          <w:marBottom w:val="0"/>
          <w:divBdr>
            <w:top w:val="none" w:sz="0" w:space="0" w:color="auto"/>
            <w:left w:val="none" w:sz="0" w:space="0" w:color="auto"/>
            <w:bottom w:val="none" w:sz="0" w:space="0" w:color="auto"/>
            <w:right w:val="none" w:sz="0" w:space="0" w:color="auto"/>
          </w:divBdr>
          <w:divsChild>
            <w:div w:id="1183059037">
              <w:marLeft w:val="0"/>
              <w:marRight w:val="0"/>
              <w:marTop w:val="0"/>
              <w:marBottom w:val="0"/>
              <w:divBdr>
                <w:top w:val="none" w:sz="0" w:space="0" w:color="auto"/>
                <w:left w:val="none" w:sz="0" w:space="0" w:color="auto"/>
                <w:bottom w:val="none" w:sz="0" w:space="0" w:color="auto"/>
                <w:right w:val="none" w:sz="0" w:space="0" w:color="auto"/>
              </w:divBdr>
              <w:divsChild>
                <w:div w:id="172270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157013">
      <w:bodyDiv w:val="1"/>
      <w:marLeft w:val="0"/>
      <w:marRight w:val="0"/>
      <w:marTop w:val="0"/>
      <w:marBottom w:val="0"/>
      <w:divBdr>
        <w:top w:val="none" w:sz="0" w:space="0" w:color="auto"/>
        <w:left w:val="none" w:sz="0" w:space="0" w:color="auto"/>
        <w:bottom w:val="none" w:sz="0" w:space="0" w:color="auto"/>
        <w:right w:val="none" w:sz="0" w:space="0" w:color="auto"/>
      </w:divBdr>
      <w:divsChild>
        <w:div w:id="943920559">
          <w:marLeft w:val="0"/>
          <w:marRight w:val="0"/>
          <w:marTop w:val="0"/>
          <w:marBottom w:val="0"/>
          <w:divBdr>
            <w:top w:val="none" w:sz="0" w:space="0" w:color="auto"/>
            <w:left w:val="none" w:sz="0" w:space="0" w:color="auto"/>
            <w:bottom w:val="none" w:sz="0" w:space="0" w:color="auto"/>
            <w:right w:val="none" w:sz="0" w:space="0" w:color="auto"/>
          </w:divBdr>
          <w:divsChild>
            <w:div w:id="595136051">
              <w:marLeft w:val="0"/>
              <w:marRight w:val="0"/>
              <w:marTop w:val="0"/>
              <w:marBottom w:val="0"/>
              <w:divBdr>
                <w:top w:val="none" w:sz="0" w:space="0" w:color="auto"/>
                <w:left w:val="none" w:sz="0" w:space="0" w:color="auto"/>
                <w:bottom w:val="none" w:sz="0" w:space="0" w:color="auto"/>
                <w:right w:val="none" w:sz="0" w:space="0" w:color="auto"/>
              </w:divBdr>
              <w:divsChild>
                <w:div w:id="161824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347811">
      <w:bodyDiv w:val="1"/>
      <w:marLeft w:val="0"/>
      <w:marRight w:val="0"/>
      <w:marTop w:val="0"/>
      <w:marBottom w:val="0"/>
      <w:divBdr>
        <w:top w:val="none" w:sz="0" w:space="0" w:color="auto"/>
        <w:left w:val="none" w:sz="0" w:space="0" w:color="auto"/>
        <w:bottom w:val="none" w:sz="0" w:space="0" w:color="auto"/>
        <w:right w:val="none" w:sz="0" w:space="0" w:color="auto"/>
      </w:divBdr>
    </w:div>
    <w:div w:id="1973900233">
      <w:bodyDiv w:val="1"/>
      <w:marLeft w:val="0"/>
      <w:marRight w:val="0"/>
      <w:marTop w:val="0"/>
      <w:marBottom w:val="0"/>
      <w:divBdr>
        <w:top w:val="none" w:sz="0" w:space="0" w:color="auto"/>
        <w:left w:val="none" w:sz="0" w:space="0" w:color="auto"/>
        <w:bottom w:val="none" w:sz="0" w:space="0" w:color="auto"/>
        <w:right w:val="none" w:sz="0" w:space="0" w:color="auto"/>
      </w:divBdr>
      <w:divsChild>
        <w:div w:id="976375726">
          <w:marLeft w:val="0"/>
          <w:marRight w:val="0"/>
          <w:marTop w:val="0"/>
          <w:marBottom w:val="0"/>
          <w:divBdr>
            <w:top w:val="none" w:sz="0" w:space="0" w:color="auto"/>
            <w:left w:val="none" w:sz="0" w:space="0" w:color="auto"/>
            <w:bottom w:val="none" w:sz="0" w:space="0" w:color="auto"/>
            <w:right w:val="none" w:sz="0" w:space="0" w:color="auto"/>
          </w:divBdr>
          <w:divsChild>
            <w:div w:id="982075552">
              <w:marLeft w:val="0"/>
              <w:marRight w:val="0"/>
              <w:marTop w:val="0"/>
              <w:marBottom w:val="0"/>
              <w:divBdr>
                <w:top w:val="none" w:sz="0" w:space="0" w:color="auto"/>
                <w:left w:val="none" w:sz="0" w:space="0" w:color="auto"/>
                <w:bottom w:val="none" w:sz="0" w:space="0" w:color="auto"/>
                <w:right w:val="none" w:sz="0" w:space="0" w:color="auto"/>
              </w:divBdr>
              <w:divsChild>
                <w:div w:id="73763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2C380-C738-234F-B31D-B8A41811739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Phillips (2012754)</dc:creator>
  <keywords/>
  <dc:description/>
  <lastModifiedBy>Kayleigh Phillips (2012754)</lastModifiedBy>
  <revision>5</revision>
  <dcterms:created xsi:type="dcterms:W3CDTF">2025-11-04T21:33:00.0000000Z</dcterms:created>
  <dcterms:modified xsi:type="dcterms:W3CDTF">2025-11-04T22:06:06.0093497Z</dcterms:modified>
</coreProperties>
</file>