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790B" w:rsidRPr="00A57330" w:rsidRDefault="0001790B" w:rsidP="0001790B">
      <w:pPr>
        <w:pStyle w:val="ListParagraph"/>
        <w:ind w:hanging="360"/>
        <w:jc w:val="center"/>
        <w:rPr>
          <w:rFonts w:asciiTheme="minorHAnsi" w:hAnsiTheme="minorHAnsi"/>
          <w:b/>
          <w:color w:val="C0504D" w:themeColor="accent2"/>
          <w:sz w:val="44"/>
          <w:szCs w:val="44"/>
          <w:u w:val="single"/>
        </w:rPr>
      </w:pPr>
      <w:r w:rsidRPr="00A57330">
        <w:rPr>
          <w:rFonts w:asciiTheme="minorHAnsi" w:hAnsiTheme="minorHAnsi"/>
          <w:b/>
          <w:color w:val="C0504D" w:themeColor="accent2"/>
          <w:sz w:val="44"/>
          <w:szCs w:val="44"/>
          <w:u w:val="single"/>
        </w:rPr>
        <w:t>Assignments</w:t>
      </w:r>
    </w:p>
    <w:p w:rsidR="0001790B" w:rsidRPr="00A57330" w:rsidRDefault="0001790B" w:rsidP="0001790B">
      <w:pPr>
        <w:pStyle w:val="ListParagraph"/>
        <w:ind w:left="360"/>
        <w:rPr>
          <w:rFonts w:asciiTheme="minorHAnsi" w:hAnsiTheme="minorHAnsi"/>
          <w:b/>
          <w:color w:val="000000" w:themeColor="text1"/>
          <w:sz w:val="28"/>
          <w:szCs w:val="28"/>
          <w:u w:val="single"/>
        </w:rPr>
      </w:pPr>
      <w:r w:rsidRPr="00A57330">
        <w:rPr>
          <w:rFonts w:asciiTheme="minorHAnsi" w:hAnsiTheme="minorHAnsi"/>
          <w:b/>
          <w:color w:val="000000" w:themeColor="text1"/>
          <w:sz w:val="28"/>
          <w:szCs w:val="28"/>
        </w:rPr>
        <w:t xml:space="preserve">                                   </w:t>
      </w:r>
      <w:r w:rsidR="00A57330">
        <w:rPr>
          <w:rFonts w:asciiTheme="minorHAnsi" w:hAnsiTheme="minorHAnsi"/>
          <w:b/>
          <w:color w:val="000000" w:themeColor="text1"/>
          <w:sz w:val="28"/>
          <w:szCs w:val="28"/>
        </w:rPr>
        <w:t xml:space="preserve">                    </w:t>
      </w:r>
      <w:r w:rsidRPr="00A57330">
        <w:rPr>
          <w:rFonts w:asciiTheme="minorHAnsi" w:hAnsiTheme="minorHAnsi"/>
          <w:b/>
          <w:color w:val="000000" w:themeColor="text1"/>
          <w:sz w:val="28"/>
          <w:szCs w:val="28"/>
        </w:rPr>
        <w:t xml:space="preserve"> </w:t>
      </w:r>
      <w:r w:rsidRPr="00A57330">
        <w:rPr>
          <w:rFonts w:asciiTheme="minorHAnsi" w:hAnsiTheme="minorHAnsi"/>
          <w:b/>
          <w:color w:val="000000" w:themeColor="text1"/>
          <w:sz w:val="28"/>
          <w:szCs w:val="28"/>
          <w:u w:val="single"/>
        </w:rPr>
        <w:t>Topic 2</w:t>
      </w:r>
    </w:p>
    <w:p w:rsidR="0001790B" w:rsidRDefault="0001790B" w:rsidP="0001790B">
      <w:pPr>
        <w:pStyle w:val="ListParagraph"/>
        <w:numPr>
          <w:ilvl w:val="0"/>
          <w:numId w:val="1"/>
        </w:numPr>
        <w:pBdr>
          <w:bottom w:val="single" w:sz="6" w:space="1" w:color="auto"/>
        </w:pBdr>
        <w:rPr>
          <w:rFonts w:asciiTheme="minorHAnsi" w:hAnsiTheme="minorHAnsi"/>
          <w:b/>
          <w:color w:val="4F6228" w:themeColor="accent3" w:themeShade="80"/>
          <w:sz w:val="28"/>
          <w:szCs w:val="28"/>
        </w:rPr>
      </w:pPr>
      <w:r w:rsidRPr="00A57330">
        <w:rPr>
          <w:rFonts w:asciiTheme="minorHAnsi" w:hAnsiTheme="minorHAnsi"/>
          <w:b/>
          <w:color w:val="4F6228" w:themeColor="accent3" w:themeShade="80"/>
          <w:sz w:val="28"/>
          <w:szCs w:val="28"/>
        </w:rPr>
        <w:t>With detailed reference to three works of religious art, demonstrate how the artist’s choice of medium (for example, sculpture, painting or glass)</w:t>
      </w:r>
      <w:proofErr w:type="gramStart"/>
      <w:r w:rsidRPr="00A57330">
        <w:rPr>
          <w:rFonts w:asciiTheme="minorHAnsi" w:hAnsiTheme="minorHAnsi"/>
          <w:b/>
          <w:color w:val="4F6228" w:themeColor="accent3" w:themeShade="80"/>
          <w:sz w:val="28"/>
          <w:szCs w:val="28"/>
        </w:rPr>
        <w:t>  plays</w:t>
      </w:r>
      <w:proofErr w:type="gramEnd"/>
      <w:r w:rsidRPr="00A57330">
        <w:rPr>
          <w:rFonts w:asciiTheme="minorHAnsi" w:hAnsiTheme="minorHAnsi"/>
          <w:b/>
          <w:color w:val="4F6228" w:themeColor="accent3" w:themeShade="80"/>
          <w:sz w:val="28"/>
          <w:szCs w:val="28"/>
        </w:rPr>
        <w:t xml:space="preserve"> a crucial role in influencing the viewer’s perception of the subject of the artwork.</w:t>
      </w:r>
    </w:p>
    <w:p w:rsidR="0001790B" w:rsidRDefault="0001790B" w:rsidP="0001790B">
      <w:pPr>
        <w:jc w:val="center"/>
      </w:pPr>
    </w:p>
    <w:p w:rsidR="0001790B" w:rsidRPr="008F1783" w:rsidRDefault="0001790B" w:rsidP="0001790B">
      <w:pPr>
        <w:jc w:val="center"/>
        <w:rPr>
          <w:rFonts w:ascii="Trebuchet MS" w:hAnsi="Trebuchet MS"/>
          <w:b/>
          <w:sz w:val="32"/>
          <w:szCs w:val="32"/>
        </w:rPr>
      </w:pPr>
      <w:r>
        <w:t xml:space="preserve"> </w:t>
      </w:r>
      <w:r w:rsidRPr="008F1783">
        <w:rPr>
          <w:rFonts w:ascii="Trebuchet MS" w:hAnsi="Trebuchet MS" w:cs="Arial"/>
          <w:b/>
          <w:noProof/>
          <w:sz w:val="32"/>
          <w:szCs w:val="32"/>
        </w:rPr>
        <w:t>School of Theology, Religious Studies &amp; Islamic Studies</w:t>
      </w:r>
    </w:p>
    <w:p w:rsidR="0001790B" w:rsidRPr="008F1783" w:rsidRDefault="0001790B" w:rsidP="0001790B">
      <w:pPr>
        <w:jc w:val="center"/>
        <w:rPr>
          <w:rFonts w:ascii="Trebuchet MS" w:hAnsi="Trebuchet MS"/>
          <w:b/>
          <w:sz w:val="32"/>
          <w:szCs w:val="32"/>
        </w:rPr>
      </w:pPr>
      <w:r w:rsidRPr="008F1783">
        <w:rPr>
          <w:rFonts w:ascii="Trebuchet MS" w:hAnsi="Trebuchet MS"/>
          <w:b/>
          <w:sz w:val="32"/>
          <w:szCs w:val="32"/>
        </w:rPr>
        <w:t>Marking Criteria for essays and exams</w:t>
      </w:r>
    </w:p>
    <w:tbl>
      <w:tblPr>
        <w:tblW w:w="9498" w:type="dxa"/>
        <w:tblInd w:w="10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34"/>
        <w:gridCol w:w="8364"/>
      </w:tblGrid>
      <w:tr w:rsidR="0001790B" w:rsidRPr="00937F9B" w:rsidTr="00B637AE">
        <w:tc>
          <w:tcPr>
            <w:tcW w:w="1134" w:type="dxa"/>
          </w:tcPr>
          <w:p w:rsidR="0001790B" w:rsidRPr="00937F9B" w:rsidRDefault="0001790B" w:rsidP="00B637AE">
            <w:pPr>
              <w:jc w:val="center"/>
              <w:rPr>
                <w:rFonts w:ascii="Century Gothic" w:hAnsi="Century Gothic"/>
                <w:b/>
              </w:rPr>
            </w:pPr>
            <w:r w:rsidRPr="00937F9B">
              <w:rPr>
                <w:rFonts w:ascii="Century Gothic" w:hAnsi="Century Gothic"/>
                <w:b/>
              </w:rPr>
              <w:t>%Grade</w:t>
            </w:r>
          </w:p>
        </w:tc>
        <w:tc>
          <w:tcPr>
            <w:tcW w:w="8364" w:type="dxa"/>
          </w:tcPr>
          <w:p w:rsidR="0001790B" w:rsidRPr="00937F9B" w:rsidRDefault="0001790B" w:rsidP="00B637AE">
            <w:pPr>
              <w:jc w:val="center"/>
              <w:rPr>
                <w:rFonts w:ascii="Century Gothic" w:hAnsi="Century Gothic"/>
                <w:b/>
              </w:rPr>
            </w:pPr>
            <w:r w:rsidRPr="00937F9B">
              <w:rPr>
                <w:rFonts w:ascii="Century Gothic" w:hAnsi="Century Gothic"/>
                <w:b/>
              </w:rPr>
              <w:t>Characteristics of % grade band</w:t>
            </w:r>
          </w:p>
          <w:p w:rsidR="0001790B" w:rsidRPr="00937F9B" w:rsidRDefault="0001790B" w:rsidP="00B637AE">
            <w:pPr>
              <w:jc w:val="center"/>
              <w:rPr>
                <w:rFonts w:ascii="Century Gothic" w:hAnsi="Century Gothic"/>
                <w:b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0%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Fail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3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 xml:space="preserve">penalty grade for academic malpractice 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1-9%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Fail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2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of no relevance whatsoever to the objectives of the module assessment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10-19%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Fail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4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very little if any relevance or substance</w:t>
            </w:r>
          </w:p>
          <w:p w:rsidR="0001790B" w:rsidRPr="00937F9B" w:rsidRDefault="0001790B" w:rsidP="0001790B">
            <w:pPr>
              <w:numPr>
                <w:ilvl w:val="0"/>
                <w:numId w:val="4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lacking in application or quality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20-34%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Fail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an attempt has been made to address the relevant issues</w:t>
            </w:r>
          </w:p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 xml:space="preserve">still mainly of little relevance or is scanty </w:t>
            </w:r>
          </w:p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backed up with little or no evidence</w:t>
            </w:r>
          </w:p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style may be inappropriate</w:t>
            </w:r>
          </w:p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with serious errors of grammar, spelling and structure</w:t>
            </w:r>
          </w:p>
          <w:p w:rsidR="0001790B" w:rsidRPr="00937F9B" w:rsidRDefault="0001790B" w:rsidP="0001790B">
            <w:pPr>
              <w:numPr>
                <w:ilvl w:val="0"/>
                <w:numId w:val="5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displays some intellectual or practical application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35-39%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lastRenderedPageBreak/>
              <w:t>Fail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lastRenderedPageBreak/>
              <w:t>some relevant issues are addressed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answer is largely anecdotal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lastRenderedPageBreak/>
              <w:t>backed up with little evidence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style may be inappropriate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serious errors of grammar, spelling and structure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inability to handle knowledge</w:t>
            </w:r>
          </w:p>
          <w:p w:rsidR="0001790B" w:rsidRPr="00937F9B" w:rsidRDefault="0001790B" w:rsidP="0001790B">
            <w:pPr>
              <w:numPr>
                <w:ilvl w:val="0"/>
                <w:numId w:val="6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proofErr w:type="gramStart"/>
            <w:r w:rsidRPr="00937F9B">
              <w:rPr>
                <w:rFonts w:ascii="Century Gothic" w:hAnsi="Century Gothic"/>
              </w:rPr>
              <w:t>limitations</w:t>
            </w:r>
            <w:proofErr w:type="gramEnd"/>
            <w:r w:rsidRPr="00937F9B">
              <w:rPr>
                <w:rFonts w:ascii="Century Gothic" w:hAnsi="Century Gothic"/>
              </w:rPr>
              <w:t xml:space="preserve"> in practical skills.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lastRenderedPageBreak/>
              <w:t>40-49%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3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main issues have been addressed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there may be some omissions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little theoretical content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style may be inappropriate, with errors of grammar, spelling and structure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limited in interpretative use of knowledge or in some practical skills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50-59%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2.2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competent answer, which addresses the main issues satisfactorily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may contain minor omissions or errors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01790B">
              <w:rPr>
                <w:rFonts w:ascii="Century Gothic" w:hAnsi="Century Gothic"/>
                <w:color w:val="FF0000"/>
              </w:rPr>
              <w:t>theoretical issues are addressed,</w:t>
            </w:r>
            <w:r w:rsidRPr="00937F9B">
              <w:rPr>
                <w:rFonts w:ascii="Century Gothic" w:hAnsi="Century Gothic"/>
              </w:rPr>
              <w:t xml:space="preserve"> but may be somewhat superficial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grammar and style are largely good</w:t>
            </w:r>
          </w:p>
          <w:p w:rsidR="0001790B" w:rsidRPr="00937F9B" w:rsidRDefault="0001790B" w:rsidP="0001790B">
            <w:pPr>
              <w:numPr>
                <w:ilvl w:val="0"/>
                <w:numId w:val="7"/>
              </w:numPr>
              <w:spacing w:after="0" w:line="240" w:lineRule="auto"/>
              <w:jc w:val="both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good grasp of knowledge and practice with some limitations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60-69%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2.1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 xml:space="preserve">all main issues addressed with </w:t>
            </w:r>
            <w:r w:rsidRPr="00AD421A">
              <w:rPr>
                <w:rFonts w:ascii="Century Gothic" w:hAnsi="Century Gothic"/>
                <w:color w:val="FF0000"/>
              </w:rPr>
              <w:t>clarity</w:t>
            </w:r>
          </w:p>
          <w:p w:rsidR="0001790B" w:rsidRPr="00AD421A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  <w:color w:val="FF0000"/>
              </w:rPr>
            </w:pPr>
            <w:r w:rsidRPr="00AD421A">
              <w:rPr>
                <w:rFonts w:ascii="Century Gothic" w:hAnsi="Century Gothic"/>
                <w:color w:val="FF0000"/>
              </w:rPr>
              <w:t>evidence of wide reading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 xml:space="preserve"> work is well organised</w:t>
            </w:r>
          </w:p>
          <w:p w:rsidR="0001790B" w:rsidRPr="00AD421A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  <w:color w:val="FF0000"/>
              </w:rPr>
            </w:pPr>
            <w:r w:rsidRPr="00AD421A">
              <w:rPr>
                <w:rFonts w:ascii="Century Gothic" w:hAnsi="Century Gothic"/>
                <w:color w:val="FF0000"/>
              </w:rPr>
              <w:t>relevant arguments cogently developed and supported by appropriate evidence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 xml:space="preserve">there may be the beginning of </w:t>
            </w:r>
            <w:r w:rsidRPr="00AD421A">
              <w:rPr>
                <w:rFonts w:ascii="Century Gothic" w:hAnsi="Century Gothic"/>
                <w:color w:val="FF0000"/>
              </w:rPr>
              <w:t>critical and analytical ability</w:t>
            </w:r>
            <w:r w:rsidRPr="00937F9B">
              <w:rPr>
                <w:rFonts w:ascii="Century Gothic" w:hAnsi="Century Gothic"/>
              </w:rPr>
              <w:t>—though this does not need to be present to achieve this level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there are clear insights and competent evaluation of material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well presented and structured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grammar and style are good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good capacity to interpret and use material flexibly, no practical inadequacies</w:t>
            </w:r>
          </w:p>
          <w:p w:rsidR="0001790B" w:rsidRPr="00937F9B" w:rsidRDefault="0001790B" w:rsidP="0001790B">
            <w:pPr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at the higher margin work will not contain any errors or omissions</w:t>
            </w:r>
          </w:p>
          <w:p w:rsidR="0001790B" w:rsidRPr="00937F9B" w:rsidRDefault="0001790B" w:rsidP="00B637AE">
            <w:pPr>
              <w:ind w:left="720"/>
              <w:jc w:val="both"/>
              <w:rPr>
                <w:rFonts w:ascii="Century Gothic" w:hAnsi="Century Gothic"/>
                <w:i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70-79%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1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well presented and structured</w:t>
            </w:r>
          </w:p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 xml:space="preserve">comprehensive and </w:t>
            </w:r>
            <w:r w:rsidRPr="00AD421A">
              <w:rPr>
                <w:rFonts w:ascii="Century Gothic" w:hAnsi="Century Gothic"/>
                <w:color w:val="FF0000"/>
              </w:rPr>
              <w:t>insightful exposition of relevant theory</w:t>
            </w:r>
            <w:r w:rsidRPr="00937F9B">
              <w:rPr>
                <w:rFonts w:ascii="Century Gothic" w:hAnsi="Century Gothic"/>
              </w:rPr>
              <w:t xml:space="preserve"> and research</w:t>
            </w:r>
          </w:p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grammar and style are excellent</w:t>
            </w:r>
          </w:p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jc w:val="both"/>
              <w:rPr>
                <w:rFonts w:ascii="Century Gothic" w:hAnsi="Century Gothic"/>
                <w:i/>
              </w:rPr>
            </w:pPr>
            <w:proofErr w:type="gramStart"/>
            <w:r w:rsidRPr="00937F9B">
              <w:rPr>
                <w:rFonts w:ascii="Century Gothic" w:hAnsi="Century Gothic"/>
              </w:rPr>
              <w:t>demonstrates</w:t>
            </w:r>
            <w:proofErr w:type="gramEnd"/>
            <w:r w:rsidRPr="00937F9B">
              <w:rPr>
                <w:rFonts w:ascii="Century Gothic" w:hAnsi="Century Gothic"/>
              </w:rPr>
              <w:t xml:space="preserve"> creative flair or excellent skill in performance linked with strong interpretative understanding</w:t>
            </w:r>
            <w:r w:rsidRPr="00937F9B">
              <w:rPr>
                <w:rFonts w:ascii="Century Gothic" w:hAnsi="Century Gothic"/>
                <w:i/>
              </w:rPr>
              <w:t>.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80-89%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1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as 70-79</w:t>
            </w:r>
          </w:p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descriptive work may be at a publishable level; for instance, on par with the descriptive abilities found in a book review in a peer reviewed academic publication</w:t>
            </w:r>
          </w:p>
          <w:p w:rsidR="0001790B" w:rsidRPr="00937F9B" w:rsidRDefault="0001790B" w:rsidP="0001790B">
            <w:pPr>
              <w:numPr>
                <w:ilvl w:val="0"/>
                <w:numId w:val="9"/>
              </w:numPr>
              <w:spacing w:after="0" w:line="240" w:lineRule="auto"/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t>creative flair combined with strong interpretative understanding</w:t>
            </w:r>
            <w:r>
              <w:rPr>
                <w:rFonts w:ascii="Century Gothic" w:hAnsi="Century Gothic"/>
              </w:rPr>
              <w:br/>
            </w:r>
          </w:p>
        </w:tc>
      </w:tr>
      <w:tr w:rsidR="0001790B" w:rsidRPr="00937F9B" w:rsidTr="00B637AE">
        <w:tc>
          <w:tcPr>
            <w:tcW w:w="1134" w:type="dxa"/>
          </w:tcPr>
          <w:p w:rsidR="0001790B" w:rsidRDefault="0001790B" w:rsidP="00B637AE">
            <w:pPr>
              <w:rPr>
                <w:rFonts w:ascii="Century Gothic" w:hAnsi="Century Gothic"/>
              </w:rPr>
            </w:pPr>
            <w:r w:rsidRPr="00937F9B">
              <w:rPr>
                <w:rFonts w:ascii="Century Gothic" w:hAnsi="Century Gothic"/>
              </w:rPr>
              <w:lastRenderedPageBreak/>
              <w:t>90-100%</w:t>
            </w:r>
          </w:p>
          <w:p w:rsidR="0001790B" w:rsidRPr="00937F9B" w:rsidRDefault="0001790B" w:rsidP="00B637AE">
            <w:pPr>
              <w:rPr>
                <w:rFonts w:ascii="Century Gothic" w:hAnsi="Century Gothic"/>
              </w:rPr>
            </w:pPr>
            <w:r>
              <w:rPr>
                <w:rFonts w:ascii="Century Gothic" w:hAnsi="Century Gothic"/>
              </w:rPr>
              <w:t>Class 1</w:t>
            </w:r>
          </w:p>
        </w:tc>
        <w:tc>
          <w:tcPr>
            <w:tcW w:w="8364" w:type="dxa"/>
          </w:tcPr>
          <w:p w:rsidR="0001790B" w:rsidRPr="00937F9B" w:rsidRDefault="0001790B" w:rsidP="0001790B">
            <w:pPr>
              <w:numPr>
                <w:ilvl w:val="0"/>
                <w:numId w:val="10"/>
              </w:numPr>
              <w:spacing w:after="0" w:line="240" w:lineRule="auto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As 80-89 but highly original or innovative, or creates an entirely new synthesis of ideas</w:t>
            </w:r>
          </w:p>
          <w:p w:rsidR="0001790B" w:rsidRPr="00937F9B" w:rsidRDefault="0001790B" w:rsidP="0001790B">
            <w:pPr>
              <w:numPr>
                <w:ilvl w:val="0"/>
                <w:numId w:val="10"/>
              </w:numPr>
              <w:spacing w:after="0" w:line="240" w:lineRule="auto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of publishable quality</w:t>
            </w:r>
          </w:p>
          <w:p w:rsidR="0001790B" w:rsidRPr="00937F9B" w:rsidRDefault="0001790B" w:rsidP="0001790B">
            <w:pPr>
              <w:numPr>
                <w:ilvl w:val="0"/>
                <w:numId w:val="10"/>
              </w:numPr>
              <w:spacing w:after="0" w:line="240" w:lineRule="auto"/>
              <w:rPr>
                <w:rFonts w:ascii="Century Gothic" w:hAnsi="Century Gothic"/>
                <w:i/>
              </w:rPr>
            </w:pPr>
            <w:r w:rsidRPr="00937F9B">
              <w:rPr>
                <w:rFonts w:ascii="Century Gothic" w:hAnsi="Century Gothic"/>
              </w:rPr>
              <w:t>creative flair combined with profound interpretative understanding</w:t>
            </w:r>
            <w:r>
              <w:rPr>
                <w:rFonts w:ascii="Century Gothic" w:hAnsi="Century Gothic"/>
              </w:rPr>
              <w:br/>
            </w:r>
          </w:p>
        </w:tc>
      </w:tr>
    </w:tbl>
    <w:p w:rsidR="0001790B" w:rsidRDefault="0001790B" w:rsidP="0001790B"/>
    <w:p w:rsidR="0001790B" w:rsidRPr="00A57330" w:rsidRDefault="0001790B" w:rsidP="0001790B">
      <w:pPr>
        <w:rPr>
          <w:color w:val="FF0000"/>
        </w:rPr>
      </w:pPr>
    </w:p>
    <w:p w:rsidR="0001790B" w:rsidRPr="00A57330" w:rsidRDefault="0001790B" w:rsidP="0001790B">
      <w:pPr>
        <w:jc w:val="center"/>
        <w:rPr>
          <w:b/>
          <w:color w:val="FF0000"/>
          <w:sz w:val="48"/>
          <w:szCs w:val="48"/>
        </w:rPr>
      </w:pPr>
      <w:r w:rsidRPr="00A57330">
        <w:rPr>
          <w:b/>
          <w:color w:val="FF0000"/>
          <w:sz w:val="48"/>
          <w:szCs w:val="48"/>
        </w:rPr>
        <w:t xml:space="preserve">General criteria as applied to </w:t>
      </w:r>
      <w:r w:rsidR="00285E2F">
        <w:rPr>
          <w:b/>
          <w:color w:val="FF0000"/>
          <w:sz w:val="48"/>
          <w:szCs w:val="48"/>
        </w:rPr>
        <w:t>this topic.</w:t>
      </w:r>
    </w:p>
    <w:p w:rsidR="001F36ED" w:rsidRPr="001F36ED" w:rsidRDefault="001F36ED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1F36ED">
        <w:rPr>
          <w:rFonts w:ascii="Garamond" w:hAnsi="Garamond"/>
          <w:b/>
          <w:sz w:val="28"/>
          <w:szCs w:val="28"/>
        </w:rPr>
        <w:t>Explain clearly why different visual media are important in connection with communicating religious ideas;</w:t>
      </w:r>
    </w:p>
    <w:p w:rsidR="0001790B" w:rsidRDefault="0001790B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  <w:u w:val="single"/>
        </w:rPr>
        <w:t>Justify</w:t>
      </w:r>
      <w:r w:rsidR="001F36ED">
        <w:rPr>
          <w:rFonts w:ascii="Garamond" w:hAnsi="Garamond"/>
          <w:b/>
          <w:sz w:val="28"/>
          <w:szCs w:val="28"/>
        </w:rPr>
        <w:t xml:space="preserve"> your choice of three</w:t>
      </w:r>
      <w:r w:rsidRPr="00A57330">
        <w:rPr>
          <w:rFonts w:ascii="Garamond" w:hAnsi="Garamond"/>
          <w:b/>
          <w:sz w:val="28"/>
          <w:szCs w:val="28"/>
        </w:rPr>
        <w:t xml:space="preserve"> examples (for instance, do they represent two contrasting approaches or emphases</w:t>
      </w:r>
      <w:r w:rsidR="001F36ED">
        <w:rPr>
          <w:rFonts w:ascii="Garamond" w:hAnsi="Garamond"/>
          <w:b/>
          <w:sz w:val="28"/>
          <w:szCs w:val="28"/>
        </w:rPr>
        <w:t>, or are they different genres</w:t>
      </w:r>
      <w:r w:rsidRPr="00A57330">
        <w:rPr>
          <w:rFonts w:ascii="Garamond" w:hAnsi="Garamond"/>
          <w:b/>
          <w:sz w:val="28"/>
          <w:szCs w:val="28"/>
        </w:rPr>
        <w:t>?)</w:t>
      </w:r>
      <w:r w:rsidR="00A57330">
        <w:rPr>
          <w:rFonts w:ascii="Garamond" w:hAnsi="Garamond"/>
          <w:b/>
          <w:sz w:val="28"/>
          <w:szCs w:val="28"/>
        </w:rPr>
        <w:t>;</w:t>
      </w:r>
    </w:p>
    <w:p w:rsidR="001F36ED" w:rsidRDefault="0001790B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1F36ED">
        <w:rPr>
          <w:rFonts w:ascii="Garamond" w:hAnsi="Garamond"/>
          <w:b/>
          <w:sz w:val="28"/>
          <w:szCs w:val="28"/>
        </w:rPr>
        <w:t>Detailed treatment of first example</w:t>
      </w:r>
      <w:r w:rsidR="001F36ED" w:rsidRPr="001F36ED">
        <w:rPr>
          <w:rFonts w:ascii="Garamond" w:hAnsi="Garamond"/>
          <w:b/>
          <w:sz w:val="28"/>
          <w:szCs w:val="28"/>
        </w:rPr>
        <w:t xml:space="preserve">. </w:t>
      </w:r>
      <w:r w:rsidRPr="001F36ED">
        <w:rPr>
          <w:rFonts w:ascii="Garamond" w:hAnsi="Garamond"/>
          <w:b/>
          <w:sz w:val="28"/>
          <w:szCs w:val="28"/>
        </w:rPr>
        <w:t xml:space="preserve"> </w:t>
      </w:r>
      <w:r w:rsidR="001F36ED">
        <w:rPr>
          <w:rFonts w:ascii="Garamond" w:hAnsi="Garamond"/>
          <w:b/>
          <w:sz w:val="28"/>
          <w:szCs w:val="28"/>
        </w:rPr>
        <w:t>What is unique and distinctive about your choice and how does it affect the viewer?</w:t>
      </w:r>
    </w:p>
    <w:p w:rsidR="001F36ED" w:rsidRDefault="001F36ED" w:rsidP="001F36ED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>
        <w:rPr>
          <w:rFonts w:ascii="Garamond" w:hAnsi="Garamond"/>
          <w:b/>
          <w:sz w:val="28"/>
          <w:szCs w:val="28"/>
        </w:rPr>
        <w:t>Detailed treatment of second</w:t>
      </w:r>
      <w:r w:rsidRPr="001F36ED">
        <w:rPr>
          <w:rFonts w:ascii="Garamond" w:hAnsi="Garamond"/>
          <w:b/>
          <w:sz w:val="28"/>
          <w:szCs w:val="28"/>
        </w:rPr>
        <w:t xml:space="preserve"> example.  </w:t>
      </w:r>
      <w:r>
        <w:rPr>
          <w:rFonts w:ascii="Garamond" w:hAnsi="Garamond"/>
          <w:b/>
          <w:sz w:val="28"/>
          <w:szCs w:val="28"/>
        </w:rPr>
        <w:t>What is unique and distinctive about your choice and how does it affect the viewer?</w:t>
      </w:r>
    </w:p>
    <w:p w:rsidR="001F36ED" w:rsidRDefault="001F36ED" w:rsidP="001F36ED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>
        <w:rPr>
          <w:rFonts w:ascii="Garamond" w:hAnsi="Garamond"/>
          <w:b/>
          <w:sz w:val="28"/>
          <w:szCs w:val="28"/>
        </w:rPr>
        <w:t xml:space="preserve">Detailed treatment of third </w:t>
      </w:r>
      <w:r w:rsidRPr="001F36ED">
        <w:rPr>
          <w:rFonts w:ascii="Garamond" w:hAnsi="Garamond"/>
          <w:b/>
          <w:sz w:val="28"/>
          <w:szCs w:val="28"/>
        </w:rPr>
        <w:t xml:space="preserve">example.  </w:t>
      </w:r>
      <w:r>
        <w:rPr>
          <w:rFonts w:ascii="Garamond" w:hAnsi="Garamond"/>
          <w:b/>
          <w:sz w:val="28"/>
          <w:szCs w:val="28"/>
        </w:rPr>
        <w:t>What is unique and distinctive about your choice and how does it affect the viewer?</w:t>
      </w:r>
    </w:p>
    <w:p w:rsidR="0001790B" w:rsidRPr="00A57330" w:rsidRDefault="0001790B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</w:rPr>
        <w:t>Do your examples offer a contrast? What other examples would you have taken and why?</w:t>
      </w:r>
    </w:p>
    <w:p w:rsidR="0001790B" w:rsidRPr="00A57330" w:rsidRDefault="00A57330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</w:rPr>
        <w:t>How</w:t>
      </w:r>
      <w:r w:rsidR="001F36ED">
        <w:rPr>
          <w:rFonts w:ascii="Garamond" w:hAnsi="Garamond"/>
          <w:b/>
          <w:sz w:val="28"/>
          <w:szCs w:val="28"/>
        </w:rPr>
        <w:t xml:space="preserve"> have your three </w:t>
      </w:r>
      <w:r w:rsidRPr="00A57330">
        <w:rPr>
          <w:rFonts w:ascii="Garamond" w:hAnsi="Garamond"/>
          <w:b/>
          <w:sz w:val="28"/>
          <w:szCs w:val="28"/>
        </w:rPr>
        <w:t>examples influenced you?  Are</w:t>
      </w:r>
      <w:r w:rsidR="001F36ED">
        <w:rPr>
          <w:rFonts w:ascii="Garamond" w:hAnsi="Garamond"/>
          <w:b/>
          <w:sz w:val="28"/>
          <w:szCs w:val="28"/>
        </w:rPr>
        <w:t xml:space="preserve"> visual</w:t>
      </w:r>
      <w:r w:rsidRPr="00A57330">
        <w:rPr>
          <w:rFonts w:ascii="Garamond" w:hAnsi="Garamond"/>
          <w:b/>
          <w:sz w:val="28"/>
          <w:szCs w:val="28"/>
        </w:rPr>
        <w:t xml:space="preserve"> interpretations </w:t>
      </w:r>
      <w:r w:rsidR="001F36ED">
        <w:rPr>
          <w:rFonts w:ascii="Garamond" w:hAnsi="Garamond"/>
          <w:b/>
          <w:sz w:val="28"/>
          <w:szCs w:val="28"/>
        </w:rPr>
        <w:t>“</w:t>
      </w:r>
      <w:r w:rsidRPr="00A57330">
        <w:rPr>
          <w:rFonts w:ascii="Garamond" w:hAnsi="Garamond"/>
          <w:b/>
          <w:sz w:val="28"/>
          <w:szCs w:val="28"/>
        </w:rPr>
        <w:t>valid</w:t>
      </w:r>
      <w:r w:rsidR="001F36ED">
        <w:rPr>
          <w:rFonts w:ascii="Garamond" w:hAnsi="Garamond"/>
          <w:b/>
          <w:sz w:val="28"/>
          <w:szCs w:val="28"/>
        </w:rPr>
        <w:t>”</w:t>
      </w:r>
      <w:r w:rsidRPr="00A57330">
        <w:rPr>
          <w:rFonts w:ascii="Garamond" w:hAnsi="Garamond"/>
          <w:b/>
          <w:sz w:val="28"/>
          <w:szCs w:val="28"/>
        </w:rPr>
        <w:t>?</w:t>
      </w:r>
      <w:r w:rsidR="001F36ED">
        <w:rPr>
          <w:rFonts w:ascii="Garamond" w:hAnsi="Garamond"/>
          <w:b/>
          <w:sz w:val="28"/>
          <w:szCs w:val="28"/>
        </w:rPr>
        <w:t xml:space="preserve">  Can they be “authoritative”?</w:t>
      </w:r>
    </w:p>
    <w:p w:rsidR="00A57330" w:rsidRPr="00A57330" w:rsidRDefault="00A57330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</w:rPr>
        <w:t>Throughout your essay, have you supported your views with reference to the authors you consulted?</w:t>
      </w:r>
    </w:p>
    <w:p w:rsidR="00A57330" w:rsidRPr="00A57330" w:rsidRDefault="00A57330" w:rsidP="00A57330">
      <w:pPr>
        <w:pStyle w:val="ListParagraph"/>
        <w:numPr>
          <w:ilvl w:val="0"/>
          <w:numId w:val="11"/>
        </w:numPr>
        <w:spacing w:line="276" w:lineRule="auto"/>
        <w:rPr>
          <w:rFonts w:ascii="Garamond" w:hAnsi="Garamond"/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</w:rPr>
        <w:t>Have you been engaged in a critical way with the authors you have read?</w:t>
      </w:r>
    </w:p>
    <w:p w:rsidR="00A57330" w:rsidRPr="00A57330" w:rsidRDefault="00A57330" w:rsidP="00A57330">
      <w:pPr>
        <w:pStyle w:val="ListParagraph"/>
        <w:numPr>
          <w:ilvl w:val="0"/>
          <w:numId w:val="11"/>
        </w:numPr>
        <w:spacing w:line="276" w:lineRule="auto"/>
        <w:rPr>
          <w:b/>
          <w:sz w:val="28"/>
          <w:szCs w:val="28"/>
        </w:rPr>
      </w:pPr>
      <w:r w:rsidRPr="00A57330">
        <w:rPr>
          <w:rFonts w:ascii="Garamond" w:hAnsi="Garamond"/>
          <w:b/>
          <w:sz w:val="28"/>
          <w:szCs w:val="28"/>
        </w:rPr>
        <w:t>Have you referenced your work correctly?</w:t>
      </w:r>
    </w:p>
    <w:p w:rsidR="0001790B" w:rsidRPr="0001790B" w:rsidRDefault="0001790B" w:rsidP="0001790B">
      <w:pPr>
        <w:rPr>
          <w:b/>
        </w:rPr>
      </w:pPr>
    </w:p>
    <w:sectPr w:rsidR="0001790B" w:rsidRPr="0001790B" w:rsidSect="004C13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2F1FB2"/>
    <w:multiLevelType w:val="hybridMultilevel"/>
    <w:tmpl w:val="73D8C9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6A512C6"/>
    <w:multiLevelType w:val="hybridMultilevel"/>
    <w:tmpl w:val="BE86A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3574BF"/>
    <w:multiLevelType w:val="hybridMultilevel"/>
    <w:tmpl w:val="30DCD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ACF70BB"/>
    <w:multiLevelType w:val="hybridMultilevel"/>
    <w:tmpl w:val="29063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C5B476E"/>
    <w:multiLevelType w:val="hybridMultilevel"/>
    <w:tmpl w:val="B4DC01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DA15278"/>
    <w:multiLevelType w:val="hybridMultilevel"/>
    <w:tmpl w:val="0DD4C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E927D83"/>
    <w:multiLevelType w:val="hybridMultilevel"/>
    <w:tmpl w:val="B060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08B7808"/>
    <w:multiLevelType w:val="hybridMultilevel"/>
    <w:tmpl w:val="5DDAC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D855F66"/>
    <w:multiLevelType w:val="hybridMultilevel"/>
    <w:tmpl w:val="323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D884514"/>
    <w:multiLevelType w:val="hybridMultilevel"/>
    <w:tmpl w:val="B76E9C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6F72675"/>
    <w:multiLevelType w:val="hybridMultilevel"/>
    <w:tmpl w:val="2B001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9"/>
  </w:num>
  <w:num w:numId="4">
    <w:abstractNumId w:val="8"/>
  </w:num>
  <w:num w:numId="5">
    <w:abstractNumId w:val="6"/>
  </w:num>
  <w:num w:numId="6">
    <w:abstractNumId w:val="2"/>
  </w:num>
  <w:num w:numId="7">
    <w:abstractNumId w:val="5"/>
  </w:num>
  <w:num w:numId="8">
    <w:abstractNumId w:val="1"/>
  </w:num>
  <w:num w:numId="9">
    <w:abstractNumId w:val="4"/>
  </w:num>
  <w:num w:numId="10">
    <w:abstractNumId w:val="7"/>
  </w:num>
  <w:num w:numId="11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compat/>
  <w:rsids>
    <w:rsidRoot w:val="0001790B"/>
    <w:rsid w:val="0001790B"/>
    <w:rsid w:val="001F36ED"/>
    <w:rsid w:val="00285E2F"/>
    <w:rsid w:val="004C137C"/>
    <w:rsid w:val="008D55D2"/>
    <w:rsid w:val="00A5733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C13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79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5052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38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041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4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186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0619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6234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7712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6853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4504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52841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954855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089225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578912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28014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611</Words>
  <Characters>3489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3</cp:revision>
  <dcterms:created xsi:type="dcterms:W3CDTF">2014-10-03T10:50:00Z</dcterms:created>
  <dcterms:modified xsi:type="dcterms:W3CDTF">2014-10-14T12:05:00Z</dcterms:modified>
</cp:coreProperties>
</file>