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63ED65" w14:textId="77777777" w:rsidR="004E10E2" w:rsidRPr="004E10E2" w:rsidRDefault="004E10E2" w:rsidP="004E10E2">
      <w:pPr>
        <w:widowControl/>
        <w:adjustRightInd w:val="0"/>
        <w:spacing w:line="240" w:lineRule="auto"/>
        <w:jc w:val="left"/>
        <w:rPr>
          <w:rFonts w:ascii="Arial" w:hAnsi="Arial" w:cs="Arial"/>
          <w:color w:val="000000"/>
          <w:szCs w:val="24"/>
        </w:rPr>
      </w:pPr>
    </w:p>
    <w:p w14:paraId="627C2ABD" w14:textId="5C35D16F" w:rsidR="00D34829" w:rsidRDefault="005C18BE" w:rsidP="00D34829">
      <w:r>
        <w:rPr>
          <w:noProof/>
        </w:rPr>
        <w:drawing>
          <wp:inline distT="0" distB="0" distL="0" distR="0" wp14:anchorId="17B07E85" wp14:editId="7CF9D426">
            <wp:extent cx="5943600" cy="2641600"/>
            <wp:effectExtent l="0" t="0" r="0" b="6350"/>
            <wp:docPr id="1854454286"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454286"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943600" cy="2641600"/>
                    </a:xfrm>
                    <a:prstGeom prst="rect">
                      <a:avLst/>
                    </a:prstGeom>
                  </pic:spPr>
                </pic:pic>
              </a:graphicData>
            </a:graphic>
          </wp:inline>
        </w:drawing>
      </w:r>
    </w:p>
    <w:p w14:paraId="1E4E1411" w14:textId="77777777" w:rsidR="005C18BE" w:rsidRDefault="005C18BE" w:rsidP="004846F3"/>
    <w:p w14:paraId="515CE10D" w14:textId="77777777" w:rsidR="005C18BE" w:rsidRPr="005C18BE" w:rsidRDefault="005C18BE" w:rsidP="005C18BE">
      <w:pPr>
        <w:spacing w:before="200" w:after="200"/>
        <w:jc w:val="left"/>
        <w:rPr>
          <w:b/>
          <w:bCs/>
          <w:sz w:val="40"/>
          <w:szCs w:val="40"/>
        </w:rPr>
      </w:pPr>
      <w:r w:rsidRPr="005C18BE">
        <w:rPr>
          <w:b/>
          <w:bCs/>
          <w:sz w:val="40"/>
          <w:szCs w:val="40"/>
        </w:rPr>
        <w:t>Program: BA Business Management</w:t>
      </w:r>
    </w:p>
    <w:p w14:paraId="73328FC7" w14:textId="29325A82" w:rsidR="005C18BE" w:rsidRPr="005C18BE" w:rsidRDefault="005C18BE" w:rsidP="005C18BE">
      <w:pPr>
        <w:spacing w:before="200" w:after="200"/>
        <w:jc w:val="left"/>
        <w:rPr>
          <w:b/>
          <w:bCs/>
          <w:sz w:val="36"/>
          <w:szCs w:val="36"/>
        </w:rPr>
      </w:pPr>
      <w:r w:rsidRPr="005C18BE">
        <w:rPr>
          <w:b/>
          <w:bCs/>
          <w:sz w:val="36"/>
          <w:szCs w:val="36"/>
        </w:rPr>
        <w:t xml:space="preserve">Module: </w:t>
      </w:r>
      <w:r w:rsidRPr="005C18BE">
        <w:rPr>
          <w:b/>
          <w:sz w:val="36"/>
          <w:szCs w:val="36"/>
        </w:rPr>
        <w:t>International Financial Communications</w:t>
      </w:r>
    </w:p>
    <w:p w14:paraId="75C2C03F" w14:textId="6F3C3D8E" w:rsidR="005C18BE" w:rsidRPr="005C18BE" w:rsidRDefault="005C18BE" w:rsidP="005C18BE">
      <w:pPr>
        <w:jc w:val="left"/>
        <w:rPr>
          <w:b/>
          <w:sz w:val="36"/>
          <w:szCs w:val="36"/>
        </w:rPr>
      </w:pPr>
      <w:r w:rsidRPr="005C18BE">
        <w:rPr>
          <w:b/>
          <w:bCs/>
          <w:sz w:val="36"/>
          <w:szCs w:val="36"/>
        </w:rPr>
        <w:t xml:space="preserve">Module code: </w:t>
      </w:r>
      <w:r w:rsidRPr="005C18BE">
        <w:rPr>
          <w:b/>
          <w:sz w:val="36"/>
          <w:szCs w:val="36"/>
        </w:rPr>
        <w:t>LCBB6001</w:t>
      </w:r>
    </w:p>
    <w:p w14:paraId="4B5633F0" w14:textId="39CE5ECF" w:rsidR="005C18BE" w:rsidRPr="005C18BE" w:rsidRDefault="005C18BE" w:rsidP="005C18BE">
      <w:pPr>
        <w:spacing w:before="200" w:after="200"/>
        <w:jc w:val="left"/>
        <w:rPr>
          <w:b/>
          <w:bCs/>
          <w:sz w:val="36"/>
          <w:szCs w:val="36"/>
        </w:rPr>
      </w:pPr>
      <w:r w:rsidRPr="005C18BE">
        <w:rPr>
          <w:b/>
          <w:bCs/>
          <w:sz w:val="36"/>
          <w:szCs w:val="36"/>
        </w:rPr>
        <w:t xml:space="preserve">Lecturer: Charles </w:t>
      </w:r>
      <w:proofErr w:type="spellStart"/>
      <w:r w:rsidRPr="005C18BE">
        <w:rPr>
          <w:b/>
          <w:bCs/>
          <w:sz w:val="36"/>
          <w:szCs w:val="36"/>
        </w:rPr>
        <w:t>Nwaogwugwu</w:t>
      </w:r>
      <w:proofErr w:type="spellEnd"/>
    </w:p>
    <w:p w14:paraId="45134C30" w14:textId="10C18E4F" w:rsidR="005C18BE" w:rsidRDefault="005C18BE" w:rsidP="005C18BE">
      <w:pPr>
        <w:spacing w:before="200" w:after="200"/>
        <w:jc w:val="left"/>
        <w:rPr>
          <w:b/>
          <w:sz w:val="36"/>
          <w:szCs w:val="36"/>
        </w:rPr>
      </w:pPr>
      <w:r w:rsidRPr="005C18BE">
        <w:rPr>
          <w:b/>
          <w:sz w:val="36"/>
          <w:szCs w:val="36"/>
        </w:rPr>
        <w:t>Assessment Title: Assessment 1- Essay</w:t>
      </w:r>
    </w:p>
    <w:p w14:paraId="08ADCC11" w14:textId="77777777" w:rsidR="005C18BE" w:rsidRPr="005C18BE" w:rsidRDefault="005C18BE" w:rsidP="005C18BE">
      <w:pPr>
        <w:spacing w:before="200" w:after="200"/>
        <w:jc w:val="left"/>
        <w:rPr>
          <w:b/>
          <w:sz w:val="36"/>
          <w:szCs w:val="36"/>
        </w:rPr>
      </w:pPr>
    </w:p>
    <w:p w14:paraId="105EAAA7" w14:textId="77777777" w:rsidR="005C18BE" w:rsidRPr="00E87783" w:rsidRDefault="005C18BE" w:rsidP="005C18BE">
      <w:pPr>
        <w:spacing w:before="200" w:after="200"/>
        <w:jc w:val="left"/>
        <w:rPr>
          <w:b/>
          <w:bCs/>
          <w:sz w:val="28"/>
          <w:szCs w:val="28"/>
        </w:rPr>
      </w:pPr>
    </w:p>
    <w:p w14:paraId="1AC57AA6" w14:textId="77777777" w:rsidR="005C18BE" w:rsidRPr="005C18BE" w:rsidRDefault="005C18BE" w:rsidP="005C18BE">
      <w:pPr>
        <w:spacing w:before="200" w:after="200"/>
        <w:jc w:val="left"/>
        <w:rPr>
          <w:b/>
          <w:bCs/>
          <w:sz w:val="36"/>
          <w:szCs w:val="36"/>
        </w:rPr>
      </w:pPr>
      <w:r w:rsidRPr="005C18BE">
        <w:rPr>
          <w:b/>
          <w:bCs/>
          <w:sz w:val="36"/>
          <w:szCs w:val="36"/>
        </w:rPr>
        <w:t>Student: Nina Kirova</w:t>
      </w:r>
    </w:p>
    <w:p w14:paraId="24FEEBB4" w14:textId="77777777" w:rsidR="005C18BE" w:rsidRPr="005C18BE" w:rsidRDefault="005C18BE" w:rsidP="005C18BE">
      <w:pPr>
        <w:spacing w:before="200" w:after="200"/>
        <w:jc w:val="left"/>
        <w:rPr>
          <w:b/>
          <w:bCs/>
          <w:sz w:val="36"/>
          <w:szCs w:val="36"/>
        </w:rPr>
      </w:pPr>
      <w:r w:rsidRPr="005C18BE">
        <w:rPr>
          <w:b/>
          <w:bCs/>
          <w:sz w:val="36"/>
          <w:szCs w:val="36"/>
        </w:rPr>
        <w:t>Student Number: 2018270</w:t>
      </w:r>
    </w:p>
    <w:p w14:paraId="7D9E4C65" w14:textId="77777777" w:rsidR="005C18BE" w:rsidRDefault="005C18BE" w:rsidP="004846F3"/>
    <w:p w14:paraId="6D861DA1" w14:textId="244FB35B" w:rsidR="004846F3" w:rsidRDefault="004846F3" w:rsidP="004846F3">
      <w:pPr>
        <w:rPr>
          <w:b/>
          <w:sz w:val="32"/>
        </w:rPr>
      </w:pPr>
      <w:r w:rsidRPr="00D34829">
        <w:rPr>
          <w:b/>
          <w:sz w:val="32"/>
        </w:rPr>
        <w:lastRenderedPageBreak/>
        <w:t xml:space="preserve">Executive Summary </w:t>
      </w:r>
    </w:p>
    <w:p w14:paraId="2E776C50" w14:textId="77777777" w:rsidR="005C18BE" w:rsidRPr="00D34829" w:rsidRDefault="005C18BE" w:rsidP="004846F3">
      <w:pPr>
        <w:rPr>
          <w:b/>
          <w:sz w:val="32"/>
        </w:rPr>
      </w:pPr>
    </w:p>
    <w:p w14:paraId="4D2B8F8A" w14:textId="4336E891" w:rsidR="0050177B" w:rsidRDefault="004846F3">
      <w:r w:rsidRPr="004846F3">
        <w:t xml:space="preserve">At the UK-based operations of Linde Plc, this study explores the function of line managers in creating a </w:t>
      </w:r>
      <w:proofErr w:type="spellStart"/>
      <w:r w:rsidR="005C18BE">
        <w:t>favorable</w:t>
      </w:r>
      <w:proofErr w:type="spellEnd"/>
      <w:r w:rsidRPr="004846F3">
        <w:t xml:space="preserve"> work environment where everyone can succeed. A thorough introduction to British corporate communications and a quick overview of Linde Plc are provided in the report's opening paragraphs. After that, the report analyses the UK context and Linde Plc using theories of cross-cultural and intercultural communication, such as Hofstede's cultural dimensions. Given the variety of backgrounds represented in Linde Plc's personnel and other important factors, the paper analyses cultural sensitivity when conducting business in the UK and offers pertinent examples. The research also explores and analyses the communication challenges faced by a diverse workforce in the UK, again using pertinent examples. The research concludes by offering Linde Plc advice on how to improve communication and foster an environment where everyone may achieve. They include encouraging an inclusive culture, educating and developing line managers, and employing effective communication methods to get across linguistic and cultural hurdles. The overall goal of this research is to offer the HR director of Linde Plc actionable suggestions for fostering an atmosphere where all workers may thrive in UK-based operations.</w:t>
      </w:r>
    </w:p>
    <w:p w14:paraId="1B2E8A43" w14:textId="77777777" w:rsidR="00D34829" w:rsidRDefault="00D34829">
      <w:pPr>
        <w:widowControl/>
        <w:autoSpaceDE/>
        <w:autoSpaceDN/>
        <w:spacing w:after="160" w:line="259" w:lineRule="auto"/>
        <w:jc w:val="left"/>
      </w:pPr>
      <w:r>
        <w:br w:type="page"/>
      </w:r>
    </w:p>
    <w:sdt>
      <w:sdtPr>
        <w:rPr>
          <w:rFonts w:ascii="Times New Roman" w:eastAsia="Times New Roman" w:hAnsi="Times New Roman" w:cs="Times New Roman"/>
          <w:color w:val="auto"/>
          <w:sz w:val="24"/>
          <w:szCs w:val="22"/>
          <w:lang w:val="en-GB"/>
        </w:rPr>
        <w:id w:val="976262205"/>
        <w:docPartObj>
          <w:docPartGallery w:val="Table of Contents"/>
          <w:docPartUnique/>
        </w:docPartObj>
      </w:sdtPr>
      <w:sdtEndPr>
        <w:rPr>
          <w:b/>
          <w:bCs/>
          <w:noProof/>
        </w:rPr>
      </w:sdtEndPr>
      <w:sdtContent>
        <w:p w14:paraId="637AD9BF" w14:textId="77777777" w:rsidR="00D34829" w:rsidRPr="005C18BE" w:rsidRDefault="00D34829">
          <w:pPr>
            <w:pStyle w:val="TOCHeading"/>
            <w:rPr>
              <w:color w:val="auto"/>
            </w:rPr>
          </w:pPr>
          <w:r w:rsidRPr="005C18BE">
            <w:rPr>
              <w:color w:val="auto"/>
            </w:rPr>
            <w:t>Table of Contents</w:t>
          </w:r>
        </w:p>
        <w:p w14:paraId="7B005112" w14:textId="77777777" w:rsidR="00D34829" w:rsidRDefault="00D34829">
          <w:pPr>
            <w:pStyle w:val="TOC1"/>
            <w:tabs>
              <w:tab w:val="right" w:leader="dot" w:pos="9350"/>
            </w:tabs>
            <w:rPr>
              <w:noProof/>
            </w:rPr>
          </w:pPr>
          <w:r>
            <w:fldChar w:fldCharType="begin"/>
          </w:r>
          <w:r>
            <w:instrText xml:space="preserve"> TOC \o "1-3" \h \z \u </w:instrText>
          </w:r>
          <w:r>
            <w:fldChar w:fldCharType="separate"/>
          </w:r>
          <w:hyperlink w:anchor="_Toc128287530" w:history="1">
            <w:r w:rsidRPr="00471268">
              <w:rPr>
                <w:rStyle w:val="Hyperlink"/>
                <w:noProof/>
              </w:rPr>
              <w:t>Introduction</w:t>
            </w:r>
            <w:r>
              <w:rPr>
                <w:noProof/>
                <w:webHidden/>
              </w:rPr>
              <w:tab/>
            </w:r>
            <w:r>
              <w:rPr>
                <w:noProof/>
                <w:webHidden/>
              </w:rPr>
              <w:fldChar w:fldCharType="begin"/>
            </w:r>
            <w:r>
              <w:rPr>
                <w:noProof/>
                <w:webHidden/>
              </w:rPr>
              <w:instrText xml:space="preserve"> PAGEREF _Toc128287530 \h </w:instrText>
            </w:r>
            <w:r>
              <w:rPr>
                <w:noProof/>
                <w:webHidden/>
              </w:rPr>
            </w:r>
            <w:r>
              <w:rPr>
                <w:noProof/>
                <w:webHidden/>
              </w:rPr>
              <w:fldChar w:fldCharType="separate"/>
            </w:r>
            <w:r>
              <w:rPr>
                <w:noProof/>
                <w:webHidden/>
              </w:rPr>
              <w:t>4</w:t>
            </w:r>
            <w:r>
              <w:rPr>
                <w:noProof/>
                <w:webHidden/>
              </w:rPr>
              <w:fldChar w:fldCharType="end"/>
            </w:r>
          </w:hyperlink>
        </w:p>
        <w:p w14:paraId="563313D4" w14:textId="77777777" w:rsidR="00D34829" w:rsidRDefault="00000000">
          <w:pPr>
            <w:pStyle w:val="TOC1"/>
            <w:tabs>
              <w:tab w:val="right" w:leader="dot" w:pos="9350"/>
            </w:tabs>
            <w:rPr>
              <w:noProof/>
            </w:rPr>
          </w:pPr>
          <w:hyperlink w:anchor="_Toc128287531" w:history="1">
            <w:r w:rsidR="00D34829" w:rsidRPr="00471268">
              <w:rPr>
                <w:rStyle w:val="Hyperlink"/>
                <w:noProof/>
              </w:rPr>
              <w:t>Linde Plc</w:t>
            </w:r>
            <w:r w:rsidR="00D34829">
              <w:rPr>
                <w:noProof/>
                <w:webHidden/>
              </w:rPr>
              <w:tab/>
            </w:r>
            <w:r w:rsidR="00D34829">
              <w:rPr>
                <w:noProof/>
                <w:webHidden/>
              </w:rPr>
              <w:fldChar w:fldCharType="begin"/>
            </w:r>
            <w:r w:rsidR="00D34829">
              <w:rPr>
                <w:noProof/>
                <w:webHidden/>
              </w:rPr>
              <w:instrText xml:space="preserve"> PAGEREF _Toc128287531 \h </w:instrText>
            </w:r>
            <w:r w:rsidR="00D34829">
              <w:rPr>
                <w:noProof/>
                <w:webHidden/>
              </w:rPr>
            </w:r>
            <w:r w:rsidR="00D34829">
              <w:rPr>
                <w:noProof/>
                <w:webHidden/>
              </w:rPr>
              <w:fldChar w:fldCharType="separate"/>
            </w:r>
            <w:r w:rsidR="00D34829">
              <w:rPr>
                <w:noProof/>
                <w:webHidden/>
              </w:rPr>
              <w:t>5</w:t>
            </w:r>
            <w:r w:rsidR="00D34829">
              <w:rPr>
                <w:noProof/>
                <w:webHidden/>
              </w:rPr>
              <w:fldChar w:fldCharType="end"/>
            </w:r>
          </w:hyperlink>
        </w:p>
        <w:p w14:paraId="008C8243" w14:textId="0C8E8C5B" w:rsidR="00D34829" w:rsidRDefault="00000000">
          <w:pPr>
            <w:pStyle w:val="TOC1"/>
            <w:tabs>
              <w:tab w:val="right" w:leader="dot" w:pos="9350"/>
            </w:tabs>
            <w:rPr>
              <w:noProof/>
            </w:rPr>
          </w:pPr>
          <w:hyperlink w:anchor="_Toc128287532" w:history="1">
            <w:r w:rsidR="00D34829" w:rsidRPr="00471268">
              <w:rPr>
                <w:rStyle w:val="Hyperlink"/>
                <w:noProof/>
              </w:rPr>
              <w:t xml:space="preserve">Application of </w:t>
            </w:r>
            <w:r w:rsidR="005C18BE">
              <w:rPr>
                <w:rStyle w:val="Hyperlink"/>
                <w:noProof/>
              </w:rPr>
              <w:t>Theories</w:t>
            </w:r>
            <w:r w:rsidR="00D34829">
              <w:rPr>
                <w:noProof/>
                <w:webHidden/>
              </w:rPr>
              <w:tab/>
            </w:r>
            <w:r w:rsidR="00D34829">
              <w:rPr>
                <w:noProof/>
                <w:webHidden/>
              </w:rPr>
              <w:fldChar w:fldCharType="begin"/>
            </w:r>
            <w:r w:rsidR="00D34829">
              <w:rPr>
                <w:noProof/>
                <w:webHidden/>
              </w:rPr>
              <w:instrText xml:space="preserve"> PAGEREF _Toc128287532 \h </w:instrText>
            </w:r>
            <w:r w:rsidR="00D34829">
              <w:rPr>
                <w:noProof/>
                <w:webHidden/>
              </w:rPr>
            </w:r>
            <w:r w:rsidR="00D34829">
              <w:rPr>
                <w:noProof/>
                <w:webHidden/>
              </w:rPr>
              <w:fldChar w:fldCharType="separate"/>
            </w:r>
            <w:r w:rsidR="00D34829">
              <w:rPr>
                <w:noProof/>
                <w:webHidden/>
              </w:rPr>
              <w:t>5</w:t>
            </w:r>
            <w:r w:rsidR="00D34829">
              <w:rPr>
                <w:noProof/>
                <w:webHidden/>
              </w:rPr>
              <w:fldChar w:fldCharType="end"/>
            </w:r>
          </w:hyperlink>
        </w:p>
        <w:p w14:paraId="296DFA71" w14:textId="1D030333" w:rsidR="00D34829" w:rsidRDefault="00000000">
          <w:pPr>
            <w:pStyle w:val="TOC1"/>
            <w:tabs>
              <w:tab w:val="right" w:leader="dot" w:pos="9350"/>
            </w:tabs>
            <w:rPr>
              <w:noProof/>
            </w:rPr>
          </w:pPr>
          <w:hyperlink w:anchor="_Toc128287533" w:history="1">
            <w:r w:rsidR="00D34829" w:rsidRPr="00471268">
              <w:rPr>
                <w:rStyle w:val="Hyperlink"/>
                <w:noProof/>
              </w:rPr>
              <w:t xml:space="preserve">Critical </w:t>
            </w:r>
            <w:r w:rsidR="005C18BE">
              <w:rPr>
                <w:rStyle w:val="Hyperlink"/>
                <w:noProof/>
              </w:rPr>
              <w:t>Evaluation</w:t>
            </w:r>
            <w:r w:rsidR="00D34829" w:rsidRPr="00471268">
              <w:rPr>
                <w:rStyle w:val="Hyperlink"/>
                <w:noProof/>
              </w:rPr>
              <w:t xml:space="preserve"> of cultural sensitivity</w:t>
            </w:r>
            <w:r w:rsidR="00D34829">
              <w:rPr>
                <w:noProof/>
                <w:webHidden/>
              </w:rPr>
              <w:tab/>
            </w:r>
            <w:r w:rsidR="00D34829">
              <w:rPr>
                <w:noProof/>
                <w:webHidden/>
              </w:rPr>
              <w:fldChar w:fldCharType="begin"/>
            </w:r>
            <w:r w:rsidR="00D34829">
              <w:rPr>
                <w:noProof/>
                <w:webHidden/>
              </w:rPr>
              <w:instrText xml:space="preserve"> PAGEREF _Toc128287533 \h </w:instrText>
            </w:r>
            <w:r w:rsidR="00D34829">
              <w:rPr>
                <w:noProof/>
                <w:webHidden/>
              </w:rPr>
            </w:r>
            <w:r w:rsidR="00D34829">
              <w:rPr>
                <w:noProof/>
                <w:webHidden/>
              </w:rPr>
              <w:fldChar w:fldCharType="separate"/>
            </w:r>
            <w:r w:rsidR="00D34829">
              <w:rPr>
                <w:noProof/>
                <w:webHidden/>
              </w:rPr>
              <w:t>8</w:t>
            </w:r>
            <w:r w:rsidR="00D34829">
              <w:rPr>
                <w:noProof/>
                <w:webHidden/>
              </w:rPr>
              <w:fldChar w:fldCharType="end"/>
            </w:r>
          </w:hyperlink>
        </w:p>
        <w:p w14:paraId="7B2D7A12" w14:textId="77777777" w:rsidR="00D34829" w:rsidRDefault="00000000">
          <w:pPr>
            <w:pStyle w:val="TOC1"/>
            <w:tabs>
              <w:tab w:val="right" w:leader="dot" w:pos="9350"/>
            </w:tabs>
            <w:rPr>
              <w:noProof/>
            </w:rPr>
          </w:pPr>
          <w:hyperlink w:anchor="_Toc128287534" w:history="1">
            <w:r w:rsidR="00D34829" w:rsidRPr="00471268">
              <w:rPr>
                <w:rStyle w:val="Hyperlink"/>
                <w:noProof/>
              </w:rPr>
              <w:t>Communication barriers</w:t>
            </w:r>
            <w:r w:rsidR="00D34829">
              <w:rPr>
                <w:noProof/>
                <w:webHidden/>
              </w:rPr>
              <w:tab/>
            </w:r>
            <w:r w:rsidR="00D34829">
              <w:rPr>
                <w:noProof/>
                <w:webHidden/>
              </w:rPr>
              <w:fldChar w:fldCharType="begin"/>
            </w:r>
            <w:r w:rsidR="00D34829">
              <w:rPr>
                <w:noProof/>
                <w:webHidden/>
              </w:rPr>
              <w:instrText xml:space="preserve"> PAGEREF _Toc128287534 \h </w:instrText>
            </w:r>
            <w:r w:rsidR="00D34829">
              <w:rPr>
                <w:noProof/>
                <w:webHidden/>
              </w:rPr>
            </w:r>
            <w:r w:rsidR="00D34829">
              <w:rPr>
                <w:noProof/>
                <w:webHidden/>
              </w:rPr>
              <w:fldChar w:fldCharType="separate"/>
            </w:r>
            <w:r w:rsidR="00D34829">
              <w:rPr>
                <w:noProof/>
                <w:webHidden/>
              </w:rPr>
              <w:t>10</w:t>
            </w:r>
            <w:r w:rsidR="00D34829">
              <w:rPr>
                <w:noProof/>
                <w:webHidden/>
              </w:rPr>
              <w:fldChar w:fldCharType="end"/>
            </w:r>
          </w:hyperlink>
        </w:p>
        <w:p w14:paraId="1AB0F2A6" w14:textId="004EB4B9" w:rsidR="00D34829" w:rsidRDefault="00000000">
          <w:pPr>
            <w:pStyle w:val="TOC1"/>
            <w:tabs>
              <w:tab w:val="right" w:leader="dot" w:pos="9350"/>
            </w:tabs>
            <w:rPr>
              <w:noProof/>
            </w:rPr>
          </w:pPr>
          <w:hyperlink w:anchor="_Toc128287535" w:history="1">
            <w:r w:rsidR="00D34829" w:rsidRPr="00471268">
              <w:rPr>
                <w:rStyle w:val="Hyperlink"/>
                <w:noProof/>
              </w:rPr>
              <w:t xml:space="preserve">Communication </w:t>
            </w:r>
            <w:r w:rsidR="005C18BE">
              <w:rPr>
                <w:rStyle w:val="Hyperlink"/>
                <w:noProof/>
              </w:rPr>
              <w:t>Strategies</w:t>
            </w:r>
            <w:r w:rsidR="00D34829" w:rsidRPr="00471268">
              <w:rPr>
                <w:rStyle w:val="Hyperlink"/>
                <w:noProof/>
              </w:rPr>
              <w:t xml:space="preserve"> and </w:t>
            </w:r>
            <w:r w:rsidR="005C18BE">
              <w:rPr>
                <w:rStyle w:val="Hyperlink"/>
                <w:noProof/>
              </w:rPr>
              <w:t>Recommendations</w:t>
            </w:r>
            <w:r w:rsidR="00D34829">
              <w:rPr>
                <w:noProof/>
                <w:webHidden/>
              </w:rPr>
              <w:tab/>
            </w:r>
            <w:r w:rsidR="00D34829">
              <w:rPr>
                <w:noProof/>
                <w:webHidden/>
              </w:rPr>
              <w:fldChar w:fldCharType="begin"/>
            </w:r>
            <w:r w:rsidR="00D34829">
              <w:rPr>
                <w:noProof/>
                <w:webHidden/>
              </w:rPr>
              <w:instrText xml:space="preserve"> PAGEREF _Toc128287535 \h </w:instrText>
            </w:r>
            <w:r w:rsidR="00D34829">
              <w:rPr>
                <w:noProof/>
                <w:webHidden/>
              </w:rPr>
            </w:r>
            <w:r w:rsidR="00D34829">
              <w:rPr>
                <w:noProof/>
                <w:webHidden/>
              </w:rPr>
              <w:fldChar w:fldCharType="separate"/>
            </w:r>
            <w:r w:rsidR="00D34829">
              <w:rPr>
                <w:noProof/>
                <w:webHidden/>
              </w:rPr>
              <w:t>12</w:t>
            </w:r>
            <w:r w:rsidR="00D34829">
              <w:rPr>
                <w:noProof/>
                <w:webHidden/>
              </w:rPr>
              <w:fldChar w:fldCharType="end"/>
            </w:r>
          </w:hyperlink>
        </w:p>
        <w:p w14:paraId="11598DF8" w14:textId="77777777" w:rsidR="00D34829" w:rsidRDefault="00000000">
          <w:pPr>
            <w:pStyle w:val="TOC1"/>
            <w:tabs>
              <w:tab w:val="right" w:leader="dot" w:pos="9350"/>
            </w:tabs>
            <w:rPr>
              <w:noProof/>
            </w:rPr>
          </w:pPr>
          <w:hyperlink w:anchor="_Toc128287536" w:history="1">
            <w:r w:rsidR="00D34829" w:rsidRPr="00471268">
              <w:rPr>
                <w:rStyle w:val="Hyperlink"/>
                <w:noProof/>
              </w:rPr>
              <w:t>Conclusion</w:t>
            </w:r>
            <w:r w:rsidR="00D34829">
              <w:rPr>
                <w:noProof/>
                <w:webHidden/>
              </w:rPr>
              <w:tab/>
            </w:r>
            <w:r w:rsidR="00D34829">
              <w:rPr>
                <w:noProof/>
                <w:webHidden/>
              </w:rPr>
              <w:fldChar w:fldCharType="begin"/>
            </w:r>
            <w:r w:rsidR="00D34829">
              <w:rPr>
                <w:noProof/>
                <w:webHidden/>
              </w:rPr>
              <w:instrText xml:space="preserve"> PAGEREF _Toc128287536 \h </w:instrText>
            </w:r>
            <w:r w:rsidR="00D34829">
              <w:rPr>
                <w:noProof/>
                <w:webHidden/>
              </w:rPr>
            </w:r>
            <w:r w:rsidR="00D34829">
              <w:rPr>
                <w:noProof/>
                <w:webHidden/>
              </w:rPr>
              <w:fldChar w:fldCharType="separate"/>
            </w:r>
            <w:r w:rsidR="00D34829">
              <w:rPr>
                <w:noProof/>
                <w:webHidden/>
              </w:rPr>
              <w:t>14</w:t>
            </w:r>
            <w:r w:rsidR="00D34829">
              <w:rPr>
                <w:noProof/>
                <w:webHidden/>
              </w:rPr>
              <w:fldChar w:fldCharType="end"/>
            </w:r>
          </w:hyperlink>
        </w:p>
        <w:p w14:paraId="33A81765" w14:textId="77777777" w:rsidR="00D34829" w:rsidRDefault="00000000">
          <w:pPr>
            <w:pStyle w:val="TOC1"/>
            <w:tabs>
              <w:tab w:val="right" w:leader="dot" w:pos="9350"/>
            </w:tabs>
            <w:rPr>
              <w:noProof/>
            </w:rPr>
          </w:pPr>
          <w:hyperlink w:anchor="_Toc128287537" w:history="1">
            <w:r w:rsidR="00D34829" w:rsidRPr="00471268">
              <w:rPr>
                <w:rStyle w:val="Hyperlink"/>
                <w:noProof/>
              </w:rPr>
              <w:t>References</w:t>
            </w:r>
            <w:r w:rsidR="00D34829">
              <w:rPr>
                <w:noProof/>
                <w:webHidden/>
              </w:rPr>
              <w:tab/>
            </w:r>
            <w:r w:rsidR="00D34829">
              <w:rPr>
                <w:noProof/>
                <w:webHidden/>
              </w:rPr>
              <w:fldChar w:fldCharType="begin"/>
            </w:r>
            <w:r w:rsidR="00D34829">
              <w:rPr>
                <w:noProof/>
                <w:webHidden/>
              </w:rPr>
              <w:instrText xml:space="preserve"> PAGEREF _Toc128287537 \h </w:instrText>
            </w:r>
            <w:r w:rsidR="00D34829">
              <w:rPr>
                <w:noProof/>
                <w:webHidden/>
              </w:rPr>
            </w:r>
            <w:r w:rsidR="00D34829">
              <w:rPr>
                <w:noProof/>
                <w:webHidden/>
              </w:rPr>
              <w:fldChar w:fldCharType="separate"/>
            </w:r>
            <w:r w:rsidR="00D34829">
              <w:rPr>
                <w:noProof/>
                <w:webHidden/>
              </w:rPr>
              <w:t>15</w:t>
            </w:r>
            <w:r w:rsidR="00D34829">
              <w:rPr>
                <w:noProof/>
                <w:webHidden/>
              </w:rPr>
              <w:fldChar w:fldCharType="end"/>
            </w:r>
          </w:hyperlink>
        </w:p>
        <w:p w14:paraId="52964F4A" w14:textId="77777777" w:rsidR="00D34829" w:rsidRDefault="00D34829">
          <w:r>
            <w:rPr>
              <w:b/>
              <w:bCs/>
              <w:noProof/>
            </w:rPr>
            <w:fldChar w:fldCharType="end"/>
          </w:r>
        </w:p>
      </w:sdtContent>
    </w:sdt>
    <w:p w14:paraId="56BA6774" w14:textId="7DF25D45" w:rsidR="005C18BE" w:rsidRDefault="005C18BE" w:rsidP="005C18BE">
      <w:pPr>
        <w:widowControl/>
        <w:tabs>
          <w:tab w:val="left" w:pos="5316"/>
        </w:tabs>
        <w:autoSpaceDE/>
        <w:autoSpaceDN/>
        <w:spacing w:after="160" w:line="259" w:lineRule="auto"/>
        <w:jc w:val="left"/>
      </w:pPr>
      <w:r>
        <w:tab/>
      </w:r>
    </w:p>
    <w:p w14:paraId="70877927" w14:textId="77777777" w:rsidR="005C18BE" w:rsidRDefault="005C18BE" w:rsidP="005C18BE">
      <w:pPr>
        <w:widowControl/>
        <w:tabs>
          <w:tab w:val="left" w:pos="5316"/>
        </w:tabs>
        <w:autoSpaceDE/>
        <w:autoSpaceDN/>
        <w:spacing w:after="160" w:line="259" w:lineRule="auto"/>
        <w:jc w:val="left"/>
      </w:pPr>
    </w:p>
    <w:p w14:paraId="62C4E689" w14:textId="77777777" w:rsidR="005C18BE" w:rsidRDefault="005C18BE" w:rsidP="005C18BE">
      <w:pPr>
        <w:widowControl/>
        <w:tabs>
          <w:tab w:val="left" w:pos="5316"/>
        </w:tabs>
        <w:autoSpaceDE/>
        <w:autoSpaceDN/>
        <w:spacing w:after="160" w:line="259" w:lineRule="auto"/>
        <w:jc w:val="left"/>
      </w:pPr>
    </w:p>
    <w:p w14:paraId="71A90777" w14:textId="77777777" w:rsidR="005C18BE" w:rsidRDefault="005C18BE" w:rsidP="005C18BE">
      <w:pPr>
        <w:widowControl/>
        <w:tabs>
          <w:tab w:val="left" w:pos="5316"/>
        </w:tabs>
        <w:autoSpaceDE/>
        <w:autoSpaceDN/>
        <w:spacing w:after="160" w:line="259" w:lineRule="auto"/>
        <w:jc w:val="left"/>
      </w:pPr>
    </w:p>
    <w:p w14:paraId="4AD0287C" w14:textId="77777777" w:rsidR="005C18BE" w:rsidRDefault="005C18BE" w:rsidP="005C18BE">
      <w:pPr>
        <w:widowControl/>
        <w:tabs>
          <w:tab w:val="left" w:pos="5316"/>
        </w:tabs>
        <w:autoSpaceDE/>
        <w:autoSpaceDN/>
        <w:spacing w:after="160" w:line="259" w:lineRule="auto"/>
        <w:jc w:val="left"/>
      </w:pPr>
    </w:p>
    <w:p w14:paraId="655D97AF" w14:textId="77777777" w:rsidR="005C18BE" w:rsidRDefault="005C18BE" w:rsidP="005C18BE">
      <w:pPr>
        <w:widowControl/>
        <w:tabs>
          <w:tab w:val="left" w:pos="5316"/>
        </w:tabs>
        <w:autoSpaceDE/>
        <w:autoSpaceDN/>
        <w:spacing w:after="160" w:line="259" w:lineRule="auto"/>
        <w:jc w:val="left"/>
      </w:pPr>
    </w:p>
    <w:p w14:paraId="1F2252A5" w14:textId="77777777" w:rsidR="005C18BE" w:rsidRDefault="005C18BE" w:rsidP="005C18BE">
      <w:pPr>
        <w:widowControl/>
        <w:tabs>
          <w:tab w:val="left" w:pos="5316"/>
        </w:tabs>
        <w:autoSpaceDE/>
        <w:autoSpaceDN/>
        <w:spacing w:after="160" w:line="259" w:lineRule="auto"/>
        <w:jc w:val="left"/>
      </w:pPr>
    </w:p>
    <w:p w14:paraId="7EE3B892" w14:textId="77777777" w:rsidR="005C18BE" w:rsidRDefault="005C18BE" w:rsidP="005C18BE">
      <w:pPr>
        <w:widowControl/>
        <w:tabs>
          <w:tab w:val="left" w:pos="5316"/>
        </w:tabs>
        <w:autoSpaceDE/>
        <w:autoSpaceDN/>
        <w:spacing w:after="160" w:line="259" w:lineRule="auto"/>
        <w:jc w:val="left"/>
      </w:pPr>
    </w:p>
    <w:p w14:paraId="2B5E2D1D" w14:textId="77777777" w:rsidR="005C18BE" w:rsidRDefault="005C18BE" w:rsidP="005C18BE">
      <w:pPr>
        <w:widowControl/>
        <w:tabs>
          <w:tab w:val="left" w:pos="5316"/>
        </w:tabs>
        <w:autoSpaceDE/>
        <w:autoSpaceDN/>
        <w:spacing w:after="160" w:line="259" w:lineRule="auto"/>
        <w:jc w:val="left"/>
      </w:pPr>
    </w:p>
    <w:p w14:paraId="23FC6A0B" w14:textId="77777777" w:rsidR="005C18BE" w:rsidRDefault="005C18BE" w:rsidP="005C18BE">
      <w:pPr>
        <w:widowControl/>
        <w:tabs>
          <w:tab w:val="left" w:pos="5316"/>
        </w:tabs>
        <w:autoSpaceDE/>
        <w:autoSpaceDN/>
        <w:spacing w:after="160" w:line="259" w:lineRule="auto"/>
        <w:jc w:val="left"/>
      </w:pPr>
    </w:p>
    <w:p w14:paraId="44DF4164" w14:textId="77777777" w:rsidR="005C18BE" w:rsidRDefault="005C18BE" w:rsidP="005C18BE">
      <w:pPr>
        <w:widowControl/>
        <w:tabs>
          <w:tab w:val="left" w:pos="5316"/>
        </w:tabs>
        <w:autoSpaceDE/>
        <w:autoSpaceDN/>
        <w:spacing w:after="160" w:line="259" w:lineRule="auto"/>
        <w:jc w:val="left"/>
      </w:pPr>
    </w:p>
    <w:p w14:paraId="7D6B9112" w14:textId="77777777" w:rsidR="005C18BE" w:rsidRDefault="005C18BE" w:rsidP="005C18BE">
      <w:pPr>
        <w:widowControl/>
        <w:tabs>
          <w:tab w:val="left" w:pos="5316"/>
        </w:tabs>
        <w:autoSpaceDE/>
        <w:autoSpaceDN/>
        <w:spacing w:after="160" w:line="259" w:lineRule="auto"/>
        <w:jc w:val="left"/>
      </w:pPr>
    </w:p>
    <w:p w14:paraId="57072AFA" w14:textId="77777777" w:rsidR="005C18BE" w:rsidRDefault="005C18BE" w:rsidP="005C18BE">
      <w:pPr>
        <w:widowControl/>
        <w:tabs>
          <w:tab w:val="left" w:pos="5316"/>
        </w:tabs>
        <w:autoSpaceDE/>
        <w:autoSpaceDN/>
        <w:spacing w:after="160" w:line="259" w:lineRule="auto"/>
        <w:jc w:val="left"/>
      </w:pPr>
    </w:p>
    <w:p w14:paraId="6D251E91" w14:textId="77777777" w:rsidR="005C18BE" w:rsidRDefault="005C18BE" w:rsidP="005C18BE">
      <w:pPr>
        <w:widowControl/>
        <w:tabs>
          <w:tab w:val="left" w:pos="5316"/>
        </w:tabs>
        <w:autoSpaceDE/>
        <w:autoSpaceDN/>
        <w:spacing w:after="160" w:line="259" w:lineRule="auto"/>
        <w:jc w:val="left"/>
      </w:pPr>
    </w:p>
    <w:p w14:paraId="18009CF1" w14:textId="77777777" w:rsidR="005C18BE" w:rsidRDefault="005C18BE" w:rsidP="005C18BE">
      <w:pPr>
        <w:widowControl/>
        <w:tabs>
          <w:tab w:val="left" w:pos="5316"/>
        </w:tabs>
        <w:autoSpaceDE/>
        <w:autoSpaceDN/>
        <w:spacing w:after="160" w:line="259" w:lineRule="auto"/>
        <w:jc w:val="left"/>
      </w:pPr>
    </w:p>
    <w:p w14:paraId="6B6C9C4D" w14:textId="44129590" w:rsidR="00D34829" w:rsidRDefault="005C18BE" w:rsidP="005C18BE">
      <w:pPr>
        <w:widowControl/>
        <w:tabs>
          <w:tab w:val="left" w:pos="5316"/>
        </w:tabs>
        <w:autoSpaceDE/>
        <w:autoSpaceDN/>
        <w:spacing w:after="160" w:line="259" w:lineRule="auto"/>
        <w:jc w:val="left"/>
      </w:pPr>
      <w:r>
        <w:tab/>
      </w:r>
    </w:p>
    <w:p w14:paraId="40B52EAF" w14:textId="77777777" w:rsidR="004846F3" w:rsidRDefault="004846F3" w:rsidP="00D34829">
      <w:pPr>
        <w:pStyle w:val="Heading1"/>
      </w:pPr>
      <w:bookmarkStart w:id="0" w:name="_Toc128287530"/>
      <w:r>
        <w:lastRenderedPageBreak/>
        <w:t>Introduction</w:t>
      </w:r>
      <w:bookmarkEnd w:id="0"/>
    </w:p>
    <w:p w14:paraId="6BA9D960" w14:textId="77777777" w:rsidR="005C18BE" w:rsidRPr="005C18BE" w:rsidRDefault="005C18BE" w:rsidP="005C18BE"/>
    <w:p w14:paraId="01CCBB08" w14:textId="77777777" w:rsidR="004846F3" w:rsidRDefault="004846F3" w:rsidP="004846F3">
      <w:r>
        <w:t>Communication is one of the most important aspects of any successful organisation, but it is more important when dealing with a diverse staff. Because of the multicultural context in which businesses operate in the UK, communication strategies need to be adapted to fit the wide range of people that make up the workforce. The purpose of this research is to offer a critical analysis of the part that line managers play in fostering an environment that enables everyone involved in UK-based business operations to flourish. The selected organisation will be introduced, theories of international and intercultural communication will be applied, cultural sensitivity will be evaluated, communication barriers experienced by a diverse workforce will be discussed, and appropriate communication strategies will be provided to enable the organisation to succeed.</w:t>
      </w:r>
    </w:p>
    <w:p w14:paraId="262FD203" w14:textId="77777777" w:rsidR="00D34829" w:rsidRDefault="00D34829" w:rsidP="004846F3"/>
    <w:p w14:paraId="13988819" w14:textId="77777777" w:rsidR="00D34829" w:rsidRDefault="00D34829" w:rsidP="004846F3"/>
    <w:p w14:paraId="5DA9EABE" w14:textId="77777777" w:rsidR="00D34829" w:rsidRDefault="00D34829" w:rsidP="004846F3"/>
    <w:p w14:paraId="5A9F55AF" w14:textId="77777777" w:rsidR="00D34829" w:rsidRDefault="00D34829" w:rsidP="004846F3"/>
    <w:p w14:paraId="2DA71289" w14:textId="77777777" w:rsidR="00D34829" w:rsidRDefault="00D34829" w:rsidP="004846F3"/>
    <w:p w14:paraId="7D7EE430" w14:textId="77777777" w:rsidR="00D34829" w:rsidRDefault="00D34829" w:rsidP="004846F3"/>
    <w:p w14:paraId="0804FE27" w14:textId="77777777" w:rsidR="00D34829" w:rsidRDefault="00D34829" w:rsidP="004846F3"/>
    <w:p w14:paraId="4296C342" w14:textId="77777777" w:rsidR="00D34829" w:rsidRDefault="00D34829" w:rsidP="004846F3"/>
    <w:p w14:paraId="2CCD9172" w14:textId="77777777" w:rsidR="00D34829" w:rsidRDefault="00D34829" w:rsidP="004846F3"/>
    <w:p w14:paraId="65518D6A" w14:textId="77777777" w:rsidR="00D34829" w:rsidRDefault="00D34829" w:rsidP="004846F3"/>
    <w:p w14:paraId="04AB14E5" w14:textId="77777777" w:rsidR="00D34829" w:rsidRDefault="00D34829" w:rsidP="004846F3"/>
    <w:p w14:paraId="324D528F" w14:textId="77777777" w:rsidR="00D34829" w:rsidRDefault="00D34829" w:rsidP="004846F3"/>
    <w:p w14:paraId="5B6508B8" w14:textId="77777777" w:rsidR="00D34829" w:rsidRDefault="00D34829" w:rsidP="004846F3"/>
    <w:p w14:paraId="4E0C73B4" w14:textId="77777777" w:rsidR="00D34829" w:rsidRDefault="00D34829" w:rsidP="004846F3"/>
    <w:p w14:paraId="4EBF99B4" w14:textId="77777777" w:rsidR="00D34829" w:rsidRDefault="00D34829" w:rsidP="004846F3"/>
    <w:p w14:paraId="27787C03" w14:textId="77777777" w:rsidR="00D34829" w:rsidRDefault="00D34829" w:rsidP="004846F3"/>
    <w:p w14:paraId="543A4EF6" w14:textId="77777777" w:rsidR="00D34829" w:rsidRDefault="00D34829" w:rsidP="004846F3"/>
    <w:p w14:paraId="5BF42555" w14:textId="77777777" w:rsidR="00D34829" w:rsidRDefault="00D34829" w:rsidP="004846F3"/>
    <w:p w14:paraId="40491248" w14:textId="77777777" w:rsidR="00D34829" w:rsidRDefault="00D34829" w:rsidP="004846F3"/>
    <w:p w14:paraId="50EEC6ED" w14:textId="77777777" w:rsidR="00D34829" w:rsidRDefault="00D34829" w:rsidP="004846F3"/>
    <w:p w14:paraId="73524EC8" w14:textId="77777777" w:rsidR="004846F3" w:rsidRDefault="004846F3" w:rsidP="00D34829">
      <w:pPr>
        <w:pStyle w:val="Heading1"/>
      </w:pPr>
      <w:bookmarkStart w:id="1" w:name="_Toc128287531"/>
      <w:r>
        <w:lastRenderedPageBreak/>
        <w:t>Linde Plc</w:t>
      </w:r>
      <w:bookmarkEnd w:id="1"/>
    </w:p>
    <w:p w14:paraId="565CAA6F" w14:textId="77777777" w:rsidR="005C18BE" w:rsidRPr="005C18BE" w:rsidRDefault="005C18BE" w:rsidP="005C18BE"/>
    <w:p w14:paraId="37A542F2" w14:textId="77777777" w:rsidR="004846F3" w:rsidRDefault="004846F3" w:rsidP="004846F3">
      <w:r w:rsidRPr="004846F3">
        <w:t>An international manufacturer of engineering and industrial gases, Linde plc is based in Guildford, Surrey, in the United Kingdom. In 2018, Linde AG and Praxair Inc. merged to form the business, making it the largest industrial gas company in the world in terms of revenue</w:t>
      </w:r>
      <w:r w:rsidR="00BB0F1E">
        <w:t xml:space="preserve"> </w:t>
      </w:r>
      <w:r w:rsidR="00BB0F1E" w:rsidRPr="00BB0F1E">
        <w:t>(Linde, 2023)</w:t>
      </w:r>
      <w:r w:rsidRPr="004846F3">
        <w:t>. More th</w:t>
      </w:r>
      <w:r w:rsidR="00E95F89">
        <w:t>an 80,000 people work at Linde P</w:t>
      </w:r>
      <w:r w:rsidRPr="004846F3">
        <w:t xml:space="preserve">lc worldwide, which has operations in more than 100 nations. Revenue for 2021 was </w:t>
      </w:r>
      <w:r w:rsidR="00F55D23">
        <w:t>£</w:t>
      </w:r>
      <w:r w:rsidRPr="004846F3">
        <w:t xml:space="preserve">30.9 billion, up 10% from the previous year, according to Linde plc. Net income for the business increased by 23% to </w:t>
      </w:r>
      <w:r w:rsidR="00F55D23">
        <w:t>£</w:t>
      </w:r>
      <w:r w:rsidRPr="004846F3">
        <w:t>3.6 billion in 2021 from the prior year</w:t>
      </w:r>
      <w:r w:rsidR="00E95F89">
        <w:t>. Earnings per share for Linde P</w:t>
      </w:r>
      <w:r w:rsidRPr="004846F3">
        <w:t xml:space="preserve">lc in 2021 were </w:t>
      </w:r>
      <w:r w:rsidR="00F55D23">
        <w:t>£</w:t>
      </w:r>
      <w:r w:rsidRPr="004846F3">
        <w:t>7.17, up 25% over the previous year</w:t>
      </w:r>
      <w:r w:rsidR="00BB0F1E">
        <w:t xml:space="preserve"> </w:t>
      </w:r>
      <w:r w:rsidR="00BB0F1E" w:rsidRPr="00BB0F1E">
        <w:t>(Linde, 2023)</w:t>
      </w:r>
      <w:r w:rsidRPr="004846F3">
        <w:t xml:space="preserve">. In 2021, the company's total assets were worth </w:t>
      </w:r>
      <w:r w:rsidR="00F55D23">
        <w:t>£</w:t>
      </w:r>
      <w:r w:rsidRPr="004846F3">
        <w:t xml:space="preserve">75.3 billion, compared to </w:t>
      </w:r>
      <w:r w:rsidR="00F55D23">
        <w:t>£</w:t>
      </w:r>
      <w:r w:rsidRPr="004846F3">
        <w:t>46.5 billion in total liabilities.</w:t>
      </w:r>
    </w:p>
    <w:p w14:paraId="6260AF58" w14:textId="77777777" w:rsidR="005C18BE" w:rsidRDefault="005C18BE" w:rsidP="004846F3"/>
    <w:p w14:paraId="5A061428" w14:textId="77777777" w:rsidR="004846F3" w:rsidRDefault="004846F3" w:rsidP="00D34829">
      <w:pPr>
        <w:pStyle w:val="Heading1"/>
      </w:pPr>
      <w:bookmarkStart w:id="2" w:name="_Toc128287532"/>
      <w:r>
        <w:t>Application of theories</w:t>
      </w:r>
      <w:bookmarkEnd w:id="2"/>
      <w:r>
        <w:t xml:space="preserve"> </w:t>
      </w:r>
    </w:p>
    <w:p w14:paraId="36401EFE" w14:textId="77777777" w:rsidR="004846F3" w:rsidRDefault="004846F3" w:rsidP="004846F3">
      <w:r>
        <w:t xml:space="preserve">The application of ideas such as Hofstede's cultural dimensions, Samovar's cultural influences, and </w:t>
      </w:r>
      <w:proofErr w:type="spellStart"/>
      <w:r>
        <w:t>Jandt's</w:t>
      </w:r>
      <w:proofErr w:type="spellEnd"/>
      <w:r>
        <w:t xml:space="preserve"> intercultural communication theories can provide valuable insights into how Linde Plc can successfully navigate the complex cultural terrain in the UK.</w:t>
      </w:r>
    </w:p>
    <w:p w14:paraId="5B350FFE" w14:textId="77777777" w:rsidR="00095C0F" w:rsidRDefault="00095C0F" w:rsidP="004846F3"/>
    <w:p w14:paraId="54F1D5A8" w14:textId="77777777" w:rsidR="004846F3" w:rsidRDefault="004846F3" w:rsidP="004846F3">
      <w:r w:rsidRPr="004846F3">
        <w:rPr>
          <w:b/>
        </w:rPr>
        <w:t>Hofstede’s cultural dimensions:</w:t>
      </w:r>
      <w:r>
        <w:t xml:space="preserve"> The cultural factors proposed by Hofstede can be of use to Linde Plc in gaining an understanding of how cultural variations influence the atmosphere of the workplace in the UK</w:t>
      </w:r>
      <w:r w:rsidR="00BB0F1E">
        <w:t xml:space="preserve"> </w:t>
      </w:r>
      <w:r w:rsidR="00BB0F1E" w:rsidRPr="00BB0F1E">
        <w:t>(</w:t>
      </w:r>
      <w:proofErr w:type="spellStart"/>
      <w:r w:rsidR="00BB0F1E" w:rsidRPr="00BB0F1E">
        <w:t>Dignen</w:t>
      </w:r>
      <w:proofErr w:type="spellEnd"/>
      <w:r w:rsidR="00BB0F1E" w:rsidRPr="00BB0F1E">
        <w:t xml:space="preserve"> and </w:t>
      </w:r>
      <w:proofErr w:type="spellStart"/>
      <w:r w:rsidR="00BB0F1E" w:rsidRPr="00BB0F1E">
        <w:t>Mcmaster</w:t>
      </w:r>
      <w:proofErr w:type="spellEnd"/>
      <w:r w:rsidR="00BB0F1E" w:rsidRPr="00BB0F1E">
        <w:t>, 2013)</w:t>
      </w:r>
      <w:r>
        <w:t>. Understanding how cultural variations might impact communication, decision-making, and leadership styles requires a framework, which can be provided by the five dimensions of power distance, individualism-collectivism, masculinity-femininity, uncertainty avoidance, and long-term orientation</w:t>
      </w:r>
      <w:r w:rsidR="00BB0F1E">
        <w:t xml:space="preserve"> </w:t>
      </w:r>
      <w:r w:rsidR="00BB0F1E" w:rsidRPr="00BB0F1E">
        <w:t>(Bailey, 2015)</w:t>
      </w:r>
      <w:r>
        <w:t>. For instance, the United Kingdom has a relatively low power distance score, which indicates a desire for a flatter organisational structure in which authority is distributed more evenly throughout the entire company. According to this, Linde Plc ought to embrace a participative leadership style that promotes open communication and collaboration among employees.</w:t>
      </w:r>
    </w:p>
    <w:p w14:paraId="5C9E70A3" w14:textId="77777777" w:rsidR="00D34829" w:rsidRDefault="00D34829" w:rsidP="00D34829">
      <w:pPr>
        <w:jc w:val="center"/>
      </w:pPr>
      <w:r>
        <w:rPr>
          <w:noProof/>
          <w:lang w:eastAsia="en-GB"/>
        </w:rPr>
        <w:lastRenderedPageBreak/>
        <w:drawing>
          <wp:inline distT="0" distB="0" distL="0" distR="0" wp14:anchorId="480F287D" wp14:editId="089117B5">
            <wp:extent cx="2847975" cy="3086100"/>
            <wp:effectExtent l="0" t="0" r="9525" b="0"/>
            <wp:docPr id="1" name="Picture 1" descr="Hofstede's cultural dimens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fstede's cultural dimensions"/>
                    <pic:cNvPicPr>
                      <a:picLocks noChangeAspect="1" noChangeArrowheads="1"/>
                    </pic:cNvPicPr>
                  </pic:nvPicPr>
                  <pic:blipFill rotWithShape="1">
                    <a:blip r:embed="rId8">
                      <a:extLst>
                        <a:ext uri="{28A0092B-C50C-407E-A947-70E740481C1C}">
                          <a14:useLocalDpi xmlns:a14="http://schemas.microsoft.com/office/drawing/2010/main" val="0"/>
                        </a:ext>
                      </a:extLst>
                    </a:blip>
                    <a:srcRect l="26763" r="25321"/>
                    <a:stretch/>
                  </pic:blipFill>
                  <pic:spPr bwMode="auto">
                    <a:xfrm>
                      <a:off x="0" y="0"/>
                      <a:ext cx="2847975" cy="3086100"/>
                    </a:xfrm>
                    <a:prstGeom prst="rect">
                      <a:avLst/>
                    </a:prstGeom>
                    <a:noFill/>
                    <a:ln>
                      <a:noFill/>
                    </a:ln>
                    <a:extLst>
                      <a:ext uri="{53640926-AAD7-44D8-BBD7-CCE9431645EC}">
                        <a14:shadowObscured xmlns:a14="http://schemas.microsoft.com/office/drawing/2010/main"/>
                      </a:ext>
                    </a:extLst>
                  </pic:spPr>
                </pic:pic>
              </a:graphicData>
            </a:graphic>
          </wp:inline>
        </w:drawing>
      </w:r>
    </w:p>
    <w:p w14:paraId="4553F88D" w14:textId="77777777" w:rsidR="00D34829" w:rsidRPr="00D34829" w:rsidRDefault="00D34829" w:rsidP="00D34829">
      <w:pPr>
        <w:jc w:val="center"/>
      </w:pPr>
      <w:r w:rsidRPr="00D34829">
        <w:t>Figure: Hofstede’s cultural dimensions</w:t>
      </w:r>
    </w:p>
    <w:p w14:paraId="4173232C" w14:textId="77777777" w:rsidR="00D34829" w:rsidRDefault="00D34829" w:rsidP="00D34829">
      <w:pPr>
        <w:jc w:val="center"/>
      </w:pPr>
      <w:r w:rsidRPr="00D34829">
        <w:t>Source: (Bailey, 2015)</w:t>
      </w:r>
    </w:p>
    <w:p w14:paraId="02CE2EF5" w14:textId="77777777" w:rsidR="005C18BE" w:rsidRPr="00D34829" w:rsidRDefault="005C18BE" w:rsidP="00D34829">
      <w:pPr>
        <w:jc w:val="center"/>
      </w:pPr>
    </w:p>
    <w:p w14:paraId="791922AD" w14:textId="77777777" w:rsidR="004846F3" w:rsidRDefault="004846F3" w:rsidP="004846F3">
      <w:r w:rsidRPr="004846F3">
        <w:rPr>
          <w:b/>
        </w:rPr>
        <w:t>Samovar's cultural influences:</w:t>
      </w:r>
      <w:r>
        <w:t xml:space="preserve"> The cultural influences model developed by Samovar draws attention to the impact that individuals' various cultural origins have on communication. The approach sheds light on the significant roles that culture, perception, and circumstance play in the process of style formation in communication</w:t>
      </w:r>
      <w:r w:rsidR="00BB0F1E">
        <w:t xml:space="preserve"> </w:t>
      </w:r>
      <w:r w:rsidR="00BB0F1E" w:rsidRPr="00BB0F1E">
        <w:t>(</w:t>
      </w:r>
      <w:proofErr w:type="spellStart"/>
      <w:r w:rsidR="00BB0F1E" w:rsidRPr="00BB0F1E">
        <w:t>Deresky</w:t>
      </w:r>
      <w:proofErr w:type="spellEnd"/>
      <w:r w:rsidR="00BB0F1E" w:rsidRPr="00BB0F1E">
        <w:t>, 2013)</w:t>
      </w:r>
      <w:r>
        <w:t>. Linde Plc can establish communication methods that are more effective in connecting with a diverse workforce if it first gains an understanding of the factors that drive employee engagement. For instance, the way people communicate in the United Kingdom is frequently characterised by a predilection for brevity, understatement, and humour. The inference to be drawn from this is that Linde Plc ought to develop a mode of communication that is courteous and respectful but also acknowledges the significance of humour and oblique language.</w:t>
      </w:r>
    </w:p>
    <w:p w14:paraId="72F4DC87" w14:textId="77777777" w:rsidR="005C18BE" w:rsidRDefault="005C18BE" w:rsidP="004846F3"/>
    <w:p w14:paraId="545442EE" w14:textId="77777777" w:rsidR="004846F3" w:rsidRDefault="004846F3" w:rsidP="004846F3">
      <w:proofErr w:type="spellStart"/>
      <w:r w:rsidRPr="004846F3">
        <w:rPr>
          <w:b/>
        </w:rPr>
        <w:t>Jandt’s</w:t>
      </w:r>
      <w:proofErr w:type="spellEnd"/>
      <w:r w:rsidRPr="004846F3">
        <w:rPr>
          <w:b/>
        </w:rPr>
        <w:t xml:space="preserve"> intercultural communication model: </w:t>
      </w:r>
      <w:r>
        <w:t xml:space="preserve">The idea of intercultural communication developed by </w:t>
      </w:r>
      <w:proofErr w:type="spellStart"/>
      <w:r>
        <w:t>Jandt</w:t>
      </w:r>
      <w:proofErr w:type="spellEnd"/>
      <w:r>
        <w:t xml:space="preserve"> can be of assistance to Linde Plc in gaining an understanding of how to negotiate the cultural differences that may arise when talking with a variety of stakeholders</w:t>
      </w:r>
      <w:r w:rsidR="00BB0F1E">
        <w:t xml:space="preserve"> </w:t>
      </w:r>
      <w:r w:rsidR="00BB0F1E" w:rsidRPr="00BB0F1E">
        <w:t>(</w:t>
      </w:r>
      <w:proofErr w:type="spellStart"/>
      <w:r w:rsidR="00BB0F1E" w:rsidRPr="00BB0F1E">
        <w:t>Dignen</w:t>
      </w:r>
      <w:proofErr w:type="spellEnd"/>
      <w:r w:rsidR="00BB0F1E" w:rsidRPr="00BB0F1E">
        <w:t xml:space="preserve"> and </w:t>
      </w:r>
      <w:proofErr w:type="spellStart"/>
      <w:r w:rsidR="00BB0F1E" w:rsidRPr="00BB0F1E">
        <w:t>Mcmaster</w:t>
      </w:r>
      <w:proofErr w:type="spellEnd"/>
      <w:r w:rsidR="00BB0F1E" w:rsidRPr="00BB0F1E">
        <w:t>, 2013a)</w:t>
      </w:r>
      <w:r>
        <w:t xml:space="preserve">. The approach emphasises the significance of cultivating intercultural competence as well as modifying communication tactics to meet the requirements of </w:t>
      </w:r>
      <w:r>
        <w:lastRenderedPageBreak/>
        <w:t xml:space="preserve">a variety of cultural groupings. For instance, Linde Plc ought to be aware that cultural variations might </w:t>
      </w:r>
      <w:r w:rsidR="00D34829">
        <w:t>affect</w:t>
      </w:r>
      <w:r>
        <w:t xml:space="preserve"> how nonverbal cues like eye contact, gestures, and facial expressions are interpreted in different contexts</w:t>
      </w:r>
      <w:r w:rsidR="00BB0F1E">
        <w:t xml:space="preserve"> </w:t>
      </w:r>
      <w:r w:rsidR="00BB0F1E" w:rsidRPr="00BB0F1E">
        <w:t>(Carte, Fox and Canning (Firm, 2008)</w:t>
      </w:r>
      <w:r>
        <w:t>. This leads one to believe that Linde Plc should provide its staff with training to help them acquire intercultural competency and become aware of how their conduct and communication style may be interpreted by others.</w:t>
      </w:r>
    </w:p>
    <w:p w14:paraId="3F987682" w14:textId="77777777" w:rsidR="004846F3" w:rsidRDefault="004846F3" w:rsidP="004846F3">
      <w:r>
        <w:t xml:space="preserve">In general, the use of Hofstede's cultural dimensions, Samovar's cultural influences, and </w:t>
      </w:r>
      <w:proofErr w:type="spellStart"/>
      <w:r>
        <w:t>Jandt's</w:t>
      </w:r>
      <w:proofErr w:type="spellEnd"/>
      <w:r>
        <w:t xml:space="preserve"> intercultural communication theories can assist Linde Plc </w:t>
      </w:r>
      <w:r w:rsidR="00D34829">
        <w:t xml:space="preserve">to </w:t>
      </w:r>
      <w:r>
        <w:t xml:space="preserve">build a more nuanced understanding of the varied cultural landscape in the United Kingdom. Linde Plc </w:t>
      </w:r>
      <w:r w:rsidR="00D34829">
        <w:t>can</w:t>
      </w:r>
      <w:r>
        <w:t xml:space="preserve"> establish a more inclusive working environment that encourages growth and success for all employees if it develops communication tactics that take into account the varying cultural norms of its employees and encourages intercultural competence training for those employees.</w:t>
      </w:r>
    </w:p>
    <w:p w14:paraId="57072F18" w14:textId="77777777" w:rsidR="00D34829" w:rsidRDefault="00D34829" w:rsidP="004846F3"/>
    <w:p w14:paraId="49A68BB4" w14:textId="77777777" w:rsidR="00D34829" w:rsidRDefault="00D34829" w:rsidP="004846F3"/>
    <w:p w14:paraId="154A4605" w14:textId="77777777" w:rsidR="00D34829" w:rsidRDefault="00D34829" w:rsidP="004846F3"/>
    <w:p w14:paraId="5D6CE82F" w14:textId="77777777" w:rsidR="00D34829" w:rsidRDefault="00D34829" w:rsidP="004846F3"/>
    <w:p w14:paraId="36144005" w14:textId="77777777" w:rsidR="00D34829" w:rsidRDefault="00D34829" w:rsidP="004846F3"/>
    <w:p w14:paraId="41E8DDB4" w14:textId="77777777" w:rsidR="00D34829" w:rsidRDefault="00D34829" w:rsidP="004846F3"/>
    <w:p w14:paraId="1D8E0CB9" w14:textId="77777777" w:rsidR="00D34829" w:rsidRDefault="00D34829" w:rsidP="004846F3"/>
    <w:p w14:paraId="6D8ACFE0" w14:textId="77777777" w:rsidR="00D34829" w:rsidRDefault="00D34829" w:rsidP="004846F3"/>
    <w:p w14:paraId="0155A6D6" w14:textId="77777777" w:rsidR="00D34829" w:rsidRDefault="00D34829" w:rsidP="004846F3"/>
    <w:p w14:paraId="4DEE06EE" w14:textId="77777777" w:rsidR="00D34829" w:rsidRDefault="00D34829" w:rsidP="004846F3"/>
    <w:p w14:paraId="3F8CB23A" w14:textId="77777777" w:rsidR="00D34829" w:rsidRDefault="00D34829" w:rsidP="004846F3"/>
    <w:p w14:paraId="139E313E" w14:textId="77777777" w:rsidR="00D34829" w:rsidRDefault="00D34829" w:rsidP="004846F3"/>
    <w:p w14:paraId="36D3C6A7" w14:textId="77777777" w:rsidR="00D34829" w:rsidRDefault="00D34829" w:rsidP="004846F3"/>
    <w:p w14:paraId="7578D82B" w14:textId="77777777" w:rsidR="00D34829" w:rsidRDefault="00D34829" w:rsidP="004846F3"/>
    <w:p w14:paraId="3809F237" w14:textId="77777777" w:rsidR="00D34829" w:rsidRDefault="00D34829" w:rsidP="004846F3"/>
    <w:p w14:paraId="709E06E9" w14:textId="77777777" w:rsidR="00D34829" w:rsidRDefault="00D34829" w:rsidP="004846F3"/>
    <w:p w14:paraId="797C1E2A" w14:textId="77777777" w:rsidR="00D34829" w:rsidRDefault="00D34829" w:rsidP="004846F3"/>
    <w:p w14:paraId="299E2579" w14:textId="77777777" w:rsidR="00D34829" w:rsidRDefault="00D34829" w:rsidP="004846F3"/>
    <w:p w14:paraId="3310624F" w14:textId="77777777" w:rsidR="00D34829" w:rsidRDefault="00D34829" w:rsidP="004846F3"/>
    <w:p w14:paraId="67BEAC5A" w14:textId="77777777" w:rsidR="00D34829" w:rsidRDefault="00D34829" w:rsidP="004846F3"/>
    <w:p w14:paraId="18E6DF33" w14:textId="77777777" w:rsidR="004846F3" w:rsidRDefault="004846F3" w:rsidP="00D34829">
      <w:pPr>
        <w:pStyle w:val="Heading1"/>
      </w:pPr>
      <w:bookmarkStart w:id="3" w:name="_Toc128287533"/>
      <w:r>
        <w:lastRenderedPageBreak/>
        <w:t>Critical evaluation of cultural sensitivity</w:t>
      </w:r>
      <w:bookmarkEnd w:id="3"/>
      <w:r>
        <w:t xml:space="preserve"> </w:t>
      </w:r>
    </w:p>
    <w:p w14:paraId="10021FF2" w14:textId="77777777" w:rsidR="005C18BE" w:rsidRPr="005C18BE" w:rsidRDefault="005C18BE" w:rsidP="005C18BE"/>
    <w:p w14:paraId="6C0D6D95" w14:textId="77777777" w:rsidR="004846F3" w:rsidRDefault="004846F3" w:rsidP="004846F3">
      <w:r>
        <w:t>Linde Plc must be aware of the varied cultural origins of its staff to establish an inclusive workplace where everyone feels appreciated and respected. Cultural sensitivity is a crucial component of conducting business in the UK</w:t>
      </w:r>
      <w:r w:rsidR="004E10E2">
        <w:t xml:space="preserve"> </w:t>
      </w:r>
      <w:r w:rsidR="004E10E2" w:rsidRPr="004E10E2">
        <w:t>(Stallings, 2012)</w:t>
      </w:r>
      <w:r>
        <w:t>. The labour force in the UK is comprised of individuals of numerous racial and ethnic groups, as well as religious and cultural traditions. Thus, to do successful business in the UK, Linde Plc is required to take into consideration the following characteristics of cultural sensitivity.</w:t>
      </w:r>
    </w:p>
    <w:p w14:paraId="5A31E6F6" w14:textId="77777777" w:rsidR="004846F3" w:rsidRDefault="004846F3" w:rsidP="004846F3">
      <w:r>
        <w:t xml:space="preserve">First and foremost, Linde Plc needs to be conscious of the many different cultural origins that are represented </w:t>
      </w:r>
      <w:r w:rsidR="00D34829">
        <w:t>by</w:t>
      </w:r>
      <w:r>
        <w:t xml:space="preserve"> its employees. The government of the United Kingdom estimates that 14% of the population identifies with a race other than white, and they anticipate that this percentage will rise to 20% by the year 2025. Also, the United Kingdom is home to people hailing from over 300 distinct cultural traditions, making it one of the nations with the most cultural diversity in the entire globe</w:t>
      </w:r>
      <w:r w:rsidR="004E10E2">
        <w:t xml:space="preserve"> </w:t>
      </w:r>
      <w:r w:rsidR="004E10E2" w:rsidRPr="004E10E2">
        <w:t>(</w:t>
      </w:r>
      <w:proofErr w:type="spellStart"/>
      <w:r w:rsidR="004E10E2" w:rsidRPr="004E10E2">
        <w:t>Dignen</w:t>
      </w:r>
      <w:proofErr w:type="spellEnd"/>
      <w:r w:rsidR="004E10E2" w:rsidRPr="004E10E2">
        <w:t xml:space="preserve"> and </w:t>
      </w:r>
      <w:proofErr w:type="spellStart"/>
      <w:r w:rsidR="004E10E2" w:rsidRPr="004E10E2">
        <w:t>Mcmaster</w:t>
      </w:r>
      <w:proofErr w:type="spellEnd"/>
      <w:r w:rsidR="004E10E2" w:rsidRPr="004E10E2">
        <w:t>, 2013b)</w:t>
      </w:r>
      <w:r>
        <w:t>. As a result, Linde Plc needs to make sure that its policies and procedures are welcoming to people of all cultural backgrounds and sensitive to the variety of ethnicities who make up its workforce.</w:t>
      </w:r>
    </w:p>
    <w:p w14:paraId="477652B1" w14:textId="77777777" w:rsidR="004846F3" w:rsidRDefault="004846F3" w:rsidP="004846F3">
      <w:r>
        <w:t>Second, Linde Plc needs to be aware of the impact that different cultures have on how people communicate with one another. According to Hofstede's theory of cultural dimensions, communication techniques can vary considerably from one culture to another</w:t>
      </w:r>
      <w:r w:rsidR="004E10E2">
        <w:t xml:space="preserve"> </w:t>
      </w:r>
      <w:r w:rsidR="004E10E2" w:rsidRPr="004E10E2">
        <w:t>(</w:t>
      </w:r>
      <w:proofErr w:type="spellStart"/>
      <w:r w:rsidR="004E10E2" w:rsidRPr="004E10E2">
        <w:t>Dignen</w:t>
      </w:r>
      <w:proofErr w:type="spellEnd"/>
      <w:r w:rsidR="004E10E2" w:rsidRPr="004E10E2">
        <w:t xml:space="preserve"> and </w:t>
      </w:r>
      <w:proofErr w:type="spellStart"/>
      <w:r w:rsidR="004E10E2" w:rsidRPr="004E10E2">
        <w:t>Mcmaster</w:t>
      </w:r>
      <w:proofErr w:type="spellEnd"/>
      <w:r w:rsidR="004E10E2" w:rsidRPr="004E10E2">
        <w:t>, 2013a)</w:t>
      </w:r>
      <w:r>
        <w:t>. As a result, these differences can give rise to misconceptions and cause communication to break down. For instance, whereas direct communication is highly prized in some cultures, indirect communication is favoured in others. As a result, Linde Plc needs to make sure that its communication tactics take into account the cultural differences that exist among its employees to reduce the number of misunderstandings and increase the amount of teamwork.</w:t>
      </w:r>
    </w:p>
    <w:p w14:paraId="214F3CA6" w14:textId="77777777" w:rsidR="004846F3" w:rsidRDefault="004846F3" w:rsidP="004846F3">
      <w:r>
        <w:t xml:space="preserve">Lastly, Linde Plc needs to be conscious of the impact that cultural differences have on the norms and values that are expected in the workplace. According to the idea of intercultural communication developed by </w:t>
      </w:r>
      <w:proofErr w:type="spellStart"/>
      <w:r>
        <w:t>Jandt</w:t>
      </w:r>
      <w:proofErr w:type="spellEnd"/>
      <w:r>
        <w:t xml:space="preserve">, cultural norms and values can vary greatly from one culture to another. As a result, these differences might </w:t>
      </w:r>
      <w:r w:rsidR="00D34829">
        <w:t>affect</w:t>
      </w:r>
      <w:r>
        <w:t xml:space="preserve"> employee behaviour and attitudes in the workplace</w:t>
      </w:r>
      <w:r w:rsidR="004E10E2">
        <w:t xml:space="preserve"> </w:t>
      </w:r>
      <w:r w:rsidR="004E10E2" w:rsidRPr="004E10E2">
        <w:t>(</w:t>
      </w:r>
      <w:proofErr w:type="spellStart"/>
      <w:r w:rsidR="004E10E2" w:rsidRPr="004E10E2">
        <w:t>Deresky</w:t>
      </w:r>
      <w:proofErr w:type="spellEnd"/>
      <w:r w:rsidR="004E10E2" w:rsidRPr="004E10E2">
        <w:t>, 2013)</w:t>
      </w:r>
      <w:r>
        <w:t xml:space="preserve">. Certain cultures, for instance, place a high importance on individualism, while others place a high value on collectivism. As a result, Linde Plc needs to make sure that the norms and values it upholds in the workplace are sensitive to the various cultural </w:t>
      </w:r>
      <w:r>
        <w:lastRenderedPageBreak/>
        <w:t>backgrounds of the people it employs. This will allow the company to establish an environment in which everyone feels appreciated and respected.</w:t>
      </w:r>
    </w:p>
    <w:p w14:paraId="77D678CE" w14:textId="77777777" w:rsidR="004846F3" w:rsidRDefault="004846F3" w:rsidP="004846F3">
      <w:r>
        <w:t>Linde Plc must demonstrate cultural sensitivity when conducting business in the United Kingdom to develop a welcoming environment in which everyone is treated with respect and feels valued</w:t>
      </w:r>
      <w:r w:rsidR="004E10E2">
        <w:t xml:space="preserve"> </w:t>
      </w:r>
      <w:r w:rsidR="004E10E2" w:rsidRPr="004E10E2">
        <w:t>(Carte, Fox and Canning (Firm, 2008)</w:t>
      </w:r>
      <w:r>
        <w:t xml:space="preserve">. The organisation needs to be aware of the various cultural backgrounds that are represented in its workforce, the influence that cultural differences have on communication and the norms and values that are upheld in the workplace, and the necessity of ensuring that its policies and procedures are sensitive to the various cultural backgrounds that are represented in its workforce. Linde Plc </w:t>
      </w:r>
      <w:r w:rsidR="00D34829">
        <w:t>can</w:t>
      </w:r>
      <w:r>
        <w:t xml:space="preserve"> cultivate a productive environment, one in which everyone may flourish and make a contribution to the success of the firm if they take these steps.</w:t>
      </w:r>
    </w:p>
    <w:p w14:paraId="79E56221" w14:textId="77777777" w:rsidR="00D34829" w:rsidRDefault="00D34829" w:rsidP="004846F3"/>
    <w:p w14:paraId="6FF29062" w14:textId="77777777" w:rsidR="00D34829" w:rsidRDefault="00D34829" w:rsidP="004846F3"/>
    <w:p w14:paraId="4799FE4E" w14:textId="77777777" w:rsidR="00D34829" w:rsidRDefault="00D34829" w:rsidP="004846F3"/>
    <w:p w14:paraId="79BDD62B" w14:textId="77777777" w:rsidR="00D34829" w:rsidRDefault="00D34829" w:rsidP="004846F3"/>
    <w:p w14:paraId="02CE15AD" w14:textId="77777777" w:rsidR="00D34829" w:rsidRDefault="00D34829" w:rsidP="004846F3"/>
    <w:p w14:paraId="3722509C" w14:textId="77777777" w:rsidR="00D34829" w:rsidRDefault="00D34829" w:rsidP="004846F3"/>
    <w:p w14:paraId="3A7B4472" w14:textId="77777777" w:rsidR="00D34829" w:rsidRDefault="00D34829" w:rsidP="004846F3"/>
    <w:p w14:paraId="25FD96BE" w14:textId="77777777" w:rsidR="00D34829" w:rsidRDefault="00D34829" w:rsidP="004846F3"/>
    <w:p w14:paraId="0C8CBBE3" w14:textId="77777777" w:rsidR="00D34829" w:rsidRDefault="00D34829" w:rsidP="004846F3"/>
    <w:p w14:paraId="0E10A42C" w14:textId="77777777" w:rsidR="00D34829" w:rsidRDefault="00D34829" w:rsidP="004846F3"/>
    <w:p w14:paraId="2F76E202" w14:textId="77777777" w:rsidR="00D34829" w:rsidRDefault="00D34829" w:rsidP="004846F3"/>
    <w:p w14:paraId="7EC93F23" w14:textId="77777777" w:rsidR="00D34829" w:rsidRDefault="00D34829" w:rsidP="004846F3"/>
    <w:p w14:paraId="09882ECF" w14:textId="77777777" w:rsidR="00D34829" w:rsidRDefault="00D34829" w:rsidP="004846F3"/>
    <w:p w14:paraId="48786FE0" w14:textId="77777777" w:rsidR="00D34829" w:rsidRDefault="00D34829" w:rsidP="004846F3"/>
    <w:p w14:paraId="4F68B273" w14:textId="77777777" w:rsidR="00D34829" w:rsidRDefault="00D34829" w:rsidP="004846F3"/>
    <w:p w14:paraId="7E92C9F4" w14:textId="77777777" w:rsidR="00D34829" w:rsidRDefault="00D34829" w:rsidP="004846F3"/>
    <w:p w14:paraId="605A9039" w14:textId="77777777" w:rsidR="00D34829" w:rsidRDefault="00D34829" w:rsidP="004846F3"/>
    <w:p w14:paraId="0D5BBAD8" w14:textId="77777777" w:rsidR="00D34829" w:rsidRDefault="00D34829" w:rsidP="004846F3"/>
    <w:p w14:paraId="131BA5AC" w14:textId="77777777" w:rsidR="00D34829" w:rsidRDefault="00D34829" w:rsidP="004846F3"/>
    <w:p w14:paraId="26AF699D" w14:textId="77777777" w:rsidR="00D34829" w:rsidRDefault="00D34829" w:rsidP="004846F3"/>
    <w:p w14:paraId="3273735E" w14:textId="77777777" w:rsidR="004846F3" w:rsidRDefault="004846F3" w:rsidP="00D34829">
      <w:pPr>
        <w:pStyle w:val="Heading1"/>
      </w:pPr>
      <w:bookmarkStart w:id="4" w:name="_Toc128287534"/>
      <w:r>
        <w:lastRenderedPageBreak/>
        <w:t>Communication barriers</w:t>
      </w:r>
      <w:bookmarkEnd w:id="4"/>
    </w:p>
    <w:p w14:paraId="06F9DF07" w14:textId="77777777" w:rsidR="005C18BE" w:rsidRPr="005C18BE" w:rsidRDefault="005C18BE" w:rsidP="005C18BE"/>
    <w:p w14:paraId="121DB3FE" w14:textId="77777777" w:rsidR="004846F3" w:rsidRDefault="004846F3" w:rsidP="004846F3">
      <w:r>
        <w:t>Different cultural origins, language hurdles, and varied communication styles can all contribute to the formation of communication barriers in a workforce that is culturally and linguistically diverse</w:t>
      </w:r>
      <w:r w:rsidR="004E10E2">
        <w:t xml:space="preserve"> </w:t>
      </w:r>
      <w:r w:rsidR="004E10E2" w:rsidRPr="004E10E2">
        <w:t>(Bailey, 2015)</w:t>
      </w:r>
      <w:r>
        <w:t>. These obstacles can make it more difficult to communicate effectively, which can result in misunderstandings, disagreements, and decreased productivity. In the instance of Linde Plc, a multinational corporation headquartered in the United Kingdom and employing a varied staff there, numerous communication difficulties may be encountered.</w:t>
      </w:r>
    </w:p>
    <w:p w14:paraId="188EDEC2" w14:textId="77777777" w:rsidR="004846F3" w:rsidRDefault="004846F3" w:rsidP="004846F3">
      <w:r w:rsidRPr="004846F3">
        <w:rPr>
          <w:b/>
        </w:rPr>
        <w:t xml:space="preserve">Language: </w:t>
      </w:r>
      <w:r>
        <w:t xml:space="preserve">Language presents a substantial obstacle to effective communication. Some of </w:t>
      </w:r>
      <w:r w:rsidR="004E10E2">
        <w:t xml:space="preserve">the </w:t>
      </w:r>
      <w:r>
        <w:t>staff might not speak English as their first language, which can lead to communication problems and misunderstandings</w:t>
      </w:r>
      <w:r w:rsidR="004E10E2">
        <w:t xml:space="preserve"> </w:t>
      </w:r>
      <w:r w:rsidR="004E10E2" w:rsidRPr="004E10E2">
        <w:t>(Stallings, 2012)</w:t>
      </w:r>
      <w:r>
        <w:t>. For instance, a worker who comes from a nation where English is not the primary language may find it difficult to comprehend some of the jargon or technical language that is used in the workplace. This can result in errors or delays in the process, which will ultimately bring down the overall quality of the product. Moreover, regional variations in speech patterns, such as accents and dialects, can be a barrier to communication and make it difficult to understand one another</w:t>
      </w:r>
      <w:r w:rsidR="004E10E2">
        <w:t xml:space="preserve"> </w:t>
      </w:r>
      <w:r w:rsidR="004E10E2" w:rsidRPr="004E10E2">
        <w:t>(</w:t>
      </w:r>
      <w:proofErr w:type="spellStart"/>
      <w:r w:rsidR="004E10E2" w:rsidRPr="004E10E2">
        <w:t>Dignen</w:t>
      </w:r>
      <w:proofErr w:type="spellEnd"/>
      <w:r w:rsidR="004E10E2" w:rsidRPr="004E10E2">
        <w:t xml:space="preserve"> and </w:t>
      </w:r>
      <w:proofErr w:type="spellStart"/>
      <w:r w:rsidR="004E10E2" w:rsidRPr="004E10E2">
        <w:t>Mcmaster</w:t>
      </w:r>
      <w:proofErr w:type="spellEnd"/>
      <w:r w:rsidR="004E10E2" w:rsidRPr="004E10E2">
        <w:t>, 2013b)</w:t>
      </w:r>
      <w:r>
        <w:t xml:space="preserve">. This can become apparent during meetings, conference calls, or even informal interactions when the diverse collection of employees, who may have different accents or dialects, might make it difficult to understand each other </w:t>
      </w:r>
      <w:r w:rsidR="00D34829">
        <w:t>because</w:t>
      </w:r>
      <w:r>
        <w:t xml:space="preserve"> they are speaking in a different language.</w:t>
      </w:r>
    </w:p>
    <w:p w14:paraId="3C0476E4" w14:textId="77777777" w:rsidR="004846F3" w:rsidRDefault="004846F3" w:rsidP="004846F3">
      <w:r w:rsidRPr="004846F3">
        <w:rPr>
          <w:b/>
        </w:rPr>
        <w:t>Cultural differences:</w:t>
      </w:r>
      <w:r>
        <w:t xml:space="preserve"> The cultural differences between the two countries are another big hurdle. Those who are not accustomed to the norms of a particular culture may find </w:t>
      </w:r>
      <w:r w:rsidR="00D34829">
        <w:t>how</w:t>
      </w:r>
      <w:r>
        <w:t xml:space="preserve"> members of that culture express themselves to be puzzling. For instance, the communication styles of some cultures may be more forthright and assertive, whereas those of other cultures may be more indirect and polite</w:t>
      </w:r>
      <w:r w:rsidR="004E10E2">
        <w:t xml:space="preserve"> </w:t>
      </w:r>
      <w:r w:rsidR="004E10E2" w:rsidRPr="004E10E2">
        <w:t>(</w:t>
      </w:r>
      <w:proofErr w:type="spellStart"/>
      <w:r w:rsidR="004E10E2" w:rsidRPr="004E10E2">
        <w:t>Dignen</w:t>
      </w:r>
      <w:proofErr w:type="spellEnd"/>
      <w:r w:rsidR="004E10E2" w:rsidRPr="004E10E2">
        <w:t xml:space="preserve"> and </w:t>
      </w:r>
      <w:proofErr w:type="spellStart"/>
      <w:r w:rsidR="004E10E2" w:rsidRPr="004E10E2">
        <w:t>Mcmaster</w:t>
      </w:r>
      <w:proofErr w:type="spellEnd"/>
      <w:r w:rsidR="004E10E2" w:rsidRPr="004E10E2">
        <w:t>, 2013a)</w:t>
      </w:r>
      <w:r>
        <w:t>. Because of these disparities, information may be communicated and received differently, which can result in misunderstandings and disagreements. For instance, a manager who is accustomed to providing straightforward directions may not be aware of the fact that an employee who comes from a different cultural background may prefer receiving instructions through the use of indirect language and subtler indications.</w:t>
      </w:r>
    </w:p>
    <w:p w14:paraId="1251EE6F" w14:textId="77777777" w:rsidR="004846F3" w:rsidRDefault="004846F3" w:rsidP="004846F3">
      <w:r w:rsidRPr="004846F3">
        <w:rPr>
          <w:b/>
        </w:rPr>
        <w:t>Styles of communication:</w:t>
      </w:r>
      <w:r>
        <w:t xml:space="preserve"> Different communication styles can also result in impediments to communication, which is the final point. </w:t>
      </w:r>
      <w:r w:rsidR="00D34829">
        <w:t>Employees can</w:t>
      </w:r>
      <w:r>
        <w:t xml:space="preserve"> have vastly different communication styles due to differences in age, gender, and personality, as well as other considerations</w:t>
      </w:r>
      <w:r w:rsidR="004E10E2">
        <w:t xml:space="preserve"> </w:t>
      </w:r>
      <w:r w:rsidR="004E10E2" w:rsidRPr="004E10E2">
        <w:t>(</w:t>
      </w:r>
      <w:proofErr w:type="spellStart"/>
      <w:r w:rsidR="004E10E2" w:rsidRPr="004E10E2">
        <w:t>Deresky</w:t>
      </w:r>
      <w:proofErr w:type="spellEnd"/>
      <w:r w:rsidR="004E10E2" w:rsidRPr="004E10E2">
        <w:t xml:space="preserve">, </w:t>
      </w:r>
      <w:r w:rsidR="004E10E2" w:rsidRPr="004E10E2">
        <w:lastRenderedPageBreak/>
        <w:t>2013)</w:t>
      </w:r>
      <w:r>
        <w:t xml:space="preserve">. </w:t>
      </w:r>
      <w:r w:rsidR="00D34829">
        <w:t>Some workers may</w:t>
      </w:r>
      <w:r>
        <w:t xml:space="preserve"> prefer to communicate in writing, while others are more comfortable speaking with one another in person or participating in video conferences. </w:t>
      </w:r>
      <w:r w:rsidR="00D34829">
        <w:t>Various employees may</w:t>
      </w:r>
      <w:r>
        <w:t xml:space="preserve"> have varying preferences about the frequency and format of communication in certain situations. For instance, an older employee may feel more comfortable communicating face-to-face, whereas a younger employee may find instant messaging or email to be more convenient.</w:t>
      </w:r>
    </w:p>
    <w:p w14:paraId="6C34D77D" w14:textId="77777777" w:rsidR="00D34829" w:rsidRDefault="00D34829" w:rsidP="004846F3">
      <w:r>
        <w:rPr>
          <w:noProof/>
          <w:lang w:eastAsia="en-GB"/>
        </w:rPr>
        <w:drawing>
          <wp:inline distT="0" distB="0" distL="0" distR="0" wp14:anchorId="41473B7E" wp14:editId="64C22836">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423BB4F8" w14:textId="77777777" w:rsidR="00D34829" w:rsidRDefault="00D34829" w:rsidP="00D34829">
      <w:pPr>
        <w:jc w:val="center"/>
      </w:pPr>
      <w:r>
        <w:t>Figure: Communication barriers</w:t>
      </w:r>
    </w:p>
    <w:p w14:paraId="079A70EE" w14:textId="77777777" w:rsidR="00D34829" w:rsidRDefault="00D34829" w:rsidP="00D34829">
      <w:pPr>
        <w:jc w:val="center"/>
      </w:pPr>
      <w:r>
        <w:t xml:space="preserve">Source: </w:t>
      </w:r>
      <w:r w:rsidRPr="004E10E2">
        <w:t>(Bailey, 2015)</w:t>
      </w:r>
    </w:p>
    <w:p w14:paraId="4C0C6342" w14:textId="77777777" w:rsidR="005C18BE" w:rsidRDefault="005C18BE" w:rsidP="00D34829">
      <w:pPr>
        <w:jc w:val="center"/>
      </w:pPr>
    </w:p>
    <w:p w14:paraId="4AEAFDFA" w14:textId="77777777" w:rsidR="004846F3" w:rsidRDefault="004846F3" w:rsidP="004846F3">
      <w:r>
        <w:t xml:space="preserve">Having a </w:t>
      </w:r>
      <w:r w:rsidR="00D34829">
        <w:t>diverse staff</w:t>
      </w:r>
      <w:r>
        <w:t xml:space="preserve"> can bring a lot of benefits to an organisation, but it can also create a lot of communication hurdles. Communication can be hindered by a variety of factors, including language hurdles, cultural differences, and different communication styles, all of which can lead to misunderstandings and disagreements. Linde Plc </w:t>
      </w:r>
      <w:r w:rsidR="00D34829">
        <w:t>can</w:t>
      </w:r>
      <w:r>
        <w:t xml:space="preserve"> overcome these hurdles and establish a healthy and inclusive work environment by using techniques such as language and cultural sensitivity training and fostering open communication.</w:t>
      </w:r>
    </w:p>
    <w:p w14:paraId="341E3D68" w14:textId="77777777" w:rsidR="00D34829" w:rsidRDefault="00D34829" w:rsidP="004846F3"/>
    <w:p w14:paraId="0726939B" w14:textId="77777777" w:rsidR="00D34829" w:rsidRDefault="00D34829" w:rsidP="004846F3"/>
    <w:p w14:paraId="6DF94619" w14:textId="77777777" w:rsidR="00D34829" w:rsidRDefault="00D34829" w:rsidP="004846F3"/>
    <w:p w14:paraId="0F030E0B" w14:textId="77777777" w:rsidR="00D34829" w:rsidRDefault="00D34829" w:rsidP="004846F3"/>
    <w:p w14:paraId="59075541" w14:textId="77777777" w:rsidR="00D34829" w:rsidRDefault="00D34829" w:rsidP="004846F3"/>
    <w:p w14:paraId="095E8CD6" w14:textId="77777777" w:rsidR="004846F3" w:rsidRDefault="004846F3" w:rsidP="00D34829">
      <w:pPr>
        <w:pStyle w:val="Heading1"/>
      </w:pPr>
      <w:bookmarkStart w:id="5" w:name="_Toc128287535"/>
      <w:r>
        <w:lastRenderedPageBreak/>
        <w:t>Communication strategies and recommendations</w:t>
      </w:r>
      <w:bookmarkEnd w:id="5"/>
    </w:p>
    <w:p w14:paraId="0B9818BB" w14:textId="77777777" w:rsidR="005C18BE" w:rsidRPr="005C18BE" w:rsidRDefault="005C18BE" w:rsidP="005C18BE"/>
    <w:p w14:paraId="0B4DA8A4" w14:textId="77777777" w:rsidR="004846F3" w:rsidRDefault="004846F3" w:rsidP="004846F3">
      <w:r>
        <w:t>Based on the findings of the previous research, the following are some communication techniques and ideas that Linde Plc could implement to make the working atmosphere at the company more welcoming and productive for all employees:</w:t>
      </w:r>
    </w:p>
    <w:p w14:paraId="1B68C319" w14:textId="77777777" w:rsidR="005C18BE" w:rsidRDefault="005C18BE" w:rsidP="004846F3"/>
    <w:p w14:paraId="3D4B4636" w14:textId="5A8D940A" w:rsidR="004846F3" w:rsidRDefault="004846F3" w:rsidP="004846F3">
      <w:r w:rsidRPr="004846F3">
        <w:rPr>
          <w:b/>
        </w:rPr>
        <w:t>Training and Development:</w:t>
      </w:r>
      <w:r>
        <w:t xml:space="preserve"> The organisation may provide its staff with training and development </w:t>
      </w:r>
      <w:r w:rsidR="005C18BE">
        <w:t>programs</w:t>
      </w:r>
      <w:r>
        <w:t xml:space="preserve"> that will assist them in better comprehending and appreciating the nuances of different cultures</w:t>
      </w:r>
      <w:r w:rsidR="004E10E2">
        <w:t xml:space="preserve"> </w:t>
      </w:r>
      <w:r w:rsidR="004E10E2" w:rsidRPr="004E10E2">
        <w:t>(Carte, Fox</w:t>
      </w:r>
      <w:r w:rsidR="005C18BE">
        <w:t>,</w:t>
      </w:r>
      <w:r w:rsidR="004E10E2" w:rsidRPr="004E10E2">
        <w:t xml:space="preserve"> and Canning (Firm, 2008)</w:t>
      </w:r>
      <w:r>
        <w:t>. This training may cover subjects like cross-cultural communication, cultural sensitivity, diversity, and inclusion among other relevant issues. Everyone who works for the company, from entry-level employees to executive</w:t>
      </w:r>
      <w:r w:rsidR="00D34829">
        <w:t>-</w:t>
      </w:r>
      <w:r>
        <w:t xml:space="preserve">level personnel, can participate in these training </w:t>
      </w:r>
      <w:r w:rsidR="005C18BE">
        <w:t>programs</w:t>
      </w:r>
      <w:r>
        <w:t>.</w:t>
      </w:r>
    </w:p>
    <w:p w14:paraId="3D50ACD3" w14:textId="77777777" w:rsidR="005C18BE" w:rsidRDefault="005C18BE" w:rsidP="004846F3"/>
    <w:p w14:paraId="0BD16D06" w14:textId="77777777" w:rsidR="004846F3" w:rsidRDefault="004846F3" w:rsidP="004846F3">
      <w:r w:rsidRPr="004846F3">
        <w:rPr>
          <w:b/>
        </w:rPr>
        <w:t>Encourage open communication:</w:t>
      </w:r>
      <w:r>
        <w:t xml:space="preserve"> Foster an inclusive working environment by encouraging open communication and feedback Linde Plc can do this </w:t>
      </w:r>
      <w:r w:rsidR="00D34829">
        <w:t>by</w:t>
      </w:r>
      <w:r>
        <w:t xml:space="preserve"> encouraging open communication in the workplace. Employees can be encouraged to freely share their ideas and thoughts with the organisation without the worry of being judged or punished for doing so</w:t>
      </w:r>
      <w:r w:rsidR="004E10E2">
        <w:t xml:space="preserve"> </w:t>
      </w:r>
      <w:r w:rsidR="004E10E2" w:rsidRPr="004E10E2">
        <w:t>(Bailey, 2015)</w:t>
      </w:r>
      <w:r>
        <w:t>. Implementing an open-door policy, developing employee feedback channels, and holding frequent town hall meetings are all viable options for achieving this goal.</w:t>
      </w:r>
    </w:p>
    <w:p w14:paraId="7C5025C4" w14:textId="77777777" w:rsidR="004846F3" w:rsidRDefault="004846F3" w:rsidP="004846F3">
      <w:r w:rsidRPr="004846F3">
        <w:rPr>
          <w:b/>
        </w:rPr>
        <w:t>Communication in multiple languages:</w:t>
      </w:r>
      <w:r>
        <w:t xml:space="preserve"> Linde Plc </w:t>
      </w:r>
      <w:r w:rsidR="00D34829">
        <w:t>can</w:t>
      </w:r>
      <w:r>
        <w:t xml:space="preserve"> give support </w:t>
      </w:r>
      <w:r w:rsidR="00D34829">
        <w:t>to</w:t>
      </w:r>
      <w:r>
        <w:t xml:space="preserve"> its employees in multiple languages, particularly for those employees whose first language is not English</w:t>
      </w:r>
      <w:r w:rsidR="004E10E2">
        <w:t xml:space="preserve"> </w:t>
      </w:r>
      <w:r w:rsidR="004E10E2" w:rsidRPr="004E10E2">
        <w:t>(Stallings, 2012)</w:t>
      </w:r>
      <w:r>
        <w:t>. This may involve giving language classes, as well as hiring interpreters for meetings and provision of translation services for internal communication.</w:t>
      </w:r>
    </w:p>
    <w:p w14:paraId="1CB208B4" w14:textId="77777777" w:rsidR="005C18BE" w:rsidRDefault="005C18BE" w:rsidP="004846F3"/>
    <w:p w14:paraId="29C5BEF3" w14:textId="77777777" w:rsidR="004846F3" w:rsidRDefault="004846F3" w:rsidP="004846F3">
      <w:r w:rsidRPr="004846F3">
        <w:rPr>
          <w:b/>
        </w:rPr>
        <w:t>Use of Technology:</w:t>
      </w:r>
      <w:r>
        <w:t xml:space="preserve"> The organisation </w:t>
      </w:r>
      <w:r w:rsidR="00D34829">
        <w:t>can</w:t>
      </w:r>
      <w:r>
        <w:t xml:space="preserve"> make use of technology to improve communication and collaboration among its staff members. For instance, the utilisation of technology such as video conferencing can assist in bridging the gap between personnel working remotely and those working in the office</w:t>
      </w:r>
      <w:r w:rsidR="004E10E2">
        <w:t xml:space="preserve"> </w:t>
      </w:r>
      <w:r w:rsidR="004E10E2" w:rsidRPr="004E10E2">
        <w:t>(</w:t>
      </w:r>
      <w:proofErr w:type="spellStart"/>
      <w:r w:rsidR="004E10E2" w:rsidRPr="004E10E2">
        <w:t>Dignen</w:t>
      </w:r>
      <w:proofErr w:type="spellEnd"/>
      <w:r w:rsidR="004E10E2" w:rsidRPr="004E10E2">
        <w:t xml:space="preserve"> and </w:t>
      </w:r>
      <w:proofErr w:type="spellStart"/>
      <w:r w:rsidR="004E10E2" w:rsidRPr="004E10E2">
        <w:t>Mcmaster</w:t>
      </w:r>
      <w:proofErr w:type="spellEnd"/>
      <w:r w:rsidR="004E10E2" w:rsidRPr="004E10E2">
        <w:t>, 2013b)</w:t>
      </w:r>
      <w:r>
        <w:t xml:space="preserve">. In addition, Linde Plc </w:t>
      </w:r>
      <w:r w:rsidR="00D34829">
        <w:t>can</w:t>
      </w:r>
      <w:r>
        <w:t xml:space="preserve"> improve communication between teams and increase employee engagement by utilising online collaboration technologies like Slack, Microsoft Teams, or Zoom.</w:t>
      </w:r>
    </w:p>
    <w:p w14:paraId="5014292D" w14:textId="77777777" w:rsidR="005C18BE" w:rsidRDefault="005C18BE" w:rsidP="004846F3"/>
    <w:p w14:paraId="223B35BD" w14:textId="77777777" w:rsidR="004846F3" w:rsidRDefault="004846F3" w:rsidP="004846F3">
      <w:r w:rsidRPr="004846F3">
        <w:rPr>
          <w:b/>
        </w:rPr>
        <w:lastRenderedPageBreak/>
        <w:t>Regular Diversity &amp; Inclusion training:</w:t>
      </w:r>
      <w:r>
        <w:t xml:space="preserve"> Linde Plc </w:t>
      </w:r>
      <w:r w:rsidR="00D34829">
        <w:t>can</w:t>
      </w:r>
      <w:r>
        <w:t xml:space="preserve"> incorporate diversity and inclusion training into its regularly scheduled employee meetings. Employees can gain a better understanding of how to work effectively with people from different backgrounds and an appreciation for the importance of diverse viewpoints and experiences if this information is provided to them.</w:t>
      </w:r>
    </w:p>
    <w:p w14:paraId="33D860BB" w14:textId="77777777" w:rsidR="005C18BE" w:rsidRDefault="005C18BE" w:rsidP="004846F3"/>
    <w:p w14:paraId="548955BF" w14:textId="77777777" w:rsidR="004846F3" w:rsidRDefault="004846F3" w:rsidP="004846F3">
      <w:r w:rsidRPr="004846F3">
        <w:rPr>
          <w:b/>
        </w:rPr>
        <w:t>Celebrate Cultural Differences:</w:t>
      </w:r>
      <w:r>
        <w:t xml:space="preserve"> The organisation may host cultural events to recognise and honour the myriad of cultures and customs represented by its personnel. Festivals, food fairs, and days devoted to cultural awareness are some examples of events that fall under this category</w:t>
      </w:r>
      <w:r w:rsidR="004E10E2">
        <w:t xml:space="preserve"> </w:t>
      </w:r>
      <w:r w:rsidR="004E10E2" w:rsidRPr="004E10E2">
        <w:t>(</w:t>
      </w:r>
      <w:proofErr w:type="spellStart"/>
      <w:r w:rsidR="004E10E2" w:rsidRPr="004E10E2">
        <w:t>Deresky</w:t>
      </w:r>
      <w:proofErr w:type="spellEnd"/>
      <w:r w:rsidR="004E10E2" w:rsidRPr="004E10E2">
        <w:t>, 2013)</w:t>
      </w:r>
      <w:r>
        <w:t>. This can help to build a sense of belonging for the employees of the company and promote a positive culture inside the workplace.</w:t>
      </w:r>
    </w:p>
    <w:p w14:paraId="1B34BF62" w14:textId="77777777" w:rsidR="005C18BE" w:rsidRDefault="005C18BE" w:rsidP="004846F3"/>
    <w:p w14:paraId="56521A35" w14:textId="26C44F87" w:rsidR="005C18BE" w:rsidRDefault="004846F3" w:rsidP="004846F3">
      <w:r w:rsidRPr="004846F3">
        <w:rPr>
          <w:b/>
        </w:rPr>
        <w:t>Set up an employee resource group (ERG):</w:t>
      </w:r>
      <w:r>
        <w:t xml:space="preserve">  Linde Plc </w:t>
      </w:r>
      <w:r w:rsidR="00D34829">
        <w:t>can</w:t>
      </w:r>
      <w:r>
        <w:t xml:space="preserve"> organise employee resource groups (ERGs) that concentrate on various facets of diversity, such as racial identity, gender, sexual orientation, and disability</w:t>
      </w:r>
      <w:r w:rsidR="004E10E2">
        <w:t xml:space="preserve"> </w:t>
      </w:r>
      <w:r w:rsidR="004E10E2" w:rsidRPr="004E10E2">
        <w:t>(Carte, Fox and Canning (Firm, 2008)</w:t>
      </w:r>
      <w:r>
        <w:t>. These groups have the potential to act as a support system for employees as well as provide a forum for employees to air their problems and make suggestions to management.</w:t>
      </w:r>
    </w:p>
    <w:p w14:paraId="50E1E708" w14:textId="77777777" w:rsidR="004846F3" w:rsidRDefault="00D34829" w:rsidP="004846F3">
      <w:r>
        <w:t>Linde Plc needs</w:t>
      </w:r>
      <w:r w:rsidR="004846F3">
        <w:t xml:space="preserve"> to cultivate cultural sensitivity and establish a working atmosphere that is welcoming to people of all backgrounds. Implementing the aforementioned tactics will assist the organisation in fostering an environment that is supportive of the growth and development of all of its employees, hence promoting diversity and inclusion.</w:t>
      </w:r>
    </w:p>
    <w:p w14:paraId="05690ED4" w14:textId="77777777" w:rsidR="00D34829" w:rsidRDefault="00D34829" w:rsidP="004846F3"/>
    <w:p w14:paraId="2A6A843A" w14:textId="77777777" w:rsidR="00D34829" w:rsidRDefault="00D34829" w:rsidP="004846F3"/>
    <w:p w14:paraId="535F7B29" w14:textId="77777777" w:rsidR="00D34829" w:rsidRDefault="00D34829" w:rsidP="004846F3"/>
    <w:p w14:paraId="1104C8C9" w14:textId="77777777" w:rsidR="00D34829" w:rsidRDefault="00D34829" w:rsidP="004846F3"/>
    <w:p w14:paraId="7F978847" w14:textId="77777777" w:rsidR="00D34829" w:rsidRDefault="00D34829" w:rsidP="004846F3"/>
    <w:p w14:paraId="3A41A19B" w14:textId="77777777" w:rsidR="00D34829" w:rsidRDefault="00D34829" w:rsidP="004846F3"/>
    <w:p w14:paraId="21075F6C" w14:textId="77777777" w:rsidR="00D34829" w:rsidRDefault="00D34829" w:rsidP="004846F3"/>
    <w:p w14:paraId="32E4688F" w14:textId="77777777" w:rsidR="00D34829" w:rsidRDefault="00D34829" w:rsidP="004846F3"/>
    <w:p w14:paraId="7F8C03DF" w14:textId="77777777" w:rsidR="004846F3" w:rsidRDefault="004846F3" w:rsidP="00D34829">
      <w:pPr>
        <w:pStyle w:val="Heading1"/>
      </w:pPr>
      <w:bookmarkStart w:id="6" w:name="_Toc128287536"/>
      <w:r>
        <w:lastRenderedPageBreak/>
        <w:t>Conclusion</w:t>
      </w:r>
      <w:bookmarkEnd w:id="6"/>
      <w:r>
        <w:t xml:space="preserve"> </w:t>
      </w:r>
    </w:p>
    <w:p w14:paraId="553AE2E0" w14:textId="77777777" w:rsidR="007C6A41" w:rsidRPr="007C6A41" w:rsidRDefault="007C6A41" w:rsidP="007C6A41"/>
    <w:p w14:paraId="397D7E9E" w14:textId="77777777" w:rsidR="004846F3" w:rsidRDefault="004846F3" w:rsidP="004846F3">
      <w:r w:rsidRPr="004846F3">
        <w:t xml:space="preserve">Every organisation, including Linde Plc, must strive to foster a supportive and inclusive atmosphere where all staff members can flourish. Effective communication is crucial for establishing an inclusive workplace, as this paper emphasises, and line managers are key in this process. Line managers may promote successful communication with all employees, regardless of their backgrounds, by knowing cultural differences and being culturally aware. We analysed the UK setting and found important cultural variations that may </w:t>
      </w:r>
      <w:r w:rsidR="00031719" w:rsidRPr="004846F3">
        <w:t>affect</w:t>
      </w:r>
      <w:r w:rsidRPr="004846F3">
        <w:t xml:space="preserve"> communication inside Linde Plc using the Hofstede</w:t>
      </w:r>
      <w:r w:rsidR="00610021">
        <w:t>’s</w:t>
      </w:r>
      <w:r w:rsidRPr="004846F3">
        <w:t xml:space="preserve"> cultural dimensions, Samovar's cultural iceberg, and </w:t>
      </w:r>
      <w:proofErr w:type="spellStart"/>
      <w:r w:rsidRPr="004846F3">
        <w:t>Jandt's</w:t>
      </w:r>
      <w:proofErr w:type="spellEnd"/>
      <w:r w:rsidRPr="004846F3">
        <w:t xml:space="preserve"> intercultural communication theories. Significant communication challenges caused by the workforce's diversity must be overcome using the right communication techniques. Linde Plc can use a variety of tactics to overcome these communication hurdles, including language and culture training, diverse hiring practi</w:t>
      </w:r>
      <w:r w:rsidR="00D34829">
        <w:t>c</w:t>
      </w:r>
      <w:r w:rsidRPr="004846F3">
        <w:t xml:space="preserve">es, and adaptable communication techniques, to make sure that all employees feel valued and involved. A good and inclusive work atmosphere can also be promoted by creating efficient communication channels, such as regular feedback sessions and </w:t>
      </w:r>
      <w:r w:rsidR="00D34829">
        <w:t xml:space="preserve">an </w:t>
      </w:r>
      <w:r w:rsidRPr="004846F3">
        <w:t>open-door policy.</w:t>
      </w:r>
    </w:p>
    <w:p w14:paraId="1E6F4FF0" w14:textId="77777777" w:rsidR="00D34829" w:rsidRDefault="00D34829" w:rsidP="004E10E2">
      <w:pPr>
        <w:pStyle w:val="NormalWeb"/>
        <w:spacing w:before="0" w:beforeAutospacing="0" w:after="240" w:afterAutospacing="0" w:line="360" w:lineRule="auto"/>
        <w:rPr>
          <w:sz w:val="36"/>
          <w:szCs w:val="36"/>
        </w:rPr>
      </w:pPr>
    </w:p>
    <w:p w14:paraId="2F5A6A2D" w14:textId="77777777" w:rsidR="00D34829" w:rsidRDefault="00D34829" w:rsidP="004E10E2">
      <w:pPr>
        <w:pStyle w:val="NormalWeb"/>
        <w:spacing w:before="0" w:beforeAutospacing="0" w:after="240" w:afterAutospacing="0" w:line="360" w:lineRule="auto"/>
        <w:rPr>
          <w:sz w:val="36"/>
          <w:szCs w:val="36"/>
        </w:rPr>
      </w:pPr>
    </w:p>
    <w:p w14:paraId="3AA81ED5" w14:textId="77777777" w:rsidR="00D34829" w:rsidRDefault="00D34829" w:rsidP="004E10E2">
      <w:pPr>
        <w:pStyle w:val="NormalWeb"/>
        <w:spacing w:before="0" w:beforeAutospacing="0" w:after="240" w:afterAutospacing="0" w:line="360" w:lineRule="auto"/>
        <w:rPr>
          <w:sz w:val="36"/>
          <w:szCs w:val="36"/>
        </w:rPr>
      </w:pPr>
    </w:p>
    <w:p w14:paraId="5EB3AD17" w14:textId="77777777" w:rsidR="00D34829" w:rsidRDefault="00D34829" w:rsidP="004E10E2">
      <w:pPr>
        <w:pStyle w:val="NormalWeb"/>
        <w:spacing w:before="0" w:beforeAutospacing="0" w:after="240" w:afterAutospacing="0" w:line="360" w:lineRule="auto"/>
        <w:rPr>
          <w:sz w:val="36"/>
          <w:szCs w:val="36"/>
        </w:rPr>
      </w:pPr>
    </w:p>
    <w:p w14:paraId="1F0F28C4" w14:textId="77777777" w:rsidR="00D34829" w:rsidRDefault="00D34829" w:rsidP="004E10E2">
      <w:pPr>
        <w:pStyle w:val="NormalWeb"/>
        <w:spacing w:before="0" w:beforeAutospacing="0" w:after="240" w:afterAutospacing="0" w:line="360" w:lineRule="auto"/>
        <w:rPr>
          <w:sz w:val="36"/>
          <w:szCs w:val="36"/>
        </w:rPr>
      </w:pPr>
    </w:p>
    <w:p w14:paraId="239BA7B8" w14:textId="77777777" w:rsidR="00D34829" w:rsidRDefault="00D34829" w:rsidP="004E10E2">
      <w:pPr>
        <w:pStyle w:val="NormalWeb"/>
        <w:spacing w:before="0" w:beforeAutospacing="0" w:after="240" w:afterAutospacing="0" w:line="360" w:lineRule="auto"/>
        <w:rPr>
          <w:sz w:val="36"/>
          <w:szCs w:val="36"/>
        </w:rPr>
      </w:pPr>
    </w:p>
    <w:p w14:paraId="60C6E234" w14:textId="77777777" w:rsidR="007C6A41" w:rsidRDefault="007C6A41" w:rsidP="004E10E2">
      <w:pPr>
        <w:pStyle w:val="NormalWeb"/>
        <w:spacing w:before="0" w:beforeAutospacing="0" w:after="240" w:afterAutospacing="0" w:line="360" w:lineRule="auto"/>
        <w:rPr>
          <w:sz w:val="36"/>
          <w:szCs w:val="36"/>
        </w:rPr>
      </w:pPr>
    </w:p>
    <w:p w14:paraId="729A0B3D" w14:textId="77777777" w:rsidR="007C6A41" w:rsidRDefault="007C6A41" w:rsidP="004E10E2">
      <w:pPr>
        <w:pStyle w:val="NormalWeb"/>
        <w:spacing w:before="0" w:beforeAutospacing="0" w:after="240" w:afterAutospacing="0" w:line="360" w:lineRule="auto"/>
        <w:rPr>
          <w:sz w:val="36"/>
          <w:szCs w:val="36"/>
        </w:rPr>
      </w:pPr>
    </w:p>
    <w:p w14:paraId="257E0062" w14:textId="77777777" w:rsidR="004E10E2" w:rsidRDefault="00D34829" w:rsidP="00D34829">
      <w:pPr>
        <w:pStyle w:val="Heading1"/>
      </w:pPr>
      <w:bookmarkStart w:id="7" w:name="_Toc128287537"/>
      <w:r>
        <w:lastRenderedPageBreak/>
        <w:t>References</w:t>
      </w:r>
      <w:bookmarkEnd w:id="7"/>
    </w:p>
    <w:p w14:paraId="2B94FDD3" w14:textId="77777777" w:rsidR="005C18BE" w:rsidRPr="005C18BE" w:rsidRDefault="005C18BE" w:rsidP="005C18BE"/>
    <w:p w14:paraId="6DE16E77" w14:textId="77777777" w:rsidR="004E10E2" w:rsidRDefault="004E10E2" w:rsidP="00D34829">
      <w:pPr>
        <w:pStyle w:val="NormalWeb"/>
        <w:spacing w:before="0" w:beforeAutospacing="0" w:after="240" w:afterAutospacing="0" w:line="360" w:lineRule="auto"/>
        <w:jc w:val="both"/>
      </w:pPr>
      <w:r>
        <w:t xml:space="preserve">Bailey, S. (2015). </w:t>
      </w:r>
      <w:r>
        <w:rPr>
          <w:i/>
          <w:iCs/>
        </w:rPr>
        <w:t>Academic Writing for International Students of Business</w:t>
      </w:r>
      <w:r>
        <w:t>. 2nd ed. Routledge.</w:t>
      </w:r>
    </w:p>
    <w:p w14:paraId="7C57B447" w14:textId="77777777" w:rsidR="004E10E2" w:rsidRDefault="004E10E2" w:rsidP="00D34829">
      <w:pPr>
        <w:pStyle w:val="NormalWeb"/>
        <w:spacing w:before="0" w:beforeAutospacing="0" w:after="240" w:afterAutospacing="0" w:line="360" w:lineRule="auto"/>
        <w:jc w:val="both"/>
      </w:pPr>
      <w:r>
        <w:t xml:space="preserve">Carte, P., Fox, C. and Canning (Firm (2008). </w:t>
      </w:r>
      <w:r>
        <w:rPr>
          <w:i/>
          <w:iCs/>
        </w:rPr>
        <w:t>Bridging the culture gap : a practical guide to international business communication</w:t>
      </w:r>
      <w:r>
        <w:t>. London: Kogan Page.</w:t>
      </w:r>
    </w:p>
    <w:p w14:paraId="4BABFB1B" w14:textId="77777777" w:rsidR="004E10E2" w:rsidRDefault="004E10E2" w:rsidP="00D34829">
      <w:pPr>
        <w:pStyle w:val="NormalWeb"/>
        <w:spacing w:before="0" w:beforeAutospacing="0" w:after="240" w:afterAutospacing="0" w:line="360" w:lineRule="auto"/>
        <w:jc w:val="both"/>
      </w:pPr>
      <w:proofErr w:type="spellStart"/>
      <w:r>
        <w:t>Deresky</w:t>
      </w:r>
      <w:proofErr w:type="spellEnd"/>
      <w:r>
        <w:t xml:space="preserve">, H. (2013). </w:t>
      </w:r>
      <w:r>
        <w:rPr>
          <w:i/>
          <w:iCs/>
        </w:rPr>
        <w:t>International management : managing across borders and cultures</w:t>
      </w:r>
      <w:r>
        <w:t>. London: Prentice Hall.</w:t>
      </w:r>
    </w:p>
    <w:p w14:paraId="1FCD29A1" w14:textId="77777777" w:rsidR="004E10E2" w:rsidRDefault="004E10E2" w:rsidP="00D34829">
      <w:pPr>
        <w:pStyle w:val="NormalWeb"/>
        <w:spacing w:before="0" w:beforeAutospacing="0" w:after="240" w:afterAutospacing="0" w:line="360" w:lineRule="auto"/>
        <w:jc w:val="both"/>
      </w:pPr>
      <w:proofErr w:type="spellStart"/>
      <w:r>
        <w:t>Dignen</w:t>
      </w:r>
      <w:proofErr w:type="spellEnd"/>
      <w:r>
        <w:t xml:space="preserve">, B. and </w:t>
      </w:r>
      <w:proofErr w:type="spellStart"/>
      <w:r>
        <w:t>Mcmaster</w:t>
      </w:r>
      <w:proofErr w:type="spellEnd"/>
      <w:r>
        <w:t xml:space="preserve">, I. (2013a). </w:t>
      </w:r>
      <w:r>
        <w:rPr>
          <w:i/>
          <w:iCs/>
        </w:rPr>
        <w:t>Communication for international business : the secrets of excellent interpersonal skills</w:t>
      </w:r>
      <w:r>
        <w:t>. London: Collins.</w:t>
      </w:r>
    </w:p>
    <w:p w14:paraId="1CC2D1C5" w14:textId="77777777" w:rsidR="004E10E2" w:rsidRDefault="004E10E2" w:rsidP="00D34829">
      <w:pPr>
        <w:pStyle w:val="NormalWeb"/>
        <w:spacing w:before="0" w:beforeAutospacing="0" w:after="240" w:afterAutospacing="0" w:line="360" w:lineRule="auto"/>
        <w:jc w:val="both"/>
      </w:pPr>
      <w:proofErr w:type="spellStart"/>
      <w:r>
        <w:t>Dignen</w:t>
      </w:r>
      <w:proofErr w:type="spellEnd"/>
      <w:r>
        <w:t xml:space="preserve">, B. and </w:t>
      </w:r>
      <w:proofErr w:type="spellStart"/>
      <w:r>
        <w:t>Mcmaster</w:t>
      </w:r>
      <w:proofErr w:type="spellEnd"/>
      <w:r>
        <w:t xml:space="preserve">, I. (2013b). </w:t>
      </w:r>
      <w:r>
        <w:rPr>
          <w:i/>
          <w:iCs/>
        </w:rPr>
        <w:t>Effective international business communication</w:t>
      </w:r>
      <w:r>
        <w:t>. London: Collins.</w:t>
      </w:r>
    </w:p>
    <w:p w14:paraId="78F62298" w14:textId="77777777" w:rsidR="004E10E2" w:rsidRDefault="004E10E2" w:rsidP="00D34829">
      <w:pPr>
        <w:pStyle w:val="NormalWeb"/>
        <w:spacing w:before="0" w:beforeAutospacing="0" w:after="240" w:afterAutospacing="0" w:line="360" w:lineRule="auto"/>
        <w:jc w:val="both"/>
      </w:pPr>
      <w:r>
        <w:t xml:space="preserve">Linde (2023). </w:t>
      </w:r>
      <w:r>
        <w:rPr>
          <w:i/>
          <w:iCs/>
        </w:rPr>
        <w:t>Linde - Making our world more productive</w:t>
      </w:r>
      <w:r>
        <w:t>. [online] www.linde.com. Available at: https://www.linde.com/.</w:t>
      </w:r>
    </w:p>
    <w:p w14:paraId="159A0B9F" w14:textId="77777777" w:rsidR="004E10E2" w:rsidRDefault="004E10E2" w:rsidP="00D34829">
      <w:pPr>
        <w:pStyle w:val="NormalWeb"/>
        <w:spacing w:before="0" w:beforeAutospacing="0" w:after="240" w:afterAutospacing="0" w:line="360" w:lineRule="auto"/>
        <w:jc w:val="both"/>
      </w:pPr>
      <w:r>
        <w:t xml:space="preserve">Stallings, W. (2012). </w:t>
      </w:r>
      <w:r>
        <w:rPr>
          <w:i/>
          <w:iCs/>
        </w:rPr>
        <w:t>Business data communications</w:t>
      </w:r>
      <w:r>
        <w:t>. Harlow: Pearson Education.</w:t>
      </w:r>
    </w:p>
    <w:p w14:paraId="51BC838A" w14:textId="77777777" w:rsidR="004E10E2" w:rsidRDefault="004E10E2" w:rsidP="00D34829"/>
    <w:sectPr w:rsidR="004E10E2">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49F280" w14:textId="77777777" w:rsidR="004F536C" w:rsidRDefault="004F536C" w:rsidP="00D34829">
      <w:pPr>
        <w:spacing w:line="240" w:lineRule="auto"/>
      </w:pPr>
      <w:r>
        <w:separator/>
      </w:r>
    </w:p>
  </w:endnote>
  <w:endnote w:type="continuationSeparator" w:id="0">
    <w:p w14:paraId="23B7B28B" w14:textId="77777777" w:rsidR="004F536C" w:rsidRDefault="004F536C" w:rsidP="00D3482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5168055"/>
      <w:docPartObj>
        <w:docPartGallery w:val="Page Numbers (Bottom of Page)"/>
        <w:docPartUnique/>
      </w:docPartObj>
    </w:sdtPr>
    <w:sdtEndPr>
      <w:rPr>
        <w:noProof/>
      </w:rPr>
    </w:sdtEndPr>
    <w:sdtContent>
      <w:p w14:paraId="6E3FCC1F" w14:textId="77777777" w:rsidR="00D34829" w:rsidRDefault="00D34829">
        <w:pPr>
          <w:pStyle w:val="Footer"/>
          <w:jc w:val="center"/>
        </w:pPr>
        <w:r>
          <w:fldChar w:fldCharType="begin"/>
        </w:r>
        <w:r>
          <w:instrText xml:space="preserve"> PAGE   \* MERGEFORMAT </w:instrText>
        </w:r>
        <w:r>
          <w:fldChar w:fldCharType="separate"/>
        </w:r>
        <w:r w:rsidR="00E95F89">
          <w:rPr>
            <w:noProof/>
          </w:rPr>
          <w:t>5</w:t>
        </w:r>
        <w:r>
          <w:rPr>
            <w:noProof/>
          </w:rPr>
          <w:fldChar w:fldCharType="end"/>
        </w:r>
      </w:p>
    </w:sdtContent>
  </w:sdt>
  <w:p w14:paraId="2086AC09" w14:textId="77777777" w:rsidR="00D34829" w:rsidRDefault="00D348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6BA593" w14:textId="77777777" w:rsidR="004F536C" w:rsidRDefault="004F536C" w:rsidP="00D34829">
      <w:pPr>
        <w:spacing w:line="240" w:lineRule="auto"/>
      </w:pPr>
      <w:r>
        <w:separator/>
      </w:r>
    </w:p>
  </w:footnote>
  <w:footnote w:type="continuationSeparator" w:id="0">
    <w:p w14:paraId="2A97C790" w14:textId="77777777" w:rsidR="004F536C" w:rsidRDefault="004F536C" w:rsidP="00D3482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QwMTO1NDEyNzU3t7RU0lEKTi0uzszPAykwqgUAZ0flPiwAAAA="/>
  </w:docVars>
  <w:rsids>
    <w:rsidRoot w:val="009246B2"/>
    <w:rsid w:val="00031719"/>
    <w:rsid w:val="00095C0F"/>
    <w:rsid w:val="001D7A74"/>
    <w:rsid w:val="002A5FF1"/>
    <w:rsid w:val="002D114F"/>
    <w:rsid w:val="003D45E6"/>
    <w:rsid w:val="004846F3"/>
    <w:rsid w:val="004E10E2"/>
    <w:rsid w:val="004F536C"/>
    <w:rsid w:val="0050177B"/>
    <w:rsid w:val="005C18BE"/>
    <w:rsid w:val="00601B97"/>
    <w:rsid w:val="00610021"/>
    <w:rsid w:val="00732C4E"/>
    <w:rsid w:val="007C6A41"/>
    <w:rsid w:val="008778AF"/>
    <w:rsid w:val="009246B2"/>
    <w:rsid w:val="00BB0F1E"/>
    <w:rsid w:val="00CB6664"/>
    <w:rsid w:val="00D34829"/>
    <w:rsid w:val="00D41F9F"/>
    <w:rsid w:val="00D866D4"/>
    <w:rsid w:val="00E95F89"/>
    <w:rsid w:val="00EA00FD"/>
    <w:rsid w:val="00F55D2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8BC1BF"/>
  <w15:chartTrackingRefBased/>
  <w15:docId w15:val="{1779615B-E928-4D9A-8FF9-7C1B2D0FB5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D866D4"/>
    <w:pPr>
      <w:widowControl w:val="0"/>
      <w:autoSpaceDE w:val="0"/>
      <w:autoSpaceDN w:val="0"/>
      <w:spacing w:after="0" w:line="360" w:lineRule="auto"/>
      <w:jc w:val="both"/>
    </w:pPr>
    <w:rPr>
      <w:rFonts w:ascii="Times New Roman" w:hAnsi="Times New Roman" w:cs="Times New Roman"/>
      <w:sz w:val="24"/>
      <w:lang w:val="en-GB"/>
    </w:rPr>
  </w:style>
  <w:style w:type="paragraph" w:styleId="Heading1">
    <w:name w:val="heading 1"/>
    <w:basedOn w:val="Normal"/>
    <w:next w:val="Normal"/>
    <w:link w:val="Heading1Char"/>
    <w:uiPriority w:val="9"/>
    <w:qFormat/>
    <w:rsid w:val="00EA00FD"/>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EA00FD"/>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732C4E"/>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0FD"/>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semiHidden/>
    <w:rsid w:val="00EA00FD"/>
    <w:rPr>
      <w:rFonts w:ascii="Times New Roman" w:eastAsiaTheme="majorEastAsia" w:hAnsi="Times New Roman" w:cstheme="majorBidi"/>
      <w:b/>
      <w:sz w:val="28"/>
      <w:szCs w:val="26"/>
      <w:lang w:val="en-GB"/>
    </w:rPr>
  </w:style>
  <w:style w:type="paragraph" w:styleId="Title">
    <w:name w:val="Title"/>
    <w:basedOn w:val="Normal"/>
    <w:next w:val="Normal"/>
    <w:link w:val="TitleChar"/>
    <w:uiPriority w:val="10"/>
    <w:qFormat/>
    <w:rsid w:val="00D41F9F"/>
    <w:pPr>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D41F9F"/>
    <w:rPr>
      <w:rFonts w:ascii="Times New Roman" w:eastAsiaTheme="majorEastAsia" w:hAnsi="Times New Roman" w:cstheme="majorBidi"/>
      <w:b/>
      <w:spacing w:val="-10"/>
      <w:kern w:val="28"/>
      <w:sz w:val="48"/>
      <w:szCs w:val="56"/>
      <w:lang w:val="en-GB"/>
    </w:rPr>
  </w:style>
  <w:style w:type="character" w:customStyle="1" w:styleId="Heading3Char">
    <w:name w:val="Heading 3 Char"/>
    <w:basedOn w:val="DefaultParagraphFont"/>
    <w:link w:val="Heading3"/>
    <w:uiPriority w:val="9"/>
    <w:semiHidden/>
    <w:rsid w:val="00732C4E"/>
    <w:rPr>
      <w:rFonts w:ascii="Times New Roman" w:eastAsiaTheme="majorEastAsia" w:hAnsi="Times New Roman" w:cstheme="majorBidi"/>
      <w:b/>
      <w:sz w:val="24"/>
      <w:szCs w:val="24"/>
      <w:lang w:val="en-GB"/>
    </w:rPr>
  </w:style>
  <w:style w:type="paragraph" w:styleId="NormalWeb">
    <w:name w:val="Normal (Web)"/>
    <w:basedOn w:val="Normal"/>
    <w:uiPriority w:val="99"/>
    <w:semiHidden/>
    <w:unhideWhenUsed/>
    <w:rsid w:val="004E10E2"/>
    <w:pPr>
      <w:widowControl/>
      <w:autoSpaceDE/>
      <w:autoSpaceDN/>
      <w:spacing w:before="100" w:beforeAutospacing="1" w:after="100" w:afterAutospacing="1" w:line="240" w:lineRule="auto"/>
      <w:jc w:val="left"/>
    </w:pPr>
    <w:rPr>
      <w:szCs w:val="24"/>
      <w:lang w:eastAsia="en-GB"/>
    </w:rPr>
  </w:style>
  <w:style w:type="paragraph" w:customStyle="1" w:styleId="Default">
    <w:name w:val="Default"/>
    <w:rsid w:val="004E10E2"/>
    <w:pPr>
      <w:autoSpaceDE w:val="0"/>
      <w:autoSpaceDN w:val="0"/>
      <w:adjustRightInd w:val="0"/>
      <w:spacing w:after="0" w:line="240" w:lineRule="auto"/>
    </w:pPr>
    <w:rPr>
      <w:rFonts w:ascii="Arial" w:hAnsi="Arial" w:cs="Arial"/>
      <w:color w:val="000000"/>
      <w:sz w:val="24"/>
      <w:szCs w:val="24"/>
      <w:lang w:val="en-GB"/>
    </w:rPr>
  </w:style>
  <w:style w:type="paragraph" w:styleId="Header">
    <w:name w:val="header"/>
    <w:basedOn w:val="Normal"/>
    <w:link w:val="HeaderChar"/>
    <w:uiPriority w:val="99"/>
    <w:unhideWhenUsed/>
    <w:rsid w:val="00D34829"/>
    <w:pPr>
      <w:tabs>
        <w:tab w:val="center" w:pos="4680"/>
        <w:tab w:val="right" w:pos="9360"/>
      </w:tabs>
      <w:spacing w:line="240" w:lineRule="auto"/>
    </w:pPr>
  </w:style>
  <w:style w:type="character" w:customStyle="1" w:styleId="HeaderChar">
    <w:name w:val="Header Char"/>
    <w:basedOn w:val="DefaultParagraphFont"/>
    <w:link w:val="Header"/>
    <w:uiPriority w:val="99"/>
    <w:rsid w:val="00D34829"/>
    <w:rPr>
      <w:rFonts w:ascii="Times New Roman" w:hAnsi="Times New Roman" w:cs="Times New Roman"/>
      <w:sz w:val="24"/>
      <w:lang w:val="en-GB"/>
    </w:rPr>
  </w:style>
  <w:style w:type="paragraph" w:styleId="Footer">
    <w:name w:val="footer"/>
    <w:basedOn w:val="Normal"/>
    <w:link w:val="FooterChar"/>
    <w:uiPriority w:val="99"/>
    <w:unhideWhenUsed/>
    <w:rsid w:val="00D34829"/>
    <w:pPr>
      <w:tabs>
        <w:tab w:val="center" w:pos="4680"/>
        <w:tab w:val="right" w:pos="9360"/>
      </w:tabs>
      <w:spacing w:line="240" w:lineRule="auto"/>
    </w:pPr>
  </w:style>
  <w:style w:type="character" w:customStyle="1" w:styleId="FooterChar">
    <w:name w:val="Footer Char"/>
    <w:basedOn w:val="DefaultParagraphFont"/>
    <w:link w:val="Footer"/>
    <w:uiPriority w:val="99"/>
    <w:rsid w:val="00D34829"/>
    <w:rPr>
      <w:rFonts w:ascii="Times New Roman" w:hAnsi="Times New Roman" w:cs="Times New Roman"/>
      <w:sz w:val="24"/>
      <w:lang w:val="en-GB"/>
    </w:rPr>
  </w:style>
  <w:style w:type="paragraph" w:styleId="TOCHeading">
    <w:name w:val="TOC Heading"/>
    <w:basedOn w:val="Heading1"/>
    <w:next w:val="Normal"/>
    <w:uiPriority w:val="39"/>
    <w:unhideWhenUsed/>
    <w:qFormat/>
    <w:rsid w:val="00D34829"/>
    <w:pPr>
      <w:widowControl/>
      <w:autoSpaceDE/>
      <w:autoSpaceDN/>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D34829"/>
    <w:pPr>
      <w:spacing w:after="100"/>
    </w:pPr>
  </w:style>
  <w:style w:type="character" w:styleId="Hyperlink">
    <w:name w:val="Hyperlink"/>
    <w:basedOn w:val="DefaultParagraphFont"/>
    <w:uiPriority w:val="99"/>
    <w:unhideWhenUsed/>
    <w:rsid w:val="00D3482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5759271">
      <w:bodyDiv w:val="1"/>
      <w:marLeft w:val="0"/>
      <w:marRight w:val="0"/>
      <w:marTop w:val="0"/>
      <w:marBottom w:val="0"/>
      <w:divBdr>
        <w:top w:val="none" w:sz="0" w:space="0" w:color="auto"/>
        <w:left w:val="none" w:sz="0" w:space="0" w:color="auto"/>
        <w:bottom w:val="none" w:sz="0" w:space="0" w:color="auto"/>
        <w:right w:val="none" w:sz="0" w:space="0" w:color="auto"/>
      </w:divBdr>
      <w:divsChild>
        <w:div w:id="9342419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microsoft.com/office/2007/relationships/diagramDrawing" Target="diagrams/drawing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diagramColors" Target="diagrams/colors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QuickStyle" Target="diagrams/quickStyle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AC1021F-7391-4B45-B1F2-3BB184FF6FD3}" type="doc">
      <dgm:prSet loTypeId="urn:microsoft.com/office/officeart/2005/8/layout/radial3" loCatId="cycle" qsTypeId="urn:microsoft.com/office/officeart/2005/8/quickstyle/simple4" qsCatId="simple" csTypeId="urn:microsoft.com/office/officeart/2005/8/colors/colorful5" csCatId="colorful" phldr="1"/>
      <dgm:spPr/>
      <dgm:t>
        <a:bodyPr/>
        <a:lstStyle/>
        <a:p>
          <a:endParaRPr lang="en-GB"/>
        </a:p>
      </dgm:t>
    </dgm:pt>
    <dgm:pt modelId="{425D30FF-D66A-4283-842B-F759CF4B6423}">
      <dgm:prSet phldrT="[Text]"/>
      <dgm:spPr/>
      <dgm:t>
        <a:bodyPr/>
        <a:lstStyle/>
        <a:p>
          <a:r>
            <a:rPr lang="en-GB" b="1">
              <a:latin typeface="Times New Roman" panose="02020603050405020304" pitchFamily="18" charset="0"/>
              <a:cs typeface="Times New Roman" panose="02020603050405020304" pitchFamily="18" charset="0"/>
            </a:rPr>
            <a:t>Communication barriers</a:t>
          </a:r>
          <a:endParaRPr lang="en-GB">
            <a:latin typeface="Times New Roman" panose="02020603050405020304" pitchFamily="18" charset="0"/>
            <a:cs typeface="Times New Roman" panose="02020603050405020304" pitchFamily="18" charset="0"/>
          </a:endParaRPr>
        </a:p>
      </dgm:t>
    </dgm:pt>
    <dgm:pt modelId="{FCF9F2A8-8A5E-494B-8E53-1F067B2A7C69}" type="parTrans" cxnId="{2A2864A6-98FF-4BF8-84FD-068C5663DD90}">
      <dgm:prSet/>
      <dgm:spPr/>
      <dgm:t>
        <a:bodyPr/>
        <a:lstStyle/>
        <a:p>
          <a:endParaRPr lang="en-GB"/>
        </a:p>
      </dgm:t>
    </dgm:pt>
    <dgm:pt modelId="{59698139-A170-41E4-804E-20E83DD23E1D}" type="sibTrans" cxnId="{2A2864A6-98FF-4BF8-84FD-068C5663DD90}">
      <dgm:prSet/>
      <dgm:spPr/>
      <dgm:t>
        <a:bodyPr/>
        <a:lstStyle/>
        <a:p>
          <a:endParaRPr lang="en-GB"/>
        </a:p>
      </dgm:t>
    </dgm:pt>
    <dgm:pt modelId="{C45B5255-374E-4F6E-8887-E6C003B8AD55}">
      <dgm:prSet phldrT="[Text]"/>
      <dgm:spPr/>
      <dgm:t>
        <a:bodyPr/>
        <a:lstStyle/>
        <a:p>
          <a:r>
            <a:rPr lang="en-GB" b="1">
              <a:latin typeface="Times New Roman" panose="02020603050405020304" pitchFamily="18" charset="0"/>
              <a:cs typeface="Times New Roman" panose="02020603050405020304" pitchFamily="18" charset="0"/>
            </a:rPr>
            <a:t>Language</a:t>
          </a:r>
          <a:endParaRPr lang="en-GB">
            <a:latin typeface="Times New Roman" panose="02020603050405020304" pitchFamily="18" charset="0"/>
            <a:cs typeface="Times New Roman" panose="02020603050405020304" pitchFamily="18" charset="0"/>
          </a:endParaRPr>
        </a:p>
      </dgm:t>
    </dgm:pt>
    <dgm:pt modelId="{4C939280-264A-471E-895C-97596755853A}" type="parTrans" cxnId="{558908B5-2539-43BC-BF54-1CA4C6B57A6D}">
      <dgm:prSet/>
      <dgm:spPr/>
      <dgm:t>
        <a:bodyPr/>
        <a:lstStyle/>
        <a:p>
          <a:endParaRPr lang="en-GB"/>
        </a:p>
      </dgm:t>
    </dgm:pt>
    <dgm:pt modelId="{59574F43-8C20-4B09-A18E-6E9B1CAA59BA}" type="sibTrans" cxnId="{558908B5-2539-43BC-BF54-1CA4C6B57A6D}">
      <dgm:prSet/>
      <dgm:spPr/>
      <dgm:t>
        <a:bodyPr/>
        <a:lstStyle/>
        <a:p>
          <a:endParaRPr lang="en-GB"/>
        </a:p>
      </dgm:t>
    </dgm:pt>
    <dgm:pt modelId="{36861252-C6F8-4556-87EC-26988EB98899}">
      <dgm:prSet phldrT="[Text]"/>
      <dgm:spPr/>
      <dgm:t>
        <a:bodyPr/>
        <a:lstStyle/>
        <a:p>
          <a:r>
            <a:rPr lang="en-GB" b="1">
              <a:latin typeface="Times New Roman" panose="02020603050405020304" pitchFamily="18" charset="0"/>
              <a:cs typeface="Times New Roman" panose="02020603050405020304" pitchFamily="18" charset="0"/>
            </a:rPr>
            <a:t>Cultural differences</a:t>
          </a:r>
          <a:endParaRPr lang="en-GB">
            <a:latin typeface="Times New Roman" panose="02020603050405020304" pitchFamily="18" charset="0"/>
            <a:cs typeface="Times New Roman" panose="02020603050405020304" pitchFamily="18" charset="0"/>
          </a:endParaRPr>
        </a:p>
      </dgm:t>
    </dgm:pt>
    <dgm:pt modelId="{CBAE0D45-B9A3-48A9-B989-392C217A68B6}" type="parTrans" cxnId="{682F99EF-21B3-4CE6-9D89-BC23A52E04B3}">
      <dgm:prSet/>
      <dgm:spPr/>
      <dgm:t>
        <a:bodyPr/>
        <a:lstStyle/>
        <a:p>
          <a:endParaRPr lang="en-GB"/>
        </a:p>
      </dgm:t>
    </dgm:pt>
    <dgm:pt modelId="{9FEF3C8F-FEC8-4084-A190-AEEC262CFA6C}" type="sibTrans" cxnId="{682F99EF-21B3-4CE6-9D89-BC23A52E04B3}">
      <dgm:prSet/>
      <dgm:spPr/>
      <dgm:t>
        <a:bodyPr/>
        <a:lstStyle/>
        <a:p>
          <a:endParaRPr lang="en-GB"/>
        </a:p>
      </dgm:t>
    </dgm:pt>
    <dgm:pt modelId="{FD0E0C70-3B40-4BF4-B3E9-A0FDB39D3FFE}">
      <dgm:prSet phldrT="[Text]"/>
      <dgm:spPr/>
      <dgm:t>
        <a:bodyPr/>
        <a:lstStyle/>
        <a:p>
          <a:r>
            <a:rPr lang="en-GB" b="1">
              <a:latin typeface="Times New Roman" panose="02020603050405020304" pitchFamily="18" charset="0"/>
              <a:cs typeface="Times New Roman" panose="02020603050405020304" pitchFamily="18" charset="0"/>
            </a:rPr>
            <a:t>Styles of communication</a:t>
          </a:r>
          <a:endParaRPr lang="en-GB">
            <a:latin typeface="Times New Roman" panose="02020603050405020304" pitchFamily="18" charset="0"/>
            <a:cs typeface="Times New Roman" panose="02020603050405020304" pitchFamily="18" charset="0"/>
          </a:endParaRPr>
        </a:p>
      </dgm:t>
    </dgm:pt>
    <dgm:pt modelId="{CE77C4E5-CDE9-4245-BC36-FFEBEB54FA61}" type="parTrans" cxnId="{5A0ECA69-C49E-48E3-8D07-30108512BE0B}">
      <dgm:prSet/>
      <dgm:spPr/>
      <dgm:t>
        <a:bodyPr/>
        <a:lstStyle/>
        <a:p>
          <a:endParaRPr lang="en-GB"/>
        </a:p>
      </dgm:t>
    </dgm:pt>
    <dgm:pt modelId="{7E3718B7-7431-4B9D-AA8E-C74F11A64E20}" type="sibTrans" cxnId="{5A0ECA69-C49E-48E3-8D07-30108512BE0B}">
      <dgm:prSet/>
      <dgm:spPr/>
      <dgm:t>
        <a:bodyPr/>
        <a:lstStyle/>
        <a:p>
          <a:endParaRPr lang="en-GB"/>
        </a:p>
      </dgm:t>
    </dgm:pt>
    <dgm:pt modelId="{5C68EB6E-671C-4BA9-9734-FC445CBBEB66}" type="pres">
      <dgm:prSet presAssocID="{2AC1021F-7391-4B45-B1F2-3BB184FF6FD3}" presName="composite" presStyleCnt="0">
        <dgm:presLayoutVars>
          <dgm:chMax val="1"/>
          <dgm:dir/>
          <dgm:resizeHandles val="exact"/>
        </dgm:presLayoutVars>
      </dgm:prSet>
      <dgm:spPr/>
    </dgm:pt>
    <dgm:pt modelId="{59E028F1-7B21-4713-82CD-D886CE3509E5}" type="pres">
      <dgm:prSet presAssocID="{2AC1021F-7391-4B45-B1F2-3BB184FF6FD3}" presName="radial" presStyleCnt="0">
        <dgm:presLayoutVars>
          <dgm:animLvl val="ctr"/>
        </dgm:presLayoutVars>
      </dgm:prSet>
      <dgm:spPr/>
    </dgm:pt>
    <dgm:pt modelId="{B867B0FD-8637-41F6-AD23-3B4346ECDAB1}" type="pres">
      <dgm:prSet presAssocID="{425D30FF-D66A-4283-842B-F759CF4B6423}" presName="centerShape" presStyleLbl="vennNode1" presStyleIdx="0" presStyleCnt="4"/>
      <dgm:spPr/>
    </dgm:pt>
    <dgm:pt modelId="{39F86C62-475C-4492-B021-695BEF750C80}" type="pres">
      <dgm:prSet presAssocID="{C45B5255-374E-4F6E-8887-E6C003B8AD55}" presName="node" presStyleLbl="vennNode1" presStyleIdx="1" presStyleCnt="4">
        <dgm:presLayoutVars>
          <dgm:bulletEnabled val="1"/>
        </dgm:presLayoutVars>
      </dgm:prSet>
      <dgm:spPr/>
    </dgm:pt>
    <dgm:pt modelId="{4068DD6E-774E-453D-9549-3191EBFD9615}" type="pres">
      <dgm:prSet presAssocID="{36861252-C6F8-4556-87EC-26988EB98899}" presName="node" presStyleLbl="vennNode1" presStyleIdx="2" presStyleCnt="4">
        <dgm:presLayoutVars>
          <dgm:bulletEnabled val="1"/>
        </dgm:presLayoutVars>
      </dgm:prSet>
      <dgm:spPr/>
    </dgm:pt>
    <dgm:pt modelId="{48C8F45B-3F3E-401D-90B4-B225E3FC4E6F}" type="pres">
      <dgm:prSet presAssocID="{FD0E0C70-3B40-4BF4-B3E9-A0FDB39D3FFE}" presName="node" presStyleLbl="vennNode1" presStyleIdx="3" presStyleCnt="4">
        <dgm:presLayoutVars>
          <dgm:bulletEnabled val="1"/>
        </dgm:presLayoutVars>
      </dgm:prSet>
      <dgm:spPr/>
    </dgm:pt>
  </dgm:ptLst>
  <dgm:cxnLst>
    <dgm:cxn modelId="{821AD802-CA8D-442B-A1F2-ECB3917C4E69}" type="presOf" srcId="{425D30FF-D66A-4283-842B-F759CF4B6423}" destId="{B867B0FD-8637-41F6-AD23-3B4346ECDAB1}" srcOrd="0" destOrd="0" presId="urn:microsoft.com/office/officeart/2005/8/layout/radial3"/>
    <dgm:cxn modelId="{94F0B620-3B1F-44DE-8FBD-4159D84F7C97}" type="presOf" srcId="{FD0E0C70-3B40-4BF4-B3E9-A0FDB39D3FFE}" destId="{48C8F45B-3F3E-401D-90B4-B225E3FC4E6F}" srcOrd="0" destOrd="0" presId="urn:microsoft.com/office/officeart/2005/8/layout/radial3"/>
    <dgm:cxn modelId="{5A0ECA69-C49E-48E3-8D07-30108512BE0B}" srcId="{425D30FF-D66A-4283-842B-F759CF4B6423}" destId="{FD0E0C70-3B40-4BF4-B3E9-A0FDB39D3FFE}" srcOrd="2" destOrd="0" parTransId="{CE77C4E5-CDE9-4245-BC36-FFEBEB54FA61}" sibTransId="{7E3718B7-7431-4B9D-AA8E-C74F11A64E20}"/>
    <dgm:cxn modelId="{8C35814C-5B83-456A-AD6A-16B01CF12CEE}" type="presOf" srcId="{2AC1021F-7391-4B45-B1F2-3BB184FF6FD3}" destId="{5C68EB6E-671C-4BA9-9734-FC445CBBEB66}" srcOrd="0" destOrd="0" presId="urn:microsoft.com/office/officeart/2005/8/layout/radial3"/>
    <dgm:cxn modelId="{51F63B8B-38A1-495B-BD81-8F0F64856175}" type="presOf" srcId="{C45B5255-374E-4F6E-8887-E6C003B8AD55}" destId="{39F86C62-475C-4492-B021-695BEF750C80}" srcOrd="0" destOrd="0" presId="urn:microsoft.com/office/officeart/2005/8/layout/radial3"/>
    <dgm:cxn modelId="{2A2864A6-98FF-4BF8-84FD-068C5663DD90}" srcId="{2AC1021F-7391-4B45-B1F2-3BB184FF6FD3}" destId="{425D30FF-D66A-4283-842B-F759CF4B6423}" srcOrd="0" destOrd="0" parTransId="{FCF9F2A8-8A5E-494B-8E53-1F067B2A7C69}" sibTransId="{59698139-A170-41E4-804E-20E83DD23E1D}"/>
    <dgm:cxn modelId="{558908B5-2539-43BC-BF54-1CA4C6B57A6D}" srcId="{425D30FF-D66A-4283-842B-F759CF4B6423}" destId="{C45B5255-374E-4F6E-8887-E6C003B8AD55}" srcOrd="0" destOrd="0" parTransId="{4C939280-264A-471E-895C-97596755853A}" sibTransId="{59574F43-8C20-4B09-A18E-6E9B1CAA59BA}"/>
    <dgm:cxn modelId="{46A150C7-2FCA-470F-AEC1-4A494D598C77}" type="presOf" srcId="{36861252-C6F8-4556-87EC-26988EB98899}" destId="{4068DD6E-774E-453D-9549-3191EBFD9615}" srcOrd="0" destOrd="0" presId="urn:microsoft.com/office/officeart/2005/8/layout/radial3"/>
    <dgm:cxn modelId="{682F99EF-21B3-4CE6-9D89-BC23A52E04B3}" srcId="{425D30FF-D66A-4283-842B-F759CF4B6423}" destId="{36861252-C6F8-4556-87EC-26988EB98899}" srcOrd="1" destOrd="0" parTransId="{CBAE0D45-B9A3-48A9-B989-392C217A68B6}" sibTransId="{9FEF3C8F-FEC8-4084-A190-AEEC262CFA6C}"/>
    <dgm:cxn modelId="{3F34091F-40FC-472C-862C-6E6186183A5D}" type="presParOf" srcId="{5C68EB6E-671C-4BA9-9734-FC445CBBEB66}" destId="{59E028F1-7B21-4713-82CD-D886CE3509E5}" srcOrd="0" destOrd="0" presId="urn:microsoft.com/office/officeart/2005/8/layout/radial3"/>
    <dgm:cxn modelId="{69C2C390-BEAA-4B34-98A5-9C62AA6831A6}" type="presParOf" srcId="{59E028F1-7B21-4713-82CD-D886CE3509E5}" destId="{B867B0FD-8637-41F6-AD23-3B4346ECDAB1}" srcOrd="0" destOrd="0" presId="urn:microsoft.com/office/officeart/2005/8/layout/radial3"/>
    <dgm:cxn modelId="{810647D0-0849-4AFB-8472-10D8A6243087}" type="presParOf" srcId="{59E028F1-7B21-4713-82CD-D886CE3509E5}" destId="{39F86C62-475C-4492-B021-695BEF750C80}" srcOrd="1" destOrd="0" presId="urn:microsoft.com/office/officeart/2005/8/layout/radial3"/>
    <dgm:cxn modelId="{EFE9EFAF-B7D9-4B28-8B34-618AA39565EC}" type="presParOf" srcId="{59E028F1-7B21-4713-82CD-D886CE3509E5}" destId="{4068DD6E-774E-453D-9549-3191EBFD9615}" srcOrd="2" destOrd="0" presId="urn:microsoft.com/office/officeart/2005/8/layout/radial3"/>
    <dgm:cxn modelId="{2703E89A-3DF8-482B-BA30-39C1DE18B719}" type="presParOf" srcId="{59E028F1-7B21-4713-82CD-D886CE3509E5}" destId="{48C8F45B-3F3E-401D-90B4-B225E3FC4E6F}" srcOrd="3" destOrd="0" presId="urn:microsoft.com/office/officeart/2005/8/layout/radial3"/>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867B0FD-8637-41F6-AD23-3B4346ECDAB1}">
      <dsp:nvSpPr>
        <dsp:cNvPr id="0" name=""/>
        <dsp:cNvSpPr/>
      </dsp:nvSpPr>
      <dsp:spPr>
        <a:xfrm>
          <a:off x="1760264" y="937010"/>
          <a:ext cx="1965870" cy="1965870"/>
        </a:xfrm>
        <a:prstGeom prst="ellipse">
          <a:avLst/>
        </a:prstGeom>
        <a:gradFill rotWithShape="0">
          <a:gsLst>
            <a:gs pos="0">
              <a:schemeClr val="accent5">
                <a:alpha val="50000"/>
                <a:hueOff val="0"/>
                <a:satOff val="0"/>
                <a:lumOff val="0"/>
                <a:alphaOff val="0"/>
                <a:satMod val="103000"/>
                <a:lumMod val="102000"/>
                <a:tint val="94000"/>
              </a:schemeClr>
            </a:gs>
            <a:gs pos="50000">
              <a:schemeClr val="accent5">
                <a:alpha val="50000"/>
                <a:hueOff val="0"/>
                <a:satOff val="0"/>
                <a:lumOff val="0"/>
                <a:alphaOff val="0"/>
                <a:satMod val="110000"/>
                <a:lumMod val="100000"/>
                <a:shade val="100000"/>
              </a:schemeClr>
            </a:gs>
            <a:gs pos="100000">
              <a:schemeClr val="accent5">
                <a:alpha val="5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b="1" kern="1200">
              <a:latin typeface="Times New Roman" panose="02020603050405020304" pitchFamily="18" charset="0"/>
              <a:cs typeface="Times New Roman" panose="02020603050405020304" pitchFamily="18" charset="0"/>
            </a:rPr>
            <a:t>Communication barriers</a:t>
          </a:r>
          <a:endParaRPr lang="en-GB" sz="1500" kern="1200">
            <a:latin typeface="Times New Roman" panose="02020603050405020304" pitchFamily="18" charset="0"/>
            <a:cs typeface="Times New Roman" panose="02020603050405020304" pitchFamily="18" charset="0"/>
          </a:endParaRPr>
        </a:p>
      </dsp:txBody>
      <dsp:txXfrm>
        <a:off x="2048159" y="1224905"/>
        <a:ext cx="1390080" cy="1390080"/>
      </dsp:txXfrm>
    </dsp:sp>
    <dsp:sp modelId="{39F86C62-475C-4492-B021-695BEF750C80}">
      <dsp:nvSpPr>
        <dsp:cNvPr id="0" name=""/>
        <dsp:cNvSpPr/>
      </dsp:nvSpPr>
      <dsp:spPr>
        <a:xfrm>
          <a:off x="2251732" y="149495"/>
          <a:ext cx="982935" cy="982935"/>
        </a:xfrm>
        <a:prstGeom prst="ellipse">
          <a:avLst/>
        </a:prstGeom>
        <a:gradFill rotWithShape="0">
          <a:gsLst>
            <a:gs pos="0">
              <a:schemeClr val="accent5">
                <a:alpha val="50000"/>
                <a:hueOff val="-2451115"/>
                <a:satOff val="-3409"/>
                <a:lumOff val="-1307"/>
                <a:alphaOff val="0"/>
                <a:satMod val="103000"/>
                <a:lumMod val="102000"/>
                <a:tint val="94000"/>
              </a:schemeClr>
            </a:gs>
            <a:gs pos="50000">
              <a:schemeClr val="accent5">
                <a:alpha val="50000"/>
                <a:hueOff val="-2451115"/>
                <a:satOff val="-3409"/>
                <a:lumOff val="-1307"/>
                <a:alphaOff val="0"/>
                <a:satMod val="110000"/>
                <a:lumMod val="100000"/>
                <a:shade val="100000"/>
              </a:schemeClr>
            </a:gs>
            <a:gs pos="100000">
              <a:schemeClr val="accent5">
                <a:alpha val="50000"/>
                <a:hueOff val="-2451115"/>
                <a:satOff val="-3409"/>
                <a:lumOff val="-1307"/>
                <a:alphaOff val="0"/>
                <a:lumMod val="99000"/>
                <a:satMod val="120000"/>
                <a:shade val="78000"/>
              </a:schemeClr>
            </a:gs>
          </a:gsLst>
          <a:lin ang="54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latin typeface="Times New Roman" panose="02020603050405020304" pitchFamily="18" charset="0"/>
              <a:cs typeface="Times New Roman" panose="02020603050405020304" pitchFamily="18" charset="0"/>
            </a:rPr>
            <a:t>Language</a:t>
          </a:r>
          <a:endParaRPr lang="en-GB" sz="800" kern="1200">
            <a:latin typeface="Times New Roman" panose="02020603050405020304" pitchFamily="18" charset="0"/>
            <a:cs typeface="Times New Roman" panose="02020603050405020304" pitchFamily="18" charset="0"/>
          </a:endParaRPr>
        </a:p>
      </dsp:txBody>
      <dsp:txXfrm>
        <a:off x="2395679" y="293442"/>
        <a:ext cx="695041" cy="695041"/>
      </dsp:txXfrm>
    </dsp:sp>
    <dsp:sp modelId="{4068DD6E-774E-453D-9549-3191EBFD9615}">
      <dsp:nvSpPr>
        <dsp:cNvPr id="0" name=""/>
        <dsp:cNvSpPr/>
      </dsp:nvSpPr>
      <dsp:spPr>
        <a:xfrm>
          <a:off x="3359363" y="2067969"/>
          <a:ext cx="982935" cy="982935"/>
        </a:xfrm>
        <a:prstGeom prst="ellipse">
          <a:avLst/>
        </a:prstGeom>
        <a:gradFill rotWithShape="0">
          <a:gsLst>
            <a:gs pos="0">
              <a:schemeClr val="accent5">
                <a:alpha val="50000"/>
                <a:hueOff val="-4902230"/>
                <a:satOff val="-6819"/>
                <a:lumOff val="-2615"/>
                <a:alphaOff val="0"/>
                <a:satMod val="103000"/>
                <a:lumMod val="102000"/>
                <a:tint val="94000"/>
              </a:schemeClr>
            </a:gs>
            <a:gs pos="50000">
              <a:schemeClr val="accent5">
                <a:alpha val="50000"/>
                <a:hueOff val="-4902230"/>
                <a:satOff val="-6819"/>
                <a:lumOff val="-2615"/>
                <a:alphaOff val="0"/>
                <a:satMod val="110000"/>
                <a:lumMod val="100000"/>
                <a:shade val="100000"/>
              </a:schemeClr>
            </a:gs>
            <a:gs pos="100000">
              <a:schemeClr val="accent5">
                <a:alpha val="50000"/>
                <a:hueOff val="-4902230"/>
                <a:satOff val="-6819"/>
                <a:lumOff val="-2615"/>
                <a:alphaOff val="0"/>
                <a:lumMod val="99000"/>
                <a:satMod val="120000"/>
                <a:shade val="78000"/>
              </a:schemeClr>
            </a:gs>
          </a:gsLst>
          <a:lin ang="54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latin typeface="Times New Roman" panose="02020603050405020304" pitchFamily="18" charset="0"/>
              <a:cs typeface="Times New Roman" panose="02020603050405020304" pitchFamily="18" charset="0"/>
            </a:rPr>
            <a:t>Cultural differences</a:t>
          </a:r>
          <a:endParaRPr lang="en-GB" sz="800" kern="1200">
            <a:latin typeface="Times New Roman" panose="02020603050405020304" pitchFamily="18" charset="0"/>
            <a:cs typeface="Times New Roman" panose="02020603050405020304" pitchFamily="18" charset="0"/>
          </a:endParaRPr>
        </a:p>
      </dsp:txBody>
      <dsp:txXfrm>
        <a:off x="3503310" y="2211916"/>
        <a:ext cx="695041" cy="695041"/>
      </dsp:txXfrm>
    </dsp:sp>
    <dsp:sp modelId="{48C8F45B-3F3E-401D-90B4-B225E3FC4E6F}">
      <dsp:nvSpPr>
        <dsp:cNvPr id="0" name=""/>
        <dsp:cNvSpPr/>
      </dsp:nvSpPr>
      <dsp:spPr>
        <a:xfrm>
          <a:off x="1144100" y="2067969"/>
          <a:ext cx="982935" cy="982935"/>
        </a:xfrm>
        <a:prstGeom prst="ellipse">
          <a:avLst/>
        </a:prstGeom>
        <a:gradFill rotWithShape="0">
          <a:gsLst>
            <a:gs pos="0">
              <a:schemeClr val="accent5">
                <a:alpha val="50000"/>
                <a:hueOff val="-7353344"/>
                <a:satOff val="-10228"/>
                <a:lumOff val="-3922"/>
                <a:alphaOff val="0"/>
                <a:satMod val="103000"/>
                <a:lumMod val="102000"/>
                <a:tint val="94000"/>
              </a:schemeClr>
            </a:gs>
            <a:gs pos="50000">
              <a:schemeClr val="accent5">
                <a:alpha val="50000"/>
                <a:hueOff val="-7353344"/>
                <a:satOff val="-10228"/>
                <a:lumOff val="-3922"/>
                <a:alphaOff val="0"/>
                <a:satMod val="110000"/>
                <a:lumMod val="100000"/>
                <a:shade val="100000"/>
              </a:schemeClr>
            </a:gs>
            <a:gs pos="100000">
              <a:schemeClr val="accent5">
                <a:alpha val="50000"/>
                <a:hueOff val="-7353344"/>
                <a:satOff val="-10228"/>
                <a:lumOff val="-3922"/>
                <a:alphaOff val="0"/>
                <a:lumMod val="99000"/>
                <a:satMod val="120000"/>
                <a:shade val="78000"/>
              </a:schemeClr>
            </a:gs>
          </a:gsLst>
          <a:lin ang="54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latin typeface="Times New Roman" panose="02020603050405020304" pitchFamily="18" charset="0"/>
              <a:cs typeface="Times New Roman" panose="02020603050405020304" pitchFamily="18" charset="0"/>
            </a:rPr>
            <a:t>Styles of communication</a:t>
          </a:r>
          <a:endParaRPr lang="en-GB" sz="800" kern="1200">
            <a:latin typeface="Times New Roman" panose="02020603050405020304" pitchFamily="18" charset="0"/>
            <a:cs typeface="Times New Roman" panose="02020603050405020304" pitchFamily="18" charset="0"/>
          </a:endParaRPr>
        </a:p>
      </dsp:txBody>
      <dsp:txXfrm>
        <a:off x="1288047" y="2211916"/>
        <a:ext cx="695041" cy="695041"/>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87BF12-DD81-407E-9DDC-BE3D1D158F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3109</Words>
  <Characters>17727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Nina Kirova (2018270)</dc:creator>
  <cp:keywords/>
  <dc:description/>
  <cp:lastModifiedBy>Nina Kirova (2018270)</cp:lastModifiedBy>
  <cp:revision>13</cp:revision>
  <dcterms:created xsi:type="dcterms:W3CDTF">2023-02-26T00:31:00Z</dcterms:created>
  <dcterms:modified xsi:type="dcterms:W3CDTF">2023-04-10T10:51:00Z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4b083252fa36defca846cca961b535e9b318a4170c6a7c14df2fe32c90927cbe</vt:lpwstr>
  </property>
</Properties>
</file>