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699308" w14:textId="55B53995" w:rsidR="0080552D" w:rsidRDefault="0080552D" w:rsidP="0080552D">
      <w:pPr>
        <w:jc w:val="center"/>
        <w:rPr>
          <w:rFonts w:ascii="Arial" w:hAnsi="Arial" w:cs="Arial"/>
          <w:sz w:val="24"/>
          <w:szCs w:val="24"/>
        </w:rPr>
      </w:pPr>
      <w:r>
        <w:rPr>
          <w:rFonts w:ascii="Arial" w:hAnsi="Arial" w:cs="Arial"/>
          <w:sz w:val="24"/>
          <w:szCs w:val="24"/>
        </w:rPr>
        <w:t xml:space="preserve">Digital Entrepreneurship </w:t>
      </w:r>
      <w:r w:rsidR="00FF298F">
        <w:rPr>
          <w:rFonts w:ascii="Arial" w:hAnsi="Arial" w:cs="Arial"/>
          <w:sz w:val="24"/>
          <w:szCs w:val="24"/>
        </w:rPr>
        <w:t>BMMB7002D</w:t>
      </w:r>
    </w:p>
    <w:p w14:paraId="33E2BE1D" w14:textId="1EFC6F2C" w:rsidR="0080552D" w:rsidRDefault="0080552D" w:rsidP="0080552D">
      <w:pPr>
        <w:jc w:val="center"/>
        <w:rPr>
          <w:rFonts w:ascii="Arial" w:hAnsi="Arial" w:cs="Arial"/>
          <w:sz w:val="24"/>
          <w:szCs w:val="24"/>
        </w:rPr>
      </w:pPr>
      <w:r>
        <w:rPr>
          <w:rFonts w:ascii="Arial" w:hAnsi="Arial" w:cs="Arial"/>
          <w:sz w:val="24"/>
          <w:szCs w:val="24"/>
        </w:rPr>
        <w:t>Assignment 1: Part B</w:t>
      </w:r>
    </w:p>
    <w:p w14:paraId="6F4F2560" w14:textId="77777777" w:rsidR="0080552D" w:rsidRDefault="0080552D" w:rsidP="0080552D">
      <w:pPr>
        <w:jc w:val="center"/>
        <w:rPr>
          <w:rFonts w:ascii="Arial" w:hAnsi="Arial" w:cs="Arial"/>
          <w:sz w:val="24"/>
          <w:szCs w:val="24"/>
        </w:rPr>
      </w:pPr>
    </w:p>
    <w:p w14:paraId="421D3F4E" w14:textId="2F3A6C07" w:rsidR="009A651D" w:rsidRDefault="0080552D" w:rsidP="0080552D">
      <w:pPr>
        <w:jc w:val="center"/>
        <w:rPr>
          <w:rFonts w:ascii="Arial" w:hAnsi="Arial" w:cs="Arial"/>
          <w:sz w:val="24"/>
          <w:szCs w:val="24"/>
        </w:rPr>
      </w:pPr>
      <w:r>
        <w:rPr>
          <w:rFonts w:ascii="Arial" w:hAnsi="Arial" w:cs="Arial"/>
          <w:sz w:val="24"/>
          <w:szCs w:val="24"/>
        </w:rPr>
        <w:t>Robert Davies (1805256)</w:t>
      </w:r>
    </w:p>
    <w:p w14:paraId="5D35B081" w14:textId="4D1B0FB5" w:rsidR="009A651D" w:rsidRDefault="009A651D" w:rsidP="0080552D">
      <w:pPr>
        <w:spacing w:after="160" w:line="259" w:lineRule="auto"/>
        <w:jc w:val="center"/>
      </w:pPr>
      <w:r>
        <w:br w:type="page"/>
      </w:r>
    </w:p>
    <w:p w14:paraId="13FF8CBC" w14:textId="77777777" w:rsidR="00FF298F" w:rsidRDefault="00FF298F">
      <w:pPr>
        <w:spacing w:after="160" w:line="259" w:lineRule="auto"/>
        <w:rPr>
          <w:rFonts w:asciiTheme="minorHAnsi" w:hAnsiTheme="minorHAnsi" w:cstheme="minorHAnsi"/>
          <w:b/>
          <w:bCs/>
          <w:color w:val="222222"/>
          <w:shd w:val="clear" w:color="auto" w:fill="FFFFFF"/>
        </w:rPr>
      </w:pPr>
      <w:r>
        <w:rPr>
          <w:rFonts w:asciiTheme="minorHAnsi" w:hAnsiTheme="minorHAnsi" w:cstheme="minorHAnsi"/>
          <w:b/>
          <w:bCs/>
          <w:color w:val="222222"/>
          <w:shd w:val="clear" w:color="auto" w:fill="FFFFFF"/>
        </w:rPr>
        <w:lastRenderedPageBreak/>
        <w:t>Contents</w:t>
      </w:r>
    </w:p>
    <w:p w14:paraId="50DA49AA" w14:textId="3B465389" w:rsidR="00FF298F" w:rsidRDefault="00FF298F">
      <w:pPr>
        <w:spacing w:after="160" w:line="259" w:lineRule="auto"/>
        <w:rPr>
          <w:rFonts w:asciiTheme="minorHAnsi" w:eastAsia="Times New Roman" w:hAnsiTheme="minorHAnsi" w:cstheme="minorHAnsi"/>
          <w:b/>
          <w:bCs/>
          <w:color w:val="222222"/>
          <w:shd w:val="clear" w:color="auto" w:fill="FFFFFF"/>
          <w:lang w:eastAsia="en-GB"/>
        </w:rPr>
      </w:pPr>
      <w:r>
        <w:rPr>
          <w:rFonts w:asciiTheme="minorHAnsi" w:hAnsiTheme="minorHAnsi" w:cstheme="minorHAnsi"/>
          <w:b/>
          <w:bCs/>
          <w:color w:val="222222"/>
          <w:shd w:val="clear" w:color="auto" w:fill="FFFFFF"/>
        </w:rPr>
        <w:br w:type="page"/>
      </w:r>
    </w:p>
    <w:p w14:paraId="5CD9BF45" w14:textId="246EFC85" w:rsidR="00442C2A" w:rsidRPr="00442C2A" w:rsidRDefault="00442C2A" w:rsidP="009A651D">
      <w:pPr>
        <w:pStyle w:val="NormalWeb"/>
        <w:shd w:val="clear" w:color="auto" w:fill="FFFFF9"/>
        <w:spacing w:before="0" w:beforeAutospacing="0"/>
        <w:rPr>
          <w:rFonts w:asciiTheme="minorHAnsi" w:hAnsiTheme="minorHAnsi" w:cstheme="minorHAnsi"/>
          <w:b/>
          <w:bCs/>
          <w:color w:val="222222"/>
          <w:sz w:val="22"/>
          <w:szCs w:val="22"/>
          <w:shd w:val="clear" w:color="auto" w:fill="FFFFFF"/>
        </w:rPr>
      </w:pPr>
      <w:r w:rsidRPr="00442C2A">
        <w:rPr>
          <w:rFonts w:asciiTheme="minorHAnsi" w:hAnsiTheme="minorHAnsi" w:cstheme="minorHAnsi"/>
          <w:b/>
          <w:bCs/>
          <w:color w:val="222222"/>
          <w:sz w:val="22"/>
          <w:szCs w:val="22"/>
          <w:shd w:val="clear" w:color="auto" w:fill="FFFFFF"/>
        </w:rPr>
        <w:lastRenderedPageBreak/>
        <w:t>Introduction</w:t>
      </w:r>
    </w:p>
    <w:p w14:paraId="1CF3B4C4" w14:textId="31F7DF5A" w:rsidR="009A651D" w:rsidRDefault="009A651D" w:rsidP="009A651D">
      <w:pPr>
        <w:pStyle w:val="NormalWeb"/>
        <w:shd w:val="clear" w:color="auto" w:fill="FFFFF9"/>
        <w:spacing w:before="0" w:beforeAutospacing="0"/>
        <w:rPr>
          <w:rFonts w:asciiTheme="minorHAnsi" w:hAnsiTheme="minorHAnsi" w:cstheme="minorHAnsi"/>
          <w:color w:val="222222"/>
          <w:sz w:val="22"/>
          <w:szCs w:val="22"/>
          <w:shd w:val="clear" w:color="auto" w:fill="FFFFFF"/>
        </w:rPr>
      </w:pPr>
      <w:r w:rsidRPr="00D94B9A">
        <w:rPr>
          <w:rFonts w:asciiTheme="minorHAnsi" w:hAnsiTheme="minorHAnsi" w:cstheme="minorHAnsi"/>
          <w:color w:val="222222"/>
          <w:sz w:val="22"/>
          <w:szCs w:val="22"/>
          <w:shd w:val="clear" w:color="auto" w:fill="FFFFFF"/>
        </w:rPr>
        <w:t>Admiral Group (AGP) began trading in 1993 and has since grown to become one of the largest providers of car insurance within the United Kingdom as well as offering home, van and travel insurance, personal loans and</w:t>
      </w:r>
      <w:r w:rsidR="00FF298F">
        <w:rPr>
          <w:rFonts w:asciiTheme="minorHAnsi" w:hAnsiTheme="minorHAnsi" w:cstheme="minorHAnsi"/>
          <w:color w:val="222222"/>
          <w:sz w:val="22"/>
          <w:szCs w:val="22"/>
          <w:shd w:val="clear" w:color="auto" w:fill="FFFFFF"/>
        </w:rPr>
        <w:t xml:space="preserve"> a</w:t>
      </w:r>
      <w:r w:rsidRPr="00D94B9A">
        <w:rPr>
          <w:rFonts w:asciiTheme="minorHAnsi" w:hAnsiTheme="minorHAnsi" w:cstheme="minorHAnsi"/>
          <w:color w:val="222222"/>
          <w:sz w:val="22"/>
          <w:szCs w:val="22"/>
          <w:shd w:val="clear" w:color="auto" w:fill="FFFFFF"/>
        </w:rPr>
        <w:t xml:space="preserve"> car finance service. Further, AGP has embarked upon a scheme of international expansion which has seen it create a presence in Spain, Italy, France, the US, Mexico and Turkey, and has over 6.5 million customers worldwide (Admiralgroup.co.uk, 2020). The business employs over 11,000 people and services 6.98 million customers on a global basis, AGP is headquartered in South Wales and is Wales’ only FTSE 100 company (Directorate, 2020).</w:t>
      </w:r>
    </w:p>
    <w:p w14:paraId="51750E40" w14:textId="160D96C6" w:rsidR="00442C2A" w:rsidRDefault="00442C2A" w:rsidP="009A651D">
      <w:pPr>
        <w:pStyle w:val="NormalWeb"/>
        <w:shd w:val="clear" w:color="auto" w:fill="FFFFF9"/>
        <w:spacing w:before="0" w:beforeAutospacing="0"/>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The insurance market in which AGP operates is well established and of significant size, indeed recent research has shown that the UK insurance market is the largest in Europe, employ</w:t>
      </w:r>
      <w:r w:rsidR="00FF298F">
        <w:rPr>
          <w:rFonts w:asciiTheme="minorHAnsi" w:hAnsiTheme="minorHAnsi" w:cstheme="minorHAnsi"/>
          <w:color w:val="222222"/>
          <w:sz w:val="22"/>
          <w:szCs w:val="22"/>
          <w:shd w:val="clear" w:color="auto" w:fill="FFFFFF"/>
        </w:rPr>
        <w:t>ing</w:t>
      </w:r>
      <w:r>
        <w:rPr>
          <w:rFonts w:asciiTheme="minorHAnsi" w:hAnsiTheme="minorHAnsi" w:cstheme="minorHAnsi"/>
          <w:color w:val="222222"/>
          <w:sz w:val="22"/>
          <w:szCs w:val="22"/>
          <w:shd w:val="clear" w:color="auto" w:fill="FFFFFF"/>
        </w:rPr>
        <w:t xml:space="preserve"> </w:t>
      </w:r>
      <w:r w:rsidR="00FF298F">
        <w:rPr>
          <w:rFonts w:asciiTheme="minorHAnsi" w:hAnsiTheme="minorHAnsi" w:cstheme="minorHAnsi"/>
          <w:color w:val="222222"/>
          <w:sz w:val="22"/>
          <w:szCs w:val="22"/>
          <w:shd w:val="clear" w:color="auto" w:fill="FFFFFF"/>
        </w:rPr>
        <w:t>over 110,</w:t>
      </w:r>
      <w:r>
        <w:rPr>
          <w:rFonts w:asciiTheme="minorHAnsi" w:hAnsiTheme="minorHAnsi" w:cstheme="minorHAnsi"/>
          <w:color w:val="222222"/>
          <w:sz w:val="22"/>
          <w:szCs w:val="22"/>
          <w:shd w:val="clear" w:color="auto" w:fill="FFFFFF"/>
        </w:rPr>
        <w:t>000 people and contribut</w:t>
      </w:r>
      <w:r w:rsidR="00FF298F">
        <w:rPr>
          <w:rFonts w:asciiTheme="minorHAnsi" w:hAnsiTheme="minorHAnsi" w:cstheme="minorHAnsi"/>
          <w:color w:val="222222"/>
          <w:sz w:val="22"/>
          <w:szCs w:val="22"/>
          <w:shd w:val="clear" w:color="auto" w:fill="FFFFFF"/>
        </w:rPr>
        <w:t>ing</w:t>
      </w:r>
      <w:r>
        <w:rPr>
          <w:rFonts w:asciiTheme="minorHAnsi" w:hAnsiTheme="minorHAnsi" w:cstheme="minorHAnsi"/>
          <w:color w:val="222222"/>
          <w:sz w:val="22"/>
          <w:szCs w:val="22"/>
          <w:shd w:val="clear" w:color="auto" w:fill="FFFFFF"/>
        </w:rPr>
        <w:t xml:space="preserve"> £72bn in tax revenue to the UK government in 2017 (</w:t>
      </w:r>
      <w:proofErr w:type="spellStart"/>
      <w:r>
        <w:rPr>
          <w:rFonts w:asciiTheme="minorHAnsi" w:hAnsiTheme="minorHAnsi" w:cstheme="minorHAnsi"/>
          <w:color w:val="222222"/>
          <w:sz w:val="22"/>
          <w:szCs w:val="22"/>
          <w:shd w:val="clear" w:color="auto" w:fill="FFFFFF"/>
        </w:rPr>
        <w:t>Shaulova</w:t>
      </w:r>
      <w:proofErr w:type="spellEnd"/>
      <w:r>
        <w:rPr>
          <w:rFonts w:asciiTheme="minorHAnsi" w:hAnsiTheme="minorHAnsi" w:cstheme="minorHAnsi"/>
          <w:color w:val="222222"/>
          <w:sz w:val="22"/>
          <w:szCs w:val="22"/>
          <w:shd w:val="clear" w:color="auto" w:fill="FFFFFF"/>
        </w:rPr>
        <w:t>, 2020)</w:t>
      </w:r>
      <w:r w:rsidR="00126FB7">
        <w:rPr>
          <w:rFonts w:asciiTheme="minorHAnsi" w:hAnsiTheme="minorHAnsi" w:cstheme="minorHAnsi"/>
          <w:color w:val="222222"/>
          <w:sz w:val="22"/>
          <w:szCs w:val="22"/>
          <w:shd w:val="clear" w:color="auto" w:fill="FFFFFF"/>
        </w:rPr>
        <w:t xml:space="preserve">. The industry has traditionally been viewed as one that is reluctant to embrace change, however there is now evidence to suggest that the rise of digital technology is causing a shift in those attitudes, with </w:t>
      </w:r>
      <w:proofErr w:type="spellStart"/>
      <w:r w:rsidR="00126FB7">
        <w:rPr>
          <w:rFonts w:asciiTheme="minorHAnsi" w:hAnsiTheme="minorHAnsi" w:cstheme="minorHAnsi"/>
          <w:color w:val="222222"/>
          <w:sz w:val="22"/>
          <w:szCs w:val="22"/>
          <w:shd w:val="clear" w:color="auto" w:fill="FFFFFF"/>
        </w:rPr>
        <w:t>Axa</w:t>
      </w:r>
      <w:proofErr w:type="spellEnd"/>
      <w:r w:rsidR="00FF298F">
        <w:rPr>
          <w:rFonts w:asciiTheme="minorHAnsi" w:hAnsiTheme="minorHAnsi" w:cstheme="minorHAnsi"/>
          <w:color w:val="222222"/>
          <w:sz w:val="22"/>
          <w:szCs w:val="22"/>
          <w:shd w:val="clear" w:color="auto" w:fill="FFFFFF"/>
        </w:rPr>
        <w:t xml:space="preserve"> Insurance</w:t>
      </w:r>
      <w:r w:rsidR="00126FB7">
        <w:rPr>
          <w:rFonts w:asciiTheme="minorHAnsi" w:hAnsiTheme="minorHAnsi" w:cstheme="minorHAnsi"/>
          <w:color w:val="222222"/>
          <w:sz w:val="22"/>
          <w:szCs w:val="22"/>
          <w:shd w:val="clear" w:color="auto" w:fill="FFFFFF"/>
        </w:rPr>
        <w:t xml:space="preserve">, stating </w:t>
      </w:r>
      <w:r w:rsidR="00FF298F">
        <w:rPr>
          <w:rFonts w:asciiTheme="minorHAnsi" w:hAnsiTheme="minorHAnsi" w:cstheme="minorHAnsi"/>
          <w:color w:val="222222"/>
          <w:sz w:val="22"/>
          <w:szCs w:val="22"/>
          <w:shd w:val="clear" w:color="auto" w:fill="FFFFFF"/>
        </w:rPr>
        <w:t>an expectation that</w:t>
      </w:r>
      <w:r w:rsidR="00126FB7">
        <w:rPr>
          <w:rFonts w:asciiTheme="minorHAnsi" w:hAnsiTheme="minorHAnsi" w:cstheme="minorHAnsi"/>
          <w:color w:val="222222"/>
          <w:sz w:val="22"/>
          <w:szCs w:val="22"/>
          <w:shd w:val="clear" w:color="auto" w:fill="FFFFFF"/>
        </w:rPr>
        <w:t xml:space="preserve"> their competitors of the future </w:t>
      </w:r>
      <w:r w:rsidR="00FF298F">
        <w:rPr>
          <w:rFonts w:asciiTheme="minorHAnsi" w:hAnsiTheme="minorHAnsi" w:cstheme="minorHAnsi"/>
          <w:color w:val="222222"/>
          <w:sz w:val="22"/>
          <w:szCs w:val="22"/>
          <w:shd w:val="clear" w:color="auto" w:fill="FFFFFF"/>
        </w:rPr>
        <w:t>will not</w:t>
      </w:r>
      <w:r w:rsidR="00126FB7">
        <w:rPr>
          <w:rFonts w:asciiTheme="minorHAnsi" w:hAnsiTheme="minorHAnsi" w:cstheme="minorHAnsi"/>
          <w:color w:val="222222"/>
          <w:sz w:val="22"/>
          <w:szCs w:val="22"/>
          <w:shd w:val="clear" w:color="auto" w:fill="FFFFFF"/>
        </w:rPr>
        <w:t xml:space="preserve"> be the current incumbent insurance companies, but rather to be companies such as Facebook, Google and Apple (Ralph, 2019)</w:t>
      </w:r>
      <w:r w:rsidR="00AE1C48">
        <w:rPr>
          <w:rFonts w:asciiTheme="minorHAnsi" w:hAnsiTheme="minorHAnsi" w:cstheme="minorHAnsi"/>
          <w:color w:val="222222"/>
          <w:sz w:val="22"/>
          <w:szCs w:val="22"/>
          <w:shd w:val="clear" w:color="auto" w:fill="FFFFFF"/>
        </w:rPr>
        <w:t xml:space="preserve">. </w:t>
      </w:r>
    </w:p>
    <w:p w14:paraId="131144E4" w14:textId="1D5ED27B" w:rsidR="009A651D" w:rsidRDefault="00AE1C48" w:rsidP="00C01599">
      <w:pPr>
        <w:pStyle w:val="NormalWeb"/>
        <w:shd w:val="clear" w:color="auto" w:fill="FFFFF9"/>
        <w:spacing w:before="0" w:beforeAutospacing="0"/>
      </w:pPr>
      <w:r>
        <w:rPr>
          <w:rFonts w:asciiTheme="minorHAnsi" w:hAnsiTheme="minorHAnsi" w:cstheme="minorHAnsi"/>
          <w:color w:val="222222"/>
          <w:sz w:val="22"/>
          <w:szCs w:val="22"/>
          <w:shd w:val="clear" w:color="auto" w:fill="FFFFFF"/>
        </w:rPr>
        <w:t xml:space="preserve">As the statement from </w:t>
      </w:r>
      <w:proofErr w:type="spellStart"/>
      <w:r>
        <w:rPr>
          <w:rFonts w:asciiTheme="minorHAnsi" w:hAnsiTheme="minorHAnsi" w:cstheme="minorHAnsi"/>
          <w:color w:val="222222"/>
          <w:sz w:val="22"/>
          <w:szCs w:val="22"/>
          <w:shd w:val="clear" w:color="auto" w:fill="FFFFFF"/>
        </w:rPr>
        <w:t>Axa</w:t>
      </w:r>
      <w:proofErr w:type="spellEnd"/>
      <w:r>
        <w:rPr>
          <w:rFonts w:asciiTheme="minorHAnsi" w:hAnsiTheme="minorHAnsi" w:cstheme="minorHAnsi"/>
          <w:color w:val="222222"/>
          <w:sz w:val="22"/>
          <w:szCs w:val="22"/>
          <w:shd w:val="clear" w:color="auto" w:fill="FFFFFF"/>
        </w:rPr>
        <w:t xml:space="preserve"> indicates, there is an expectation that the insurance industry will experience disruption from the digital world. This digital disruption can be described as </w:t>
      </w:r>
      <w:r w:rsidRPr="00AE1C48">
        <w:rPr>
          <w:rFonts w:asciiTheme="minorHAnsi" w:hAnsiTheme="minorHAnsi" w:cstheme="minorHAnsi"/>
          <w:color w:val="222222"/>
          <w:sz w:val="22"/>
          <w:szCs w:val="22"/>
          <w:shd w:val="clear" w:color="auto" w:fill="FFFFFF"/>
        </w:rPr>
        <w:t>‘</w:t>
      </w:r>
      <w:r w:rsidR="009A651D" w:rsidRPr="00AE1C48">
        <w:rPr>
          <w:rFonts w:asciiTheme="minorHAnsi" w:hAnsiTheme="minorHAnsi" w:cstheme="minorHAnsi"/>
          <w:color w:val="222222"/>
          <w:sz w:val="22"/>
          <w:szCs w:val="22"/>
          <w:shd w:val="clear" w:color="auto" w:fill="FFFFFF"/>
        </w:rPr>
        <w:t>a type of environmental turbulence</w:t>
      </w:r>
      <w:r w:rsidR="00FF298F">
        <w:rPr>
          <w:rFonts w:asciiTheme="minorHAnsi" w:hAnsiTheme="minorHAnsi" w:cstheme="minorHAnsi"/>
          <w:color w:val="222222"/>
          <w:sz w:val="22"/>
          <w:szCs w:val="22"/>
          <w:shd w:val="clear" w:color="auto" w:fill="FFFFFF"/>
        </w:rPr>
        <w:t>…</w:t>
      </w:r>
      <w:r w:rsidR="009A651D" w:rsidRPr="00AE1C48">
        <w:rPr>
          <w:rFonts w:asciiTheme="minorHAnsi" w:hAnsiTheme="minorHAnsi" w:cstheme="minorHAnsi"/>
          <w:color w:val="222222"/>
          <w:sz w:val="22"/>
          <w:szCs w:val="22"/>
          <w:shd w:val="clear" w:color="auto" w:fill="FFFFFF"/>
        </w:rPr>
        <w:t>that leads to the erosion of boundaries and approaches</w:t>
      </w:r>
      <w:r w:rsidR="00FF298F">
        <w:rPr>
          <w:rFonts w:asciiTheme="minorHAnsi" w:hAnsiTheme="minorHAnsi" w:cstheme="minorHAnsi"/>
          <w:color w:val="222222"/>
          <w:sz w:val="22"/>
          <w:szCs w:val="22"/>
          <w:shd w:val="clear" w:color="auto" w:fill="FFFFFF"/>
        </w:rPr>
        <w:t>’</w:t>
      </w:r>
      <w:r w:rsidR="009A651D" w:rsidRPr="00AE1C48">
        <w:rPr>
          <w:rFonts w:asciiTheme="minorHAnsi" w:hAnsiTheme="minorHAnsi" w:cstheme="minorHAnsi"/>
          <w:color w:val="222222"/>
          <w:sz w:val="22"/>
          <w:szCs w:val="22"/>
          <w:shd w:val="clear" w:color="auto" w:fill="FFFFFF"/>
        </w:rPr>
        <w:t xml:space="preserve"> (Skog, </w:t>
      </w:r>
      <w:proofErr w:type="spellStart"/>
      <w:r w:rsidR="009A651D" w:rsidRPr="00AE1C48">
        <w:rPr>
          <w:rFonts w:asciiTheme="minorHAnsi" w:hAnsiTheme="minorHAnsi" w:cstheme="minorHAnsi"/>
          <w:color w:val="222222"/>
          <w:sz w:val="22"/>
          <w:szCs w:val="22"/>
          <w:shd w:val="clear" w:color="auto" w:fill="FFFFFF"/>
        </w:rPr>
        <w:t>Wimelius</w:t>
      </w:r>
      <w:proofErr w:type="spellEnd"/>
      <w:r w:rsidR="009A651D" w:rsidRPr="00AE1C48">
        <w:rPr>
          <w:rFonts w:asciiTheme="minorHAnsi" w:hAnsiTheme="minorHAnsi" w:cstheme="minorHAnsi"/>
          <w:color w:val="222222"/>
          <w:sz w:val="22"/>
          <w:szCs w:val="22"/>
          <w:shd w:val="clear" w:color="auto" w:fill="FFFFFF"/>
        </w:rPr>
        <w:t>, &amp; Sandberg</w:t>
      </w:r>
      <w:r w:rsidRPr="00AE1C48">
        <w:rPr>
          <w:rFonts w:asciiTheme="minorHAnsi" w:hAnsiTheme="minorHAnsi" w:cstheme="minorHAnsi"/>
          <w:color w:val="222222"/>
          <w:sz w:val="22"/>
          <w:szCs w:val="22"/>
          <w:shd w:val="clear" w:color="auto" w:fill="FFFFFF"/>
        </w:rPr>
        <w:t>, 2018</w:t>
      </w:r>
      <w:r w:rsidR="009A651D" w:rsidRPr="00AE1C48">
        <w:rPr>
          <w:rFonts w:asciiTheme="minorHAnsi" w:hAnsiTheme="minorHAnsi" w:cstheme="minorHAnsi"/>
          <w:color w:val="222222"/>
          <w:sz w:val="22"/>
          <w:szCs w:val="22"/>
          <w:shd w:val="clear" w:color="auto" w:fill="FFFFFF"/>
        </w:rPr>
        <w:t>)</w:t>
      </w:r>
      <w:r>
        <w:rPr>
          <w:rFonts w:asciiTheme="minorHAnsi" w:hAnsiTheme="minorHAnsi" w:cstheme="minorHAnsi"/>
          <w:color w:val="222222"/>
          <w:sz w:val="22"/>
          <w:szCs w:val="22"/>
          <w:shd w:val="clear" w:color="auto" w:fill="FFFFFF"/>
        </w:rPr>
        <w:t>. It has been suggested that companies can benefit from embracing digital disruption and could expect to see a reduction in costs over the long-term as well as being armed with better data and information upon which they can make decisions (</w:t>
      </w:r>
      <w:proofErr w:type="spellStart"/>
      <w:r>
        <w:rPr>
          <w:rFonts w:asciiTheme="minorHAnsi" w:hAnsiTheme="minorHAnsi" w:cstheme="minorHAnsi"/>
          <w:color w:val="222222"/>
          <w:sz w:val="22"/>
          <w:szCs w:val="22"/>
          <w:shd w:val="clear" w:color="auto" w:fill="FFFFFF"/>
        </w:rPr>
        <w:t>Sprau</w:t>
      </w:r>
      <w:proofErr w:type="spellEnd"/>
      <w:r>
        <w:rPr>
          <w:rFonts w:asciiTheme="minorHAnsi" w:hAnsiTheme="minorHAnsi" w:cstheme="minorHAnsi"/>
          <w:color w:val="222222"/>
          <w:sz w:val="22"/>
          <w:szCs w:val="22"/>
          <w:shd w:val="clear" w:color="auto" w:fill="FFFFFF"/>
        </w:rPr>
        <w:t>, 2018)</w:t>
      </w:r>
      <w:r w:rsidR="00C01599">
        <w:rPr>
          <w:rFonts w:asciiTheme="minorHAnsi" w:hAnsiTheme="minorHAnsi" w:cstheme="minorHAnsi"/>
          <w:color w:val="222222"/>
          <w:sz w:val="22"/>
          <w:szCs w:val="22"/>
          <w:shd w:val="clear" w:color="auto" w:fill="FFFFFF"/>
        </w:rPr>
        <w:t>. However, others have been keen to sound a note of caution, pointing out that digital technologies have the potential to diminish the profitability of businesses</w:t>
      </w:r>
      <w:r w:rsidR="00EB58F3" w:rsidRPr="00EB58F3">
        <w:rPr>
          <w:rFonts w:asciiTheme="minorHAnsi" w:hAnsiTheme="minorHAnsi" w:cstheme="minorHAnsi"/>
          <w:i/>
          <w:iCs/>
          <w:color w:val="333333"/>
          <w:sz w:val="22"/>
          <w:szCs w:val="22"/>
          <w:shd w:val="clear" w:color="auto" w:fill="FFFFFF"/>
        </w:rPr>
        <w:t>,</w:t>
      </w:r>
      <w:r w:rsidR="00C01599">
        <w:rPr>
          <w:rFonts w:asciiTheme="minorHAnsi" w:hAnsiTheme="minorHAnsi" w:cstheme="minorHAnsi"/>
          <w:i/>
          <w:iCs/>
          <w:color w:val="333333"/>
          <w:sz w:val="22"/>
          <w:szCs w:val="22"/>
          <w:shd w:val="clear" w:color="auto" w:fill="FFFFFF"/>
        </w:rPr>
        <w:t xml:space="preserve"> </w:t>
      </w:r>
      <w:r w:rsidR="00C01599" w:rsidRPr="00C01599">
        <w:rPr>
          <w:rFonts w:asciiTheme="minorHAnsi" w:hAnsiTheme="minorHAnsi" w:cstheme="minorHAnsi"/>
          <w:color w:val="333333"/>
          <w:sz w:val="22"/>
          <w:szCs w:val="22"/>
          <w:shd w:val="clear" w:color="auto" w:fill="FFFFFF"/>
        </w:rPr>
        <w:t>with this impact being felt disproportionately in those companies who are slower to adopt and adapt to digital change</w:t>
      </w:r>
      <w:r w:rsidR="00EB58F3" w:rsidRPr="00C01599">
        <w:rPr>
          <w:rFonts w:asciiTheme="minorHAnsi" w:hAnsiTheme="minorHAnsi" w:cstheme="minorHAnsi"/>
          <w:color w:val="333333"/>
          <w:sz w:val="22"/>
          <w:szCs w:val="22"/>
          <w:shd w:val="clear" w:color="auto" w:fill="FFFFFF"/>
        </w:rPr>
        <w:t xml:space="preserve"> (</w:t>
      </w:r>
      <w:proofErr w:type="spellStart"/>
      <w:r w:rsidR="00EB58F3" w:rsidRPr="00C01599">
        <w:rPr>
          <w:rFonts w:asciiTheme="minorHAnsi" w:hAnsiTheme="minorHAnsi" w:cstheme="minorHAnsi"/>
          <w:sz w:val="22"/>
          <w:szCs w:val="22"/>
        </w:rPr>
        <w:t>Bughin</w:t>
      </w:r>
      <w:proofErr w:type="spellEnd"/>
      <w:r w:rsidR="00EB58F3" w:rsidRPr="00C01599">
        <w:rPr>
          <w:rFonts w:asciiTheme="minorHAnsi" w:hAnsiTheme="minorHAnsi" w:cstheme="minorHAnsi"/>
          <w:sz w:val="22"/>
          <w:szCs w:val="22"/>
        </w:rPr>
        <w:t xml:space="preserve">, LaBerge, &amp; </w:t>
      </w:r>
      <w:proofErr w:type="spellStart"/>
      <w:r w:rsidR="00EB58F3" w:rsidRPr="00C01599">
        <w:rPr>
          <w:rFonts w:asciiTheme="minorHAnsi" w:hAnsiTheme="minorHAnsi" w:cstheme="minorHAnsi"/>
          <w:sz w:val="22"/>
          <w:szCs w:val="22"/>
        </w:rPr>
        <w:t>Mellbye</w:t>
      </w:r>
      <w:proofErr w:type="spellEnd"/>
      <w:r w:rsidR="00EB58F3" w:rsidRPr="00C01599">
        <w:rPr>
          <w:rFonts w:asciiTheme="minorHAnsi" w:hAnsiTheme="minorHAnsi" w:cstheme="minorHAnsi"/>
          <w:sz w:val="22"/>
          <w:szCs w:val="22"/>
        </w:rPr>
        <w:t>,</w:t>
      </w:r>
      <w:r w:rsidR="00C01599">
        <w:rPr>
          <w:rFonts w:asciiTheme="minorHAnsi" w:hAnsiTheme="minorHAnsi" w:cstheme="minorHAnsi"/>
          <w:sz w:val="22"/>
          <w:szCs w:val="22"/>
        </w:rPr>
        <w:t xml:space="preserve"> </w:t>
      </w:r>
      <w:r w:rsidR="00EB58F3" w:rsidRPr="00C01599">
        <w:rPr>
          <w:rFonts w:asciiTheme="minorHAnsi" w:hAnsiTheme="minorHAnsi" w:cstheme="minorHAnsi"/>
          <w:sz w:val="22"/>
          <w:szCs w:val="22"/>
        </w:rPr>
        <w:t>2017)</w:t>
      </w:r>
      <w:r w:rsidR="00C01599">
        <w:rPr>
          <w:rFonts w:asciiTheme="minorHAnsi" w:hAnsiTheme="minorHAnsi" w:cstheme="minorHAnsi"/>
          <w:sz w:val="22"/>
          <w:szCs w:val="22"/>
        </w:rPr>
        <w:t xml:space="preserve">. </w:t>
      </w:r>
    </w:p>
    <w:p w14:paraId="66D59CC5" w14:textId="5CC5887D" w:rsidR="00CF721B" w:rsidRDefault="00C01599">
      <w:pPr>
        <w:spacing w:after="160" w:line="259" w:lineRule="auto"/>
        <w:rPr>
          <w:b/>
          <w:bCs/>
        </w:rPr>
      </w:pPr>
      <w:r>
        <w:rPr>
          <w:b/>
          <w:bCs/>
        </w:rPr>
        <w:t>Insurance Processing</w:t>
      </w:r>
    </w:p>
    <w:p w14:paraId="3C226A29" w14:textId="120F12D0" w:rsidR="00C01599" w:rsidRPr="00C01599" w:rsidRDefault="00C01599">
      <w:pPr>
        <w:spacing w:after="160" w:line="259" w:lineRule="auto"/>
      </w:pPr>
      <w:r>
        <w:t xml:space="preserve">In order to frame this discussion in terms that are specifically relevant to AGP </w:t>
      </w:r>
      <w:r w:rsidR="00FF298F">
        <w:t>it may be sensible to look at</w:t>
      </w:r>
      <w:r>
        <w:t xml:space="preserve"> the general processing of insurance, i.e. the selling and maintenance of insurance policies as well as the claims process. There is evidence to suggest that customer expectations have been transformed by technology in this regard. Research carried out by the consultancy firm McKinsey states</w:t>
      </w:r>
      <w:r w:rsidR="00FF298F">
        <w:t>:</w:t>
      </w:r>
    </w:p>
    <w:p w14:paraId="00B13A6D" w14:textId="3DC07118" w:rsidR="009A651D" w:rsidRPr="004D1C39" w:rsidRDefault="009A651D" w:rsidP="00C01599">
      <w:pPr>
        <w:spacing w:after="160" w:line="259" w:lineRule="auto"/>
        <w:ind w:left="720"/>
      </w:pPr>
      <w:r w:rsidRPr="004D1C39">
        <w:t>Customers want simplicity—one-click shopping, for example. They want 24-hour access and quick delivery, clear, relevant information about a product’s features. They have the same expectations whatever the service provider, insurers included (McKinsey, 2019)</w:t>
      </w:r>
    </w:p>
    <w:p w14:paraId="0357D241" w14:textId="1ABF6A5B" w:rsidR="0069270C" w:rsidRPr="00211AF0" w:rsidRDefault="00187E8E">
      <w:pPr>
        <w:spacing w:after="160" w:line="259" w:lineRule="auto"/>
        <w:rPr>
          <w:rFonts w:asciiTheme="minorHAnsi" w:hAnsiTheme="minorHAnsi" w:cstheme="minorHAnsi"/>
          <w:shd w:val="clear" w:color="auto" w:fill="FAFAFA"/>
        </w:rPr>
      </w:pPr>
      <w:r>
        <w:rPr>
          <w:rFonts w:asciiTheme="minorHAnsi" w:hAnsiTheme="minorHAnsi" w:cstheme="minorHAnsi"/>
          <w:shd w:val="clear" w:color="auto" w:fill="FAFAFA"/>
        </w:rPr>
        <w:t>The importance that McKinsey’s research attaches to the customer expectation of low-friction, high quality interactions</w:t>
      </w:r>
      <w:r w:rsidRPr="00187E8E">
        <w:rPr>
          <w:rFonts w:asciiTheme="minorHAnsi" w:hAnsiTheme="minorHAnsi" w:cstheme="minorHAnsi"/>
          <w:shd w:val="clear" w:color="auto" w:fill="FAFAFA"/>
        </w:rPr>
        <w:t xml:space="preserve"> is echoed in further research carried out by </w:t>
      </w:r>
      <w:proofErr w:type="spellStart"/>
      <w:r w:rsidRPr="00187E8E">
        <w:rPr>
          <w:rFonts w:asciiTheme="minorHAnsi" w:hAnsiTheme="minorHAnsi" w:cstheme="minorHAnsi"/>
          <w:shd w:val="clear" w:color="auto" w:fill="FAFAFA"/>
        </w:rPr>
        <w:t>Wiraya</w:t>
      </w:r>
      <w:proofErr w:type="spellEnd"/>
      <w:r w:rsidRPr="00187E8E">
        <w:rPr>
          <w:rFonts w:asciiTheme="minorHAnsi" w:hAnsiTheme="minorHAnsi" w:cstheme="minorHAnsi"/>
          <w:shd w:val="clear" w:color="auto" w:fill="FAFAFA"/>
        </w:rPr>
        <w:t xml:space="preserve"> who found that </w:t>
      </w:r>
      <w:r w:rsidR="0090465E" w:rsidRPr="00187E8E">
        <w:rPr>
          <w:rFonts w:asciiTheme="minorHAnsi" w:hAnsiTheme="minorHAnsi" w:cstheme="minorHAnsi"/>
          <w:shd w:val="clear" w:color="auto" w:fill="FAFAFA"/>
        </w:rPr>
        <w:t>86% of customers who left their insurance</w:t>
      </w:r>
      <w:r w:rsidRPr="00187E8E">
        <w:rPr>
          <w:rFonts w:asciiTheme="minorHAnsi" w:hAnsiTheme="minorHAnsi" w:cstheme="minorHAnsi"/>
          <w:shd w:val="clear" w:color="auto" w:fill="FAFAFA"/>
        </w:rPr>
        <w:t xml:space="preserve"> company would have been more satisfied with the level of service they received if the company had contacted them </w:t>
      </w:r>
      <w:r w:rsidR="00FF298F">
        <w:rPr>
          <w:rFonts w:asciiTheme="minorHAnsi" w:hAnsiTheme="minorHAnsi" w:cstheme="minorHAnsi"/>
          <w:shd w:val="clear" w:color="auto" w:fill="FAFAFA"/>
        </w:rPr>
        <w:t>in accordance with</w:t>
      </w:r>
      <w:r w:rsidRPr="00187E8E">
        <w:rPr>
          <w:rFonts w:asciiTheme="minorHAnsi" w:hAnsiTheme="minorHAnsi" w:cstheme="minorHAnsi"/>
          <w:shd w:val="clear" w:color="auto" w:fill="FAFAFA"/>
        </w:rPr>
        <w:t xml:space="preserve"> their expectations of </w:t>
      </w:r>
      <w:r w:rsidR="00FF298F">
        <w:rPr>
          <w:rFonts w:asciiTheme="minorHAnsi" w:hAnsiTheme="minorHAnsi" w:cstheme="minorHAnsi"/>
          <w:shd w:val="clear" w:color="auto" w:fill="FAFAFA"/>
        </w:rPr>
        <w:t>accuracy and timeliness</w:t>
      </w:r>
      <w:r w:rsidR="0090465E" w:rsidRPr="00187E8E">
        <w:rPr>
          <w:rFonts w:asciiTheme="minorHAnsi" w:hAnsiTheme="minorHAnsi" w:cstheme="minorHAnsi"/>
          <w:shd w:val="clear" w:color="auto" w:fill="FAFAFA"/>
        </w:rPr>
        <w:t xml:space="preserve"> (Madden, S, 2020)</w:t>
      </w:r>
      <w:r w:rsidRPr="00187E8E">
        <w:rPr>
          <w:rFonts w:asciiTheme="minorHAnsi" w:hAnsiTheme="minorHAnsi" w:cstheme="minorHAnsi"/>
          <w:shd w:val="clear" w:color="auto" w:fill="FAFAFA"/>
        </w:rPr>
        <w:t>.</w:t>
      </w:r>
      <w:r w:rsidR="00211AF0">
        <w:rPr>
          <w:rFonts w:asciiTheme="minorHAnsi" w:hAnsiTheme="minorHAnsi" w:cstheme="minorHAnsi"/>
          <w:shd w:val="clear" w:color="auto" w:fill="FAFAFA"/>
        </w:rPr>
        <w:t xml:space="preserve"> </w:t>
      </w:r>
    </w:p>
    <w:p w14:paraId="1A50EBAC" w14:textId="1F96FDAA" w:rsidR="009A651D" w:rsidRDefault="00EB58F3">
      <w:pPr>
        <w:spacing w:after="160" w:line="259" w:lineRule="auto"/>
        <w:rPr>
          <w:rFonts w:asciiTheme="minorHAnsi" w:hAnsiTheme="minorHAnsi" w:cstheme="minorHAnsi"/>
          <w:color w:val="282828"/>
          <w:spacing w:val="-3"/>
          <w:shd w:val="clear" w:color="auto" w:fill="FFFFFF"/>
        </w:rPr>
      </w:pPr>
      <w:r w:rsidRPr="00211AF0">
        <w:rPr>
          <w:rFonts w:asciiTheme="minorHAnsi" w:hAnsiTheme="minorHAnsi" w:cstheme="minorHAnsi"/>
          <w:color w:val="282828"/>
          <w:spacing w:val="-3"/>
          <w:shd w:val="clear" w:color="auto" w:fill="FFFFFF"/>
        </w:rPr>
        <w:t xml:space="preserve">In support of </w:t>
      </w:r>
      <w:r w:rsidR="00211AF0">
        <w:rPr>
          <w:rFonts w:asciiTheme="minorHAnsi" w:hAnsiTheme="minorHAnsi" w:cstheme="minorHAnsi"/>
          <w:color w:val="282828"/>
          <w:spacing w:val="-3"/>
          <w:shd w:val="clear" w:color="auto" w:fill="FFFFFF"/>
        </w:rPr>
        <w:t xml:space="preserve">this idea we can look to </w:t>
      </w:r>
      <w:r w:rsidRPr="00211AF0">
        <w:rPr>
          <w:rFonts w:asciiTheme="minorHAnsi" w:hAnsiTheme="minorHAnsi" w:cstheme="minorHAnsi"/>
          <w:color w:val="282828"/>
          <w:spacing w:val="-3"/>
          <w:shd w:val="clear" w:color="auto" w:fill="FFFFFF"/>
        </w:rPr>
        <w:t>research</w:t>
      </w:r>
      <w:r w:rsidR="00211AF0">
        <w:rPr>
          <w:rFonts w:asciiTheme="minorHAnsi" w:hAnsiTheme="minorHAnsi" w:cstheme="minorHAnsi"/>
          <w:color w:val="282828"/>
          <w:spacing w:val="-3"/>
          <w:shd w:val="clear" w:color="auto" w:fill="FFFFFF"/>
        </w:rPr>
        <w:t xml:space="preserve"> carried out by</w:t>
      </w:r>
      <w:r w:rsidRPr="00211AF0">
        <w:rPr>
          <w:rFonts w:asciiTheme="minorHAnsi" w:hAnsiTheme="minorHAnsi" w:cstheme="minorHAnsi"/>
          <w:color w:val="282828"/>
          <w:spacing w:val="-3"/>
          <w:shd w:val="clear" w:color="auto" w:fill="FFFFFF"/>
        </w:rPr>
        <w:t xml:space="preserve"> Rawson, Duncan &amp; Jones</w:t>
      </w:r>
      <w:r w:rsidR="00211AF0">
        <w:rPr>
          <w:rFonts w:asciiTheme="minorHAnsi" w:hAnsiTheme="minorHAnsi" w:cstheme="minorHAnsi"/>
          <w:color w:val="282828"/>
          <w:spacing w:val="-3"/>
          <w:shd w:val="clear" w:color="auto" w:fill="FFFFFF"/>
        </w:rPr>
        <w:t xml:space="preserve"> who found that organisations that were able to manage the customer experience well were able to find benefits in </w:t>
      </w:r>
      <w:r w:rsidR="006A273F">
        <w:rPr>
          <w:rFonts w:asciiTheme="minorHAnsi" w:hAnsiTheme="minorHAnsi" w:cstheme="minorHAnsi"/>
          <w:color w:val="282828"/>
          <w:spacing w:val="-3"/>
          <w:shd w:val="clear" w:color="auto" w:fill="FFFFFF"/>
        </w:rPr>
        <w:t>increased levels of customer satisfaction, a reduction in custo</w:t>
      </w:r>
      <w:r w:rsidR="006A273F" w:rsidRPr="006A273F">
        <w:rPr>
          <w:rFonts w:asciiTheme="minorHAnsi" w:hAnsiTheme="minorHAnsi" w:cstheme="minorHAnsi"/>
          <w:color w:val="282828"/>
          <w:spacing w:val="-3"/>
          <w:shd w:val="clear" w:color="auto" w:fill="FFFFFF"/>
        </w:rPr>
        <w:t>mer churn, increased revenue and the added benefit of improved employee satisfaction (</w:t>
      </w:r>
      <w:r w:rsidRPr="006A273F">
        <w:rPr>
          <w:rFonts w:asciiTheme="minorHAnsi" w:hAnsiTheme="minorHAnsi" w:cstheme="minorHAnsi"/>
          <w:color w:val="282828"/>
          <w:spacing w:val="-3"/>
          <w:shd w:val="clear" w:color="auto" w:fill="FFFFFF"/>
        </w:rPr>
        <w:t>2013)</w:t>
      </w:r>
      <w:r w:rsidR="009A651D" w:rsidRPr="006A273F">
        <w:rPr>
          <w:rFonts w:asciiTheme="minorHAnsi" w:hAnsiTheme="minorHAnsi" w:cstheme="minorHAnsi"/>
          <w:color w:val="282828"/>
          <w:spacing w:val="-3"/>
          <w:shd w:val="clear" w:color="auto" w:fill="FFFFFF"/>
        </w:rPr>
        <w:t>.</w:t>
      </w:r>
      <w:r w:rsidR="002329E5">
        <w:rPr>
          <w:rFonts w:asciiTheme="minorHAnsi" w:hAnsiTheme="minorHAnsi" w:cstheme="minorHAnsi"/>
          <w:color w:val="282828"/>
          <w:spacing w:val="-3"/>
          <w:shd w:val="clear" w:color="auto" w:fill="FFFFFF"/>
        </w:rPr>
        <w:t xml:space="preserve"> </w:t>
      </w:r>
    </w:p>
    <w:p w14:paraId="33B2536D" w14:textId="3B67F4C0" w:rsidR="00D31758" w:rsidRPr="004D1C39" w:rsidRDefault="002329E5" w:rsidP="004D1C39">
      <w:pPr>
        <w:spacing w:after="160" w:line="259" w:lineRule="auto"/>
        <w:rPr>
          <w:rFonts w:asciiTheme="minorHAnsi" w:hAnsiTheme="minorHAnsi" w:cstheme="minorHAnsi"/>
          <w:color w:val="282828"/>
          <w:spacing w:val="-3"/>
          <w:shd w:val="clear" w:color="auto" w:fill="FFFFFF"/>
        </w:rPr>
      </w:pPr>
      <w:r>
        <w:rPr>
          <w:rFonts w:asciiTheme="minorHAnsi" w:hAnsiTheme="minorHAnsi" w:cstheme="minorHAnsi"/>
          <w:color w:val="282828"/>
          <w:spacing w:val="-3"/>
          <w:shd w:val="clear" w:color="auto" w:fill="FFFFFF"/>
        </w:rPr>
        <w:lastRenderedPageBreak/>
        <w:t>It could be argued that AGP have acted upon these digital trends. AGP have stated a determination to remain true to its culture of innovation, noting in its 2019 full year results that the business is</w:t>
      </w:r>
      <w:r w:rsidR="004D1C39">
        <w:rPr>
          <w:rFonts w:asciiTheme="minorHAnsi" w:hAnsiTheme="minorHAnsi" w:cstheme="minorHAnsi"/>
          <w:color w:val="282828"/>
          <w:spacing w:val="-3"/>
          <w:shd w:val="clear" w:color="auto" w:fill="FFFFFF"/>
        </w:rPr>
        <w:t xml:space="preserve"> ‘c</w:t>
      </w:r>
      <w:r w:rsidR="00D31758" w:rsidRPr="002329E5">
        <w:t>ontinuing to deploy technology relating to digital and self-service to improve the customer experience…</w:t>
      </w:r>
      <w:r w:rsidR="00A20F31">
        <w:t>t</w:t>
      </w:r>
      <w:r w:rsidR="00D31758" w:rsidRPr="002329E5">
        <w:t>he Board recognises the growing trend in digital and automation capabilities across the financial services sector and is taking steps to prepare the Group for long term success in a digital world</w:t>
      </w:r>
      <w:r w:rsidR="004D1C39">
        <w:t>’</w:t>
      </w:r>
      <w:r w:rsidR="00D31758" w:rsidRPr="002329E5">
        <w:t xml:space="preserve">  (</w:t>
      </w:r>
      <w:r w:rsidR="00A20F31">
        <w:t>Admiral</w:t>
      </w:r>
      <w:r w:rsidR="00D31758" w:rsidRPr="002329E5">
        <w:t>, 2020).</w:t>
      </w:r>
    </w:p>
    <w:p w14:paraId="0AADD43D" w14:textId="60C568D4" w:rsidR="00F23E42" w:rsidRDefault="00A20F31" w:rsidP="00CF721B">
      <w:pPr>
        <w:spacing w:after="160" w:line="259" w:lineRule="auto"/>
      </w:pPr>
      <w:r>
        <w:t>AGP have published figures that suggest their efforts have been successful</w:t>
      </w:r>
      <w:r w:rsidR="00F23E42">
        <w:t xml:space="preserve">. They report </w:t>
      </w:r>
      <w:r w:rsidR="00F23E42" w:rsidRPr="00F23E42">
        <w:t>a 60% uptake in the volume of online self</w:t>
      </w:r>
      <w:r w:rsidR="00F23E42">
        <w:t>-</w:t>
      </w:r>
      <w:r w:rsidR="00F23E42" w:rsidRPr="00F23E42">
        <w:t>service amendments</w:t>
      </w:r>
      <w:r w:rsidR="00F23E42" w:rsidRPr="00D31758">
        <w:rPr>
          <w:i/>
          <w:iCs/>
        </w:rPr>
        <w:t xml:space="preserve"> </w:t>
      </w:r>
      <w:r w:rsidR="00F23E42" w:rsidRPr="00F23E42">
        <w:t>in 2019</w:t>
      </w:r>
      <w:r w:rsidR="00F23E42">
        <w:t>,</w:t>
      </w:r>
      <w:r>
        <w:t xml:space="preserve"> a</w:t>
      </w:r>
      <w:r w:rsidR="00D31758" w:rsidRPr="00D31758">
        <w:rPr>
          <w:i/>
          <w:iCs/>
        </w:rPr>
        <w:t xml:space="preserve"> </w:t>
      </w:r>
      <w:r w:rsidR="00D31758" w:rsidRPr="00A20F31">
        <w:t>70% uplift in the percentage of customers who contact</w:t>
      </w:r>
      <w:r w:rsidRPr="00A20F31">
        <w:t>ed thei</w:t>
      </w:r>
      <w:r w:rsidR="00D31758" w:rsidRPr="00A20F31">
        <w:t>r customer services department digitally</w:t>
      </w:r>
      <w:r w:rsidRPr="00A20F31">
        <w:t xml:space="preserve"> and within this </w:t>
      </w:r>
      <w:r w:rsidR="00D31758" w:rsidRPr="00A20F31">
        <w:t>have seen over a 170% increase in the number of customers who</w:t>
      </w:r>
      <w:r w:rsidRPr="00A20F31">
        <w:t xml:space="preserve">se contact took place via </w:t>
      </w:r>
      <w:r w:rsidR="00D31758" w:rsidRPr="00A20F31">
        <w:t>th</w:t>
      </w:r>
      <w:r w:rsidRPr="00A20F31">
        <w:t>eir webchat</w:t>
      </w:r>
      <w:r w:rsidR="00D31758" w:rsidRPr="00A20F31">
        <w:t xml:space="preserve"> channel</w:t>
      </w:r>
      <w:r>
        <w:t xml:space="preserve"> (Admiral, 2020).</w:t>
      </w:r>
    </w:p>
    <w:p w14:paraId="738D191E" w14:textId="64BAC026" w:rsidR="00E33CA4" w:rsidRPr="00E33CA4" w:rsidRDefault="00E33CA4" w:rsidP="00CF721B">
      <w:pPr>
        <w:spacing w:after="160" w:line="259" w:lineRule="auto"/>
        <w:rPr>
          <w:b/>
          <w:bCs/>
        </w:rPr>
      </w:pPr>
      <w:r w:rsidRPr="00E33CA4">
        <w:rPr>
          <w:b/>
          <w:bCs/>
        </w:rPr>
        <w:t>Motor Insurance</w:t>
      </w:r>
    </w:p>
    <w:p w14:paraId="2B11AF04" w14:textId="1F84F403" w:rsidR="00503BC9" w:rsidRDefault="00E33CA4">
      <w:pPr>
        <w:spacing w:after="160" w:line="259" w:lineRule="auto"/>
      </w:pPr>
      <w:r>
        <w:t xml:space="preserve">Motor insurance makes up the largest part of AGP’s business, both in the UK and internationally. </w:t>
      </w:r>
      <w:r w:rsidR="00F458A7">
        <w:t xml:space="preserve">As well as being subject to the </w:t>
      </w:r>
      <w:proofErr w:type="gramStart"/>
      <w:r w:rsidR="00F458A7">
        <w:t>aforementioned digital</w:t>
      </w:r>
      <w:proofErr w:type="gramEnd"/>
      <w:r w:rsidR="00F458A7">
        <w:t xml:space="preserve"> disruption discussed in respect of general processing it could be argued that there is significant digital disruption that is specifically relevant to motor insurance in the advent of autonomous vehicles. Whilst automated features, such as cruise control, are not new developments it has been shown that the speed at which technology is enabling new automation innovations is increasing, indeed some research suggests that by 2035 up to a third of vehicles on the road will be automated to the extent that they will not require a driver</w:t>
      </w:r>
      <w:r w:rsidR="00F458A7">
        <w:rPr>
          <w:i/>
          <w:iCs/>
        </w:rPr>
        <w:t xml:space="preserve"> </w:t>
      </w:r>
      <w:r w:rsidR="00A433AF" w:rsidRPr="00F458A7">
        <w:t>(</w:t>
      </w:r>
      <w:proofErr w:type="spellStart"/>
      <w:r w:rsidR="00A433AF" w:rsidRPr="00F458A7">
        <w:t>Khayatt</w:t>
      </w:r>
      <w:proofErr w:type="spellEnd"/>
      <w:r w:rsidR="00A433AF" w:rsidRPr="00F458A7">
        <w:t xml:space="preserve">, </w:t>
      </w:r>
      <w:proofErr w:type="spellStart"/>
      <w:r w:rsidR="00A433AF" w:rsidRPr="00F458A7">
        <w:t>Boilard</w:t>
      </w:r>
      <w:proofErr w:type="spellEnd"/>
      <w:r w:rsidR="00A433AF" w:rsidRPr="00F458A7">
        <w:t xml:space="preserve"> &amp; </w:t>
      </w:r>
      <w:proofErr w:type="spellStart"/>
      <w:r w:rsidR="00A433AF" w:rsidRPr="00F458A7">
        <w:t>Pletziger</w:t>
      </w:r>
      <w:proofErr w:type="spellEnd"/>
      <w:r w:rsidR="00A433AF" w:rsidRPr="00F458A7">
        <w:t>, 2018)</w:t>
      </w:r>
      <w:r w:rsidR="00F458A7">
        <w:t xml:space="preserve">. </w:t>
      </w:r>
    </w:p>
    <w:p w14:paraId="29D98536" w14:textId="7A60C9D2" w:rsidR="00A433AF" w:rsidRPr="00F458A7" w:rsidRDefault="00503BC9">
      <w:pPr>
        <w:spacing w:after="160" w:line="259" w:lineRule="auto"/>
      </w:pPr>
      <w:r>
        <w:t xml:space="preserve">The implications for an insurer that relies upon motor insurance for much of its profits are stark. Research carried out by West et al found a consensus among insurance industry professionals that </w:t>
      </w:r>
      <w:proofErr w:type="gramStart"/>
      <w:r>
        <w:t>in the event that</w:t>
      </w:r>
      <w:proofErr w:type="gramEnd"/>
      <w:r>
        <w:t xml:space="preserve"> autonomous vehicle technology results in fewer accidents it would follow that insurance premiums would fall possibly by as much as 60% (2019). West also points to the fact that automation shifts liability from the driver to the manufacturer of the vehicle, a fact that raises the potential for motor insurance to become more of a product liability offering, a market in which AGP has no experience. Madonna supports West et </w:t>
      </w:r>
      <w:proofErr w:type="spellStart"/>
      <w:r>
        <w:t>al’s</w:t>
      </w:r>
      <w:proofErr w:type="spellEnd"/>
      <w:r>
        <w:t xml:space="preserve"> suggestion that along with declining revenue incumbent motor insurers will be faced with a more existential conundrum stating that pressure will fall upon actuaries to estimate liabilities for products they have never dealt with before (2017). </w:t>
      </w:r>
    </w:p>
    <w:p w14:paraId="7A8DC2B0" w14:textId="14DAF909" w:rsidR="002B223A" w:rsidRPr="00FB43EF" w:rsidRDefault="00503BC9" w:rsidP="002B223A">
      <w:pPr>
        <w:shd w:val="clear" w:color="auto" w:fill="FFFFFF"/>
        <w:spacing w:before="100" w:beforeAutospacing="1" w:after="75" w:line="240" w:lineRule="auto"/>
        <w:rPr>
          <w:rFonts w:asciiTheme="minorHAnsi" w:eastAsia="Times New Roman" w:hAnsiTheme="minorHAnsi" w:cstheme="minorHAnsi"/>
          <w:i/>
          <w:iCs/>
          <w:color w:val="231F20"/>
          <w:lang w:eastAsia="en-GB"/>
        </w:rPr>
      </w:pPr>
      <w:r>
        <w:t xml:space="preserve">AGP may find some support in dealing with the latter of these two threats from the industry body, The Association of British Insurers (ABI). </w:t>
      </w:r>
      <w:r w:rsidR="002B223A">
        <w:t xml:space="preserve">The ABI have published extensively on this topic and have put forward a proposed model for the insurance of automated vehicles that would provide some protection for an insurer such as AGP by placing them as the insurer in a system that provides for financial recoveries from vehicle manufacturers where the automated systems were found to be at fault for an accident </w:t>
      </w:r>
      <w:r w:rsidR="002B223A" w:rsidRPr="002B223A">
        <w:t>(</w:t>
      </w:r>
      <w:r w:rsidR="002B223A" w:rsidRPr="002B223A">
        <w:rPr>
          <w:rFonts w:asciiTheme="minorHAnsi" w:eastAsia="Times New Roman" w:hAnsiTheme="minorHAnsi" w:cstheme="minorHAnsi"/>
          <w:color w:val="231F20"/>
          <w:lang w:eastAsia="en-GB"/>
        </w:rPr>
        <w:t>Association of British Insurers, 2019)</w:t>
      </w:r>
      <w:r w:rsidR="002B223A">
        <w:rPr>
          <w:rFonts w:asciiTheme="minorHAnsi" w:eastAsia="Times New Roman" w:hAnsiTheme="minorHAnsi" w:cstheme="minorHAnsi"/>
          <w:color w:val="231F20"/>
          <w:lang w:eastAsia="en-GB"/>
        </w:rPr>
        <w:t xml:space="preserve">. </w:t>
      </w:r>
    </w:p>
    <w:p w14:paraId="6B6A84A8" w14:textId="77777777" w:rsidR="002B223A" w:rsidRDefault="002B223A">
      <w:pPr>
        <w:spacing w:after="160" w:line="259" w:lineRule="auto"/>
        <w:rPr>
          <w:b/>
          <w:bCs/>
        </w:rPr>
      </w:pPr>
    </w:p>
    <w:p w14:paraId="568645C8" w14:textId="6E2B674F" w:rsidR="002B223A" w:rsidRPr="00E33CA4" w:rsidRDefault="002B223A" w:rsidP="002B223A">
      <w:pPr>
        <w:spacing w:after="160" w:line="259" w:lineRule="auto"/>
        <w:rPr>
          <w:b/>
          <w:bCs/>
        </w:rPr>
      </w:pPr>
      <w:r>
        <w:rPr>
          <w:b/>
          <w:bCs/>
        </w:rPr>
        <w:t>Home</w:t>
      </w:r>
      <w:r w:rsidRPr="00E33CA4">
        <w:rPr>
          <w:b/>
          <w:bCs/>
        </w:rPr>
        <w:t xml:space="preserve"> Insurance</w:t>
      </w:r>
    </w:p>
    <w:p w14:paraId="003C5071" w14:textId="2BBF176B" w:rsidR="00B36496" w:rsidRDefault="002B223A">
      <w:pPr>
        <w:spacing w:after="160" w:line="259" w:lineRule="auto"/>
        <w:rPr>
          <w:rFonts w:asciiTheme="minorHAnsi" w:hAnsiTheme="minorHAnsi" w:cstheme="minorHAnsi"/>
          <w:color w:val="333333"/>
          <w:shd w:val="clear" w:color="auto" w:fill="FFFFFF"/>
        </w:rPr>
      </w:pPr>
      <w:r>
        <w:t xml:space="preserve">AGP can expect to see the impact of digital disruption in the home insurance market; it could be argued that the disruption it feels in this space, via the ‘Internet of Things’ (IoT) is likely to be of benefit. </w:t>
      </w:r>
      <w:r w:rsidR="00B36496" w:rsidRPr="002B223A">
        <w:rPr>
          <w:rFonts w:asciiTheme="minorHAnsi" w:hAnsiTheme="minorHAnsi" w:cstheme="minorHAnsi"/>
          <w:color w:val="333333"/>
          <w:shd w:val="clear" w:color="auto" w:fill="FFFFFF"/>
        </w:rPr>
        <w:t>The value of connected devices in European homes is expected to reach USD$20.9bn in 2020</w:t>
      </w:r>
      <w:r w:rsidRPr="002B223A">
        <w:rPr>
          <w:rFonts w:asciiTheme="minorHAnsi" w:hAnsiTheme="minorHAnsi" w:cstheme="minorHAnsi"/>
          <w:color w:val="333333"/>
          <w:shd w:val="clear" w:color="auto" w:fill="FFFFFF"/>
        </w:rPr>
        <w:t xml:space="preserve">, this development provides an opportunity for home insurers to improve their risk management </w:t>
      </w:r>
      <w:r w:rsidR="00F617AC">
        <w:rPr>
          <w:rFonts w:asciiTheme="minorHAnsi" w:hAnsiTheme="minorHAnsi" w:cstheme="minorHAnsi"/>
          <w:color w:val="333333"/>
          <w:shd w:val="clear" w:color="auto" w:fill="FFFFFF"/>
        </w:rPr>
        <w:t>through an improved</w:t>
      </w:r>
      <w:r w:rsidRPr="002B223A">
        <w:rPr>
          <w:rFonts w:asciiTheme="minorHAnsi" w:hAnsiTheme="minorHAnsi" w:cstheme="minorHAnsi"/>
          <w:color w:val="333333"/>
          <w:shd w:val="clear" w:color="auto" w:fill="FFFFFF"/>
        </w:rPr>
        <w:t xml:space="preserve"> ability to assess </w:t>
      </w:r>
      <w:r w:rsidR="00F617AC">
        <w:rPr>
          <w:rFonts w:asciiTheme="minorHAnsi" w:hAnsiTheme="minorHAnsi" w:cstheme="minorHAnsi"/>
          <w:color w:val="333333"/>
          <w:shd w:val="clear" w:color="auto" w:fill="FFFFFF"/>
        </w:rPr>
        <w:t xml:space="preserve">individual </w:t>
      </w:r>
      <w:r w:rsidRPr="002B223A">
        <w:rPr>
          <w:rFonts w:asciiTheme="minorHAnsi" w:hAnsiTheme="minorHAnsi" w:cstheme="minorHAnsi"/>
          <w:color w:val="333333"/>
          <w:shd w:val="clear" w:color="auto" w:fill="FFFFFF"/>
        </w:rPr>
        <w:t xml:space="preserve">risks </w:t>
      </w:r>
      <w:r w:rsidR="00F617AC">
        <w:rPr>
          <w:rFonts w:asciiTheme="minorHAnsi" w:hAnsiTheme="minorHAnsi" w:cstheme="minorHAnsi"/>
          <w:color w:val="333333"/>
          <w:shd w:val="clear" w:color="auto" w:fill="FFFFFF"/>
        </w:rPr>
        <w:t>as well as using predictive analytics to mitigate losses in a weather event</w:t>
      </w:r>
      <w:r w:rsidRPr="002B223A">
        <w:rPr>
          <w:rFonts w:asciiTheme="minorHAnsi" w:hAnsiTheme="minorHAnsi" w:cstheme="minorHAnsi"/>
          <w:color w:val="333333"/>
          <w:shd w:val="clear" w:color="auto" w:fill="FFFFFF"/>
        </w:rPr>
        <w:t xml:space="preserve"> (</w:t>
      </w:r>
      <w:proofErr w:type="spellStart"/>
      <w:r w:rsidRPr="002B223A">
        <w:rPr>
          <w:rFonts w:asciiTheme="minorHAnsi" w:hAnsiTheme="minorHAnsi" w:cstheme="minorHAnsi"/>
          <w:color w:val="333333"/>
          <w:shd w:val="clear" w:color="auto" w:fill="FFFFFF"/>
        </w:rPr>
        <w:t>Angoulvant</w:t>
      </w:r>
      <w:proofErr w:type="spellEnd"/>
      <w:r w:rsidRPr="002B223A">
        <w:rPr>
          <w:rFonts w:asciiTheme="minorHAnsi" w:hAnsiTheme="minorHAnsi" w:cstheme="minorHAnsi"/>
          <w:color w:val="333333"/>
          <w:shd w:val="clear" w:color="auto" w:fill="FFFFFF"/>
        </w:rPr>
        <w:t>, 2020)</w:t>
      </w:r>
      <w:r w:rsidR="00DD2E61">
        <w:rPr>
          <w:rFonts w:asciiTheme="minorHAnsi" w:hAnsiTheme="minorHAnsi" w:cstheme="minorHAnsi"/>
          <w:color w:val="333333"/>
          <w:shd w:val="clear" w:color="auto" w:fill="FFFFFF"/>
        </w:rPr>
        <w:t xml:space="preserve">. The extent to which an ability to mitigate losses resulting from a weather event would benefit AGP is highlighted by their 2018 </w:t>
      </w:r>
      <w:r w:rsidR="00DD2E61">
        <w:rPr>
          <w:rFonts w:asciiTheme="minorHAnsi" w:hAnsiTheme="minorHAnsi" w:cstheme="minorHAnsi"/>
          <w:color w:val="333333"/>
          <w:shd w:val="clear" w:color="auto" w:fill="FFFFFF"/>
        </w:rPr>
        <w:lastRenderedPageBreak/>
        <w:t>financial results which demonstrated that but for the claims experience due to the ‘Beast From the East’ weather event AGP’s home insurance product would have posted profits of £7.7m, rather than the lost of £3m that was delivered (Admiral, 2019).</w:t>
      </w:r>
    </w:p>
    <w:p w14:paraId="135A39F6" w14:textId="1FFC3B97" w:rsidR="0069270C" w:rsidRDefault="009A651D">
      <w:pPr>
        <w:spacing w:after="160" w:line="259" w:lineRule="auto"/>
      </w:pPr>
      <w:r w:rsidRPr="00DD2E61">
        <w:rPr>
          <w:b/>
          <w:bCs/>
        </w:rPr>
        <w:t>Digital marketing</w:t>
      </w:r>
    </w:p>
    <w:p w14:paraId="0A43632D" w14:textId="30AB9B8A" w:rsidR="001F31AE" w:rsidRPr="0080552D" w:rsidRDefault="00DD2E61" w:rsidP="0080552D">
      <w:pPr>
        <w:spacing w:after="160" w:line="259" w:lineRule="auto"/>
      </w:pPr>
      <w:r>
        <w:t xml:space="preserve">Much as it has been shown that customers have increased expectations in respect of their </w:t>
      </w:r>
      <w:r w:rsidR="00A541C4">
        <w:t>interactions</w:t>
      </w:r>
      <w:r>
        <w:t xml:space="preserve"> with their insurance provider there is also </w:t>
      </w:r>
      <w:proofErr w:type="gramStart"/>
      <w:r>
        <w:t>research</w:t>
      </w:r>
      <w:proofErr w:type="gramEnd"/>
      <w:r>
        <w:t xml:space="preserve"> to suggest that digital channels are of increasing importance to insurance marketing and sales functions</w:t>
      </w:r>
      <w:r w:rsidR="0069270C" w:rsidRPr="00951A37">
        <w:rPr>
          <w:i/>
          <w:iCs/>
        </w:rPr>
        <w:t xml:space="preserve"> </w:t>
      </w:r>
      <w:r w:rsidR="0069270C" w:rsidRPr="0080552D">
        <w:t xml:space="preserve">(O’Mara &amp; </w:t>
      </w:r>
      <w:proofErr w:type="spellStart"/>
      <w:r w:rsidR="0069270C" w:rsidRPr="0080552D">
        <w:t>Memmo</w:t>
      </w:r>
      <w:proofErr w:type="spellEnd"/>
      <w:r w:rsidR="0069270C" w:rsidRPr="0080552D">
        <w:t xml:space="preserve"> Jr, 2015)</w:t>
      </w:r>
      <w:r w:rsidR="0080552D">
        <w:t xml:space="preserve">. Wilkes calls out remarketing </w:t>
      </w:r>
      <w:r w:rsidR="00A541C4">
        <w:t xml:space="preserve">as </w:t>
      </w:r>
      <w:r w:rsidR="0080552D">
        <w:t xml:space="preserve">of specific interest to insurers </w:t>
      </w:r>
      <w:r w:rsidR="0080552D" w:rsidRPr="0080552D">
        <w:t>‘</w:t>
      </w:r>
      <w:r w:rsidR="001F31AE" w:rsidRPr="0080552D">
        <w:t>where an insurer may have several products that become relevant to a customer at different stages of their life</w:t>
      </w:r>
      <w:r w:rsidR="0080552D" w:rsidRPr="0080552D">
        <w:t>’ (2019)</w:t>
      </w:r>
      <w:r w:rsidR="001F31AE" w:rsidRPr="0080552D">
        <w:t>.</w:t>
      </w:r>
      <w:r w:rsidR="0080552D">
        <w:t xml:space="preserve"> It could be argued that remarketing is of additional relevance to insurers due to the extent to which it can point customers in the direction of information to help them understand often complex policies, much as AGP does through its website offering. </w:t>
      </w:r>
    </w:p>
    <w:p w14:paraId="00B50967" w14:textId="691F60BA" w:rsidR="001F31AE" w:rsidRPr="0080552D" w:rsidRDefault="0080552D" w:rsidP="0080552D">
      <w:pPr>
        <w:pStyle w:val="NormalWeb"/>
        <w:shd w:val="clear" w:color="auto" w:fill="FFFFFF"/>
        <w:spacing w:before="0" w:beforeAutospacing="0" w:after="360" w:afterAutospacing="0" w:line="0" w:lineRule="atLeast"/>
        <w:rPr>
          <w:rFonts w:ascii="Calibri" w:eastAsia="Calibri" w:hAnsi="Calibri"/>
          <w:sz w:val="22"/>
          <w:szCs w:val="22"/>
          <w:lang w:eastAsia="en-US"/>
        </w:rPr>
      </w:pPr>
      <w:r w:rsidRPr="0080552D">
        <w:rPr>
          <w:rFonts w:ascii="Calibri" w:eastAsia="Calibri" w:hAnsi="Calibri"/>
          <w:sz w:val="22"/>
          <w:szCs w:val="22"/>
          <w:lang w:eastAsia="en-US"/>
        </w:rPr>
        <w:t xml:space="preserve">AGP has attempted to engage with social media for both marketing and process improvements, with mixed success. AGP attempted to launch an offering in 2016 that would see customers able to achieve a discount on their premiums if analysis of their Facebook posts suggested they would be a safe driver, however this garnered a great deal of negative publicity and was ultimately blocked by </w:t>
      </w:r>
      <w:r w:rsidR="001F31AE" w:rsidRPr="0080552D">
        <w:rPr>
          <w:rFonts w:ascii="Calibri" w:eastAsia="Calibri" w:hAnsi="Calibri"/>
          <w:sz w:val="22"/>
          <w:szCs w:val="22"/>
          <w:lang w:eastAsia="en-US"/>
        </w:rPr>
        <w:t>Facebook</w:t>
      </w:r>
      <w:r w:rsidRPr="0080552D">
        <w:rPr>
          <w:rFonts w:ascii="Calibri" w:eastAsia="Calibri" w:hAnsi="Calibri"/>
          <w:sz w:val="22"/>
          <w:szCs w:val="22"/>
          <w:lang w:eastAsia="en-US"/>
        </w:rPr>
        <w:t xml:space="preserve"> prior to launch </w:t>
      </w:r>
      <w:r w:rsidR="001F31AE" w:rsidRPr="0080552D">
        <w:rPr>
          <w:rFonts w:ascii="Calibri" w:eastAsia="Calibri" w:hAnsi="Calibri"/>
          <w:sz w:val="22"/>
          <w:szCs w:val="22"/>
          <w:lang w:eastAsia="en-US"/>
        </w:rPr>
        <w:t>(Borrell, 2016)</w:t>
      </w:r>
      <w:r>
        <w:rPr>
          <w:rFonts w:ascii="Calibri" w:eastAsia="Calibri" w:hAnsi="Calibri"/>
          <w:sz w:val="22"/>
          <w:szCs w:val="22"/>
          <w:lang w:eastAsia="en-US"/>
        </w:rPr>
        <w:t xml:space="preserve">. A more positive example was observed more recently where AGP used social media as part of its publicising of a £110m premium refund given to customers during the recent Covid-19 pandemic; AGP received national press coverage and a significant increase in positive social media interactions. </w:t>
      </w:r>
    </w:p>
    <w:p w14:paraId="74EC6763" w14:textId="7A6E2477" w:rsidR="002C4CB4" w:rsidRPr="002C4CB4" w:rsidRDefault="002C4CB4" w:rsidP="002B223A">
      <w:pPr>
        <w:spacing w:after="160" w:line="259" w:lineRule="auto"/>
        <w:rPr>
          <w:b/>
          <w:bCs/>
        </w:rPr>
      </w:pPr>
      <w:r w:rsidRPr="002C4CB4">
        <w:rPr>
          <w:b/>
          <w:bCs/>
        </w:rPr>
        <w:t>Conclusion</w:t>
      </w:r>
    </w:p>
    <w:p w14:paraId="4F698F0F" w14:textId="0D5990BD" w:rsidR="002C4CB4" w:rsidRDefault="002C4CB4" w:rsidP="002B223A">
      <w:pPr>
        <w:spacing w:after="160" w:line="259" w:lineRule="auto"/>
      </w:pPr>
      <w:r>
        <w:t xml:space="preserve">AGP is operating in a market that is currently undergoing a digital disruption. It has been shown that consumers have increased expectations regarding how their insurer administers and processes their policies and contacts with them, further customers will be prepared to switch to providers that are able to meet these expectations. AGP has shown a willingness to engage with this process and has seen the nature of its contacts change as a result. </w:t>
      </w:r>
    </w:p>
    <w:p w14:paraId="40124AD2" w14:textId="57373A0E" w:rsidR="002C4CB4" w:rsidRPr="002C4CB4" w:rsidRDefault="002C4CB4" w:rsidP="002B223A">
      <w:pPr>
        <w:spacing w:after="160" w:line="259" w:lineRule="auto"/>
      </w:pPr>
      <w:r>
        <w:t xml:space="preserve">There are significant threats to its motor business and opportunities available to its home insurance arm, however there is little evidence to date that AGP has taken actionable steps to mitigate the former and maximise the latter. AGP would benefit from a more detailed and systematic approach in this regard. </w:t>
      </w:r>
    </w:p>
    <w:p w14:paraId="2A1C9DC2" w14:textId="1E254B3C" w:rsidR="002C4CB4" w:rsidRDefault="002C4CB4" w:rsidP="002B223A">
      <w:pPr>
        <w:spacing w:after="160" w:line="259" w:lineRule="auto"/>
        <w:rPr>
          <w:b/>
          <w:bCs/>
        </w:rPr>
      </w:pPr>
    </w:p>
    <w:p w14:paraId="17C3FC57" w14:textId="54B44A47" w:rsidR="002D0F1F" w:rsidRDefault="002D0F1F" w:rsidP="002B223A">
      <w:pPr>
        <w:spacing w:after="160" w:line="259" w:lineRule="auto"/>
        <w:rPr>
          <w:b/>
          <w:bCs/>
        </w:rPr>
      </w:pPr>
    </w:p>
    <w:p w14:paraId="23927A3C" w14:textId="45680D9D" w:rsidR="002D0F1F" w:rsidRDefault="002D0F1F" w:rsidP="002B223A">
      <w:pPr>
        <w:spacing w:after="160" w:line="259" w:lineRule="auto"/>
        <w:rPr>
          <w:b/>
          <w:bCs/>
        </w:rPr>
      </w:pPr>
    </w:p>
    <w:p w14:paraId="43DF1441" w14:textId="6018E1BF" w:rsidR="002D0F1F" w:rsidRDefault="002D0F1F" w:rsidP="002B223A">
      <w:pPr>
        <w:spacing w:after="160" w:line="259" w:lineRule="auto"/>
        <w:rPr>
          <w:b/>
          <w:bCs/>
        </w:rPr>
      </w:pPr>
    </w:p>
    <w:p w14:paraId="359937F3" w14:textId="52043DC4" w:rsidR="002D0F1F" w:rsidRDefault="002D0F1F" w:rsidP="002B223A">
      <w:pPr>
        <w:spacing w:after="160" w:line="259" w:lineRule="auto"/>
        <w:rPr>
          <w:b/>
          <w:bCs/>
        </w:rPr>
      </w:pPr>
    </w:p>
    <w:p w14:paraId="07C275E7" w14:textId="4A31CF65" w:rsidR="002D0F1F" w:rsidRDefault="002D0F1F" w:rsidP="002B223A">
      <w:pPr>
        <w:spacing w:after="160" w:line="259" w:lineRule="auto"/>
        <w:rPr>
          <w:b/>
          <w:bCs/>
        </w:rPr>
      </w:pPr>
    </w:p>
    <w:p w14:paraId="73EE4389" w14:textId="77777777" w:rsidR="002D0F1F" w:rsidRDefault="002D0F1F" w:rsidP="002B223A">
      <w:pPr>
        <w:spacing w:after="160" w:line="259" w:lineRule="auto"/>
        <w:rPr>
          <w:b/>
          <w:bCs/>
        </w:rPr>
      </w:pPr>
      <w:bookmarkStart w:id="0" w:name="_GoBack"/>
      <w:bookmarkEnd w:id="0"/>
    </w:p>
    <w:p w14:paraId="154EC39F" w14:textId="77777777" w:rsidR="009A651D" w:rsidRPr="001F31AE" w:rsidRDefault="009A651D">
      <w:pPr>
        <w:spacing w:after="160" w:line="259" w:lineRule="auto"/>
        <w:rPr>
          <w:b/>
          <w:bCs/>
          <w:i/>
          <w:iCs/>
        </w:rPr>
      </w:pPr>
    </w:p>
    <w:p w14:paraId="56995F77" w14:textId="77777777" w:rsidR="00A541C4" w:rsidRDefault="00A541C4" w:rsidP="009A651D"/>
    <w:p w14:paraId="416BE33E" w14:textId="0EEA8913" w:rsidR="009A651D" w:rsidRPr="00A541C4" w:rsidRDefault="009A651D" w:rsidP="009A651D">
      <w:pPr>
        <w:rPr>
          <w:b/>
          <w:bCs/>
        </w:rPr>
      </w:pPr>
      <w:r w:rsidRPr="00A541C4">
        <w:rPr>
          <w:b/>
          <w:bCs/>
        </w:rPr>
        <w:lastRenderedPageBreak/>
        <w:t>References</w:t>
      </w:r>
    </w:p>
    <w:p w14:paraId="02792358" w14:textId="64C63AE9" w:rsidR="00B77DAD" w:rsidRDefault="00B77DAD" w:rsidP="009A651D">
      <w:pPr>
        <w:rPr>
          <w:rFonts w:asciiTheme="minorHAnsi" w:hAnsiTheme="minorHAnsi" w:cstheme="minorHAnsi"/>
        </w:rPr>
      </w:pPr>
      <w:r w:rsidRPr="00332C8C">
        <w:rPr>
          <w:rFonts w:asciiTheme="minorHAnsi" w:hAnsiTheme="minorHAnsi" w:cstheme="minorHAnsi"/>
        </w:rPr>
        <w:t>Admiral Group (20</w:t>
      </w:r>
      <w:r>
        <w:rPr>
          <w:rFonts w:asciiTheme="minorHAnsi" w:hAnsiTheme="minorHAnsi" w:cstheme="minorHAnsi"/>
        </w:rPr>
        <w:t>19</w:t>
      </w:r>
      <w:r w:rsidRPr="00332C8C">
        <w:rPr>
          <w:rFonts w:asciiTheme="minorHAnsi" w:hAnsiTheme="minorHAnsi" w:cstheme="minorHAnsi"/>
        </w:rPr>
        <w:t xml:space="preserve">) </w:t>
      </w:r>
      <w:r w:rsidRPr="00332C8C">
        <w:rPr>
          <w:rFonts w:asciiTheme="minorHAnsi" w:hAnsiTheme="minorHAnsi" w:cstheme="minorHAnsi"/>
          <w:i/>
          <w:iCs/>
        </w:rPr>
        <w:t>201</w:t>
      </w:r>
      <w:r>
        <w:rPr>
          <w:rFonts w:asciiTheme="minorHAnsi" w:hAnsiTheme="minorHAnsi" w:cstheme="minorHAnsi"/>
          <w:i/>
          <w:iCs/>
        </w:rPr>
        <w:t xml:space="preserve">8 </w:t>
      </w:r>
      <w:r w:rsidRPr="00332C8C">
        <w:rPr>
          <w:rFonts w:asciiTheme="minorHAnsi" w:hAnsiTheme="minorHAnsi" w:cstheme="minorHAnsi"/>
          <w:i/>
          <w:iCs/>
        </w:rPr>
        <w:t xml:space="preserve">Full Year Results Annual Report </w:t>
      </w:r>
      <w:r w:rsidRPr="00332C8C">
        <w:rPr>
          <w:rFonts w:asciiTheme="minorHAnsi" w:hAnsiTheme="minorHAnsi" w:cstheme="minorHAnsi"/>
        </w:rPr>
        <w:t>Available at</w:t>
      </w:r>
      <w:r>
        <w:rPr>
          <w:rFonts w:asciiTheme="minorHAnsi" w:hAnsiTheme="minorHAnsi" w:cstheme="minorHAnsi"/>
        </w:rPr>
        <w:t xml:space="preserve"> </w:t>
      </w:r>
      <w:hyperlink r:id="rId5" w:history="1">
        <w:r>
          <w:rPr>
            <w:rStyle w:val="Hyperlink"/>
          </w:rPr>
          <w:t>https://admiralgroup.co.uk/sites/default/files_public/annual-report/2019/03/2018-full-year-results-annual-report.pdf</w:t>
        </w:r>
      </w:hyperlink>
      <w:r>
        <w:t xml:space="preserve"> (Accessed: 20/07/2020)</w:t>
      </w:r>
    </w:p>
    <w:p w14:paraId="62F9AACC" w14:textId="5192A963" w:rsidR="009A651D" w:rsidRDefault="009A651D" w:rsidP="009A651D">
      <w:pPr>
        <w:rPr>
          <w:rFonts w:asciiTheme="minorHAnsi" w:hAnsiTheme="minorHAnsi" w:cstheme="minorHAnsi"/>
        </w:rPr>
      </w:pPr>
      <w:r w:rsidRPr="00332C8C">
        <w:rPr>
          <w:rFonts w:asciiTheme="minorHAnsi" w:hAnsiTheme="minorHAnsi" w:cstheme="minorHAnsi"/>
        </w:rPr>
        <w:t xml:space="preserve">Admiral Group (2020) </w:t>
      </w:r>
      <w:r w:rsidRPr="00332C8C">
        <w:rPr>
          <w:rFonts w:asciiTheme="minorHAnsi" w:hAnsiTheme="minorHAnsi" w:cstheme="minorHAnsi"/>
          <w:i/>
          <w:iCs/>
        </w:rPr>
        <w:t xml:space="preserve">2019 Full Year Results Annual Report </w:t>
      </w:r>
      <w:r w:rsidRPr="00332C8C">
        <w:rPr>
          <w:rFonts w:asciiTheme="minorHAnsi" w:hAnsiTheme="minorHAnsi" w:cstheme="minorHAnsi"/>
        </w:rPr>
        <w:t xml:space="preserve">Available at </w:t>
      </w:r>
      <w:hyperlink r:id="rId6" w:history="1">
        <w:r w:rsidR="00EB58F3" w:rsidRPr="005225BC">
          <w:rPr>
            <w:rStyle w:val="Hyperlink"/>
            <w:rFonts w:asciiTheme="minorHAnsi" w:hAnsiTheme="minorHAnsi" w:cstheme="minorHAnsi"/>
          </w:rPr>
          <w:t>https://admiralgroup.co.uk/investor-relations/results-and-presentations</w:t>
        </w:r>
      </w:hyperlink>
      <w:r w:rsidRPr="00332C8C">
        <w:rPr>
          <w:rFonts w:asciiTheme="minorHAnsi" w:hAnsiTheme="minorHAnsi" w:cstheme="minorHAnsi"/>
        </w:rPr>
        <w:t xml:space="preserve"> (Accessed: 10/0</w:t>
      </w:r>
      <w:r>
        <w:rPr>
          <w:rFonts w:cstheme="minorHAnsi"/>
        </w:rPr>
        <w:t>7</w:t>
      </w:r>
      <w:r w:rsidRPr="00332C8C">
        <w:rPr>
          <w:rFonts w:asciiTheme="minorHAnsi" w:hAnsiTheme="minorHAnsi" w:cstheme="minorHAnsi"/>
        </w:rPr>
        <w:t>/2020)</w:t>
      </w:r>
    </w:p>
    <w:p w14:paraId="346A9798" w14:textId="4B33F742" w:rsidR="00B36496" w:rsidRPr="00B36496" w:rsidRDefault="00B36496" w:rsidP="009A651D">
      <w:pPr>
        <w:rPr>
          <w:rFonts w:asciiTheme="minorHAnsi" w:hAnsiTheme="minorHAnsi" w:cstheme="minorHAnsi"/>
        </w:rPr>
      </w:pPr>
      <w:proofErr w:type="spellStart"/>
      <w:r>
        <w:rPr>
          <w:rFonts w:asciiTheme="minorHAnsi" w:hAnsiTheme="minorHAnsi" w:cstheme="minorHAnsi"/>
        </w:rPr>
        <w:t>Angoulvant</w:t>
      </w:r>
      <w:proofErr w:type="spellEnd"/>
      <w:r>
        <w:rPr>
          <w:rFonts w:asciiTheme="minorHAnsi" w:hAnsiTheme="minorHAnsi" w:cstheme="minorHAnsi"/>
        </w:rPr>
        <w:t xml:space="preserve">, C (2020) </w:t>
      </w:r>
      <w:r>
        <w:rPr>
          <w:rFonts w:asciiTheme="minorHAnsi" w:hAnsiTheme="minorHAnsi" w:cstheme="minorHAnsi"/>
          <w:i/>
          <w:iCs/>
        </w:rPr>
        <w:t xml:space="preserve">Impact of IoT in home insurance in Europe </w:t>
      </w:r>
      <w:r>
        <w:rPr>
          <w:rFonts w:asciiTheme="minorHAnsi" w:hAnsiTheme="minorHAnsi" w:cstheme="minorHAnsi"/>
        </w:rPr>
        <w:t xml:space="preserve">Available at </w:t>
      </w:r>
      <w:hyperlink r:id="rId7" w:history="1">
        <w:r>
          <w:rPr>
            <w:rStyle w:val="Hyperlink"/>
          </w:rPr>
          <w:t>https://www.efma.com/article/detail/32310</w:t>
        </w:r>
      </w:hyperlink>
      <w:r>
        <w:t xml:space="preserve"> (Accessed: 20/07/2020)</w:t>
      </w:r>
    </w:p>
    <w:p w14:paraId="3076DCB1" w14:textId="28152D91" w:rsidR="00FB43EF" w:rsidRDefault="00FB43EF" w:rsidP="009A651D">
      <w:r>
        <w:rPr>
          <w:rFonts w:asciiTheme="minorHAnsi" w:hAnsiTheme="minorHAnsi" w:cstheme="minorHAnsi"/>
        </w:rPr>
        <w:t xml:space="preserve">Association of British Insurers (2019) </w:t>
      </w:r>
      <w:r>
        <w:rPr>
          <w:rFonts w:asciiTheme="minorHAnsi" w:hAnsiTheme="minorHAnsi" w:cstheme="minorHAnsi"/>
          <w:i/>
          <w:iCs/>
        </w:rPr>
        <w:t xml:space="preserve">Automated Driving </w:t>
      </w:r>
      <w:r>
        <w:rPr>
          <w:rFonts w:asciiTheme="minorHAnsi" w:hAnsiTheme="minorHAnsi" w:cstheme="minorHAnsi"/>
        </w:rPr>
        <w:t xml:space="preserve">Available at </w:t>
      </w:r>
      <w:hyperlink r:id="rId8" w:history="1">
        <w:r>
          <w:rPr>
            <w:rStyle w:val="Hyperlink"/>
          </w:rPr>
          <w:t>https://www.abi.org.uk/products-and-issues/topics-and-issues/driverless-cars/</w:t>
        </w:r>
      </w:hyperlink>
      <w:r>
        <w:t xml:space="preserve"> (Accessed: 20/07/2020)</w:t>
      </w:r>
    </w:p>
    <w:p w14:paraId="4F81C9B3" w14:textId="4BFCE8AA" w:rsidR="001F31AE" w:rsidRPr="001F31AE" w:rsidRDefault="001F31AE" w:rsidP="009A651D">
      <w:pPr>
        <w:rPr>
          <w:rFonts w:asciiTheme="minorHAnsi" w:hAnsiTheme="minorHAnsi" w:cstheme="minorHAnsi"/>
        </w:rPr>
      </w:pPr>
      <w:r>
        <w:t xml:space="preserve">Borrell, L (2016) </w:t>
      </w:r>
      <w:r>
        <w:rPr>
          <w:i/>
          <w:iCs/>
        </w:rPr>
        <w:t xml:space="preserve">Facebook blocks plans to discount car insurance based on social media posts </w:t>
      </w:r>
      <w:r>
        <w:t xml:space="preserve">Available at </w:t>
      </w:r>
      <w:hyperlink r:id="rId9" w:history="1">
        <w:r>
          <w:rPr>
            <w:rStyle w:val="Hyperlink"/>
          </w:rPr>
          <w:t>https://www.moneysavingexpert.com/news/2016/11/car-insurance-companys-plans-to-offer-discounts-based-on-social-media-posts-are-blocked-by-facebook/</w:t>
        </w:r>
      </w:hyperlink>
      <w:r>
        <w:t xml:space="preserve"> (Accessed: 20/07/2020)</w:t>
      </w:r>
    </w:p>
    <w:p w14:paraId="170C391B" w14:textId="4BFCE8AA" w:rsidR="00EB58F3" w:rsidRDefault="00EB58F3" w:rsidP="009A651D">
      <w:proofErr w:type="spellStart"/>
      <w:r>
        <w:t>Bughin</w:t>
      </w:r>
      <w:proofErr w:type="spellEnd"/>
      <w:r>
        <w:t xml:space="preserve">, J; LaBerge, L &amp; </w:t>
      </w:r>
      <w:proofErr w:type="spellStart"/>
      <w:r>
        <w:t>Mellbye</w:t>
      </w:r>
      <w:proofErr w:type="spellEnd"/>
      <w:r>
        <w:t xml:space="preserve">, A (2017) </w:t>
      </w:r>
      <w:r w:rsidRPr="00EB58F3">
        <w:rPr>
          <w:i/>
          <w:iCs/>
        </w:rPr>
        <w:t>The case for digital reinvention</w:t>
      </w:r>
      <w:r>
        <w:t xml:space="preserve"> Available at  </w:t>
      </w:r>
      <w:hyperlink r:id="rId10" w:history="1">
        <w:r>
          <w:rPr>
            <w:rStyle w:val="Hyperlink"/>
          </w:rPr>
          <w:t>https://www.mckinsey.com/business-functions/mckinsey-digital/our-insights/the-case-for-digital-reinvention#</w:t>
        </w:r>
      </w:hyperlink>
      <w:r>
        <w:t xml:space="preserve"> Accessed (10/07/2020)</w:t>
      </w:r>
    </w:p>
    <w:p w14:paraId="531EAB97" w14:textId="679A8319" w:rsidR="00B77DAD" w:rsidRPr="00B77DAD" w:rsidRDefault="00B77DAD" w:rsidP="009A651D">
      <w:r>
        <w:rPr>
          <w:rFonts w:asciiTheme="minorHAnsi" w:hAnsiTheme="minorHAnsi" w:cstheme="minorHAnsi"/>
          <w:color w:val="222222"/>
          <w:shd w:val="clear" w:color="auto" w:fill="FFFFFF"/>
        </w:rPr>
        <w:t xml:space="preserve">Internet of Business (2017) </w:t>
      </w:r>
      <w:r>
        <w:rPr>
          <w:rFonts w:asciiTheme="minorHAnsi" w:hAnsiTheme="minorHAnsi" w:cstheme="minorHAnsi"/>
          <w:i/>
          <w:iCs/>
          <w:color w:val="222222"/>
          <w:shd w:val="clear" w:color="auto" w:fill="FFFFFF"/>
        </w:rPr>
        <w:t xml:space="preserve">Legal &amp; General signs up to offer customers the </w:t>
      </w:r>
      <w:proofErr w:type="spellStart"/>
      <w:r>
        <w:rPr>
          <w:rFonts w:asciiTheme="minorHAnsi" w:hAnsiTheme="minorHAnsi" w:cstheme="minorHAnsi"/>
          <w:i/>
          <w:iCs/>
          <w:color w:val="222222"/>
          <w:shd w:val="clear" w:color="auto" w:fill="FFFFFF"/>
        </w:rPr>
        <w:t>Leakbot</w:t>
      </w:r>
      <w:proofErr w:type="spellEnd"/>
      <w:r>
        <w:rPr>
          <w:rFonts w:asciiTheme="minorHAnsi" w:hAnsiTheme="minorHAnsi" w:cstheme="minorHAnsi"/>
          <w:i/>
          <w:iCs/>
          <w:color w:val="222222"/>
          <w:shd w:val="clear" w:color="auto" w:fill="FFFFFF"/>
        </w:rPr>
        <w:t xml:space="preserve"> detector </w:t>
      </w:r>
      <w:r>
        <w:rPr>
          <w:rFonts w:asciiTheme="minorHAnsi" w:hAnsiTheme="minorHAnsi" w:cstheme="minorHAnsi"/>
          <w:color w:val="222222"/>
          <w:shd w:val="clear" w:color="auto" w:fill="FFFFFF"/>
        </w:rPr>
        <w:t xml:space="preserve">Available at </w:t>
      </w:r>
      <w:hyperlink r:id="rId11" w:history="1">
        <w:r>
          <w:rPr>
            <w:rStyle w:val="Hyperlink"/>
          </w:rPr>
          <w:t>https://internetofbusiness.com/legal-general-iot-water/</w:t>
        </w:r>
      </w:hyperlink>
      <w:r>
        <w:t xml:space="preserve"> (Accessed: 20/07/2020)</w:t>
      </w:r>
    </w:p>
    <w:p w14:paraId="6DE3B194" w14:textId="53542758" w:rsidR="00A433AF" w:rsidRDefault="00A433AF" w:rsidP="009A651D">
      <w:proofErr w:type="spellStart"/>
      <w:r>
        <w:t>Khayatt</w:t>
      </w:r>
      <w:proofErr w:type="spellEnd"/>
      <w:r>
        <w:t xml:space="preserve">, F; </w:t>
      </w:r>
      <w:proofErr w:type="spellStart"/>
      <w:r>
        <w:t>Boilard</w:t>
      </w:r>
      <w:proofErr w:type="spellEnd"/>
      <w:r>
        <w:t xml:space="preserve">, M &amp; </w:t>
      </w:r>
      <w:proofErr w:type="spellStart"/>
      <w:r>
        <w:t>Pletziger</w:t>
      </w:r>
      <w:proofErr w:type="spellEnd"/>
      <w:r>
        <w:t xml:space="preserve">, P (2018) </w:t>
      </w:r>
      <w:r>
        <w:rPr>
          <w:i/>
          <w:iCs/>
        </w:rPr>
        <w:t xml:space="preserve">The Challenge Of Insuring Vehicles With Autonomous Functions </w:t>
      </w:r>
      <w:r>
        <w:t xml:space="preserve">Available at </w:t>
      </w:r>
      <w:hyperlink r:id="rId12" w:history="1">
        <w:r>
          <w:rPr>
            <w:rStyle w:val="Hyperlink"/>
          </w:rPr>
          <w:t>https://www.oliverwyman.com/content/dam/oliver-wyman/v2/publications/2017/dec/The_Challenge_of_Insuring_Vehicles_with_Autonomous_Functions.pdf</w:t>
        </w:r>
      </w:hyperlink>
      <w:r>
        <w:t xml:space="preserve"> (Accessed: 19/07/2020)</w:t>
      </w:r>
    </w:p>
    <w:p w14:paraId="5E76467D" w14:textId="42A754A3" w:rsidR="00B36496" w:rsidRPr="00B36496" w:rsidRDefault="00B36496" w:rsidP="009A651D">
      <w:proofErr w:type="spellStart"/>
      <w:r>
        <w:t>Littlejohns</w:t>
      </w:r>
      <w:proofErr w:type="spellEnd"/>
      <w:r>
        <w:t xml:space="preserve">, P (2019) </w:t>
      </w:r>
      <w:r>
        <w:rPr>
          <w:i/>
          <w:iCs/>
        </w:rPr>
        <w:t xml:space="preserve">Six smart devices that are making home insurance cheaper – and properties safer </w:t>
      </w:r>
      <w:r>
        <w:t xml:space="preserve">Available at </w:t>
      </w:r>
      <w:hyperlink r:id="rId13" w:history="1">
        <w:r>
          <w:rPr>
            <w:rStyle w:val="Hyperlink"/>
          </w:rPr>
          <w:t>https://www.nsinsurance.com/news/internet-of-things-insurance/</w:t>
        </w:r>
      </w:hyperlink>
      <w:r>
        <w:t xml:space="preserve"> (Accessed: 20/07/2020)</w:t>
      </w:r>
    </w:p>
    <w:p w14:paraId="5605A3F5" w14:textId="4B6D8EFC" w:rsidR="0090465E" w:rsidRDefault="0090465E" w:rsidP="009A651D">
      <w:r>
        <w:t xml:space="preserve">Madden, S (2020) </w:t>
      </w:r>
      <w:r>
        <w:rPr>
          <w:i/>
          <w:iCs/>
        </w:rPr>
        <w:t xml:space="preserve">Why the insurance industry must tailor communication strategies </w:t>
      </w:r>
      <w:r>
        <w:t xml:space="preserve">Available at </w:t>
      </w:r>
      <w:hyperlink r:id="rId14" w:history="1">
        <w:r>
          <w:rPr>
            <w:rStyle w:val="Hyperlink"/>
          </w:rPr>
          <w:t>https://www.financedigest.com/why-the-insurance-industry-must-tailor-communications-strategies.html</w:t>
        </w:r>
      </w:hyperlink>
      <w:r>
        <w:t xml:space="preserve"> (Accessed: 19/07/2020)</w:t>
      </w:r>
    </w:p>
    <w:p w14:paraId="451345E5" w14:textId="14234D4E" w:rsidR="00DF763B" w:rsidRPr="00DF763B" w:rsidRDefault="00DF763B" w:rsidP="009A651D">
      <w:pPr>
        <w:rPr>
          <w:rFonts w:asciiTheme="minorHAnsi" w:hAnsiTheme="minorHAnsi" w:cstheme="minorHAnsi"/>
        </w:rPr>
      </w:pPr>
      <w:r>
        <w:t xml:space="preserve">Madonna, A (2017) </w:t>
      </w:r>
      <w:r>
        <w:rPr>
          <w:i/>
          <w:iCs/>
        </w:rPr>
        <w:t xml:space="preserve">Insurance Market Faces Unprecedented Challenges From Self-Driving Cars </w:t>
      </w:r>
      <w:r>
        <w:t xml:space="preserve">Available at </w:t>
      </w:r>
      <w:hyperlink r:id="rId15" w:history="1">
        <w:r>
          <w:rPr>
            <w:rStyle w:val="Hyperlink"/>
          </w:rPr>
          <w:t>https://blogs.thomsonreuters.com/answerson/insurance-market-faces-unpredecented-challenge-from-self-driving-cars/</w:t>
        </w:r>
      </w:hyperlink>
      <w:r>
        <w:t xml:space="preserve"> (Accessed: 20/07/2020)</w:t>
      </w:r>
    </w:p>
    <w:p w14:paraId="3E869D2E" w14:textId="77777777" w:rsidR="00EB58F3" w:rsidRPr="005D1918" w:rsidRDefault="00EB58F3" w:rsidP="00EB58F3">
      <w:pPr>
        <w:pStyle w:val="Heading1"/>
        <w:shd w:val="clear" w:color="auto" w:fill="FFFFFF"/>
        <w:spacing w:before="0" w:beforeAutospacing="0" w:after="0" w:afterAutospacing="0"/>
        <w:rPr>
          <w:rFonts w:asciiTheme="minorHAnsi" w:hAnsiTheme="minorHAnsi" w:cstheme="minorHAnsi"/>
          <w:b w:val="0"/>
          <w:bCs w:val="0"/>
          <w:color w:val="000000"/>
          <w:kern w:val="0"/>
          <w:sz w:val="22"/>
          <w:szCs w:val="22"/>
          <w:bdr w:val="none" w:sz="0" w:space="0" w:color="auto" w:frame="1"/>
        </w:rPr>
      </w:pPr>
      <w:r w:rsidRPr="005D1918">
        <w:rPr>
          <w:rFonts w:asciiTheme="minorHAnsi" w:hAnsiTheme="minorHAnsi" w:cstheme="minorHAnsi"/>
          <w:b w:val="0"/>
          <w:bCs w:val="0"/>
          <w:color w:val="000000"/>
          <w:sz w:val="22"/>
          <w:szCs w:val="22"/>
        </w:rPr>
        <w:t xml:space="preserve">McKinsey (2019) </w:t>
      </w:r>
      <w:r w:rsidRPr="005D1918">
        <w:rPr>
          <w:rFonts w:asciiTheme="minorHAnsi" w:hAnsiTheme="minorHAnsi" w:cstheme="minorHAnsi"/>
          <w:b w:val="0"/>
          <w:bCs w:val="0"/>
          <w:i/>
          <w:iCs/>
          <w:color w:val="000000"/>
          <w:sz w:val="22"/>
          <w:szCs w:val="22"/>
        </w:rPr>
        <w:t xml:space="preserve">Digital disruption in insurance: Cutting through the noise </w:t>
      </w:r>
      <w:r w:rsidRPr="005D1918">
        <w:rPr>
          <w:rFonts w:asciiTheme="minorHAnsi" w:hAnsiTheme="minorHAnsi" w:cstheme="minorHAnsi"/>
          <w:b w:val="0"/>
          <w:bCs w:val="0"/>
          <w:color w:val="000000"/>
          <w:sz w:val="22"/>
          <w:szCs w:val="22"/>
        </w:rPr>
        <w:t xml:space="preserve">Available at </w:t>
      </w:r>
    </w:p>
    <w:p w14:paraId="550F5C0B" w14:textId="5B3D774A" w:rsidR="0069270C" w:rsidRDefault="002D0F1F" w:rsidP="0069270C">
      <w:pPr>
        <w:shd w:val="clear" w:color="auto" w:fill="FFFFFF"/>
        <w:spacing w:after="0" w:line="240" w:lineRule="auto"/>
        <w:rPr>
          <w:rFonts w:asciiTheme="minorHAnsi" w:eastAsia="Times New Roman" w:hAnsiTheme="minorHAnsi" w:cstheme="minorHAnsi"/>
          <w:color w:val="0000E9"/>
          <w:lang w:eastAsia="en-GB"/>
        </w:rPr>
      </w:pPr>
      <w:hyperlink r:id="rId16" w:history="1">
        <w:r w:rsidR="00EB58F3" w:rsidRPr="007A3690">
          <w:rPr>
            <w:rStyle w:val="Hyperlink"/>
            <w:rFonts w:asciiTheme="minorHAnsi" w:eastAsia="Times New Roman" w:hAnsiTheme="minorHAnsi" w:cstheme="minorHAnsi"/>
            <w:bdr w:val="none" w:sz="0" w:space="0" w:color="auto" w:frame="1"/>
            <w:lang w:eastAsia="en-GB"/>
          </w:rPr>
          <w:t>https://www.mckinsey.com/~/media/mckinsey/industries/financial%20services/our%20insights/time%20for%20insurance%20companies%20to%20face%20digital%20reality/digital-disruption-in-insurance.ashx</w:t>
        </w:r>
      </w:hyperlink>
      <w:r w:rsidR="00EB58F3" w:rsidRPr="005D1918">
        <w:rPr>
          <w:rFonts w:asciiTheme="minorHAnsi" w:eastAsia="Times New Roman" w:hAnsiTheme="minorHAnsi" w:cstheme="minorHAnsi"/>
          <w:color w:val="0000FF"/>
          <w:u w:val="single"/>
          <w:bdr w:val="none" w:sz="0" w:space="0" w:color="auto" w:frame="1"/>
          <w:lang w:eastAsia="en-GB"/>
        </w:rPr>
        <w:t xml:space="preserve"> </w:t>
      </w:r>
      <w:r w:rsidR="00EB58F3" w:rsidRPr="005D1918">
        <w:rPr>
          <w:rFonts w:asciiTheme="minorHAnsi" w:hAnsiTheme="minorHAnsi" w:cstheme="minorHAnsi"/>
          <w:color w:val="000000"/>
          <w:bdr w:val="none" w:sz="0" w:space="0" w:color="auto" w:frame="1"/>
        </w:rPr>
        <w:t>(Accessed: 19/07/2020)</w:t>
      </w:r>
    </w:p>
    <w:p w14:paraId="6016487E" w14:textId="30B7EC14" w:rsidR="0069270C" w:rsidRDefault="0069270C" w:rsidP="0069270C">
      <w:pPr>
        <w:shd w:val="clear" w:color="auto" w:fill="FFFFFF"/>
        <w:spacing w:after="0" w:line="240" w:lineRule="auto"/>
        <w:rPr>
          <w:rFonts w:asciiTheme="minorHAnsi" w:eastAsia="Times New Roman" w:hAnsiTheme="minorHAnsi" w:cstheme="minorHAnsi"/>
          <w:color w:val="0000E9"/>
          <w:lang w:eastAsia="en-GB"/>
        </w:rPr>
      </w:pPr>
    </w:p>
    <w:p w14:paraId="1AE87D6E" w14:textId="39D5119D" w:rsidR="0069270C" w:rsidRPr="00951A37" w:rsidRDefault="0069270C" w:rsidP="0069270C">
      <w:pPr>
        <w:shd w:val="clear" w:color="auto" w:fill="FFFFFF"/>
        <w:spacing w:after="0" w:line="240" w:lineRule="auto"/>
        <w:rPr>
          <w:rFonts w:asciiTheme="minorHAnsi" w:eastAsia="Times New Roman" w:hAnsiTheme="minorHAnsi" w:cstheme="minorHAnsi"/>
          <w:color w:val="000000"/>
          <w:kern w:val="36"/>
          <w:lang w:eastAsia="en-GB"/>
        </w:rPr>
      </w:pPr>
      <w:r w:rsidRPr="0069270C">
        <w:rPr>
          <w:rFonts w:asciiTheme="minorHAnsi" w:eastAsia="Times New Roman" w:hAnsiTheme="minorHAnsi" w:cstheme="minorHAnsi"/>
          <w:color w:val="000000"/>
          <w:kern w:val="36"/>
          <w:lang w:eastAsia="en-GB"/>
        </w:rPr>
        <w:lastRenderedPageBreak/>
        <w:t>O’Mara, M</w:t>
      </w:r>
      <w:r>
        <w:rPr>
          <w:rFonts w:asciiTheme="minorHAnsi" w:eastAsia="Times New Roman" w:hAnsiTheme="minorHAnsi" w:cstheme="minorHAnsi"/>
          <w:color w:val="000000"/>
          <w:kern w:val="36"/>
          <w:lang w:eastAsia="en-GB"/>
        </w:rPr>
        <w:t xml:space="preserve"> &amp; </w:t>
      </w:r>
      <w:proofErr w:type="spellStart"/>
      <w:r>
        <w:rPr>
          <w:rFonts w:asciiTheme="minorHAnsi" w:eastAsia="Times New Roman" w:hAnsiTheme="minorHAnsi" w:cstheme="minorHAnsi"/>
          <w:color w:val="000000"/>
          <w:kern w:val="36"/>
          <w:lang w:eastAsia="en-GB"/>
        </w:rPr>
        <w:t>Memmo</w:t>
      </w:r>
      <w:proofErr w:type="spellEnd"/>
      <w:r>
        <w:rPr>
          <w:rFonts w:asciiTheme="minorHAnsi" w:eastAsia="Times New Roman" w:hAnsiTheme="minorHAnsi" w:cstheme="minorHAnsi"/>
          <w:color w:val="000000"/>
          <w:kern w:val="36"/>
          <w:lang w:eastAsia="en-GB"/>
        </w:rPr>
        <w:t xml:space="preserve"> Jr, F (2015) </w:t>
      </w:r>
      <w:r w:rsidR="00951A37">
        <w:rPr>
          <w:rFonts w:asciiTheme="minorHAnsi" w:eastAsia="Times New Roman" w:hAnsiTheme="minorHAnsi" w:cstheme="minorHAnsi"/>
          <w:i/>
          <w:iCs/>
          <w:color w:val="000000"/>
          <w:kern w:val="36"/>
          <w:lang w:eastAsia="en-GB"/>
        </w:rPr>
        <w:t xml:space="preserve">The future of insurance in a digital world </w:t>
      </w:r>
      <w:r w:rsidR="00951A37">
        <w:rPr>
          <w:rFonts w:asciiTheme="minorHAnsi" w:eastAsia="Times New Roman" w:hAnsiTheme="minorHAnsi" w:cstheme="minorHAnsi"/>
          <w:color w:val="000000"/>
          <w:kern w:val="36"/>
          <w:lang w:eastAsia="en-GB"/>
        </w:rPr>
        <w:t xml:space="preserve">Available at </w:t>
      </w:r>
      <w:hyperlink r:id="rId17" w:history="1">
        <w:r w:rsidR="00951A37">
          <w:rPr>
            <w:rStyle w:val="Hyperlink"/>
          </w:rPr>
          <w:t>https://www.ey.com/Publication/vwLUAssets/The_future_of_insurance_in_a_digital_world/$FILE/EY-future-of-in-a-digital-world-design-comments.pdf</w:t>
        </w:r>
      </w:hyperlink>
      <w:r w:rsidR="00951A37">
        <w:t xml:space="preserve"> (Accessed: 18/07/2020)</w:t>
      </w:r>
    </w:p>
    <w:p w14:paraId="4B2A4C24" w14:textId="2294CFC8" w:rsidR="0069270C" w:rsidRDefault="0069270C" w:rsidP="0069270C">
      <w:pPr>
        <w:shd w:val="clear" w:color="auto" w:fill="FFFFFF"/>
        <w:spacing w:after="0" w:line="240" w:lineRule="auto"/>
        <w:rPr>
          <w:rFonts w:asciiTheme="minorHAnsi" w:eastAsia="Times New Roman" w:hAnsiTheme="minorHAnsi" w:cstheme="minorHAnsi"/>
          <w:color w:val="0000E9"/>
          <w:lang w:eastAsia="en-GB"/>
        </w:rPr>
      </w:pPr>
    </w:p>
    <w:p w14:paraId="41F3FE61" w14:textId="62C6273C" w:rsidR="00126FB7" w:rsidRPr="00126FB7" w:rsidRDefault="00126FB7" w:rsidP="0069270C">
      <w:pPr>
        <w:shd w:val="clear" w:color="auto" w:fill="FFFFFF"/>
        <w:spacing w:after="0" w:line="240" w:lineRule="auto"/>
        <w:rPr>
          <w:rFonts w:asciiTheme="minorHAnsi" w:eastAsia="Times New Roman" w:hAnsiTheme="minorHAnsi" w:cstheme="minorHAnsi"/>
          <w:color w:val="0000E9"/>
          <w:lang w:eastAsia="en-GB"/>
        </w:rPr>
      </w:pPr>
      <w:r w:rsidRPr="00126FB7">
        <w:rPr>
          <w:rFonts w:asciiTheme="minorHAnsi" w:eastAsia="Times New Roman" w:hAnsiTheme="minorHAnsi" w:cstheme="minorHAnsi"/>
          <w:color w:val="000000"/>
          <w:kern w:val="36"/>
          <w:lang w:eastAsia="en-GB"/>
        </w:rPr>
        <w:t xml:space="preserve">Ralph, O (2019) </w:t>
      </w:r>
      <w:r w:rsidRPr="00126FB7">
        <w:rPr>
          <w:rFonts w:asciiTheme="minorHAnsi" w:eastAsia="Times New Roman" w:hAnsiTheme="minorHAnsi" w:cstheme="minorHAnsi"/>
          <w:i/>
          <w:iCs/>
          <w:color w:val="000000"/>
          <w:kern w:val="36"/>
          <w:lang w:eastAsia="en-GB"/>
        </w:rPr>
        <w:t>Insurance Sector Prepares For Disruption</w:t>
      </w:r>
      <w:r>
        <w:rPr>
          <w:rFonts w:asciiTheme="minorHAnsi" w:eastAsia="Times New Roman" w:hAnsiTheme="minorHAnsi" w:cstheme="minorHAnsi"/>
          <w:i/>
          <w:iCs/>
          <w:color w:val="0000E9"/>
          <w:lang w:eastAsia="en-GB"/>
        </w:rPr>
        <w:t xml:space="preserve"> </w:t>
      </w:r>
      <w:r w:rsidRPr="00126FB7">
        <w:rPr>
          <w:rFonts w:asciiTheme="minorHAnsi" w:eastAsia="Times New Roman" w:hAnsiTheme="minorHAnsi" w:cstheme="minorHAnsi"/>
          <w:color w:val="000000"/>
          <w:kern w:val="36"/>
          <w:lang w:eastAsia="en-GB"/>
        </w:rPr>
        <w:t xml:space="preserve">Available at </w:t>
      </w:r>
      <w:hyperlink r:id="rId18" w:history="1">
        <w:r>
          <w:rPr>
            <w:rStyle w:val="Hyperlink"/>
          </w:rPr>
          <w:t>https://www.ft.com/content/b7b3b08a-d4a3-11e9-8d46-8def889b4137</w:t>
        </w:r>
      </w:hyperlink>
      <w:r>
        <w:t xml:space="preserve"> (Accessed: 20/07/2020)</w:t>
      </w:r>
    </w:p>
    <w:p w14:paraId="4C8B99B7" w14:textId="77777777" w:rsidR="00126FB7" w:rsidRPr="0069270C" w:rsidRDefault="00126FB7" w:rsidP="0069270C">
      <w:pPr>
        <w:shd w:val="clear" w:color="auto" w:fill="FFFFFF"/>
        <w:spacing w:after="0" w:line="240" w:lineRule="auto"/>
        <w:rPr>
          <w:rFonts w:asciiTheme="minorHAnsi" w:eastAsia="Times New Roman" w:hAnsiTheme="minorHAnsi" w:cstheme="minorHAnsi"/>
          <w:color w:val="0000E9"/>
          <w:lang w:eastAsia="en-GB"/>
        </w:rPr>
      </w:pPr>
    </w:p>
    <w:p w14:paraId="313460A2" w14:textId="62F48137" w:rsidR="00DD2E61" w:rsidRDefault="00EB58F3">
      <w:r>
        <w:t xml:space="preserve">Rawson, A; Duncan, E &amp; Jones, C (2013) </w:t>
      </w:r>
      <w:r>
        <w:rPr>
          <w:i/>
          <w:iCs/>
        </w:rPr>
        <w:t xml:space="preserve">The Truth About Customer Experience </w:t>
      </w:r>
      <w:r>
        <w:t xml:space="preserve">Available at </w:t>
      </w:r>
      <w:hyperlink r:id="rId19" w:history="1">
        <w:r>
          <w:rPr>
            <w:rStyle w:val="Hyperlink"/>
          </w:rPr>
          <w:t>https://hbr.org/2013/09/the-truth-about-customer-experience</w:t>
        </w:r>
      </w:hyperlink>
      <w:r>
        <w:t xml:space="preserve"> (Accessed: 18/07/2020)</w:t>
      </w:r>
    </w:p>
    <w:p w14:paraId="37774C7B" w14:textId="08CBFE93" w:rsidR="00442C2A" w:rsidRDefault="00442C2A">
      <w:proofErr w:type="spellStart"/>
      <w:r>
        <w:t>Shaulova</w:t>
      </w:r>
      <w:proofErr w:type="spellEnd"/>
      <w:r>
        <w:t xml:space="preserve">, E (2020) </w:t>
      </w:r>
      <w:r>
        <w:rPr>
          <w:i/>
          <w:iCs/>
        </w:rPr>
        <w:t xml:space="preserve">Insurance industry in the United Kingdom – Statistics &amp; Facts </w:t>
      </w:r>
      <w:r>
        <w:t xml:space="preserve">Available at </w:t>
      </w:r>
      <w:hyperlink r:id="rId20" w:history="1">
        <w:r>
          <w:rPr>
            <w:rStyle w:val="Hyperlink"/>
          </w:rPr>
          <w:t>https://www.statista.com/topics/4511/insurance-industry-uk/</w:t>
        </w:r>
      </w:hyperlink>
      <w:r>
        <w:t xml:space="preserve"> (Accessed: 20/07/2020)</w:t>
      </w:r>
    </w:p>
    <w:p w14:paraId="24465BD5" w14:textId="77777777" w:rsidR="00AE1C48" w:rsidRPr="002D2EEF" w:rsidRDefault="00AE1C48" w:rsidP="00AE1C48">
      <w:pPr>
        <w:pStyle w:val="Heading1"/>
        <w:shd w:val="clear" w:color="auto" w:fill="FFFFFF"/>
        <w:spacing w:before="0" w:beforeAutospacing="0" w:after="0" w:afterAutospacing="0"/>
        <w:rPr>
          <w:rFonts w:asciiTheme="minorHAnsi" w:hAnsiTheme="minorHAnsi" w:cstheme="minorHAnsi"/>
          <w:b w:val="0"/>
          <w:bCs w:val="0"/>
          <w:color w:val="000000"/>
          <w:kern w:val="0"/>
          <w:sz w:val="22"/>
          <w:szCs w:val="22"/>
          <w:bdr w:val="none" w:sz="0" w:space="0" w:color="auto" w:frame="1"/>
        </w:rPr>
      </w:pPr>
      <w:r w:rsidRPr="002D2EEF">
        <w:rPr>
          <w:rFonts w:asciiTheme="minorHAnsi" w:hAnsiTheme="minorHAnsi" w:cstheme="minorHAnsi"/>
          <w:b w:val="0"/>
          <w:bCs w:val="0"/>
          <w:color w:val="333333"/>
          <w:sz w:val="22"/>
          <w:szCs w:val="22"/>
          <w:shd w:val="clear" w:color="auto" w:fill="FCFCFC"/>
        </w:rPr>
        <w:t xml:space="preserve">Skog, D.A., </w:t>
      </w:r>
      <w:proofErr w:type="spellStart"/>
      <w:r w:rsidRPr="002D2EEF">
        <w:rPr>
          <w:rFonts w:asciiTheme="minorHAnsi" w:hAnsiTheme="minorHAnsi" w:cstheme="minorHAnsi"/>
          <w:b w:val="0"/>
          <w:bCs w:val="0"/>
          <w:color w:val="333333"/>
          <w:sz w:val="22"/>
          <w:szCs w:val="22"/>
          <w:shd w:val="clear" w:color="auto" w:fill="FCFCFC"/>
        </w:rPr>
        <w:t>Wimelius</w:t>
      </w:r>
      <w:proofErr w:type="spellEnd"/>
      <w:r w:rsidRPr="002D2EEF">
        <w:rPr>
          <w:rFonts w:asciiTheme="minorHAnsi" w:hAnsiTheme="minorHAnsi" w:cstheme="minorHAnsi"/>
          <w:b w:val="0"/>
          <w:bCs w:val="0"/>
          <w:color w:val="333333"/>
          <w:sz w:val="22"/>
          <w:szCs w:val="22"/>
          <w:shd w:val="clear" w:color="auto" w:fill="FCFCFC"/>
        </w:rPr>
        <w:t>, H. &amp; Sandberg, J. Digital Disruption. </w:t>
      </w:r>
      <w:r w:rsidRPr="002D2EEF">
        <w:rPr>
          <w:rFonts w:asciiTheme="minorHAnsi" w:hAnsiTheme="minorHAnsi" w:cstheme="minorHAnsi"/>
          <w:b w:val="0"/>
          <w:bCs w:val="0"/>
          <w:i/>
          <w:iCs/>
          <w:color w:val="333333"/>
          <w:sz w:val="22"/>
          <w:szCs w:val="22"/>
          <w:shd w:val="clear" w:color="auto" w:fill="FCFCFC"/>
        </w:rPr>
        <w:t xml:space="preserve">Bus Inf </w:t>
      </w:r>
      <w:proofErr w:type="spellStart"/>
      <w:r w:rsidRPr="002D2EEF">
        <w:rPr>
          <w:rFonts w:asciiTheme="minorHAnsi" w:hAnsiTheme="minorHAnsi" w:cstheme="minorHAnsi"/>
          <w:b w:val="0"/>
          <w:bCs w:val="0"/>
          <w:i/>
          <w:iCs/>
          <w:color w:val="333333"/>
          <w:sz w:val="22"/>
          <w:szCs w:val="22"/>
          <w:shd w:val="clear" w:color="auto" w:fill="FCFCFC"/>
        </w:rPr>
        <w:t>Syst</w:t>
      </w:r>
      <w:proofErr w:type="spellEnd"/>
      <w:r w:rsidRPr="002D2EEF">
        <w:rPr>
          <w:rFonts w:asciiTheme="minorHAnsi" w:hAnsiTheme="minorHAnsi" w:cstheme="minorHAnsi"/>
          <w:b w:val="0"/>
          <w:bCs w:val="0"/>
          <w:i/>
          <w:iCs/>
          <w:color w:val="333333"/>
          <w:sz w:val="22"/>
          <w:szCs w:val="22"/>
          <w:shd w:val="clear" w:color="auto" w:fill="FCFCFC"/>
        </w:rPr>
        <w:t xml:space="preserve"> </w:t>
      </w:r>
      <w:proofErr w:type="spellStart"/>
      <w:r w:rsidRPr="002D2EEF">
        <w:rPr>
          <w:rFonts w:asciiTheme="minorHAnsi" w:hAnsiTheme="minorHAnsi" w:cstheme="minorHAnsi"/>
          <w:b w:val="0"/>
          <w:bCs w:val="0"/>
          <w:i/>
          <w:iCs/>
          <w:color w:val="333333"/>
          <w:sz w:val="22"/>
          <w:szCs w:val="22"/>
          <w:shd w:val="clear" w:color="auto" w:fill="FCFCFC"/>
        </w:rPr>
        <w:t>Eng</w:t>
      </w:r>
      <w:proofErr w:type="spellEnd"/>
      <w:r w:rsidRPr="002D2EEF">
        <w:rPr>
          <w:rFonts w:asciiTheme="minorHAnsi" w:hAnsiTheme="minorHAnsi" w:cstheme="minorHAnsi"/>
          <w:b w:val="0"/>
          <w:bCs w:val="0"/>
          <w:color w:val="333333"/>
          <w:sz w:val="22"/>
          <w:szCs w:val="22"/>
          <w:shd w:val="clear" w:color="auto" w:fill="FCFCFC"/>
        </w:rPr>
        <w:t> 60, 431–437 (2018). https://doi.org/10.1007/s12599-018-0550-4</w:t>
      </w:r>
    </w:p>
    <w:p w14:paraId="6F56ED48" w14:textId="3E3CA660" w:rsidR="00AE1C48" w:rsidRDefault="00AE1C48" w:rsidP="00AE1C48">
      <w:pPr>
        <w:spacing w:after="0"/>
      </w:pPr>
    </w:p>
    <w:p w14:paraId="37C788D7" w14:textId="24050B88" w:rsidR="00AE1C48" w:rsidRPr="00AE1C48" w:rsidRDefault="00AE1C48" w:rsidP="00AE1C48">
      <w:pPr>
        <w:spacing w:after="0"/>
      </w:pPr>
      <w:proofErr w:type="spellStart"/>
      <w:r>
        <w:t>Sprau</w:t>
      </w:r>
      <w:proofErr w:type="spellEnd"/>
      <w:r>
        <w:t xml:space="preserve">, N (2018) </w:t>
      </w:r>
      <w:r>
        <w:rPr>
          <w:i/>
          <w:iCs/>
        </w:rPr>
        <w:t xml:space="preserve">3 Benefits of Digital Disruption </w:t>
      </w:r>
      <w:r>
        <w:t xml:space="preserve">Available at </w:t>
      </w:r>
      <w:hyperlink r:id="rId21" w:history="1">
        <w:r>
          <w:rPr>
            <w:rStyle w:val="Hyperlink"/>
          </w:rPr>
          <w:t>https://www.erpsoftwareblog.com/2018/01/3-benefits-digital-disruption/</w:t>
        </w:r>
      </w:hyperlink>
      <w:r>
        <w:t xml:space="preserve"> (Accessed: 20/07/2020)</w:t>
      </w:r>
    </w:p>
    <w:p w14:paraId="297D1288" w14:textId="77777777" w:rsidR="00AE1C48" w:rsidRDefault="00AE1C48" w:rsidP="00AE1C48">
      <w:pPr>
        <w:spacing w:after="0"/>
      </w:pPr>
    </w:p>
    <w:p w14:paraId="4372D98D" w14:textId="3A3DC90E" w:rsidR="009856DE" w:rsidRDefault="009856DE">
      <w:r>
        <w:t xml:space="preserve">West, R et al, (2019) </w:t>
      </w:r>
      <w:r>
        <w:rPr>
          <w:i/>
          <w:iCs/>
        </w:rPr>
        <w:t>Adoption of autonomous vehicles could remove 60% of premiums from motor market</w:t>
      </w:r>
      <w:r>
        <w:t xml:space="preserve"> Available at </w:t>
      </w:r>
      <w:hyperlink r:id="rId22" w:history="1">
        <w:r>
          <w:rPr>
            <w:rStyle w:val="Hyperlink"/>
          </w:rPr>
          <w:t>https://www.kennedyslaw.com/news/adoption-of-autonomous-vehicles-could-remove-60-of-premiums-from-motor-market</w:t>
        </w:r>
      </w:hyperlink>
      <w:r>
        <w:t xml:space="preserve"> (Accessed: 20/07/2020) </w:t>
      </w:r>
    </w:p>
    <w:p w14:paraId="00323C89" w14:textId="33C4CCC3" w:rsidR="00442C2A" w:rsidRPr="00442C2A" w:rsidRDefault="00442C2A">
      <w:r>
        <w:t xml:space="preserve">Wilkes, E (2019) </w:t>
      </w:r>
      <w:r>
        <w:rPr>
          <w:i/>
          <w:iCs/>
        </w:rPr>
        <w:t xml:space="preserve">Digital Marketing For The Insurance Industry </w:t>
      </w:r>
      <w:r>
        <w:t xml:space="preserve">Available at </w:t>
      </w:r>
      <w:hyperlink r:id="rId23" w:history="1">
        <w:r>
          <w:rPr>
            <w:rStyle w:val="Hyperlink"/>
          </w:rPr>
          <w:t>https://www.fountainpartnership.co.uk/insight/digital-marketing-for-the-insurance-industry/</w:t>
        </w:r>
      </w:hyperlink>
      <w:r>
        <w:t xml:space="preserve"> (Accessed: 20/07/2020)</w:t>
      </w:r>
    </w:p>
    <w:sectPr w:rsidR="00442C2A" w:rsidRPr="00442C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F84EF5"/>
    <w:multiLevelType w:val="multilevel"/>
    <w:tmpl w:val="660E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51D"/>
    <w:rsid w:val="00126FB7"/>
    <w:rsid w:val="0016298C"/>
    <w:rsid w:val="00172C47"/>
    <w:rsid w:val="00187E8E"/>
    <w:rsid w:val="00193F9C"/>
    <w:rsid w:val="001B43F1"/>
    <w:rsid w:val="001F31AE"/>
    <w:rsid w:val="00211AF0"/>
    <w:rsid w:val="002329E5"/>
    <w:rsid w:val="002B223A"/>
    <w:rsid w:val="002C4CB4"/>
    <w:rsid w:val="002D0F1F"/>
    <w:rsid w:val="00442C2A"/>
    <w:rsid w:val="004D1C39"/>
    <w:rsid w:val="00503BC9"/>
    <w:rsid w:val="0069270C"/>
    <w:rsid w:val="006A273F"/>
    <w:rsid w:val="00732DDB"/>
    <w:rsid w:val="00770985"/>
    <w:rsid w:val="0080552D"/>
    <w:rsid w:val="00865494"/>
    <w:rsid w:val="0090465E"/>
    <w:rsid w:val="00951A37"/>
    <w:rsid w:val="009856DE"/>
    <w:rsid w:val="009A651D"/>
    <w:rsid w:val="00A20F31"/>
    <w:rsid w:val="00A433AF"/>
    <w:rsid w:val="00A46A9B"/>
    <w:rsid w:val="00A541C4"/>
    <w:rsid w:val="00AE1C48"/>
    <w:rsid w:val="00B36496"/>
    <w:rsid w:val="00B77DAD"/>
    <w:rsid w:val="00C01599"/>
    <w:rsid w:val="00C37F2F"/>
    <w:rsid w:val="00CF721B"/>
    <w:rsid w:val="00D31758"/>
    <w:rsid w:val="00D50AB3"/>
    <w:rsid w:val="00DD2E61"/>
    <w:rsid w:val="00DF763B"/>
    <w:rsid w:val="00E33CA4"/>
    <w:rsid w:val="00EB58F3"/>
    <w:rsid w:val="00F23E42"/>
    <w:rsid w:val="00F458A7"/>
    <w:rsid w:val="00F617AC"/>
    <w:rsid w:val="00FB43EF"/>
    <w:rsid w:val="00FF2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7B973"/>
  <w15:chartTrackingRefBased/>
  <w15:docId w15:val="{74FB81DB-1D08-4EB9-AEB2-409EDD8D9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51D"/>
    <w:pPr>
      <w:spacing w:after="200" w:line="276" w:lineRule="auto"/>
    </w:pPr>
    <w:rPr>
      <w:rFonts w:ascii="Calibri" w:eastAsia="Calibri" w:hAnsi="Calibri" w:cs="Times New Roman"/>
    </w:rPr>
  </w:style>
  <w:style w:type="paragraph" w:styleId="Heading1">
    <w:name w:val="heading 1"/>
    <w:basedOn w:val="Normal"/>
    <w:link w:val="Heading1Char"/>
    <w:uiPriority w:val="9"/>
    <w:qFormat/>
    <w:rsid w:val="00EB58F3"/>
    <w:pPr>
      <w:spacing w:before="100" w:beforeAutospacing="1" w:after="100" w:afterAutospacing="1" w:line="240" w:lineRule="auto"/>
      <w:outlineLvl w:val="0"/>
    </w:pPr>
    <w:rPr>
      <w:rFonts w:ascii="Times New Roman" w:eastAsia="Times New Roman" w:hAnsi="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51D"/>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basedOn w:val="DefaultParagraphFont"/>
    <w:uiPriority w:val="99"/>
    <w:unhideWhenUsed/>
    <w:rsid w:val="009A651D"/>
    <w:rPr>
      <w:color w:val="0000FF"/>
      <w:u w:val="single"/>
    </w:rPr>
  </w:style>
  <w:style w:type="character" w:customStyle="1" w:styleId="Heading1Char">
    <w:name w:val="Heading 1 Char"/>
    <w:basedOn w:val="DefaultParagraphFont"/>
    <w:link w:val="Heading1"/>
    <w:uiPriority w:val="9"/>
    <w:rsid w:val="00EB58F3"/>
    <w:rPr>
      <w:rFonts w:ascii="Times New Roman" w:eastAsia="Times New Roman" w:hAnsi="Times New Roman" w:cs="Times New Roman"/>
      <w:b/>
      <w:bCs/>
      <w:kern w:val="36"/>
      <w:sz w:val="48"/>
      <w:szCs w:val="48"/>
      <w:lang w:eastAsia="en-GB"/>
    </w:rPr>
  </w:style>
  <w:style w:type="character" w:styleId="FollowedHyperlink">
    <w:name w:val="FollowedHyperlink"/>
    <w:basedOn w:val="DefaultParagraphFont"/>
    <w:uiPriority w:val="99"/>
    <w:semiHidden/>
    <w:unhideWhenUsed/>
    <w:rsid w:val="00EB58F3"/>
    <w:rPr>
      <w:color w:val="954F72" w:themeColor="followedHyperlink"/>
      <w:u w:val="single"/>
    </w:rPr>
  </w:style>
  <w:style w:type="character" w:styleId="UnresolvedMention">
    <w:name w:val="Unresolved Mention"/>
    <w:basedOn w:val="DefaultParagraphFont"/>
    <w:uiPriority w:val="99"/>
    <w:semiHidden/>
    <w:unhideWhenUsed/>
    <w:rsid w:val="00EB58F3"/>
    <w:rPr>
      <w:color w:val="605E5C"/>
      <w:shd w:val="clear" w:color="auto" w:fill="E1DFDD"/>
    </w:rPr>
  </w:style>
  <w:style w:type="character" w:styleId="Emphasis">
    <w:name w:val="Emphasis"/>
    <w:basedOn w:val="DefaultParagraphFont"/>
    <w:uiPriority w:val="20"/>
    <w:qFormat/>
    <w:rsid w:val="0090465E"/>
    <w:rPr>
      <w:i/>
      <w:iCs/>
    </w:rPr>
  </w:style>
  <w:style w:type="character" w:styleId="Strong">
    <w:name w:val="Strong"/>
    <w:basedOn w:val="DefaultParagraphFont"/>
    <w:uiPriority w:val="22"/>
    <w:qFormat/>
    <w:rsid w:val="001F31A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0198366">
      <w:bodyDiv w:val="1"/>
      <w:marLeft w:val="0"/>
      <w:marRight w:val="0"/>
      <w:marTop w:val="0"/>
      <w:marBottom w:val="0"/>
      <w:divBdr>
        <w:top w:val="none" w:sz="0" w:space="0" w:color="auto"/>
        <w:left w:val="none" w:sz="0" w:space="0" w:color="auto"/>
        <w:bottom w:val="none" w:sz="0" w:space="0" w:color="auto"/>
        <w:right w:val="none" w:sz="0" w:space="0" w:color="auto"/>
      </w:divBdr>
    </w:div>
    <w:div w:id="1262491314">
      <w:bodyDiv w:val="1"/>
      <w:marLeft w:val="0"/>
      <w:marRight w:val="0"/>
      <w:marTop w:val="0"/>
      <w:marBottom w:val="0"/>
      <w:divBdr>
        <w:top w:val="none" w:sz="0" w:space="0" w:color="auto"/>
        <w:left w:val="none" w:sz="0" w:space="0" w:color="auto"/>
        <w:bottom w:val="none" w:sz="0" w:space="0" w:color="auto"/>
        <w:right w:val="none" w:sz="0" w:space="0" w:color="auto"/>
      </w:divBdr>
    </w:div>
    <w:div w:id="1298798531">
      <w:bodyDiv w:val="1"/>
      <w:marLeft w:val="0"/>
      <w:marRight w:val="0"/>
      <w:marTop w:val="0"/>
      <w:marBottom w:val="0"/>
      <w:divBdr>
        <w:top w:val="none" w:sz="0" w:space="0" w:color="auto"/>
        <w:left w:val="none" w:sz="0" w:space="0" w:color="auto"/>
        <w:bottom w:val="none" w:sz="0" w:space="0" w:color="auto"/>
        <w:right w:val="none" w:sz="0" w:space="0" w:color="auto"/>
      </w:divBdr>
    </w:div>
    <w:div w:id="1498112510">
      <w:bodyDiv w:val="1"/>
      <w:marLeft w:val="0"/>
      <w:marRight w:val="0"/>
      <w:marTop w:val="0"/>
      <w:marBottom w:val="0"/>
      <w:divBdr>
        <w:top w:val="none" w:sz="0" w:space="0" w:color="auto"/>
        <w:left w:val="none" w:sz="0" w:space="0" w:color="auto"/>
        <w:bottom w:val="none" w:sz="0" w:space="0" w:color="auto"/>
        <w:right w:val="none" w:sz="0" w:space="0" w:color="auto"/>
      </w:divBdr>
    </w:div>
    <w:div w:id="1936747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bi.org.uk/products-and-issues/topics-and-issues/driverless-cars/" TargetMode="External"/><Relationship Id="rId13" Type="http://schemas.openxmlformats.org/officeDocument/2006/relationships/hyperlink" Target="https://www.nsinsurance.com/news/internet-of-things-insurance/" TargetMode="External"/><Relationship Id="rId18" Type="http://schemas.openxmlformats.org/officeDocument/2006/relationships/hyperlink" Target="https://www.ft.com/content/b7b3b08a-d4a3-11e9-8d46-8def889b4137" TargetMode="External"/><Relationship Id="rId3" Type="http://schemas.openxmlformats.org/officeDocument/2006/relationships/settings" Target="settings.xml"/><Relationship Id="rId21" Type="http://schemas.openxmlformats.org/officeDocument/2006/relationships/hyperlink" Target="https://www.erpsoftwareblog.com/2018/01/3-benefits-digital-disruption/" TargetMode="External"/><Relationship Id="rId7" Type="http://schemas.openxmlformats.org/officeDocument/2006/relationships/hyperlink" Target="https://www.efma.com/article/detail/32310" TargetMode="External"/><Relationship Id="rId12" Type="http://schemas.openxmlformats.org/officeDocument/2006/relationships/hyperlink" Target="https://www.oliverwyman.com/content/dam/oliver-wyman/v2/publications/2017/dec/The_Challenge_of_Insuring_Vehicles_with_Autonomous_Functions.pdf" TargetMode="External"/><Relationship Id="rId17" Type="http://schemas.openxmlformats.org/officeDocument/2006/relationships/hyperlink" Target="https://www.ey.com/Publication/vwLUAssets/The_future_of_insurance_in_a_digital_world/$FILE/EY-future-of-in-a-digital-world-design-comments.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mckinsey.com/~/media/mckinsey/industries/financial%20services/our%20insights/time%20for%20insurance%20companies%20to%20face%20digital%20reality/digital-disruption-in-insurance.ashx" TargetMode="External"/><Relationship Id="rId20" Type="http://schemas.openxmlformats.org/officeDocument/2006/relationships/hyperlink" Target="https://www.statista.com/topics/4511/insurance-industry-uk/" TargetMode="External"/><Relationship Id="rId1" Type="http://schemas.openxmlformats.org/officeDocument/2006/relationships/numbering" Target="numbering.xml"/><Relationship Id="rId6" Type="http://schemas.openxmlformats.org/officeDocument/2006/relationships/hyperlink" Target="https://admiralgroup.co.uk/investor-relations/results-and-presentations" TargetMode="External"/><Relationship Id="rId11" Type="http://schemas.openxmlformats.org/officeDocument/2006/relationships/hyperlink" Target="https://internetofbusiness.com/legal-general-iot-water/" TargetMode="External"/><Relationship Id="rId24" Type="http://schemas.openxmlformats.org/officeDocument/2006/relationships/fontTable" Target="fontTable.xml"/><Relationship Id="rId5" Type="http://schemas.openxmlformats.org/officeDocument/2006/relationships/hyperlink" Target="https://admiralgroup.co.uk/sites/default/files_public/annual-report/2019/03/2018-full-year-results-annual-report.pdf" TargetMode="External"/><Relationship Id="rId15" Type="http://schemas.openxmlformats.org/officeDocument/2006/relationships/hyperlink" Target="https://blogs.thomsonreuters.com/answerson/insurance-market-faces-unpredecented-challenge-from-self-driving-cars/" TargetMode="External"/><Relationship Id="rId23" Type="http://schemas.openxmlformats.org/officeDocument/2006/relationships/hyperlink" Target="https://www.fountainpartnership.co.uk/insight/digital-marketing-for-the-insurance-industry/" TargetMode="External"/><Relationship Id="rId10" Type="http://schemas.openxmlformats.org/officeDocument/2006/relationships/hyperlink" Target="https://www.mckinsey.com/business-functions/mckinsey-digital/our-insights/the-case-for-digital-reinvention" TargetMode="External"/><Relationship Id="rId19" Type="http://schemas.openxmlformats.org/officeDocument/2006/relationships/hyperlink" Target="https://hbr.org/2013/09/the-truth-about-customer-experience" TargetMode="External"/><Relationship Id="rId4" Type="http://schemas.openxmlformats.org/officeDocument/2006/relationships/webSettings" Target="webSettings.xml"/><Relationship Id="rId9" Type="http://schemas.openxmlformats.org/officeDocument/2006/relationships/hyperlink" Target="https://www.moneysavingexpert.com/news/2016/11/car-insurance-companys-plans-to-offer-discounts-based-on-social-media-posts-are-blocked-by-facebook/" TargetMode="External"/><Relationship Id="rId14" Type="http://schemas.openxmlformats.org/officeDocument/2006/relationships/hyperlink" Target="https://www.financedigest.com/why-the-insurance-industry-must-tailor-communications-strategies.html" TargetMode="External"/><Relationship Id="rId22" Type="http://schemas.openxmlformats.org/officeDocument/2006/relationships/hyperlink" Target="https://www.kennedyslaw.com/news/adoption-of-autonomous-vehicles-could-remove-60-of-premiums-from-motor-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2443</Words>
  <Characters>13931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Robert 4</dc:creator>
  <cp:keywords/>
  <dc:description/>
  <cp:lastModifiedBy>DAVIES, Robert 4</cp:lastModifiedBy>
  <cp:revision>3</cp:revision>
  <dcterms:created xsi:type="dcterms:W3CDTF">2020-07-24T12:17:00Z</dcterms:created>
  <dcterms:modified xsi:type="dcterms:W3CDTF">2020-07-24T12:17:00Z</dcterms:modified>
</cp:coreProperties>
</file>