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6B2D35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41163">
        <w:rPr>
          <w:rFonts w:asciiTheme="minorBidi" w:hAnsiTheme="minorBidi"/>
          <w:sz w:val="28"/>
          <w:szCs w:val="28"/>
        </w:rPr>
        <w:t>S</w:t>
      </w:r>
      <w:r w:rsidR="005B2AF3">
        <w:rPr>
          <w:rFonts w:asciiTheme="minorBidi" w:hAnsiTheme="minorBidi"/>
          <w:sz w:val="28"/>
          <w:szCs w:val="28"/>
        </w:rPr>
        <w:t>tephanie Laurisa Chasteau-Nicholas</w:t>
      </w:r>
    </w:p>
    <w:p w14:paraId="485B6F49" w14:textId="17FFBF1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B2AF3">
        <w:rPr>
          <w:rFonts w:asciiTheme="minorBidi" w:hAnsiTheme="minorBidi"/>
          <w:sz w:val="28"/>
          <w:szCs w:val="28"/>
        </w:rPr>
        <w:t xml:space="preserve"> 2509863</w:t>
      </w:r>
    </w:p>
    <w:p w14:paraId="3C1E7A20" w14:textId="4750BC7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B2AF3">
        <w:rPr>
          <w:rFonts w:asciiTheme="minorBidi" w:hAnsiTheme="minorBidi"/>
          <w:sz w:val="28"/>
          <w:szCs w:val="28"/>
        </w:rPr>
        <w:t xml:space="preserve"> </w:t>
      </w:r>
      <w:r w:rsidR="0088201C" w:rsidRPr="0088201C">
        <w:rPr>
          <w:rFonts w:asciiTheme="minorBidi" w:hAnsiTheme="minorBidi"/>
          <w:sz w:val="28"/>
          <w:szCs w:val="28"/>
        </w:rPr>
        <w:t>LCHS4001</w:t>
      </w:r>
    </w:p>
    <w:p w14:paraId="4EEB2DA3" w14:textId="34656AB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F6E2F" w:rsidRPr="006F6E2F">
        <w:rPr>
          <w:rFonts w:asciiTheme="minorBidi" w:hAnsiTheme="minorBidi"/>
          <w:sz w:val="28"/>
          <w:szCs w:val="28"/>
        </w:rPr>
        <w:t>Academic and Employability skills</w:t>
      </w:r>
    </w:p>
    <w:p w14:paraId="112342CB" w14:textId="284E204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24F84">
        <w:rPr>
          <w:rFonts w:asciiTheme="minorBidi" w:hAnsiTheme="minorBidi"/>
          <w:sz w:val="28"/>
          <w:szCs w:val="28"/>
        </w:rPr>
        <w:t>Farah Wiita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A53F62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84DCD">
        <w:rPr>
          <w:rFonts w:asciiTheme="minorBidi" w:hAnsiTheme="minorBidi"/>
          <w:sz w:val="28"/>
          <w:szCs w:val="28"/>
        </w:rPr>
        <w:t>25/12/2025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645549C7"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6F6E2F">
              <w:rPr>
                <w:rStyle w:val="Hyperlink"/>
              </w:rPr>
              <w:t>S</w:t>
            </w:r>
            <w:r w:rsidR="00684460">
              <w:rPr>
                <w:rStyle w:val="Hyperlink"/>
              </w:rPr>
              <w:t>ocial workers</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7139A216"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684460">
              <w:rPr>
                <w:rStyle w:val="Hyperlink"/>
              </w:rPr>
              <w:t>Social workers</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567320A"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84460">
              <w:rPr>
                <w:rStyle w:val="Hyperlink"/>
              </w:rPr>
              <w:t>Social wor</w:t>
            </w:r>
            <w:r w:rsidR="00820C9D">
              <w:rPr>
                <w:rStyle w:val="Hyperlink"/>
              </w:rPr>
              <w:t>ker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485B8319"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F53C9A">
              <w:rPr>
                <w:rStyle w:val="Hyperlink"/>
              </w:rPr>
              <w:t>Social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5D34E7A"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F53C9A">
              <w:rPr>
                <w:rStyle w:val="Hyperlink"/>
              </w:rPr>
              <w:t>Social worker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4DCB414E"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31F9F8C" w14:textId="77777777" w:rsidR="00FD2EFB" w:rsidRPr="00FD2EFB" w:rsidRDefault="00FD2EFB" w:rsidP="00FD2EFB">
      <w:pPr>
        <w:keepNext/>
        <w:keepLines/>
        <w:numPr>
          <w:ilvl w:val="1"/>
          <w:numId w:val="33"/>
        </w:numPr>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lastRenderedPageBreak/>
        <w:t>Introduction</w:t>
      </w:r>
    </w:p>
    <w:p w14:paraId="3F387D06"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Roles within health and social care are essential to the delivery of safe, effective, and person-</w:t>
      </w:r>
      <w:proofErr w:type="spellStart"/>
      <w:r w:rsidRPr="00FD2EFB">
        <w:rPr>
          <w:rFonts w:ascii="Arial" w:eastAsia="Calibri" w:hAnsi="Arial" w:cs="Times New Roman"/>
          <w:kern w:val="0"/>
          <w:sz w:val="22"/>
          <w:lang w:val="en-US" w:eastAsia="en-US"/>
          <w14:ligatures w14:val="none"/>
        </w:rPr>
        <w:t>centred</w:t>
      </w:r>
      <w:proofErr w:type="spellEnd"/>
      <w:r w:rsidRPr="00FD2EFB">
        <w:rPr>
          <w:rFonts w:ascii="Arial" w:eastAsia="Calibri" w:hAnsi="Arial" w:cs="Times New Roman"/>
          <w:kern w:val="0"/>
          <w:sz w:val="22"/>
          <w:lang w:val="en-US" w:eastAsia="en-US"/>
          <w14:ligatures w14:val="none"/>
        </w:rPr>
        <w:t xml:space="preserve"> services. Professionals working in this sector support individuals with complex needs and contribute to safeguarding, wellbeing, and social inclusion. This report focuses on the role of the social worker within the health and social care field. It provides a description of the social worker role, highlighting its importance, key responsibilities, and required skills. The report then examines the most significant skills needed for effective practice, followed by strategies to improve these skills. The report concludes by </w:t>
      </w:r>
      <w:proofErr w:type="spellStart"/>
      <w:r w:rsidRPr="00FD2EFB">
        <w:rPr>
          <w:rFonts w:ascii="Arial" w:eastAsia="Calibri" w:hAnsi="Arial" w:cs="Times New Roman"/>
          <w:kern w:val="0"/>
          <w:sz w:val="22"/>
          <w:lang w:val="en-US" w:eastAsia="en-US"/>
          <w14:ligatures w14:val="none"/>
        </w:rPr>
        <w:t>summarising</w:t>
      </w:r>
      <w:proofErr w:type="spellEnd"/>
      <w:r w:rsidRPr="00FD2EFB">
        <w:rPr>
          <w:rFonts w:ascii="Arial" w:eastAsia="Calibri" w:hAnsi="Arial" w:cs="Times New Roman"/>
          <w:kern w:val="0"/>
          <w:sz w:val="22"/>
          <w:lang w:val="en-US" w:eastAsia="en-US"/>
          <w14:ligatures w14:val="none"/>
        </w:rPr>
        <w:t xml:space="preserve"> the importance of social workers in delivering high-quality care.</w:t>
      </w:r>
    </w:p>
    <w:p w14:paraId="75212DBC"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2. Social Workers in the Health and Social Care Field</w:t>
      </w:r>
    </w:p>
    <w:p w14:paraId="14E48E58"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2.1 Description of a Social Worker in Health and Social Care.</w:t>
      </w:r>
    </w:p>
    <w:p w14:paraId="1F3581FD"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Social workers play a critical role in health and social care by supporting individuals, families, and communities to manage social, emotional, and practical challenges. Their work is essential in promoting safeguarding, independence, and wellbeing, particularly for vulnerable groups such as children, older adults, and individuals with disabilities. The role is important because social workers act as advocates, ensuring service users’ rights are protected while enabling access to appropriate care and support services (BASW, 2022).</w:t>
      </w:r>
    </w:p>
    <w:p w14:paraId="62C88D57"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The main duties of a social worker include assessing individual needs, developing care and support plans, managing risk, and coordinating with multidisciplinary teams. Social workers are also responsible for safeguarding interventions, case management, and maintaining accurate records in line with legal and professional standards. To perform this role effectively, key skills are required, including strong communication skills, empathy, decision-making ability, and ethical awareness. These skills enable social workers to build trusting relationships, make informed judgements, and deliver person-</w:t>
      </w:r>
      <w:proofErr w:type="spellStart"/>
      <w:r w:rsidRPr="00FD2EFB">
        <w:rPr>
          <w:rFonts w:ascii="Arial" w:eastAsia="Calibri" w:hAnsi="Arial" w:cs="Times New Roman"/>
          <w:kern w:val="0"/>
          <w:sz w:val="22"/>
          <w:lang w:val="en-US" w:eastAsia="en-US"/>
          <w14:ligatures w14:val="none"/>
        </w:rPr>
        <w:t>centred</w:t>
      </w:r>
      <w:proofErr w:type="spellEnd"/>
      <w:r w:rsidRPr="00FD2EFB">
        <w:rPr>
          <w:rFonts w:ascii="Arial" w:eastAsia="Calibri" w:hAnsi="Arial" w:cs="Times New Roman"/>
          <w:kern w:val="0"/>
          <w:sz w:val="22"/>
          <w:lang w:val="en-US" w:eastAsia="en-US"/>
          <w14:ligatures w14:val="none"/>
        </w:rPr>
        <w:t xml:space="preserve"> care within complex health and social care environments.</w:t>
      </w:r>
    </w:p>
    <w:p w14:paraId="42E338EB"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2.2 Explanation of the Most Significant Skills Needed for Social Workers in Health and Social Care.</w:t>
      </w:r>
    </w:p>
    <w:p w14:paraId="220B61F2"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Effective communication is one of the most significant skills required for social workers in health and social care. Clear and respectful communication enables social workers to gather accurate information, explain complex processes, and work collaboratively with service users and professionals. This skill is essential when conducting assessments, discussing sensitive issues, and participating in multidisciplinary meetings. For example, effective </w:t>
      </w:r>
      <w:r w:rsidRPr="00FD2EFB">
        <w:rPr>
          <w:rFonts w:ascii="Arial" w:eastAsia="Calibri" w:hAnsi="Arial" w:cs="Times New Roman"/>
          <w:kern w:val="0"/>
          <w:sz w:val="22"/>
          <w:lang w:val="en-US" w:eastAsia="en-US"/>
          <w14:ligatures w14:val="none"/>
        </w:rPr>
        <w:lastRenderedPageBreak/>
        <w:t xml:space="preserve">communication allows a social worker to explain safeguarding procedures to a family </w:t>
      </w:r>
      <w:proofErr w:type="gramStart"/>
      <w:r w:rsidRPr="00FD2EFB">
        <w:rPr>
          <w:rFonts w:ascii="Arial" w:eastAsia="Calibri" w:hAnsi="Arial" w:cs="Times New Roman"/>
          <w:kern w:val="0"/>
          <w:sz w:val="22"/>
          <w:lang w:val="en-US" w:eastAsia="en-US"/>
          <w14:ligatures w14:val="none"/>
        </w:rPr>
        <w:t>in a way that is clear</w:t>
      </w:r>
      <w:proofErr w:type="gramEnd"/>
      <w:r w:rsidRPr="00FD2EFB">
        <w:rPr>
          <w:rFonts w:ascii="Arial" w:eastAsia="Calibri" w:hAnsi="Arial" w:cs="Times New Roman"/>
          <w:kern w:val="0"/>
          <w:sz w:val="22"/>
          <w:lang w:val="en-US" w:eastAsia="en-US"/>
          <w14:ligatures w14:val="none"/>
        </w:rPr>
        <w:t xml:space="preserve"> and supportive. Research highlights that strong communication improves trust and outcomes in social care practice (Trevithick, 2018).</w:t>
      </w:r>
    </w:p>
    <w:p w14:paraId="29B93AD6"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Empathy is another crucial skill for social workers, as it allows professionals to understand service users’ experiences and respond appropriately to their needs. Demonstrating empathy helps build trusting relationships and ensures that care is </w:t>
      </w:r>
      <w:proofErr w:type="gramStart"/>
      <w:r w:rsidRPr="00FD2EFB">
        <w:rPr>
          <w:rFonts w:ascii="Arial" w:eastAsia="Calibri" w:hAnsi="Arial" w:cs="Times New Roman"/>
          <w:kern w:val="0"/>
          <w:sz w:val="22"/>
          <w:lang w:val="en-US" w:eastAsia="en-US"/>
          <w14:ligatures w14:val="none"/>
        </w:rPr>
        <w:t>person-</w:t>
      </w:r>
      <w:proofErr w:type="spellStart"/>
      <w:r w:rsidRPr="00FD2EFB">
        <w:rPr>
          <w:rFonts w:ascii="Arial" w:eastAsia="Calibri" w:hAnsi="Arial" w:cs="Times New Roman"/>
          <w:kern w:val="0"/>
          <w:sz w:val="22"/>
          <w:lang w:val="en-US" w:eastAsia="en-US"/>
          <w14:ligatures w14:val="none"/>
        </w:rPr>
        <w:t>centred</w:t>
      </w:r>
      <w:proofErr w:type="spellEnd"/>
      <w:proofErr w:type="gramEnd"/>
      <w:r w:rsidRPr="00FD2EFB">
        <w:rPr>
          <w:rFonts w:ascii="Arial" w:eastAsia="Calibri" w:hAnsi="Arial" w:cs="Times New Roman"/>
          <w:kern w:val="0"/>
          <w:sz w:val="22"/>
          <w:lang w:val="en-US" w:eastAsia="en-US"/>
          <w14:ligatures w14:val="none"/>
        </w:rPr>
        <w:t xml:space="preserve">. In practice, empathy enables a social worker to </w:t>
      </w:r>
      <w:proofErr w:type="spellStart"/>
      <w:r w:rsidRPr="00FD2EFB">
        <w:rPr>
          <w:rFonts w:ascii="Arial" w:eastAsia="Calibri" w:hAnsi="Arial" w:cs="Times New Roman"/>
          <w:kern w:val="0"/>
          <w:sz w:val="22"/>
          <w:lang w:val="en-US" w:eastAsia="en-US"/>
          <w14:ligatures w14:val="none"/>
        </w:rPr>
        <w:t>recognise</w:t>
      </w:r>
      <w:proofErr w:type="spellEnd"/>
      <w:r w:rsidRPr="00FD2EFB">
        <w:rPr>
          <w:rFonts w:ascii="Arial" w:eastAsia="Calibri" w:hAnsi="Arial" w:cs="Times New Roman"/>
          <w:kern w:val="0"/>
          <w:sz w:val="22"/>
          <w:lang w:val="en-US" w:eastAsia="en-US"/>
          <w14:ligatures w14:val="none"/>
        </w:rPr>
        <w:t xml:space="preserve"> emotional distress and provide appropriate support or referrals. Studies show that empathetic practice improves engagement and satisfaction among service users (Ingram, 2016).</w:t>
      </w:r>
    </w:p>
    <w:p w14:paraId="4212E6E1"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Decision-making and professional judgement are also vital skills within social work practice. Social workers are frequently required to make complex decisions related to safeguarding, risk management, and resource allocation. Effective decision-making involves </w:t>
      </w:r>
      <w:proofErr w:type="spellStart"/>
      <w:r w:rsidRPr="00FD2EFB">
        <w:rPr>
          <w:rFonts w:ascii="Arial" w:eastAsia="Calibri" w:hAnsi="Arial" w:cs="Times New Roman"/>
          <w:kern w:val="0"/>
          <w:sz w:val="22"/>
          <w:lang w:val="en-US" w:eastAsia="en-US"/>
          <w14:ligatures w14:val="none"/>
        </w:rPr>
        <w:t>analysing</w:t>
      </w:r>
      <w:proofErr w:type="spellEnd"/>
      <w:r w:rsidRPr="00FD2EFB">
        <w:rPr>
          <w:rFonts w:ascii="Arial" w:eastAsia="Calibri" w:hAnsi="Arial" w:cs="Times New Roman"/>
          <w:kern w:val="0"/>
          <w:sz w:val="22"/>
          <w:lang w:val="en-US" w:eastAsia="en-US"/>
          <w14:ligatures w14:val="none"/>
        </w:rPr>
        <w:t xml:space="preserve"> information, applying legislation, and considering ethical principles. For example, a social worker may need to decide whether a safeguarding referral is required following an assessment. According to the Social Work England Professional Standards (2023), sound judgement is fundamental to safe and effective practice.</w:t>
      </w:r>
    </w:p>
    <w:p w14:paraId="6A3015FC"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When social workers lack these skills, serious consequences can occur. Poor communication may lead to misunderstandings or incomplete assessments, while a lack of empathy can damage trust and engagement. Weak decision-making skills can result in unsafe practice, putting service users at risk. Therefore, developing and maintaining these skills is essential for high-quality care delivery within health and social care settings.</w:t>
      </w:r>
    </w:p>
    <w:p w14:paraId="51C852FE"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3. Strategies for Skill Improvement for Social Workers</w:t>
      </w:r>
    </w:p>
    <w:p w14:paraId="0D24AA13"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3.1 Three Strategies to Improve Skills for Social Workers</w:t>
      </w:r>
    </w:p>
    <w:p w14:paraId="529D5F89"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Continuous professional development is an effective strategy for improving communication skills in social work practice. Training </w:t>
      </w:r>
      <w:proofErr w:type="spellStart"/>
      <w:r w:rsidRPr="00FD2EFB">
        <w:rPr>
          <w:rFonts w:ascii="Arial" w:eastAsia="Calibri" w:hAnsi="Arial" w:cs="Times New Roman"/>
          <w:kern w:val="0"/>
          <w:sz w:val="22"/>
          <w:lang w:val="en-US" w:eastAsia="en-US"/>
          <w14:ligatures w14:val="none"/>
        </w:rPr>
        <w:t>programmes</w:t>
      </w:r>
      <w:proofErr w:type="spellEnd"/>
      <w:r w:rsidRPr="00FD2EFB">
        <w:rPr>
          <w:rFonts w:ascii="Arial" w:eastAsia="Calibri" w:hAnsi="Arial" w:cs="Times New Roman"/>
          <w:kern w:val="0"/>
          <w:sz w:val="22"/>
          <w:lang w:val="en-US" w:eastAsia="en-US"/>
          <w14:ligatures w14:val="none"/>
        </w:rPr>
        <w:t>, workshops, and reflective learning sessions help social workers enhance listening skills, improve written communication, and adapt communication styles to different service users. For example, communication training focused on working with vulnerable adults can improve clarity and sensitivity in practice. Evidence suggests that ongoing professional development improves competence and confidence in social care roles (Skills for Care, 2022).</w:t>
      </w:r>
    </w:p>
    <w:p w14:paraId="7A66F34B"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Supervision and reflective practice are key strategies for developing empathy in social workers. Regular supervision provides opportunities to </w:t>
      </w:r>
      <w:proofErr w:type="gramStart"/>
      <w:r w:rsidRPr="00FD2EFB">
        <w:rPr>
          <w:rFonts w:ascii="Arial" w:eastAsia="Calibri" w:hAnsi="Arial" w:cs="Times New Roman"/>
          <w:kern w:val="0"/>
          <w:sz w:val="22"/>
          <w:lang w:val="en-US" w:eastAsia="en-US"/>
          <w14:ligatures w14:val="none"/>
        </w:rPr>
        <w:t>reflect on</w:t>
      </w:r>
      <w:proofErr w:type="gramEnd"/>
      <w:r w:rsidRPr="00FD2EFB">
        <w:rPr>
          <w:rFonts w:ascii="Arial" w:eastAsia="Calibri" w:hAnsi="Arial" w:cs="Times New Roman"/>
          <w:kern w:val="0"/>
          <w:sz w:val="22"/>
          <w:lang w:val="en-US" w:eastAsia="en-US"/>
          <w14:ligatures w14:val="none"/>
        </w:rPr>
        <w:t xml:space="preserve"> emotional responses, </w:t>
      </w:r>
      <w:r w:rsidRPr="00FD2EFB">
        <w:rPr>
          <w:rFonts w:ascii="Arial" w:eastAsia="Calibri" w:hAnsi="Arial" w:cs="Times New Roman"/>
          <w:kern w:val="0"/>
          <w:sz w:val="22"/>
          <w:lang w:val="en-US" w:eastAsia="en-US"/>
          <w14:ligatures w14:val="none"/>
        </w:rPr>
        <w:lastRenderedPageBreak/>
        <w:t>challenge assumptions, and improve understanding of service users’ experiences. Reflective practice encourages learning from real cases and promotes emotional resilience. In practice, supervision allows social workers to discuss complex cases and receive guidance on managing emotional challenges. Research shows that reflective supervision supports empathetic and ethical practice (Morrison, 2017).</w:t>
      </w:r>
    </w:p>
    <w:p w14:paraId="5A906CFF"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Mentoring and case-based learning are effective strategies for improving decision-making skills. Working alongside experienced practitioners allows social workers to observe best practice, discuss case decisions, and understand the application of legislation and policy. For example, mentoring can support newly qualified social workers in making safeguarding decisions with confidence. Studies indicate that mentoring enhances professional judgement and reduces errors in practice (Munro, 2019). Implementing these strategies supports skill development and contributes to safer, higher-quality health and social care services.</w:t>
      </w:r>
    </w:p>
    <w:p w14:paraId="71B24A13" w14:textId="77777777" w:rsidR="00FD2EFB" w:rsidRPr="00FD2EFB" w:rsidRDefault="00FD2EFB" w:rsidP="00FD2EFB">
      <w:pPr>
        <w:keepNext/>
        <w:keepLines/>
        <w:spacing w:before="480" w:after="0" w:line="360" w:lineRule="auto"/>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t>4. Conclusion</w:t>
      </w:r>
    </w:p>
    <w:p w14:paraId="5FD0BA21" w14:textId="77777777" w:rsid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Social workers play a vital role in the health and social care sector by supporting vulnerable individuals and promoting safe, person-</w:t>
      </w:r>
      <w:proofErr w:type="spellStart"/>
      <w:r w:rsidRPr="00FD2EFB">
        <w:rPr>
          <w:rFonts w:ascii="Arial" w:eastAsia="Calibri" w:hAnsi="Arial" w:cs="Times New Roman"/>
          <w:kern w:val="0"/>
          <w:sz w:val="22"/>
          <w:lang w:val="en-US" w:eastAsia="en-US"/>
          <w14:ligatures w14:val="none"/>
        </w:rPr>
        <w:t>centred</w:t>
      </w:r>
      <w:proofErr w:type="spellEnd"/>
      <w:r w:rsidRPr="00FD2EFB">
        <w:rPr>
          <w:rFonts w:ascii="Arial" w:eastAsia="Calibri" w:hAnsi="Arial" w:cs="Times New Roman"/>
          <w:kern w:val="0"/>
          <w:sz w:val="22"/>
          <w:lang w:val="en-US" w:eastAsia="en-US"/>
          <w14:ligatures w14:val="none"/>
        </w:rPr>
        <w:t xml:space="preserve"> care. This report has highlighted the importance of the social worker role, key responsibilities, and the most significant skills required for effective practice. Communication, empathy, and decision-making have been identified as essential skills, alongside strategies to improve them through training, supervision, and mentoring. Strengthening these skills supports high-quality service delivery and safeguards service users. Effective social work practice remains central to maintaining standards and improving outcomes within health and social care.</w:t>
      </w:r>
    </w:p>
    <w:p w14:paraId="6CC65C96"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360B0C48"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7CC36AFD"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5DBFB1E7"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37F90FDF"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5D5AB05D"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02354E9F"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2DA12A25" w14:textId="77777777" w:rsidR="00FD2EFB" w:rsidRDefault="00FD2EFB" w:rsidP="00FD2EFB">
      <w:pPr>
        <w:spacing w:after="200" w:line="360" w:lineRule="auto"/>
        <w:rPr>
          <w:rFonts w:ascii="Arial" w:eastAsia="Calibri" w:hAnsi="Arial" w:cs="Times New Roman"/>
          <w:kern w:val="0"/>
          <w:sz w:val="22"/>
          <w:lang w:val="en-US" w:eastAsia="en-US"/>
          <w14:ligatures w14:val="none"/>
        </w:rPr>
      </w:pPr>
    </w:p>
    <w:p w14:paraId="7AF691C1"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p>
    <w:p w14:paraId="65816E4F" w14:textId="77777777" w:rsidR="00FD2EFB" w:rsidRPr="00FD2EFB" w:rsidRDefault="00FD2EFB" w:rsidP="00FD2EFB">
      <w:pPr>
        <w:keepNext/>
        <w:keepLines/>
        <w:spacing w:before="480" w:after="0" w:line="360" w:lineRule="auto"/>
        <w:jc w:val="center"/>
        <w:outlineLvl w:val="0"/>
        <w:rPr>
          <w:rFonts w:ascii="Arial" w:eastAsia="Times New Roman" w:hAnsi="Arial" w:cs="Times New Roman"/>
          <w:b/>
          <w:bCs/>
          <w:kern w:val="0"/>
          <w:sz w:val="22"/>
          <w:szCs w:val="28"/>
          <w:lang w:val="en-US" w:eastAsia="en-US"/>
          <w14:ligatures w14:val="none"/>
        </w:rPr>
      </w:pPr>
      <w:r w:rsidRPr="00FD2EFB">
        <w:rPr>
          <w:rFonts w:ascii="Arial" w:eastAsia="Times New Roman" w:hAnsi="Arial" w:cs="Times New Roman"/>
          <w:b/>
          <w:bCs/>
          <w:kern w:val="0"/>
          <w:sz w:val="22"/>
          <w:szCs w:val="28"/>
          <w:lang w:val="en-US" w:eastAsia="en-US"/>
          <w14:ligatures w14:val="none"/>
        </w:rPr>
        <w:lastRenderedPageBreak/>
        <w:t>Reference List</w:t>
      </w:r>
    </w:p>
    <w:p w14:paraId="3171C33D"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BASW (2022) </w:t>
      </w:r>
      <w:r w:rsidRPr="00FD2EFB">
        <w:rPr>
          <w:rFonts w:ascii="Arial" w:eastAsia="Calibri" w:hAnsi="Arial" w:cs="Times New Roman"/>
          <w:i/>
          <w:iCs/>
          <w:kern w:val="0"/>
          <w:sz w:val="22"/>
          <w:lang w:val="en-US" w:eastAsia="en-US"/>
          <w14:ligatures w14:val="none"/>
        </w:rPr>
        <w:t>The role of social workers in health and social care</w:t>
      </w:r>
      <w:r w:rsidRPr="00FD2EFB">
        <w:rPr>
          <w:rFonts w:ascii="Arial" w:eastAsia="Calibri" w:hAnsi="Arial" w:cs="Times New Roman"/>
          <w:kern w:val="0"/>
          <w:sz w:val="22"/>
          <w:lang w:val="en-US" w:eastAsia="en-US"/>
          <w14:ligatures w14:val="none"/>
        </w:rPr>
        <w:t>. British Association of Social Workers.</w:t>
      </w:r>
    </w:p>
    <w:p w14:paraId="745BBC45"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Ingram, R. (2016) </w:t>
      </w:r>
      <w:r w:rsidRPr="00FD2EFB">
        <w:rPr>
          <w:rFonts w:ascii="Arial" w:eastAsia="Calibri" w:hAnsi="Arial" w:cs="Times New Roman"/>
          <w:i/>
          <w:iCs/>
          <w:kern w:val="0"/>
          <w:sz w:val="22"/>
          <w:lang w:val="en-US" w:eastAsia="en-US"/>
          <w14:ligatures w14:val="none"/>
        </w:rPr>
        <w:t>Emotions, social work and social care</w:t>
      </w:r>
      <w:r w:rsidRPr="00FD2EFB">
        <w:rPr>
          <w:rFonts w:ascii="Arial" w:eastAsia="Calibri" w:hAnsi="Arial" w:cs="Times New Roman"/>
          <w:kern w:val="0"/>
          <w:sz w:val="22"/>
          <w:lang w:val="en-US" w:eastAsia="en-US"/>
          <w14:ligatures w14:val="none"/>
        </w:rPr>
        <w:t>. London: Palgrave Macmillan.</w:t>
      </w:r>
    </w:p>
    <w:p w14:paraId="7E529D59"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Morrison, T. (2017) </w:t>
      </w:r>
      <w:r w:rsidRPr="00FD2EFB">
        <w:rPr>
          <w:rFonts w:ascii="Arial" w:eastAsia="Calibri" w:hAnsi="Arial" w:cs="Times New Roman"/>
          <w:i/>
          <w:iCs/>
          <w:kern w:val="0"/>
          <w:sz w:val="22"/>
          <w:lang w:val="en-US" w:eastAsia="en-US"/>
          <w14:ligatures w14:val="none"/>
        </w:rPr>
        <w:t>Effective supervision in social work</w:t>
      </w:r>
      <w:r w:rsidRPr="00FD2EFB">
        <w:rPr>
          <w:rFonts w:ascii="Arial" w:eastAsia="Calibri" w:hAnsi="Arial" w:cs="Times New Roman"/>
          <w:kern w:val="0"/>
          <w:sz w:val="22"/>
          <w:lang w:val="en-US" w:eastAsia="en-US"/>
          <w14:ligatures w14:val="none"/>
        </w:rPr>
        <w:t xml:space="preserve">. 2nd </w:t>
      </w:r>
      <w:proofErr w:type="spellStart"/>
      <w:proofErr w:type="gramStart"/>
      <w:r w:rsidRPr="00FD2EFB">
        <w:rPr>
          <w:rFonts w:ascii="Arial" w:eastAsia="Calibri" w:hAnsi="Arial" w:cs="Times New Roman"/>
          <w:kern w:val="0"/>
          <w:sz w:val="22"/>
          <w:lang w:val="en-US" w:eastAsia="en-US"/>
          <w14:ligatures w14:val="none"/>
        </w:rPr>
        <w:t>edn</w:t>
      </w:r>
      <w:proofErr w:type="spellEnd"/>
      <w:proofErr w:type="gramEnd"/>
      <w:r w:rsidRPr="00FD2EFB">
        <w:rPr>
          <w:rFonts w:ascii="Arial" w:eastAsia="Calibri" w:hAnsi="Arial" w:cs="Times New Roman"/>
          <w:kern w:val="0"/>
          <w:sz w:val="22"/>
          <w:lang w:val="en-US" w:eastAsia="en-US"/>
          <w14:ligatures w14:val="none"/>
        </w:rPr>
        <w:t>. London: Sage.</w:t>
      </w:r>
    </w:p>
    <w:p w14:paraId="426B49F5"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Munro, E. (2019) </w:t>
      </w:r>
      <w:r w:rsidRPr="00FD2EFB">
        <w:rPr>
          <w:rFonts w:ascii="Arial" w:eastAsia="Calibri" w:hAnsi="Arial" w:cs="Times New Roman"/>
          <w:i/>
          <w:iCs/>
          <w:kern w:val="0"/>
          <w:sz w:val="22"/>
          <w:lang w:val="en-US" w:eastAsia="en-US"/>
          <w14:ligatures w14:val="none"/>
        </w:rPr>
        <w:t>Decision-making in social work</w:t>
      </w:r>
      <w:r w:rsidRPr="00FD2EFB">
        <w:rPr>
          <w:rFonts w:ascii="Arial" w:eastAsia="Calibri" w:hAnsi="Arial" w:cs="Times New Roman"/>
          <w:kern w:val="0"/>
          <w:sz w:val="22"/>
          <w:lang w:val="en-US" w:eastAsia="en-US"/>
          <w14:ligatures w14:val="none"/>
        </w:rPr>
        <w:t xml:space="preserve">. London: Department </w:t>
      </w:r>
      <w:proofErr w:type="gramStart"/>
      <w:r w:rsidRPr="00FD2EFB">
        <w:rPr>
          <w:rFonts w:ascii="Arial" w:eastAsia="Calibri" w:hAnsi="Arial" w:cs="Times New Roman"/>
          <w:kern w:val="0"/>
          <w:sz w:val="22"/>
          <w:lang w:val="en-US" w:eastAsia="en-US"/>
          <w14:ligatures w14:val="none"/>
        </w:rPr>
        <w:t>for</w:t>
      </w:r>
      <w:proofErr w:type="gramEnd"/>
      <w:r w:rsidRPr="00FD2EFB">
        <w:rPr>
          <w:rFonts w:ascii="Arial" w:eastAsia="Calibri" w:hAnsi="Arial" w:cs="Times New Roman"/>
          <w:kern w:val="0"/>
          <w:sz w:val="22"/>
          <w:lang w:val="en-US" w:eastAsia="en-US"/>
          <w14:ligatures w14:val="none"/>
        </w:rPr>
        <w:t xml:space="preserve"> Education.</w:t>
      </w:r>
    </w:p>
    <w:p w14:paraId="290101C4"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Skills for Care (2022) </w:t>
      </w:r>
      <w:r w:rsidRPr="00FD2EFB">
        <w:rPr>
          <w:rFonts w:ascii="Arial" w:eastAsia="Calibri" w:hAnsi="Arial" w:cs="Times New Roman"/>
          <w:i/>
          <w:iCs/>
          <w:kern w:val="0"/>
          <w:sz w:val="22"/>
          <w:lang w:val="en-US" w:eastAsia="en-US"/>
          <w14:ligatures w14:val="none"/>
        </w:rPr>
        <w:t>Continuing professional development for social care workers</w:t>
      </w:r>
      <w:r w:rsidRPr="00FD2EFB">
        <w:rPr>
          <w:rFonts w:ascii="Arial" w:eastAsia="Calibri" w:hAnsi="Arial" w:cs="Times New Roman"/>
          <w:kern w:val="0"/>
          <w:sz w:val="22"/>
          <w:lang w:val="en-US" w:eastAsia="en-US"/>
          <w14:ligatures w14:val="none"/>
        </w:rPr>
        <w:t>. Leeds: Skills for Care.</w:t>
      </w:r>
    </w:p>
    <w:p w14:paraId="26AD73CD"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Social Work England (2023) </w:t>
      </w:r>
      <w:r w:rsidRPr="00FD2EFB">
        <w:rPr>
          <w:rFonts w:ascii="Arial" w:eastAsia="Calibri" w:hAnsi="Arial" w:cs="Times New Roman"/>
          <w:i/>
          <w:iCs/>
          <w:kern w:val="0"/>
          <w:sz w:val="22"/>
          <w:lang w:val="en-US" w:eastAsia="en-US"/>
          <w14:ligatures w14:val="none"/>
        </w:rPr>
        <w:t>Professional standards</w:t>
      </w:r>
      <w:r w:rsidRPr="00FD2EFB">
        <w:rPr>
          <w:rFonts w:ascii="Arial" w:eastAsia="Calibri" w:hAnsi="Arial" w:cs="Times New Roman"/>
          <w:kern w:val="0"/>
          <w:sz w:val="22"/>
          <w:lang w:val="en-US" w:eastAsia="en-US"/>
          <w14:ligatures w14:val="none"/>
        </w:rPr>
        <w:t xml:space="preserve">. Available at: </w:t>
      </w:r>
      <w:hyperlink r:id="rId9" w:history="1">
        <w:r w:rsidRPr="00FD2EFB">
          <w:rPr>
            <w:rFonts w:ascii="Arial" w:eastAsia="Calibri" w:hAnsi="Arial" w:cs="Times New Roman"/>
            <w:color w:val="0000FF"/>
            <w:kern w:val="0"/>
            <w:sz w:val="22"/>
            <w:u w:val="single"/>
            <w:lang w:val="en-US" w:eastAsia="en-US"/>
            <w14:ligatures w14:val="none"/>
          </w:rPr>
          <w:t>www.socialworkengland.org.uk</w:t>
        </w:r>
      </w:hyperlink>
    </w:p>
    <w:p w14:paraId="674050C5" w14:textId="77777777" w:rsidR="00FD2EFB" w:rsidRPr="00FD2EFB" w:rsidRDefault="00FD2EFB" w:rsidP="00FD2EFB">
      <w:pPr>
        <w:spacing w:after="200" w:line="360" w:lineRule="auto"/>
        <w:rPr>
          <w:rFonts w:ascii="Arial" w:eastAsia="Calibri" w:hAnsi="Arial" w:cs="Times New Roman"/>
          <w:kern w:val="0"/>
          <w:sz w:val="22"/>
          <w:lang w:val="en-US" w:eastAsia="en-US"/>
          <w14:ligatures w14:val="none"/>
        </w:rPr>
      </w:pPr>
      <w:r w:rsidRPr="00FD2EFB">
        <w:rPr>
          <w:rFonts w:ascii="Arial" w:eastAsia="Calibri" w:hAnsi="Arial" w:cs="Times New Roman"/>
          <w:kern w:val="0"/>
          <w:sz w:val="22"/>
          <w:lang w:val="en-US" w:eastAsia="en-US"/>
          <w14:ligatures w14:val="none"/>
        </w:rPr>
        <w:t xml:space="preserve">Trevithick, P. (2018) </w:t>
      </w:r>
      <w:r w:rsidRPr="00FD2EFB">
        <w:rPr>
          <w:rFonts w:ascii="Arial" w:eastAsia="Calibri" w:hAnsi="Arial" w:cs="Times New Roman"/>
          <w:i/>
          <w:iCs/>
          <w:kern w:val="0"/>
          <w:sz w:val="22"/>
          <w:lang w:val="en-US" w:eastAsia="en-US"/>
          <w14:ligatures w14:val="none"/>
        </w:rPr>
        <w:t>Social work skills and knowledge</w:t>
      </w:r>
      <w:r w:rsidRPr="00FD2EFB">
        <w:rPr>
          <w:rFonts w:ascii="Arial" w:eastAsia="Calibri" w:hAnsi="Arial" w:cs="Times New Roman"/>
          <w:kern w:val="0"/>
          <w:sz w:val="22"/>
          <w:lang w:val="en-US" w:eastAsia="en-US"/>
          <w14:ligatures w14:val="none"/>
        </w:rPr>
        <w:t xml:space="preserve">. 4th </w:t>
      </w:r>
      <w:proofErr w:type="spellStart"/>
      <w:proofErr w:type="gramStart"/>
      <w:r w:rsidRPr="00FD2EFB">
        <w:rPr>
          <w:rFonts w:ascii="Arial" w:eastAsia="Calibri" w:hAnsi="Arial" w:cs="Times New Roman"/>
          <w:kern w:val="0"/>
          <w:sz w:val="22"/>
          <w:lang w:val="en-US" w:eastAsia="en-US"/>
          <w14:ligatures w14:val="none"/>
        </w:rPr>
        <w:t>edn</w:t>
      </w:r>
      <w:proofErr w:type="spellEnd"/>
      <w:proofErr w:type="gramEnd"/>
      <w:r w:rsidRPr="00FD2EFB">
        <w:rPr>
          <w:rFonts w:ascii="Arial" w:eastAsia="Calibri" w:hAnsi="Arial" w:cs="Times New Roman"/>
          <w:kern w:val="0"/>
          <w:sz w:val="22"/>
          <w:lang w:val="en-US" w:eastAsia="en-US"/>
          <w14:ligatures w14:val="none"/>
        </w:rPr>
        <w:t>. Maidenhead: Open University Press.</w:t>
      </w:r>
    </w:p>
    <w:p w14:paraId="1D0F2D59" w14:textId="04FD5966" w:rsidR="004552CE" w:rsidRPr="005E44B5" w:rsidRDefault="004552CE" w:rsidP="005E44B5">
      <w:pPr>
        <w:rPr>
          <w:color w:val="FF0000"/>
        </w:rPr>
      </w:pPr>
    </w:p>
    <w:sectPr w:rsidR="004552CE" w:rsidRPr="005E44B5"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6FA153A"/>
    <w:lvl w:ilvl="0" w:tplc="9BD81E4A">
      <w:start w:val="1"/>
      <w:numFmt w:val="bullet"/>
      <w:lvlText w:val=""/>
      <w:lvlJc w:val="left"/>
      <w:pPr>
        <w:ind w:left="720" w:hanging="360"/>
      </w:pPr>
      <w:rPr>
        <w:rFonts w:ascii="Symbol" w:hAnsi="Symbol" w:hint="default"/>
      </w:rPr>
    </w:lvl>
    <w:lvl w:ilvl="1" w:tplc="6B6C886A">
      <w:start w:val="1"/>
      <w:numFmt w:val="bullet"/>
      <w:lvlText w:val="o"/>
      <w:lvlJc w:val="left"/>
      <w:pPr>
        <w:ind w:left="1440" w:hanging="360"/>
      </w:pPr>
      <w:rPr>
        <w:rFonts w:ascii="Courier New" w:hAnsi="Courier New" w:hint="default"/>
      </w:rPr>
    </w:lvl>
    <w:lvl w:ilvl="2" w:tplc="B978AAA0">
      <w:start w:val="1"/>
      <w:numFmt w:val="bullet"/>
      <w:lvlText w:val=""/>
      <w:lvlJc w:val="left"/>
      <w:pPr>
        <w:ind w:left="2160" w:hanging="360"/>
      </w:pPr>
      <w:rPr>
        <w:rFonts w:ascii="Wingdings" w:hAnsi="Wingdings" w:hint="default"/>
      </w:rPr>
    </w:lvl>
    <w:lvl w:ilvl="3" w:tplc="5540D33E">
      <w:start w:val="1"/>
      <w:numFmt w:val="bullet"/>
      <w:lvlText w:val=""/>
      <w:lvlJc w:val="left"/>
      <w:pPr>
        <w:ind w:left="2880" w:hanging="360"/>
      </w:pPr>
      <w:rPr>
        <w:rFonts w:ascii="Symbol" w:hAnsi="Symbol" w:hint="default"/>
      </w:rPr>
    </w:lvl>
    <w:lvl w:ilvl="4" w:tplc="9DF0908A">
      <w:start w:val="1"/>
      <w:numFmt w:val="bullet"/>
      <w:lvlText w:val="o"/>
      <w:lvlJc w:val="left"/>
      <w:pPr>
        <w:ind w:left="3600" w:hanging="360"/>
      </w:pPr>
      <w:rPr>
        <w:rFonts w:ascii="Courier New" w:hAnsi="Courier New" w:hint="default"/>
      </w:rPr>
    </w:lvl>
    <w:lvl w:ilvl="5" w:tplc="62FE2C2C">
      <w:start w:val="1"/>
      <w:numFmt w:val="bullet"/>
      <w:lvlText w:val=""/>
      <w:lvlJc w:val="left"/>
      <w:pPr>
        <w:ind w:left="4320" w:hanging="360"/>
      </w:pPr>
      <w:rPr>
        <w:rFonts w:ascii="Wingdings" w:hAnsi="Wingdings" w:hint="default"/>
      </w:rPr>
    </w:lvl>
    <w:lvl w:ilvl="6" w:tplc="1C9C1166">
      <w:start w:val="1"/>
      <w:numFmt w:val="bullet"/>
      <w:lvlText w:val=""/>
      <w:lvlJc w:val="left"/>
      <w:pPr>
        <w:ind w:left="5040" w:hanging="360"/>
      </w:pPr>
      <w:rPr>
        <w:rFonts w:ascii="Symbol" w:hAnsi="Symbol" w:hint="default"/>
      </w:rPr>
    </w:lvl>
    <w:lvl w:ilvl="7" w:tplc="B816D132">
      <w:start w:val="1"/>
      <w:numFmt w:val="bullet"/>
      <w:lvlText w:val="o"/>
      <w:lvlJc w:val="left"/>
      <w:pPr>
        <w:ind w:left="5760" w:hanging="360"/>
      </w:pPr>
      <w:rPr>
        <w:rFonts w:ascii="Courier New" w:hAnsi="Courier New" w:hint="default"/>
      </w:rPr>
    </w:lvl>
    <w:lvl w:ilvl="8" w:tplc="F4C8374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BBAAE36"/>
    <w:lvl w:ilvl="0" w:tplc="CC903632">
      <w:start w:val="1"/>
      <w:numFmt w:val="bullet"/>
      <w:lvlText w:val=""/>
      <w:lvlJc w:val="left"/>
      <w:pPr>
        <w:ind w:left="720" w:hanging="360"/>
      </w:pPr>
      <w:rPr>
        <w:rFonts w:ascii="Symbol" w:hAnsi="Symbol" w:hint="default"/>
      </w:rPr>
    </w:lvl>
    <w:lvl w:ilvl="1" w:tplc="A98CDBC8">
      <w:start w:val="1"/>
      <w:numFmt w:val="bullet"/>
      <w:lvlText w:val="o"/>
      <w:lvlJc w:val="left"/>
      <w:pPr>
        <w:ind w:left="1440" w:hanging="360"/>
      </w:pPr>
      <w:rPr>
        <w:rFonts w:ascii="Courier New" w:hAnsi="Courier New" w:hint="default"/>
      </w:rPr>
    </w:lvl>
    <w:lvl w:ilvl="2" w:tplc="2EB8B6AE">
      <w:start w:val="1"/>
      <w:numFmt w:val="bullet"/>
      <w:lvlText w:val=""/>
      <w:lvlJc w:val="left"/>
      <w:pPr>
        <w:ind w:left="2160" w:hanging="360"/>
      </w:pPr>
      <w:rPr>
        <w:rFonts w:ascii="Wingdings" w:hAnsi="Wingdings" w:hint="default"/>
      </w:rPr>
    </w:lvl>
    <w:lvl w:ilvl="3" w:tplc="C2D6FF78">
      <w:start w:val="1"/>
      <w:numFmt w:val="bullet"/>
      <w:lvlText w:val=""/>
      <w:lvlJc w:val="left"/>
      <w:pPr>
        <w:ind w:left="2880" w:hanging="360"/>
      </w:pPr>
      <w:rPr>
        <w:rFonts w:ascii="Symbol" w:hAnsi="Symbol" w:hint="default"/>
      </w:rPr>
    </w:lvl>
    <w:lvl w:ilvl="4" w:tplc="39AE466E">
      <w:start w:val="1"/>
      <w:numFmt w:val="bullet"/>
      <w:lvlText w:val="o"/>
      <w:lvlJc w:val="left"/>
      <w:pPr>
        <w:ind w:left="3600" w:hanging="360"/>
      </w:pPr>
      <w:rPr>
        <w:rFonts w:ascii="Courier New" w:hAnsi="Courier New" w:hint="default"/>
      </w:rPr>
    </w:lvl>
    <w:lvl w:ilvl="5" w:tplc="51EE8D1A">
      <w:start w:val="1"/>
      <w:numFmt w:val="bullet"/>
      <w:lvlText w:val=""/>
      <w:lvlJc w:val="left"/>
      <w:pPr>
        <w:ind w:left="4320" w:hanging="360"/>
      </w:pPr>
      <w:rPr>
        <w:rFonts w:ascii="Wingdings" w:hAnsi="Wingdings" w:hint="default"/>
      </w:rPr>
    </w:lvl>
    <w:lvl w:ilvl="6" w:tplc="90688EAC">
      <w:start w:val="1"/>
      <w:numFmt w:val="bullet"/>
      <w:lvlText w:val=""/>
      <w:lvlJc w:val="left"/>
      <w:pPr>
        <w:ind w:left="5040" w:hanging="360"/>
      </w:pPr>
      <w:rPr>
        <w:rFonts w:ascii="Symbol" w:hAnsi="Symbol" w:hint="default"/>
      </w:rPr>
    </w:lvl>
    <w:lvl w:ilvl="7" w:tplc="D23614F2">
      <w:start w:val="1"/>
      <w:numFmt w:val="bullet"/>
      <w:lvlText w:val="o"/>
      <w:lvlJc w:val="left"/>
      <w:pPr>
        <w:ind w:left="5760" w:hanging="360"/>
      </w:pPr>
      <w:rPr>
        <w:rFonts w:ascii="Courier New" w:hAnsi="Courier New" w:hint="default"/>
      </w:rPr>
    </w:lvl>
    <w:lvl w:ilvl="8" w:tplc="DDD8372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A2C262A0"/>
    <w:lvl w:ilvl="0" w:tplc="3032795E">
      <w:start w:val="1"/>
      <w:numFmt w:val="bullet"/>
      <w:lvlText w:val=""/>
      <w:lvlJc w:val="left"/>
      <w:pPr>
        <w:ind w:left="720" w:hanging="360"/>
      </w:pPr>
      <w:rPr>
        <w:rFonts w:ascii="Symbol" w:hAnsi="Symbol" w:hint="default"/>
      </w:rPr>
    </w:lvl>
    <w:lvl w:ilvl="1" w:tplc="9822B7A6">
      <w:start w:val="1"/>
      <w:numFmt w:val="bullet"/>
      <w:lvlText w:val="o"/>
      <w:lvlJc w:val="left"/>
      <w:pPr>
        <w:ind w:left="1440" w:hanging="360"/>
      </w:pPr>
      <w:rPr>
        <w:rFonts w:ascii="Courier New" w:hAnsi="Courier New" w:hint="default"/>
      </w:rPr>
    </w:lvl>
    <w:lvl w:ilvl="2" w:tplc="0B2CE2A6">
      <w:start w:val="1"/>
      <w:numFmt w:val="bullet"/>
      <w:lvlText w:val=""/>
      <w:lvlJc w:val="left"/>
      <w:pPr>
        <w:ind w:left="2160" w:hanging="360"/>
      </w:pPr>
      <w:rPr>
        <w:rFonts w:ascii="Wingdings" w:hAnsi="Wingdings" w:hint="default"/>
      </w:rPr>
    </w:lvl>
    <w:lvl w:ilvl="3" w:tplc="9B047BF4">
      <w:start w:val="1"/>
      <w:numFmt w:val="bullet"/>
      <w:lvlText w:val=""/>
      <w:lvlJc w:val="left"/>
      <w:pPr>
        <w:ind w:left="2880" w:hanging="360"/>
      </w:pPr>
      <w:rPr>
        <w:rFonts w:ascii="Symbol" w:hAnsi="Symbol" w:hint="default"/>
      </w:rPr>
    </w:lvl>
    <w:lvl w:ilvl="4" w:tplc="BEFA0E52">
      <w:start w:val="1"/>
      <w:numFmt w:val="bullet"/>
      <w:lvlText w:val="o"/>
      <w:lvlJc w:val="left"/>
      <w:pPr>
        <w:ind w:left="3600" w:hanging="360"/>
      </w:pPr>
      <w:rPr>
        <w:rFonts w:ascii="Courier New" w:hAnsi="Courier New" w:hint="default"/>
      </w:rPr>
    </w:lvl>
    <w:lvl w:ilvl="5" w:tplc="A55C4492">
      <w:start w:val="1"/>
      <w:numFmt w:val="bullet"/>
      <w:lvlText w:val=""/>
      <w:lvlJc w:val="left"/>
      <w:pPr>
        <w:ind w:left="4320" w:hanging="360"/>
      </w:pPr>
      <w:rPr>
        <w:rFonts w:ascii="Wingdings" w:hAnsi="Wingdings" w:hint="default"/>
      </w:rPr>
    </w:lvl>
    <w:lvl w:ilvl="6" w:tplc="218E9A3C">
      <w:start w:val="1"/>
      <w:numFmt w:val="bullet"/>
      <w:lvlText w:val=""/>
      <w:lvlJc w:val="left"/>
      <w:pPr>
        <w:ind w:left="5040" w:hanging="360"/>
      </w:pPr>
      <w:rPr>
        <w:rFonts w:ascii="Symbol" w:hAnsi="Symbol" w:hint="default"/>
      </w:rPr>
    </w:lvl>
    <w:lvl w:ilvl="7" w:tplc="892A7160">
      <w:start w:val="1"/>
      <w:numFmt w:val="bullet"/>
      <w:lvlText w:val="o"/>
      <w:lvlJc w:val="left"/>
      <w:pPr>
        <w:ind w:left="5760" w:hanging="360"/>
      </w:pPr>
      <w:rPr>
        <w:rFonts w:ascii="Courier New" w:hAnsi="Courier New" w:hint="default"/>
      </w:rPr>
    </w:lvl>
    <w:lvl w:ilvl="8" w:tplc="CE26015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8D2241A"/>
    <w:lvl w:ilvl="0" w:tplc="4208C1E2">
      <w:start w:val="1"/>
      <w:numFmt w:val="bullet"/>
      <w:lvlText w:val=""/>
      <w:lvlJc w:val="left"/>
      <w:pPr>
        <w:ind w:left="720" w:hanging="360"/>
      </w:pPr>
      <w:rPr>
        <w:rFonts w:ascii="Symbol" w:hAnsi="Symbol" w:hint="default"/>
      </w:rPr>
    </w:lvl>
    <w:lvl w:ilvl="1" w:tplc="9C7E340C">
      <w:start w:val="1"/>
      <w:numFmt w:val="bullet"/>
      <w:lvlText w:val="o"/>
      <w:lvlJc w:val="left"/>
      <w:pPr>
        <w:ind w:left="1440" w:hanging="360"/>
      </w:pPr>
      <w:rPr>
        <w:rFonts w:ascii="Courier New" w:hAnsi="Courier New" w:hint="default"/>
      </w:rPr>
    </w:lvl>
    <w:lvl w:ilvl="2" w:tplc="02E8E4E0">
      <w:start w:val="1"/>
      <w:numFmt w:val="bullet"/>
      <w:lvlText w:val=""/>
      <w:lvlJc w:val="left"/>
      <w:pPr>
        <w:ind w:left="2160" w:hanging="360"/>
      </w:pPr>
      <w:rPr>
        <w:rFonts w:ascii="Wingdings" w:hAnsi="Wingdings" w:hint="default"/>
      </w:rPr>
    </w:lvl>
    <w:lvl w:ilvl="3" w:tplc="FF0C0E90">
      <w:start w:val="1"/>
      <w:numFmt w:val="bullet"/>
      <w:lvlText w:val=""/>
      <w:lvlJc w:val="left"/>
      <w:pPr>
        <w:ind w:left="2880" w:hanging="360"/>
      </w:pPr>
      <w:rPr>
        <w:rFonts w:ascii="Symbol" w:hAnsi="Symbol" w:hint="default"/>
      </w:rPr>
    </w:lvl>
    <w:lvl w:ilvl="4" w:tplc="FBE423FE">
      <w:start w:val="1"/>
      <w:numFmt w:val="bullet"/>
      <w:lvlText w:val="o"/>
      <w:lvlJc w:val="left"/>
      <w:pPr>
        <w:ind w:left="3600" w:hanging="360"/>
      </w:pPr>
      <w:rPr>
        <w:rFonts w:ascii="Courier New" w:hAnsi="Courier New" w:hint="default"/>
      </w:rPr>
    </w:lvl>
    <w:lvl w:ilvl="5" w:tplc="0D3AA562">
      <w:start w:val="1"/>
      <w:numFmt w:val="bullet"/>
      <w:lvlText w:val=""/>
      <w:lvlJc w:val="left"/>
      <w:pPr>
        <w:ind w:left="4320" w:hanging="360"/>
      </w:pPr>
      <w:rPr>
        <w:rFonts w:ascii="Wingdings" w:hAnsi="Wingdings" w:hint="default"/>
      </w:rPr>
    </w:lvl>
    <w:lvl w:ilvl="6" w:tplc="4606B03C">
      <w:start w:val="1"/>
      <w:numFmt w:val="bullet"/>
      <w:lvlText w:val=""/>
      <w:lvlJc w:val="left"/>
      <w:pPr>
        <w:ind w:left="5040" w:hanging="360"/>
      </w:pPr>
      <w:rPr>
        <w:rFonts w:ascii="Symbol" w:hAnsi="Symbol" w:hint="default"/>
      </w:rPr>
    </w:lvl>
    <w:lvl w:ilvl="7" w:tplc="61684008">
      <w:start w:val="1"/>
      <w:numFmt w:val="bullet"/>
      <w:lvlText w:val="o"/>
      <w:lvlJc w:val="left"/>
      <w:pPr>
        <w:ind w:left="5760" w:hanging="360"/>
      </w:pPr>
      <w:rPr>
        <w:rFonts w:ascii="Courier New" w:hAnsi="Courier New" w:hint="default"/>
      </w:rPr>
    </w:lvl>
    <w:lvl w:ilvl="8" w:tplc="FE3E14D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213373"/>
    <w:multiLevelType w:val="multilevel"/>
    <w:tmpl w:val="8F02C368"/>
    <w:lvl w:ilvl="0">
      <w:start w:val="1"/>
      <w:numFmt w:val="decimal"/>
      <w:lvlText w:val="%1"/>
      <w:lvlJc w:val="left"/>
      <w:pPr>
        <w:ind w:left="375" w:hanging="375"/>
      </w:pPr>
      <w:rPr>
        <w:rFonts w:hint="default"/>
      </w:rPr>
    </w:lvl>
    <w:lvl w:ilvl="1">
      <w:start w:val="1"/>
      <w:numFmt w:val="decimal"/>
      <w:lvlText w:val="%1.%2"/>
      <w:lvlJc w:val="left"/>
      <w:pPr>
        <w:ind w:left="420" w:hanging="375"/>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6" w15:restartNumberingAfterBreak="0">
    <w:nsid w:val="4A224439"/>
    <w:multiLevelType w:val="hybridMultilevel"/>
    <w:tmpl w:val="93C8FE48"/>
    <w:lvl w:ilvl="0" w:tplc="9D4E5430">
      <w:start w:val="1"/>
      <w:numFmt w:val="bullet"/>
      <w:lvlText w:val=""/>
      <w:lvlJc w:val="left"/>
      <w:pPr>
        <w:ind w:left="720" w:hanging="360"/>
      </w:pPr>
      <w:rPr>
        <w:rFonts w:ascii="Symbol" w:hAnsi="Symbol" w:hint="default"/>
      </w:rPr>
    </w:lvl>
    <w:lvl w:ilvl="1" w:tplc="1FD4648C">
      <w:start w:val="1"/>
      <w:numFmt w:val="bullet"/>
      <w:lvlText w:val="o"/>
      <w:lvlJc w:val="left"/>
      <w:pPr>
        <w:ind w:left="1440" w:hanging="360"/>
      </w:pPr>
      <w:rPr>
        <w:rFonts w:ascii="Courier New" w:hAnsi="Courier New" w:hint="default"/>
      </w:rPr>
    </w:lvl>
    <w:lvl w:ilvl="2" w:tplc="C14E69CE">
      <w:start w:val="1"/>
      <w:numFmt w:val="bullet"/>
      <w:lvlText w:val=""/>
      <w:lvlJc w:val="left"/>
      <w:pPr>
        <w:ind w:left="2160" w:hanging="360"/>
      </w:pPr>
      <w:rPr>
        <w:rFonts w:ascii="Wingdings" w:hAnsi="Wingdings" w:hint="default"/>
      </w:rPr>
    </w:lvl>
    <w:lvl w:ilvl="3" w:tplc="67C0A940">
      <w:start w:val="1"/>
      <w:numFmt w:val="bullet"/>
      <w:lvlText w:val=""/>
      <w:lvlJc w:val="left"/>
      <w:pPr>
        <w:ind w:left="2880" w:hanging="360"/>
      </w:pPr>
      <w:rPr>
        <w:rFonts w:ascii="Symbol" w:hAnsi="Symbol" w:hint="default"/>
      </w:rPr>
    </w:lvl>
    <w:lvl w:ilvl="4" w:tplc="A600F93E">
      <w:start w:val="1"/>
      <w:numFmt w:val="bullet"/>
      <w:lvlText w:val="o"/>
      <w:lvlJc w:val="left"/>
      <w:pPr>
        <w:ind w:left="3600" w:hanging="360"/>
      </w:pPr>
      <w:rPr>
        <w:rFonts w:ascii="Courier New" w:hAnsi="Courier New" w:hint="default"/>
      </w:rPr>
    </w:lvl>
    <w:lvl w:ilvl="5" w:tplc="6466237C">
      <w:start w:val="1"/>
      <w:numFmt w:val="bullet"/>
      <w:lvlText w:val=""/>
      <w:lvlJc w:val="left"/>
      <w:pPr>
        <w:ind w:left="4320" w:hanging="360"/>
      </w:pPr>
      <w:rPr>
        <w:rFonts w:ascii="Wingdings" w:hAnsi="Wingdings" w:hint="default"/>
      </w:rPr>
    </w:lvl>
    <w:lvl w:ilvl="6" w:tplc="D2383AF6">
      <w:start w:val="1"/>
      <w:numFmt w:val="bullet"/>
      <w:lvlText w:val=""/>
      <w:lvlJc w:val="left"/>
      <w:pPr>
        <w:ind w:left="5040" w:hanging="360"/>
      </w:pPr>
      <w:rPr>
        <w:rFonts w:ascii="Symbol" w:hAnsi="Symbol" w:hint="default"/>
      </w:rPr>
    </w:lvl>
    <w:lvl w:ilvl="7" w:tplc="50DC74D8">
      <w:start w:val="1"/>
      <w:numFmt w:val="bullet"/>
      <w:lvlText w:val="o"/>
      <w:lvlJc w:val="left"/>
      <w:pPr>
        <w:ind w:left="5760" w:hanging="360"/>
      </w:pPr>
      <w:rPr>
        <w:rFonts w:ascii="Courier New" w:hAnsi="Courier New" w:hint="default"/>
      </w:rPr>
    </w:lvl>
    <w:lvl w:ilvl="8" w:tplc="E4CC26F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30DE336E"/>
    <w:lvl w:ilvl="0" w:tplc="6A1E6CB0">
      <w:start w:val="1"/>
      <w:numFmt w:val="bullet"/>
      <w:lvlText w:val=""/>
      <w:lvlJc w:val="left"/>
      <w:pPr>
        <w:ind w:left="720" w:hanging="360"/>
      </w:pPr>
      <w:rPr>
        <w:rFonts w:ascii="Symbol" w:hAnsi="Symbol" w:hint="default"/>
      </w:rPr>
    </w:lvl>
    <w:lvl w:ilvl="1" w:tplc="28C44370">
      <w:start w:val="1"/>
      <w:numFmt w:val="bullet"/>
      <w:lvlText w:val="o"/>
      <w:lvlJc w:val="left"/>
      <w:pPr>
        <w:ind w:left="1440" w:hanging="360"/>
      </w:pPr>
      <w:rPr>
        <w:rFonts w:ascii="Courier New" w:hAnsi="Courier New" w:hint="default"/>
      </w:rPr>
    </w:lvl>
    <w:lvl w:ilvl="2" w:tplc="7AB0274C">
      <w:start w:val="1"/>
      <w:numFmt w:val="bullet"/>
      <w:lvlText w:val=""/>
      <w:lvlJc w:val="left"/>
      <w:pPr>
        <w:ind w:left="2160" w:hanging="360"/>
      </w:pPr>
      <w:rPr>
        <w:rFonts w:ascii="Wingdings" w:hAnsi="Wingdings" w:hint="default"/>
      </w:rPr>
    </w:lvl>
    <w:lvl w:ilvl="3" w:tplc="16540584">
      <w:start w:val="1"/>
      <w:numFmt w:val="bullet"/>
      <w:lvlText w:val=""/>
      <w:lvlJc w:val="left"/>
      <w:pPr>
        <w:ind w:left="2880" w:hanging="360"/>
      </w:pPr>
      <w:rPr>
        <w:rFonts w:ascii="Symbol" w:hAnsi="Symbol" w:hint="default"/>
      </w:rPr>
    </w:lvl>
    <w:lvl w:ilvl="4" w:tplc="E7343242">
      <w:start w:val="1"/>
      <w:numFmt w:val="bullet"/>
      <w:lvlText w:val="o"/>
      <w:lvlJc w:val="left"/>
      <w:pPr>
        <w:ind w:left="3600" w:hanging="360"/>
      </w:pPr>
      <w:rPr>
        <w:rFonts w:ascii="Courier New" w:hAnsi="Courier New" w:hint="default"/>
      </w:rPr>
    </w:lvl>
    <w:lvl w:ilvl="5" w:tplc="55C6EF5E">
      <w:start w:val="1"/>
      <w:numFmt w:val="bullet"/>
      <w:lvlText w:val=""/>
      <w:lvlJc w:val="left"/>
      <w:pPr>
        <w:ind w:left="4320" w:hanging="360"/>
      </w:pPr>
      <w:rPr>
        <w:rFonts w:ascii="Wingdings" w:hAnsi="Wingdings" w:hint="default"/>
      </w:rPr>
    </w:lvl>
    <w:lvl w:ilvl="6" w:tplc="A46E7D2E">
      <w:start w:val="1"/>
      <w:numFmt w:val="bullet"/>
      <w:lvlText w:val=""/>
      <w:lvlJc w:val="left"/>
      <w:pPr>
        <w:ind w:left="5040" w:hanging="360"/>
      </w:pPr>
      <w:rPr>
        <w:rFonts w:ascii="Symbol" w:hAnsi="Symbol" w:hint="default"/>
      </w:rPr>
    </w:lvl>
    <w:lvl w:ilvl="7" w:tplc="B06245F4">
      <w:start w:val="1"/>
      <w:numFmt w:val="bullet"/>
      <w:lvlText w:val="o"/>
      <w:lvlJc w:val="left"/>
      <w:pPr>
        <w:ind w:left="5760" w:hanging="360"/>
      </w:pPr>
      <w:rPr>
        <w:rFonts w:ascii="Courier New" w:hAnsi="Courier New" w:hint="default"/>
      </w:rPr>
    </w:lvl>
    <w:lvl w:ilvl="8" w:tplc="0A54B1AC">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1118948">
    <w:abstractNumId w:val="11"/>
  </w:num>
  <w:num w:numId="2" w16cid:durableId="598679628">
    <w:abstractNumId w:val="12"/>
  </w:num>
  <w:num w:numId="3" w16cid:durableId="1388531079">
    <w:abstractNumId w:val="1"/>
  </w:num>
  <w:num w:numId="4" w16cid:durableId="286133331">
    <w:abstractNumId w:val="3"/>
  </w:num>
  <w:num w:numId="5" w16cid:durableId="274215835">
    <w:abstractNumId w:val="16"/>
  </w:num>
  <w:num w:numId="6" w16cid:durableId="884021626">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3286302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F84"/>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60339"/>
    <w:rsid w:val="00280D6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1163"/>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B2AF3"/>
    <w:rsid w:val="005D1AF9"/>
    <w:rsid w:val="005D5457"/>
    <w:rsid w:val="005E2699"/>
    <w:rsid w:val="005E44B5"/>
    <w:rsid w:val="00612DEA"/>
    <w:rsid w:val="00614572"/>
    <w:rsid w:val="006232DF"/>
    <w:rsid w:val="00631F2E"/>
    <w:rsid w:val="006457C0"/>
    <w:rsid w:val="00652BB7"/>
    <w:rsid w:val="00661758"/>
    <w:rsid w:val="0067612C"/>
    <w:rsid w:val="00676FEB"/>
    <w:rsid w:val="00684460"/>
    <w:rsid w:val="006912C4"/>
    <w:rsid w:val="006A5CFC"/>
    <w:rsid w:val="006C5138"/>
    <w:rsid w:val="006C689B"/>
    <w:rsid w:val="006E005C"/>
    <w:rsid w:val="006E6EE5"/>
    <w:rsid w:val="006F0029"/>
    <w:rsid w:val="006F6E2F"/>
    <w:rsid w:val="007138EF"/>
    <w:rsid w:val="007632A9"/>
    <w:rsid w:val="00774092"/>
    <w:rsid w:val="00782830"/>
    <w:rsid w:val="0078664A"/>
    <w:rsid w:val="007B0F6D"/>
    <w:rsid w:val="007C62C3"/>
    <w:rsid w:val="007D25AA"/>
    <w:rsid w:val="007F0873"/>
    <w:rsid w:val="00805726"/>
    <w:rsid w:val="00815117"/>
    <w:rsid w:val="00820C9D"/>
    <w:rsid w:val="00824CB1"/>
    <w:rsid w:val="00825F2C"/>
    <w:rsid w:val="008520F8"/>
    <w:rsid w:val="00855F34"/>
    <w:rsid w:val="0088201C"/>
    <w:rsid w:val="008826B6"/>
    <w:rsid w:val="008B0B22"/>
    <w:rsid w:val="008C58B0"/>
    <w:rsid w:val="008C591B"/>
    <w:rsid w:val="008C6182"/>
    <w:rsid w:val="0090779E"/>
    <w:rsid w:val="00926458"/>
    <w:rsid w:val="00933720"/>
    <w:rsid w:val="00984DCD"/>
    <w:rsid w:val="009C7E52"/>
    <w:rsid w:val="009D3960"/>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53C9A"/>
    <w:rsid w:val="00F56183"/>
    <w:rsid w:val="00F605C6"/>
    <w:rsid w:val="00F6785B"/>
    <w:rsid w:val="00F7273B"/>
    <w:rsid w:val="00F9012D"/>
    <w:rsid w:val="00F915D6"/>
    <w:rsid w:val="00FD2EFB"/>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ocialworkengla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1530</Words>
  <Characters>7318</Characters>
  <Application>Microsoft Office Word</Application>
  <DocSecurity>0</DocSecurity>
  <Lines>228</Lines>
  <Paragraphs>109</Paragraphs>
  <ScaleCrop>false</ScaleCrop>
  <Company>University of Wales Trinity Saint David</Company>
  <LinksUpToDate>false</LinksUpToDate>
  <CharactersWithSpaces>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Stephanie Chasteau</cp:lastModifiedBy>
  <cp:revision>20</cp:revision>
  <dcterms:created xsi:type="dcterms:W3CDTF">2025-11-19T18:30:00Z</dcterms:created>
  <dcterms:modified xsi:type="dcterms:W3CDTF">2025-12-25T10:34:00Z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