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55"/>
        <w:gridCol w:w="3061"/>
      </w:tblGrid>
      <w:tr w:rsidR="00602C4B" w:rsidRPr="00330917" w14:paraId="68E91064" w14:textId="77777777" w:rsidTr="00A04A9A">
        <w:trPr>
          <w:trHeight w:val="2706"/>
          <w:jc w:val="center"/>
        </w:trPr>
        <w:tc>
          <w:tcPr>
            <w:tcW w:w="5269" w:type="dxa"/>
            <w:tcBorders>
              <w:top w:val="single" w:sz="4" w:space="0" w:color="auto"/>
              <w:left w:val="single" w:sz="4" w:space="0" w:color="auto"/>
              <w:right w:val="single" w:sz="4" w:space="0" w:color="auto"/>
            </w:tcBorders>
            <w:shd w:val="clear" w:color="auto" w:fill="auto"/>
          </w:tcPr>
          <w:p w14:paraId="21B4D299" w14:textId="5B7CC8C0"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133E1B">
              <w:rPr>
                <w:rFonts w:eastAsia="Times New Roman" w:cs="Times New Roman"/>
                <w:b/>
                <w:bCs/>
                <w:color w:val="auto"/>
                <w:sz w:val="22"/>
              </w:rPr>
              <w:t xml:space="preserve"> Valeriu Bogatu</w:t>
            </w:r>
            <w:r w:rsidR="00A60F09" w:rsidRPr="000A7D84">
              <w:rPr>
                <w:rFonts w:eastAsia="Times New Roman" w:cs="Times New Roman"/>
                <w:b/>
                <w:bCs/>
                <w:color w:val="auto"/>
                <w:sz w:val="22"/>
              </w:rPr>
              <w:t xml:space="preserve"> </w:t>
            </w:r>
          </w:p>
          <w:p w14:paraId="0225E82F" w14:textId="2B5CF944"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00133E1B">
              <w:rPr>
                <w:rFonts w:cs="Times New Roman"/>
                <w:b/>
                <w:bCs/>
                <w:sz w:val="22"/>
                <w:lang w:val="en-AU"/>
              </w:rPr>
              <w:t xml:space="preserve"> 2231945</w:t>
            </w:r>
          </w:p>
          <w:p w14:paraId="0348FFA9" w14:textId="1C5BCF0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133E1B">
              <w:rPr>
                <w:rFonts w:cs="Times New Roman"/>
                <w:b/>
                <w:bCs/>
                <w:color w:val="auto"/>
                <w:sz w:val="22"/>
                <w:lang w:val="en-AU"/>
              </w:rPr>
              <w:t xml:space="preserve"> Foreign Languages &amp; Cultural Awareness</w:t>
            </w:r>
          </w:p>
          <w:p w14:paraId="2284ACCC" w14:textId="66298C2F"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133E1B">
              <w:rPr>
                <w:rFonts w:cs="Times New Roman"/>
                <w:b/>
                <w:bCs/>
                <w:color w:val="auto"/>
                <w:sz w:val="22"/>
                <w:lang w:val="en-AU"/>
              </w:rPr>
              <w:t xml:space="preserve"> BMIH5003</w:t>
            </w:r>
          </w:p>
          <w:p w14:paraId="489EC369" w14:textId="33B81CA5"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133E1B">
              <w:rPr>
                <w:rFonts w:cs="Times New Roman"/>
                <w:b/>
                <w:bCs/>
                <w:color w:val="auto"/>
                <w:sz w:val="22"/>
                <w:lang w:val="en-AU"/>
              </w:rPr>
              <w:t xml:space="preserve"> Lisa Bassler</w:t>
            </w:r>
          </w:p>
          <w:p w14:paraId="0260DAF0" w14:textId="78B8657D"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133E1B">
              <w:rPr>
                <w:rFonts w:cs="Times New Roman"/>
                <w:b/>
                <w:bCs/>
                <w:noProof/>
                <w:sz w:val="22"/>
              </w:rPr>
              <w:t xml:space="preserve"> 0</w:t>
            </w:r>
            <w:r w:rsidR="00031283">
              <w:rPr>
                <w:rFonts w:cs="Times New Roman"/>
                <w:b/>
                <w:bCs/>
                <w:noProof/>
                <w:sz w:val="22"/>
              </w:rPr>
              <w:t>4</w:t>
            </w:r>
            <w:r w:rsidR="00133E1B">
              <w:rPr>
                <w:rFonts w:cs="Times New Roman"/>
                <w:b/>
                <w:bCs/>
                <w:noProof/>
                <w:sz w:val="22"/>
              </w:rPr>
              <w:t>.02.2024</w:t>
            </w:r>
          </w:p>
        </w:tc>
        <w:tc>
          <w:tcPr>
            <w:tcW w:w="3747"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6D8A6D2" w14:textId="77777777" w:rsidR="00147D7C" w:rsidRPr="00147D7C" w:rsidRDefault="00147D7C" w:rsidP="00BC1DBD">
            <w:pPr>
              <w:ind w:firstLine="720"/>
              <w:jc w:val="both"/>
              <w:rPr>
                <w:color w:val="auto"/>
                <w:sz w:val="28"/>
                <w:szCs w:val="24"/>
                <w:lang w:val="en-US"/>
              </w:rPr>
            </w:pPr>
            <w:r w:rsidRPr="00147D7C">
              <w:rPr>
                <w:color w:val="auto"/>
                <w:sz w:val="28"/>
                <w:szCs w:val="24"/>
                <w:lang w:val="en-US"/>
              </w:rPr>
              <w:t xml:space="preserve">In my professional placement, I witnessed a cultural misunderstanding between an F&amp;B employee and a hotel guest. One afternoon, an African dignitary walked into the restaurant section of our establishment. The African dignitary was from Algeria, a vast French-speaking country. The gentleman had limited command of English and attempted to communicate with the waiter about our food menu. Since we had pork and beef offerings, the pork was off the menu, leaving the waiter to recommend beef offerings. Since the gentleman couldn’t properly read the English menu, he chose medium-rare steak after observing its picture on the menu. The waiter took his order and instructed the chef to prepare the meal. Once ready, the food was presented to the African dignitary. However, one bite into the fatty, juicy beef sent red fluids from the steak. The African dignitary stood up, dissatisfied, agitated, and visibly angered by the meat. The African dignitary explained he was a </w:t>
            </w:r>
            <w:proofErr w:type="gramStart"/>
            <w:r w:rsidRPr="00147D7C">
              <w:rPr>
                <w:color w:val="auto"/>
                <w:sz w:val="28"/>
                <w:szCs w:val="24"/>
                <w:lang w:val="en-US"/>
              </w:rPr>
              <w:t>Muslim</w:t>
            </w:r>
            <w:proofErr w:type="gramEnd"/>
            <w:r w:rsidRPr="00147D7C">
              <w:rPr>
                <w:color w:val="auto"/>
                <w:sz w:val="28"/>
                <w:szCs w:val="24"/>
                <w:lang w:val="en-US"/>
              </w:rPr>
              <w:t xml:space="preserve"> and it was haram to consume animals with blood. There was a cultural misunderstanding because the waiter didn’t perceive the African to be a Muslim, and the Muslim assumed that the red fluid was hemoglobin and not blood, which was haram.</w:t>
            </w:r>
          </w:p>
          <w:p w14:paraId="30848CCC" w14:textId="498379B1" w:rsidR="00147D7C" w:rsidRPr="00147D7C" w:rsidRDefault="00147D7C" w:rsidP="00BC1DBD">
            <w:pPr>
              <w:ind w:firstLine="720"/>
              <w:jc w:val="both"/>
              <w:rPr>
                <w:color w:val="auto"/>
                <w:sz w:val="28"/>
                <w:szCs w:val="24"/>
                <w:lang w:val="en-US"/>
              </w:rPr>
            </w:pPr>
            <w:r w:rsidRPr="00147D7C">
              <w:rPr>
                <w:color w:val="auto"/>
                <w:sz w:val="28"/>
                <w:szCs w:val="24"/>
                <w:lang w:val="en-US"/>
              </w:rPr>
              <w:t xml:space="preserve">The cultural misunderstanding arises from poor communication barriers and different dietary preferences between the waiter and the African customer. Sahraoui (2021) highlights that since the French colonized Algeria, it has been </w:t>
            </w:r>
            <w:r w:rsidRPr="00147D7C">
              <w:rPr>
                <w:color w:val="auto"/>
                <w:sz w:val="28"/>
                <w:szCs w:val="24"/>
                <w:lang w:val="en-US"/>
              </w:rPr>
              <w:lastRenderedPageBreak/>
              <w:t>the predominant spoken language in the country</w:t>
            </w:r>
            <w:r w:rsidR="008B6E38" w:rsidRPr="00BC1DBD">
              <w:rPr>
                <w:color w:val="auto"/>
                <w:sz w:val="28"/>
                <w:szCs w:val="24"/>
                <w:lang w:val="en-US"/>
              </w:rPr>
              <w:t xml:space="preserve"> (p. 3)</w:t>
            </w:r>
            <w:r w:rsidRPr="00147D7C">
              <w:rPr>
                <w:color w:val="auto"/>
                <w:sz w:val="28"/>
                <w:szCs w:val="24"/>
                <w:lang w:val="en-US"/>
              </w:rPr>
              <w:t xml:space="preserve">. However, French coexists with other Algerian languages such as Algerian Arabic “Darja,” standard Arabic, and English. It explains the African dignitary’s poor English communication. Consequently, Muslims observe a strict religious dietary observation of halal food products. </w:t>
            </w:r>
            <w:proofErr w:type="spellStart"/>
            <w:r w:rsidRPr="00147D7C">
              <w:rPr>
                <w:color w:val="auto"/>
                <w:sz w:val="28"/>
                <w:szCs w:val="24"/>
                <w:lang w:val="en-US"/>
              </w:rPr>
              <w:t>Isakjee</w:t>
            </w:r>
            <w:proofErr w:type="spellEnd"/>
            <w:r w:rsidRPr="00147D7C">
              <w:rPr>
                <w:color w:val="auto"/>
                <w:sz w:val="28"/>
                <w:szCs w:val="24"/>
                <w:lang w:val="en-US"/>
              </w:rPr>
              <w:t xml:space="preserve"> and Carrol (2019) highlight that the notions of understanding and practicing the consumption of halal foods are influenced by religion</w:t>
            </w:r>
            <w:r w:rsidR="00EA2EA9" w:rsidRPr="00BC1DBD">
              <w:rPr>
                <w:color w:val="auto"/>
                <w:sz w:val="28"/>
                <w:szCs w:val="24"/>
                <w:lang w:val="en-US"/>
              </w:rPr>
              <w:t xml:space="preserve"> (p. 581)</w:t>
            </w:r>
            <w:r w:rsidRPr="00147D7C">
              <w:rPr>
                <w:color w:val="auto"/>
                <w:sz w:val="28"/>
                <w:szCs w:val="24"/>
                <w:lang w:val="en-US"/>
              </w:rPr>
              <w:t>. The individual experience and food choices of halal food consumers among Muslims are influenced by blood and body. Blood is related to religious slaughter practices, while body refers to the notions of the food being “clean” or “unclean.” It explains the Muslim reluctance, discomfort, and dissatisfaction with the presumably blood-like fluids in the medium-rare steak.</w:t>
            </w:r>
          </w:p>
          <w:p w14:paraId="49CFDEEE" w14:textId="6AE9F7D2" w:rsidR="00136D1F" w:rsidRPr="00BC1DBD" w:rsidRDefault="00147D7C" w:rsidP="00BC1DBD">
            <w:pPr>
              <w:ind w:firstLine="720"/>
              <w:jc w:val="both"/>
              <w:rPr>
                <w:color w:val="auto"/>
                <w:sz w:val="28"/>
                <w:szCs w:val="24"/>
                <w:lang w:val="en-US"/>
              </w:rPr>
            </w:pPr>
            <w:r w:rsidRPr="00147D7C">
              <w:rPr>
                <w:color w:val="auto"/>
                <w:sz w:val="28"/>
                <w:szCs w:val="24"/>
                <w:lang w:val="en-US"/>
              </w:rPr>
              <w:t>The main problems during the cultural exchange were poor communication and lack of cultural knowledge and awareness. The solutions include developing effective communication skills and employee cultural sensitivity training. Juddi et al. (2019) highlight that developing cross-cultural communication is critical in bridging the gap between social interactions, languages, and behaviors. Cross-cultural communication emphasizes the increased understanding of non-verbal communication, such as kinesics messages using body or eye movements</w:t>
            </w:r>
            <w:r w:rsidRPr="00BC1DBD">
              <w:rPr>
                <w:color w:val="auto"/>
                <w:sz w:val="28"/>
                <w:szCs w:val="24"/>
                <w:lang w:val="en-US"/>
              </w:rPr>
              <w:t xml:space="preserve">; </w:t>
            </w:r>
            <w:r w:rsidRPr="00147D7C">
              <w:rPr>
                <w:color w:val="auto"/>
                <w:sz w:val="28"/>
                <w:szCs w:val="24"/>
                <w:lang w:val="en-US"/>
              </w:rPr>
              <w:t xml:space="preserve">artifactual </w:t>
            </w:r>
            <w:r w:rsidRPr="00BC1DBD">
              <w:rPr>
                <w:color w:val="auto"/>
                <w:sz w:val="28"/>
                <w:szCs w:val="24"/>
                <w:lang w:val="en-US"/>
              </w:rPr>
              <w:t>messages that</w:t>
            </w:r>
            <w:r w:rsidRPr="00147D7C">
              <w:rPr>
                <w:color w:val="auto"/>
                <w:sz w:val="28"/>
                <w:szCs w:val="24"/>
                <w:lang w:val="en-US"/>
              </w:rPr>
              <w:t xml:space="preserve"> are non-verbal language relayed through clothing, body appearance, and cosmetics</w:t>
            </w:r>
            <w:r w:rsidRPr="00BC1DBD">
              <w:rPr>
                <w:color w:val="auto"/>
                <w:sz w:val="28"/>
                <w:szCs w:val="24"/>
                <w:lang w:val="en-US"/>
              </w:rPr>
              <w:t>;</w:t>
            </w:r>
            <w:r w:rsidRPr="00147D7C">
              <w:rPr>
                <w:color w:val="auto"/>
                <w:sz w:val="28"/>
                <w:szCs w:val="24"/>
                <w:lang w:val="en-US"/>
              </w:rPr>
              <w:t xml:space="preserve"> and proxemic messages that are delivered through space and distance settings (Juddi et al., 2019). Consequently, cultural diversity training has immense benefits in addressing </w:t>
            </w:r>
            <w:proofErr w:type="gramStart"/>
            <w:r w:rsidRPr="00147D7C">
              <w:rPr>
                <w:color w:val="auto"/>
                <w:sz w:val="28"/>
                <w:szCs w:val="24"/>
                <w:lang w:val="en-US"/>
              </w:rPr>
              <w:t>the cultural</w:t>
            </w:r>
            <w:proofErr w:type="gramEnd"/>
            <w:r w:rsidRPr="00147D7C">
              <w:rPr>
                <w:color w:val="auto"/>
                <w:sz w:val="28"/>
                <w:szCs w:val="24"/>
                <w:lang w:val="en-US"/>
              </w:rPr>
              <w:t xml:space="preserve"> misunderstanding. Thakur et al. (2021) </w:t>
            </w:r>
            <w:r w:rsidR="00EA2EA9" w:rsidRPr="00BC1DBD">
              <w:rPr>
                <w:color w:val="auto"/>
                <w:sz w:val="28"/>
                <w:szCs w:val="24"/>
                <w:lang w:val="en-US"/>
              </w:rPr>
              <w:t>highlights</w:t>
            </w:r>
            <w:r w:rsidRPr="00147D7C">
              <w:rPr>
                <w:color w:val="auto"/>
                <w:sz w:val="28"/>
                <w:szCs w:val="24"/>
                <w:lang w:val="en-US"/>
              </w:rPr>
              <w:t xml:space="preserve"> that diversity training equips employees with skills such as cultural curiosity and knowledge that would have equipped the waiter to ask the African dignitary questions about his dietary preferences</w:t>
            </w:r>
            <w:r w:rsidR="008B6E38" w:rsidRPr="00BC1DBD">
              <w:rPr>
                <w:color w:val="auto"/>
                <w:sz w:val="28"/>
                <w:szCs w:val="24"/>
                <w:lang w:val="en-US"/>
              </w:rPr>
              <w:t xml:space="preserve"> (p. 740)</w:t>
            </w:r>
            <w:r w:rsidRPr="00147D7C">
              <w:rPr>
                <w:color w:val="auto"/>
                <w:sz w:val="28"/>
                <w:szCs w:val="24"/>
                <w:lang w:val="en-US"/>
              </w:rPr>
              <w:t xml:space="preserve">. The </w:t>
            </w:r>
            <w:r w:rsidRPr="00BC1DBD">
              <w:rPr>
                <w:color w:val="auto"/>
                <w:sz w:val="28"/>
                <w:szCs w:val="24"/>
                <w:lang w:val="en-US"/>
              </w:rPr>
              <w:t>serv</w:t>
            </w:r>
            <w:r w:rsidRPr="00147D7C">
              <w:rPr>
                <w:color w:val="auto"/>
                <w:sz w:val="28"/>
                <w:szCs w:val="24"/>
                <w:lang w:val="en-US"/>
              </w:rPr>
              <w:t>er should be equipped with common dietary preferences across several distinct cultures by understanding diverse cultural practices.</w:t>
            </w:r>
          </w:p>
          <w:p w14:paraId="6FF3E9BB" w14:textId="77777777" w:rsidR="00031283" w:rsidRDefault="00031283" w:rsidP="007C2128">
            <w:pPr>
              <w:rPr>
                <w:b/>
                <w:bCs/>
                <w:sz w:val="28"/>
                <w:szCs w:val="24"/>
              </w:rPr>
            </w:pPr>
          </w:p>
          <w:p w14:paraId="5DEEABB5" w14:textId="77777777" w:rsidR="00031283" w:rsidRDefault="00031283" w:rsidP="007C2128">
            <w:pPr>
              <w:rPr>
                <w:b/>
                <w:bCs/>
                <w:sz w:val="28"/>
                <w:szCs w:val="24"/>
              </w:rPr>
            </w:pPr>
          </w:p>
          <w:p w14:paraId="74392EBF" w14:textId="77777777" w:rsidR="00031283" w:rsidRDefault="00031283" w:rsidP="007C2128">
            <w:pPr>
              <w:rPr>
                <w:b/>
                <w:bCs/>
                <w:sz w:val="28"/>
                <w:szCs w:val="24"/>
              </w:rPr>
            </w:pPr>
          </w:p>
          <w:p w14:paraId="6E952C2C" w14:textId="77777777" w:rsidR="00031283" w:rsidRDefault="00031283" w:rsidP="007C2128">
            <w:pPr>
              <w:rPr>
                <w:b/>
                <w:bCs/>
                <w:sz w:val="28"/>
                <w:szCs w:val="24"/>
              </w:rPr>
            </w:pPr>
          </w:p>
          <w:p w14:paraId="1FF3C2EB" w14:textId="77777777" w:rsidR="00031283" w:rsidRDefault="00031283" w:rsidP="007C2128">
            <w:pPr>
              <w:rPr>
                <w:b/>
                <w:bCs/>
                <w:sz w:val="28"/>
                <w:szCs w:val="24"/>
              </w:rPr>
            </w:pPr>
          </w:p>
          <w:p w14:paraId="636D24D0" w14:textId="77777777" w:rsidR="00031283" w:rsidRDefault="00031283" w:rsidP="007C2128">
            <w:pPr>
              <w:rPr>
                <w:b/>
                <w:bCs/>
                <w:sz w:val="28"/>
                <w:szCs w:val="24"/>
              </w:rPr>
            </w:pPr>
          </w:p>
          <w:p w14:paraId="036CC918" w14:textId="65896824" w:rsidR="00085A4E" w:rsidRDefault="003164B2" w:rsidP="007C2128">
            <w:pPr>
              <w:rPr>
                <w:b/>
                <w:bCs/>
                <w:sz w:val="28"/>
                <w:szCs w:val="24"/>
              </w:rPr>
            </w:pPr>
            <w:r>
              <w:rPr>
                <w:b/>
                <w:bCs/>
                <w:sz w:val="28"/>
                <w:szCs w:val="24"/>
              </w:rPr>
              <w:lastRenderedPageBreak/>
              <w:t>References:</w:t>
            </w:r>
          </w:p>
          <w:p w14:paraId="5AF95059" w14:textId="77777777" w:rsidR="00BC1DBD" w:rsidRPr="0064255F" w:rsidRDefault="00BC1DBD" w:rsidP="00BC1DBD">
            <w:pPr>
              <w:spacing w:after="0"/>
              <w:ind w:left="720" w:hanging="720"/>
              <w:rPr>
                <w:b/>
                <w:bCs/>
                <w:sz w:val="28"/>
                <w:szCs w:val="24"/>
                <w:lang w:val="en-US"/>
              </w:rPr>
            </w:pPr>
            <w:proofErr w:type="spellStart"/>
            <w:r w:rsidRPr="0064255F">
              <w:rPr>
                <w:sz w:val="28"/>
                <w:szCs w:val="24"/>
                <w:lang w:val="en-US"/>
              </w:rPr>
              <w:t>Isakjee</w:t>
            </w:r>
            <w:proofErr w:type="spellEnd"/>
            <w:r w:rsidRPr="0064255F">
              <w:rPr>
                <w:sz w:val="28"/>
                <w:szCs w:val="24"/>
                <w:lang w:val="en-US"/>
              </w:rPr>
              <w:t>, A. and Carroll, B. (2021). ‘Blood, body and belonging: The geographies of halal food consumption in the UK’, </w:t>
            </w:r>
            <w:r w:rsidRPr="0064255F">
              <w:rPr>
                <w:i/>
                <w:iCs/>
                <w:sz w:val="28"/>
                <w:szCs w:val="24"/>
                <w:lang w:val="en-US"/>
              </w:rPr>
              <w:t>Social &amp; Cultural Geography</w:t>
            </w:r>
            <w:r w:rsidRPr="0064255F">
              <w:rPr>
                <w:sz w:val="28"/>
                <w:szCs w:val="24"/>
                <w:lang w:val="en-US"/>
              </w:rPr>
              <w:t>, </w:t>
            </w:r>
            <w:r w:rsidRPr="0064255F">
              <w:rPr>
                <w:i/>
                <w:iCs/>
                <w:sz w:val="28"/>
                <w:szCs w:val="24"/>
                <w:lang w:val="en-US"/>
              </w:rPr>
              <w:t>22</w:t>
            </w:r>
            <w:r w:rsidRPr="0064255F">
              <w:rPr>
                <w:sz w:val="28"/>
                <w:szCs w:val="24"/>
                <w:lang w:val="en-US"/>
              </w:rPr>
              <w:t xml:space="preserve">(4), pp.581-602. Available at: </w:t>
            </w:r>
            <w:hyperlink r:id="rId8" w:history="1">
              <w:r w:rsidRPr="0064255F">
                <w:rPr>
                  <w:rStyle w:val="Hyperlink"/>
                  <w:sz w:val="28"/>
                  <w:szCs w:val="24"/>
                  <w:lang w:val="en-US"/>
                </w:rPr>
                <w:t>https://doi.org/10.1080/14649365.2019.1601247</w:t>
              </w:r>
            </w:hyperlink>
          </w:p>
          <w:p w14:paraId="298C4C29" w14:textId="77777777" w:rsidR="00BC1DBD" w:rsidRPr="0064255F" w:rsidRDefault="00BC1DBD" w:rsidP="00BC1DBD">
            <w:pPr>
              <w:spacing w:after="0"/>
              <w:ind w:left="720" w:hanging="720"/>
              <w:rPr>
                <w:sz w:val="28"/>
                <w:szCs w:val="24"/>
                <w:lang w:val="en-US"/>
              </w:rPr>
            </w:pPr>
            <w:r w:rsidRPr="0064255F">
              <w:rPr>
                <w:sz w:val="28"/>
                <w:szCs w:val="24"/>
                <w:lang w:val="en-US"/>
              </w:rPr>
              <w:t xml:space="preserve">Juddi, M.F., </w:t>
            </w:r>
            <w:proofErr w:type="spellStart"/>
            <w:r w:rsidRPr="0064255F">
              <w:rPr>
                <w:sz w:val="28"/>
                <w:szCs w:val="24"/>
                <w:lang w:val="en-US"/>
              </w:rPr>
              <w:t>Perbawasari</w:t>
            </w:r>
            <w:proofErr w:type="spellEnd"/>
            <w:r w:rsidRPr="0064255F">
              <w:rPr>
                <w:sz w:val="28"/>
                <w:szCs w:val="24"/>
                <w:lang w:val="en-US"/>
              </w:rPr>
              <w:t xml:space="preserve">, S. and Zubair, F. (2019). ‘Communication Competence in Cross-Culture Conflict’, </w:t>
            </w:r>
            <w:r w:rsidRPr="0064255F">
              <w:rPr>
                <w:i/>
                <w:iCs/>
                <w:sz w:val="28"/>
                <w:szCs w:val="24"/>
                <w:lang w:val="en-US"/>
              </w:rPr>
              <w:t>International Conference on Advanced Research in Social Sciences</w:t>
            </w:r>
            <w:r w:rsidRPr="0064255F">
              <w:rPr>
                <w:sz w:val="28"/>
                <w:szCs w:val="24"/>
                <w:lang w:val="en-US"/>
              </w:rPr>
              <w:t xml:space="preserve">. Available at: </w:t>
            </w:r>
            <w:hyperlink r:id="rId9" w:history="1">
              <w:r w:rsidRPr="0064255F">
                <w:rPr>
                  <w:rStyle w:val="Hyperlink"/>
                  <w:sz w:val="28"/>
                  <w:szCs w:val="24"/>
                  <w:lang w:val="en-US"/>
                </w:rPr>
                <w:t>https://www.dpublication.com/wp-content/uploads/2019/06/ICARSS-1-1699.pdf</w:t>
              </w:r>
            </w:hyperlink>
            <w:r w:rsidRPr="0064255F">
              <w:rPr>
                <w:sz w:val="28"/>
                <w:szCs w:val="24"/>
                <w:lang w:val="en-US"/>
              </w:rPr>
              <w:t xml:space="preserve"> (Accessed: 28 January 2024).</w:t>
            </w:r>
          </w:p>
          <w:p w14:paraId="065294F8" w14:textId="5D393CAB" w:rsidR="00BC1DBD" w:rsidRPr="0064255F" w:rsidRDefault="00BC1DBD" w:rsidP="00BC1DBD">
            <w:pPr>
              <w:spacing w:after="0"/>
              <w:ind w:left="720" w:hanging="720"/>
              <w:rPr>
                <w:sz w:val="28"/>
                <w:szCs w:val="24"/>
                <w:lang w:val="en-US"/>
              </w:rPr>
            </w:pPr>
            <w:r w:rsidRPr="0064255F">
              <w:rPr>
                <w:sz w:val="28"/>
                <w:szCs w:val="24"/>
                <w:lang w:val="en-US"/>
              </w:rPr>
              <w:t xml:space="preserve">Sahraoui, S. (2020). </w:t>
            </w:r>
            <w:r>
              <w:rPr>
                <w:sz w:val="28"/>
                <w:szCs w:val="24"/>
                <w:lang w:val="en-US"/>
              </w:rPr>
              <w:t>‘</w:t>
            </w:r>
            <w:r w:rsidRPr="0064255F">
              <w:rPr>
                <w:sz w:val="28"/>
                <w:szCs w:val="24"/>
                <w:lang w:val="en-US"/>
              </w:rPr>
              <w:t>English and the Languages of Algeria: Suggestions towards a New Language Policy</w:t>
            </w:r>
            <w:r>
              <w:rPr>
                <w:sz w:val="28"/>
                <w:szCs w:val="24"/>
                <w:lang w:val="en-US"/>
              </w:rPr>
              <w:t>’,</w:t>
            </w:r>
            <w:r w:rsidRPr="0064255F">
              <w:rPr>
                <w:sz w:val="28"/>
                <w:szCs w:val="24"/>
                <w:lang w:val="en-US"/>
              </w:rPr>
              <w:t xml:space="preserve"> </w:t>
            </w:r>
            <w:r w:rsidRPr="0064255F">
              <w:rPr>
                <w:i/>
                <w:iCs/>
                <w:sz w:val="28"/>
                <w:szCs w:val="24"/>
                <w:lang w:val="en-US"/>
              </w:rPr>
              <w:t>Philipps-Universität Marburg</w:t>
            </w:r>
            <w:r w:rsidRPr="0064255F">
              <w:rPr>
                <w:sz w:val="28"/>
                <w:szCs w:val="24"/>
                <w:lang w:val="en-US"/>
              </w:rPr>
              <w:t xml:space="preserve">. </w:t>
            </w:r>
            <w:r>
              <w:rPr>
                <w:sz w:val="28"/>
                <w:szCs w:val="24"/>
                <w:lang w:val="en-US"/>
              </w:rPr>
              <w:t xml:space="preserve">Available at: </w:t>
            </w:r>
            <w:hyperlink r:id="rId10" w:history="1">
              <w:r w:rsidRPr="0064255F">
                <w:rPr>
                  <w:rStyle w:val="Hyperlink"/>
                  <w:sz w:val="28"/>
                  <w:szCs w:val="24"/>
                  <w:lang w:val="en-US"/>
                </w:rPr>
                <w:t>https://doi.org/10.17192/z2021.0230</w:t>
              </w:r>
            </w:hyperlink>
            <w:r w:rsidRPr="0064255F">
              <w:rPr>
                <w:sz w:val="28"/>
                <w:szCs w:val="24"/>
                <w:lang w:val="en-US"/>
              </w:rPr>
              <w:t xml:space="preserve"> (Accessed: 28 January 2024).</w:t>
            </w:r>
          </w:p>
          <w:p w14:paraId="44A016D5" w14:textId="292999EE" w:rsidR="00DA485D" w:rsidRPr="0064255F" w:rsidRDefault="00BC1DBD" w:rsidP="00BC1DBD">
            <w:pPr>
              <w:spacing w:after="0"/>
              <w:ind w:left="720" w:hanging="720"/>
              <w:rPr>
                <w:b/>
                <w:bCs/>
                <w:sz w:val="28"/>
                <w:szCs w:val="24"/>
                <w:lang w:val="en-US"/>
              </w:rPr>
            </w:pPr>
            <w:r w:rsidRPr="0064255F">
              <w:rPr>
                <w:sz w:val="28"/>
                <w:szCs w:val="24"/>
                <w:lang w:val="en-US"/>
              </w:rPr>
              <w:t xml:space="preserve">Thakur, P., Khoo, C. and </w:t>
            </w:r>
            <w:proofErr w:type="spellStart"/>
            <w:r w:rsidRPr="0064255F">
              <w:rPr>
                <w:sz w:val="28"/>
                <w:szCs w:val="24"/>
                <w:lang w:val="en-US"/>
              </w:rPr>
              <w:t>Pyar</w:t>
            </w:r>
            <w:proofErr w:type="spellEnd"/>
            <w:r w:rsidRPr="0064255F">
              <w:rPr>
                <w:sz w:val="28"/>
                <w:szCs w:val="24"/>
                <w:lang w:val="en-US"/>
              </w:rPr>
              <w:t>, W.Y.K. (2023). ‘Diversity training: Where are we, and where should we be heading? A systematic literature review’, </w:t>
            </w:r>
            <w:r w:rsidRPr="0064255F">
              <w:rPr>
                <w:i/>
                <w:iCs/>
                <w:sz w:val="28"/>
                <w:szCs w:val="24"/>
                <w:lang w:val="en-US"/>
              </w:rPr>
              <w:t>Tourism Recreation Research</w:t>
            </w:r>
            <w:r w:rsidRPr="0064255F">
              <w:rPr>
                <w:sz w:val="28"/>
                <w:szCs w:val="24"/>
                <w:lang w:val="en-US"/>
              </w:rPr>
              <w:t>, </w:t>
            </w:r>
            <w:r w:rsidRPr="0064255F">
              <w:rPr>
                <w:i/>
                <w:iCs/>
                <w:sz w:val="28"/>
                <w:szCs w:val="24"/>
                <w:lang w:val="en-US"/>
              </w:rPr>
              <w:t>48</w:t>
            </w:r>
            <w:r w:rsidRPr="0064255F">
              <w:rPr>
                <w:sz w:val="28"/>
                <w:szCs w:val="24"/>
                <w:lang w:val="en-US"/>
              </w:rPr>
              <w:t xml:space="preserve">(5), pp.725-748. Available at: </w:t>
            </w:r>
            <w:hyperlink r:id="rId11" w:history="1">
              <w:r w:rsidRPr="0064255F">
                <w:rPr>
                  <w:rStyle w:val="Hyperlink"/>
                  <w:sz w:val="28"/>
                  <w:szCs w:val="24"/>
                  <w:lang w:val="en-US"/>
                </w:rPr>
                <w:t>https://doi.org/10.1080/02508281.2021.1965369</w:t>
              </w:r>
            </w:hyperlink>
            <w:r w:rsidRPr="0064255F">
              <w:rPr>
                <w:sz w:val="28"/>
                <w:szCs w:val="24"/>
                <w:lang w:val="en-US"/>
              </w:rPr>
              <w:t xml:space="preserve"> </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6D2A2371"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697F7371"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704C557F" w14:textId="77777777" w:rsidR="00EA0CC8" w:rsidRPr="00EA0CC8" w:rsidRDefault="00EA0CC8" w:rsidP="00BB23AB">
            <w:pPr>
              <w:ind w:firstLine="720"/>
              <w:jc w:val="both"/>
              <w:rPr>
                <w:color w:val="auto"/>
                <w:sz w:val="28"/>
                <w:szCs w:val="24"/>
                <w:lang w:val="en-US"/>
              </w:rPr>
            </w:pPr>
            <w:r w:rsidRPr="00EA0CC8">
              <w:rPr>
                <w:color w:val="auto"/>
                <w:sz w:val="28"/>
                <w:szCs w:val="24"/>
                <w:lang w:val="en-US"/>
              </w:rPr>
              <w:t>There were two identified cultural misunderstandings. These were poor communication skills and a lack of cultural sensitivity. The lack of communication was demonstrated by the inability of the server to interact with a foreign language effectively. On the other hand, a lack of cultural sensitivity was demonstrated by a lack of cultural curiosity to understand the African customer's uniqueness and dietary preferences and the cultural knowledge of unique cultural dieting.</w:t>
            </w:r>
          </w:p>
          <w:p w14:paraId="3B78E931" w14:textId="77777777" w:rsidR="00EA0CC8" w:rsidRPr="00EA0CC8" w:rsidRDefault="00EA0CC8" w:rsidP="00EA0CC8">
            <w:pPr>
              <w:rPr>
                <w:b/>
                <w:bCs/>
                <w:color w:val="auto"/>
                <w:sz w:val="28"/>
                <w:szCs w:val="24"/>
                <w:lang w:val="en-US"/>
              </w:rPr>
            </w:pPr>
            <w:r w:rsidRPr="00EA0CC8">
              <w:rPr>
                <w:b/>
                <w:bCs/>
                <w:color w:val="auto"/>
                <w:sz w:val="28"/>
                <w:szCs w:val="24"/>
                <w:lang w:val="en-US"/>
              </w:rPr>
              <w:t>Training plan</w:t>
            </w:r>
          </w:p>
          <w:p w14:paraId="2896C09D" w14:textId="77777777" w:rsidR="00EA0CC8" w:rsidRPr="00EA0CC8" w:rsidRDefault="00EA0CC8" w:rsidP="00EA0CC8">
            <w:pPr>
              <w:rPr>
                <w:color w:val="auto"/>
                <w:sz w:val="28"/>
                <w:szCs w:val="24"/>
                <w:lang w:val="en-US"/>
              </w:rPr>
            </w:pPr>
            <w:r w:rsidRPr="00EA0CC8">
              <w:rPr>
                <w:color w:val="auto"/>
                <w:sz w:val="28"/>
                <w:szCs w:val="24"/>
                <w:lang w:val="en-US"/>
              </w:rPr>
              <w:t>A training plan addresses the two components through a Communication Skills Workshop and Cultural Sensitivity Training.</w:t>
            </w:r>
          </w:p>
          <w:p w14:paraId="3A680946" w14:textId="3E0BDDDD" w:rsidR="00EA0CC8" w:rsidRPr="00EA0CC8" w:rsidRDefault="00EA0CC8" w:rsidP="00EA0CC8">
            <w:pPr>
              <w:rPr>
                <w:b/>
                <w:bCs/>
                <w:color w:val="auto"/>
                <w:sz w:val="28"/>
                <w:szCs w:val="24"/>
                <w:lang w:val="en-US"/>
              </w:rPr>
            </w:pPr>
            <w:r w:rsidRPr="00EA0CC8">
              <w:rPr>
                <w:b/>
                <w:bCs/>
                <w:color w:val="auto"/>
                <w:sz w:val="28"/>
                <w:szCs w:val="24"/>
                <w:lang w:val="en-US"/>
              </w:rPr>
              <w:t>Communication Skills Workshop</w:t>
            </w:r>
            <w:r w:rsidR="009650AB" w:rsidRPr="009650AB">
              <w:rPr>
                <w:b/>
                <w:bCs/>
                <w:color w:val="auto"/>
                <w:sz w:val="28"/>
                <w:szCs w:val="24"/>
                <w:lang w:val="en-US"/>
              </w:rPr>
              <w:t xml:space="preserve"> plan (Why/What//Who/Where/When):</w:t>
            </w:r>
          </w:p>
          <w:p w14:paraId="44388BC9" w14:textId="77777777" w:rsidR="00EA0CC8" w:rsidRPr="00EA0CC8" w:rsidRDefault="00EA0CC8" w:rsidP="00BB23AB">
            <w:pPr>
              <w:ind w:firstLine="720"/>
              <w:jc w:val="both"/>
              <w:rPr>
                <w:color w:val="auto"/>
                <w:sz w:val="28"/>
                <w:szCs w:val="24"/>
                <w:lang w:val="en-US"/>
              </w:rPr>
            </w:pPr>
            <w:r w:rsidRPr="00EA0CC8">
              <w:rPr>
                <w:color w:val="auto"/>
                <w:sz w:val="28"/>
                <w:szCs w:val="24"/>
                <w:lang w:val="en-US"/>
              </w:rPr>
              <w:lastRenderedPageBreak/>
              <w:t>The communication skills workshop will be conducted every day for one hour for one week. The communication skills workshop is an effective workshop that ensures the hotel staff can navigate the language differences and promote a deeper understanding of customer communication and preferences. The workshop will be conducted in the hotel’s conference room with the appropriate audiovisual interactive tools, such as projectors and teleconferencing equipment. All staff members' priorities were given to contact staff with the guests in multiple scheduled sessions. Donald (2023) highlights that in intercultural communication, it's critical to address cultural stereotypes, draw attention to cultural practices and norms, and develop active listening (pp. 37-38). My communication skills workshop will address issues such as developing various methods and strategies for approaching guests who speak a different language. It will help in addressing language barriers. During the workshop, the staff will be taught active listening skills to facilitate a deeper understanding and communication skills to clarify the customer's dietary needs and preferences. One of the fundamental exercises we shall perform in the workshop is role-playing different scenarios that are common among common cultures.</w:t>
            </w:r>
          </w:p>
          <w:p w14:paraId="2E4868AA" w14:textId="68BD5BFF" w:rsidR="00EA0CC8" w:rsidRPr="009650AB" w:rsidRDefault="00EA0CC8" w:rsidP="00BB23AB">
            <w:pPr>
              <w:jc w:val="both"/>
              <w:rPr>
                <w:b/>
                <w:bCs/>
                <w:color w:val="auto"/>
                <w:sz w:val="28"/>
                <w:szCs w:val="24"/>
              </w:rPr>
            </w:pPr>
            <w:r w:rsidRPr="009650AB">
              <w:rPr>
                <w:b/>
                <w:bCs/>
                <w:color w:val="auto"/>
                <w:sz w:val="28"/>
                <w:szCs w:val="24"/>
              </w:rPr>
              <w:t>Cultural Sensitivity Training plan (Why/What//Who/Where/When):</w:t>
            </w:r>
          </w:p>
          <w:p w14:paraId="5066B4DD" w14:textId="515C5AF8" w:rsidR="005C77A4" w:rsidRPr="000058AE" w:rsidRDefault="00EA0CC8" w:rsidP="00BB23AB">
            <w:pPr>
              <w:ind w:firstLine="720"/>
              <w:jc w:val="both"/>
              <w:rPr>
                <w:color w:val="auto"/>
                <w:sz w:val="28"/>
                <w:szCs w:val="24"/>
                <w:lang w:val="en-US"/>
              </w:rPr>
            </w:pPr>
            <w:r w:rsidRPr="00EA0CC8">
              <w:rPr>
                <w:color w:val="auto"/>
                <w:sz w:val="28"/>
                <w:szCs w:val="24"/>
                <w:lang w:val="en-US"/>
              </w:rPr>
              <w:t xml:space="preserve">Cultural sensitivity training will be conducted twice monthly for six months. Every session will be conducted for two hours. All employees will be required to attend, but it will be mandatory to contact employees such as waiters, bartenders, departmental heads, and frontline receptionists. The objective of the cultural sensitivity training is to enable the staff to clarify cultural misunderstandings through deep comprehension of cultural diversity. The training will ensure guests' cultural practices and norms are incorporated into their service. The training will be conducted in the hotel’s conference room with the appropriate audiovisual interactive tools, such as projectors and teleconferencing equipment. The cultural sensitivity training will require the staff with various cultural dimensions based on the Hofstede model to understand the different unique customer approaches (Malik et al., 2017, p. 326). It enables the employees at the organization to understand and respect cultural differences and work toward reducing them. Consequently, the training will highlight the importance of cultural diversity training and inform the employees of some strategies to overcome cultural barriers. Roque and Ramos (2019) highlight that cultural sensitivity training is important in hospitality to develop and improve soft and hard skills critical in overcoming cultural differences (p. 60). During the cultural sensitivity training, the employee will </w:t>
            </w:r>
            <w:r w:rsidRPr="00EA0CC8">
              <w:rPr>
                <w:color w:val="auto"/>
                <w:sz w:val="28"/>
                <w:szCs w:val="24"/>
                <w:lang w:val="en-US"/>
              </w:rPr>
              <w:lastRenderedPageBreak/>
              <w:t>be given different case studies and practical examples of cross-cultural interactions.</w:t>
            </w:r>
          </w:p>
          <w:p w14:paraId="0F3568B7" w14:textId="77777777" w:rsidR="005C77A4" w:rsidRDefault="005C77A4" w:rsidP="005C77A4">
            <w:pPr>
              <w:rPr>
                <w:b/>
                <w:bCs/>
                <w:sz w:val="28"/>
                <w:szCs w:val="24"/>
              </w:rPr>
            </w:pPr>
            <w:r>
              <w:rPr>
                <w:b/>
                <w:bCs/>
                <w:sz w:val="28"/>
                <w:szCs w:val="24"/>
              </w:rPr>
              <w:t>References:</w:t>
            </w:r>
          </w:p>
          <w:p w14:paraId="506063A4" w14:textId="77777777" w:rsidR="00BC1DBD" w:rsidRPr="000058AE" w:rsidRDefault="00BC1DBD" w:rsidP="00BC1DBD">
            <w:pPr>
              <w:spacing w:after="0"/>
              <w:ind w:left="720" w:hanging="720"/>
              <w:rPr>
                <w:sz w:val="28"/>
                <w:szCs w:val="24"/>
                <w:lang w:val="en-US"/>
              </w:rPr>
            </w:pPr>
            <w:r w:rsidRPr="000058AE">
              <w:rPr>
                <w:sz w:val="28"/>
                <w:szCs w:val="24"/>
                <w:lang w:val="en-US"/>
              </w:rPr>
              <w:t>Donald, S. (2023). ‘“That’s a reputation we have”: Interaction, and categorization in intercultural communication’, New</w:t>
            </w:r>
            <w:r w:rsidRPr="000058AE">
              <w:rPr>
                <w:i/>
                <w:iCs/>
                <w:sz w:val="28"/>
                <w:szCs w:val="24"/>
                <w:lang w:val="en-US"/>
              </w:rPr>
              <w:t xml:space="preserve"> Zealand Studies in Applied Linguistics</w:t>
            </w:r>
            <w:r w:rsidRPr="000058AE">
              <w:rPr>
                <w:sz w:val="28"/>
                <w:szCs w:val="24"/>
                <w:lang w:val="en-US"/>
              </w:rPr>
              <w:t xml:space="preserve">, pp. 36-54. Available at: </w:t>
            </w:r>
            <w:hyperlink r:id="rId12" w:history="1">
              <w:r w:rsidRPr="000058AE">
                <w:rPr>
                  <w:rStyle w:val="Hyperlink"/>
                  <w:sz w:val="28"/>
                  <w:szCs w:val="24"/>
                  <w:lang w:val="en-US"/>
                </w:rPr>
                <w:t>https://doi.org/10.59690/kw15368</w:t>
              </w:r>
            </w:hyperlink>
          </w:p>
          <w:p w14:paraId="1CDB68C4" w14:textId="77777777" w:rsidR="00BC1DBD" w:rsidRPr="007D008F" w:rsidRDefault="00BC1DBD" w:rsidP="00BC1DBD">
            <w:pPr>
              <w:spacing w:after="0"/>
              <w:ind w:left="720" w:hanging="720"/>
              <w:rPr>
                <w:sz w:val="28"/>
                <w:szCs w:val="24"/>
                <w:lang w:val="en-US"/>
              </w:rPr>
            </w:pPr>
            <w:r w:rsidRPr="000058AE">
              <w:rPr>
                <w:sz w:val="28"/>
                <w:szCs w:val="24"/>
                <w:lang w:val="en-US"/>
              </w:rPr>
              <w:t xml:space="preserve">Malik, R., </w:t>
            </w:r>
            <w:proofErr w:type="spellStart"/>
            <w:r w:rsidRPr="000058AE">
              <w:rPr>
                <w:sz w:val="28"/>
                <w:szCs w:val="24"/>
                <w:lang w:val="en-US"/>
              </w:rPr>
              <w:t>Madappa</w:t>
            </w:r>
            <w:proofErr w:type="spellEnd"/>
            <w:r w:rsidRPr="000058AE">
              <w:rPr>
                <w:sz w:val="28"/>
                <w:szCs w:val="24"/>
                <w:lang w:val="en-US"/>
              </w:rPr>
              <w:t>, T., and Chitranshi, J. (2017). ‘Diversity management in tourism and hospitality: An exploratory study’, </w:t>
            </w:r>
            <w:r w:rsidRPr="000058AE">
              <w:rPr>
                <w:i/>
                <w:iCs/>
                <w:sz w:val="28"/>
                <w:szCs w:val="24"/>
                <w:lang w:val="en-US"/>
              </w:rPr>
              <w:t>Foresight</w:t>
            </w:r>
            <w:r w:rsidRPr="000058AE">
              <w:rPr>
                <w:sz w:val="28"/>
                <w:szCs w:val="24"/>
                <w:lang w:val="en-US"/>
              </w:rPr>
              <w:t>, </w:t>
            </w:r>
            <w:r w:rsidRPr="000058AE">
              <w:rPr>
                <w:i/>
                <w:iCs/>
                <w:sz w:val="28"/>
                <w:szCs w:val="24"/>
                <w:lang w:val="en-US"/>
              </w:rPr>
              <w:t>19</w:t>
            </w:r>
            <w:r w:rsidRPr="000058AE">
              <w:rPr>
                <w:sz w:val="28"/>
                <w:szCs w:val="24"/>
                <w:lang w:val="en-US"/>
              </w:rPr>
              <w:t>(3), pp. 323-336. Available at: </w:t>
            </w:r>
            <w:hyperlink r:id="rId13" w:history="1">
              <w:r w:rsidRPr="000058AE">
                <w:rPr>
                  <w:rStyle w:val="Hyperlink"/>
                  <w:sz w:val="28"/>
                  <w:szCs w:val="24"/>
                  <w:lang w:val="en-US"/>
                </w:rPr>
                <w:t>https://doi.org/10.1108/fs-12-2016-0058</w:t>
              </w:r>
            </w:hyperlink>
          </w:p>
          <w:p w14:paraId="193DBD3D" w14:textId="284EE70B" w:rsidR="005C77A4" w:rsidRPr="007D008F" w:rsidRDefault="00BC1DBD" w:rsidP="00BC1DBD">
            <w:pPr>
              <w:spacing w:after="0"/>
              <w:ind w:left="720" w:hanging="720"/>
              <w:rPr>
                <w:sz w:val="28"/>
                <w:szCs w:val="24"/>
                <w:lang w:val="en-US"/>
              </w:rPr>
            </w:pPr>
            <w:r w:rsidRPr="000058AE">
              <w:rPr>
                <w:sz w:val="28"/>
                <w:szCs w:val="24"/>
                <w:lang w:val="en-US"/>
              </w:rPr>
              <w:t>Roque, H. C., and Ramos, M. (2019). ‘The importance of cultural training in the hospitality sector’, </w:t>
            </w:r>
            <w:r w:rsidRPr="000058AE">
              <w:rPr>
                <w:i/>
                <w:iCs/>
                <w:sz w:val="28"/>
                <w:szCs w:val="24"/>
                <w:lang w:val="en-US"/>
              </w:rPr>
              <w:t>European Journal of Tourism, Hospitality and Recreation</w:t>
            </w:r>
            <w:r w:rsidRPr="000058AE">
              <w:rPr>
                <w:sz w:val="28"/>
                <w:szCs w:val="24"/>
                <w:lang w:val="en-US"/>
              </w:rPr>
              <w:t>, </w:t>
            </w:r>
            <w:r w:rsidRPr="000058AE">
              <w:rPr>
                <w:i/>
                <w:iCs/>
                <w:sz w:val="28"/>
                <w:szCs w:val="24"/>
                <w:lang w:val="en-US"/>
              </w:rPr>
              <w:t>9</w:t>
            </w:r>
            <w:r w:rsidRPr="000058AE">
              <w:rPr>
                <w:sz w:val="28"/>
                <w:szCs w:val="24"/>
                <w:lang w:val="en-US"/>
              </w:rPr>
              <w:t xml:space="preserve">(2), pp. 58-67. Available at: </w:t>
            </w:r>
            <w:hyperlink r:id="rId14" w:history="1">
              <w:r w:rsidRPr="000058AE">
                <w:rPr>
                  <w:rStyle w:val="Hyperlink"/>
                  <w:sz w:val="28"/>
                  <w:szCs w:val="24"/>
                  <w:lang w:val="en-US"/>
                </w:rPr>
                <w:t>https://doi.org/10.2478/ejthr-2019-0007</w:t>
              </w:r>
            </w:hyperlink>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746A35">
        <w:trPr>
          <w:trHeight w:val="1250"/>
          <w:jc w:val="center"/>
        </w:trPr>
        <w:tc>
          <w:tcPr>
            <w:tcW w:w="9016" w:type="dxa"/>
            <w:gridSpan w:val="2"/>
            <w:tcBorders>
              <w:top w:val="single" w:sz="4" w:space="0" w:color="auto"/>
              <w:left w:val="single" w:sz="4" w:space="0" w:color="auto"/>
              <w:right w:val="single" w:sz="4" w:space="0" w:color="auto"/>
            </w:tcBorders>
            <w:shd w:val="clear" w:color="auto" w:fill="auto"/>
          </w:tcPr>
          <w:p w14:paraId="6DE75D2E" w14:textId="77777777" w:rsidR="007D008F" w:rsidRPr="007D008F" w:rsidRDefault="007D008F" w:rsidP="00BB23AB">
            <w:pPr>
              <w:ind w:firstLine="720"/>
              <w:jc w:val="both"/>
              <w:rPr>
                <w:color w:val="auto"/>
                <w:sz w:val="28"/>
                <w:szCs w:val="24"/>
                <w:lang w:val="en-US"/>
              </w:rPr>
            </w:pPr>
            <w:proofErr w:type="spellStart"/>
            <w:r w:rsidRPr="007D008F">
              <w:rPr>
                <w:color w:val="auto"/>
                <w:sz w:val="28"/>
                <w:szCs w:val="24"/>
                <w:lang w:val="en-US"/>
              </w:rPr>
              <w:t>Oviawe</w:t>
            </w:r>
            <w:proofErr w:type="spellEnd"/>
            <w:r w:rsidRPr="007D008F">
              <w:rPr>
                <w:color w:val="auto"/>
                <w:sz w:val="28"/>
                <w:szCs w:val="24"/>
                <w:lang w:val="en-US"/>
              </w:rPr>
              <w:t xml:space="preserve"> (2020) highlights that reflective exercises are critical in learning as they allow the student to reflect on their experiences to “know what works and what does not work” (p. 8). Reflecting on the cultural misunderstanding assignment allowed me to think about cross-cultural interactions from a new and practical perspective.  The exercise gave me much insight into cultural awareness in the hospitality industry, thus understanding the distinctions between Muslim, African, and European experiences and preferences. For this exercise, I used the Gibb’s Reflective cycle. Gibb’s reflective cycle has six stages: “description, feelings, evaluation, analysis, conclusion, and action plan” (The University of Edinburgh, 2024). </w:t>
            </w:r>
            <w:proofErr w:type="spellStart"/>
            <w:r w:rsidRPr="007D008F">
              <w:rPr>
                <w:color w:val="auto"/>
                <w:sz w:val="28"/>
                <w:szCs w:val="24"/>
                <w:lang w:val="en-US"/>
              </w:rPr>
              <w:t>Adeani</w:t>
            </w:r>
            <w:proofErr w:type="spellEnd"/>
            <w:r w:rsidRPr="007D008F">
              <w:rPr>
                <w:color w:val="auto"/>
                <w:sz w:val="28"/>
                <w:szCs w:val="24"/>
                <w:lang w:val="en-US"/>
              </w:rPr>
              <w:t xml:space="preserve"> et al. (2020) note that Gibb’s reflective cycle provides a structured framework for developing a critical reflection of a learning activity and writing a journal.</w:t>
            </w:r>
          </w:p>
          <w:p w14:paraId="5FEE9C14" w14:textId="77777777" w:rsidR="007D008F" w:rsidRPr="007D008F" w:rsidRDefault="007D008F" w:rsidP="00BB23AB">
            <w:pPr>
              <w:ind w:firstLine="720"/>
              <w:jc w:val="both"/>
              <w:rPr>
                <w:color w:val="auto"/>
                <w:sz w:val="28"/>
                <w:szCs w:val="24"/>
                <w:lang w:val="en-US"/>
              </w:rPr>
            </w:pPr>
            <w:r w:rsidRPr="007D008F">
              <w:rPr>
                <w:color w:val="auto"/>
                <w:sz w:val="28"/>
                <w:szCs w:val="24"/>
                <w:lang w:val="en-US"/>
              </w:rPr>
              <w:t xml:space="preserve">The first stage is description, which implies describing the situation in detail (The University of Edinburgh, 2024). For the assessment, I thought about my experience witnessing a cultural misunderstanding in person. Initially, I couldn’t remember the foggy details, but after an hour of thinking, I remembered the cultural exchange and wrote down a rough draft of my experience. I then searched multiple databases in the university’s digital library for scholarly articles explaining my experience with cultural interaction. The </w:t>
            </w:r>
            <w:r w:rsidRPr="007D008F">
              <w:rPr>
                <w:color w:val="auto"/>
                <w:sz w:val="28"/>
                <w:szCs w:val="24"/>
                <w:lang w:val="en-US"/>
              </w:rPr>
              <w:lastRenderedPageBreak/>
              <w:t>second stage is feelings, which imply the feelings or thoughts that accompany the experience (The University of Edinburgh, 2024). As I was writing the case scenario, I felt frustrated because I couldn’t recall the events, considering I only witnessed and filled in the gaps with what I was told by the staff involved in the incident. However, I felt happy and excited as I remembered the vivid details and found complementary sources explaining my experience.</w:t>
            </w:r>
          </w:p>
          <w:p w14:paraId="44F8565E" w14:textId="459C37C5" w:rsidR="005C77A4" w:rsidRPr="007D008F" w:rsidRDefault="007D008F" w:rsidP="00BB23AB">
            <w:pPr>
              <w:ind w:firstLine="720"/>
              <w:jc w:val="both"/>
              <w:rPr>
                <w:color w:val="auto"/>
                <w:sz w:val="28"/>
                <w:szCs w:val="24"/>
                <w:lang w:val="en-US"/>
              </w:rPr>
            </w:pPr>
            <w:r w:rsidRPr="007D008F">
              <w:rPr>
                <w:color w:val="auto"/>
                <w:sz w:val="28"/>
                <w:szCs w:val="24"/>
                <w:lang w:val="en-US"/>
              </w:rPr>
              <w:t>The third stage, evaluation, where the student evaluates what worked or didn’t work, was the best part of the experience (The University of Edinburgh, 2024). What worked so well was that I understood the nuances of cultural sensitivity training and communication skills workshops. Some of my questions, such as “What were the cultural misunderstandings in the scenario?” “How can I resolve these cultural misunderstandings?” were now being solved. I understood the cultural communication breakdowns, lack of cultural awareness, and subsequent techniques to resolve these challenges. The fourth stage, analysis, helps the student understand what happened. I believe things went well in the exercise because I had enough time, access to a wide library of resources, and critical reading. I discovered that my strengths in research work and writing skills enabled me to draft a good report. In the fifth stage, the conclusion, the student summarizes the events of the exercise. I learned that cultural misunderstandings happen more often than I presume. I learned that poor communication skills and a lack of cultural awareness were the source of cultural misunderstanding. Also, cultural sensitivity training and communication skills workshop presents a novel solution to resolve cultural misunderstanding. In the final stage, an action plan, the student proposes a plan of what the student would do differently (The University of Edinburgh, 2024). During the exercise, I realized I would have chosen a different case study with wider nuances of cultural misunderstanding. Next time, I will list different cultural encounters to define which cultural experience would yield more nuanced cultural awareness.</w:t>
            </w:r>
          </w:p>
          <w:p w14:paraId="2962EF1D" w14:textId="77777777" w:rsidR="00031283" w:rsidRDefault="00031283" w:rsidP="005C77A4">
            <w:pPr>
              <w:rPr>
                <w:b/>
                <w:bCs/>
                <w:sz w:val="28"/>
                <w:szCs w:val="24"/>
              </w:rPr>
            </w:pPr>
          </w:p>
          <w:p w14:paraId="540D11E8" w14:textId="77777777" w:rsidR="00031283" w:rsidRDefault="00031283" w:rsidP="005C77A4">
            <w:pPr>
              <w:rPr>
                <w:b/>
                <w:bCs/>
                <w:sz w:val="28"/>
                <w:szCs w:val="24"/>
              </w:rPr>
            </w:pPr>
          </w:p>
          <w:p w14:paraId="5EACE0ED" w14:textId="77777777" w:rsidR="00031283" w:rsidRDefault="00031283" w:rsidP="005C77A4">
            <w:pPr>
              <w:rPr>
                <w:b/>
                <w:bCs/>
                <w:sz w:val="28"/>
                <w:szCs w:val="24"/>
              </w:rPr>
            </w:pPr>
          </w:p>
          <w:p w14:paraId="415BC9F9" w14:textId="77777777" w:rsidR="00031283" w:rsidRDefault="00031283" w:rsidP="005C77A4">
            <w:pPr>
              <w:rPr>
                <w:b/>
                <w:bCs/>
                <w:sz w:val="28"/>
                <w:szCs w:val="24"/>
              </w:rPr>
            </w:pPr>
          </w:p>
          <w:p w14:paraId="76C48DA7" w14:textId="77777777" w:rsidR="00031283" w:rsidRDefault="00031283" w:rsidP="005C77A4">
            <w:pPr>
              <w:rPr>
                <w:b/>
                <w:bCs/>
                <w:sz w:val="28"/>
                <w:szCs w:val="24"/>
              </w:rPr>
            </w:pPr>
          </w:p>
          <w:p w14:paraId="2C81DD6F" w14:textId="77777777" w:rsidR="00031283" w:rsidRDefault="00031283" w:rsidP="005C77A4">
            <w:pPr>
              <w:rPr>
                <w:b/>
                <w:bCs/>
                <w:sz w:val="28"/>
                <w:szCs w:val="24"/>
              </w:rPr>
            </w:pPr>
          </w:p>
          <w:p w14:paraId="06162095" w14:textId="6D7B4137" w:rsidR="005C77A4" w:rsidRDefault="005C77A4" w:rsidP="005C77A4">
            <w:pPr>
              <w:rPr>
                <w:b/>
                <w:bCs/>
                <w:sz w:val="28"/>
                <w:szCs w:val="24"/>
              </w:rPr>
            </w:pPr>
            <w:r>
              <w:rPr>
                <w:b/>
                <w:bCs/>
                <w:sz w:val="28"/>
                <w:szCs w:val="24"/>
              </w:rPr>
              <w:lastRenderedPageBreak/>
              <w:t>References:</w:t>
            </w:r>
          </w:p>
          <w:p w14:paraId="744DB7C2" w14:textId="77777777" w:rsidR="00BC1DBD" w:rsidRPr="007D008F" w:rsidRDefault="00BC1DBD" w:rsidP="00BC1DBD">
            <w:pPr>
              <w:spacing w:after="0"/>
              <w:ind w:left="720" w:hanging="720"/>
              <w:rPr>
                <w:sz w:val="28"/>
                <w:szCs w:val="24"/>
                <w:lang w:val="en-US"/>
              </w:rPr>
            </w:pPr>
            <w:proofErr w:type="spellStart"/>
            <w:r w:rsidRPr="007D008F">
              <w:rPr>
                <w:sz w:val="28"/>
                <w:szCs w:val="24"/>
                <w:lang w:val="en-US"/>
              </w:rPr>
              <w:t>Adeani</w:t>
            </w:r>
            <w:proofErr w:type="spellEnd"/>
            <w:r w:rsidRPr="007D008F">
              <w:rPr>
                <w:sz w:val="28"/>
                <w:szCs w:val="24"/>
                <w:lang w:val="en-US"/>
              </w:rPr>
              <w:t xml:space="preserve">, I.S., </w:t>
            </w:r>
            <w:proofErr w:type="spellStart"/>
            <w:r w:rsidRPr="007D008F">
              <w:rPr>
                <w:sz w:val="28"/>
                <w:szCs w:val="24"/>
                <w:lang w:val="en-US"/>
              </w:rPr>
              <w:t>Febriani</w:t>
            </w:r>
            <w:proofErr w:type="spellEnd"/>
            <w:r w:rsidRPr="007D008F">
              <w:rPr>
                <w:sz w:val="28"/>
                <w:szCs w:val="24"/>
                <w:lang w:val="en-US"/>
              </w:rPr>
              <w:t xml:space="preserve">, R.B. and </w:t>
            </w:r>
            <w:proofErr w:type="spellStart"/>
            <w:r w:rsidRPr="007D008F">
              <w:rPr>
                <w:sz w:val="28"/>
                <w:szCs w:val="24"/>
                <w:lang w:val="en-US"/>
              </w:rPr>
              <w:t>Syafryadin</w:t>
            </w:r>
            <w:proofErr w:type="spellEnd"/>
            <w:r w:rsidRPr="007D008F">
              <w:rPr>
                <w:sz w:val="28"/>
                <w:szCs w:val="24"/>
                <w:lang w:val="en-US"/>
              </w:rPr>
              <w:t xml:space="preserve">, S. (2020). ‘Using </w:t>
            </w:r>
            <w:proofErr w:type="spellStart"/>
            <w:r w:rsidRPr="007D008F">
              <w:rPr>
                <w:sz w:val="28"/>
                <w:szCs w:val="24"/>
                <w:lang w:val="en-US"/>
              </w:rPr>
              <w:t>GIBBS’reflective</w:t>
            </w:r>
            <w:proofErr w:type="spellEnd"/>
            <w:r w:rsidRPr="007D008F">
              <w:rPr>
                <w:sz w:val="28"/>
                <w:szCs w:val="24"/>
                <w:lang w:val="en-US"/>
              </w:rPr>
              <w:t xml:space="preserve"> cycle in making reflections of literary analysis’, </w:t>
            </w:r>
            <w:r w:rsidRPr="007D008F">
              <w:rPr>
                <w:i/>
                <w:iCs/>
                <w:sz w:val="28"/>
                <w:szCs w:val="24"/>
                <w:lang w:val="en-US"/>
              </w:rPr>
              <w:t>Indonesian EFL Journal</w:t>
            </w:r>
            <w:r w:rsidRPr="007D008F">
              <w:rPr>
                <w:sz w:val="28"/>
                <w:szCs w:val="24"/>
                <w:lang w:val="en-US"/>
              </w:rPr>
              <w:t>, </w:t>
            </w:r>
            <w:r w:rsidRPr="007D008F">
              <w:rPr>
                <w:i/>
                <w:iCs/>
                <w:sz w:val="28"/>
                <w:szCs w:val="24"/>
                <w:lang w:val="en-US"/>
              </w:rPr>
              <w:t>6</w:t>
            </w:r>
            <w:r w:rsidRPr="007D008F">
              <w:rPr>
                <w:sz w:val="28"/>
                <w:szCs w:val="24"/>
                <w:lang w:val="en-US"/>
              </w:rPr>
              <w:t xml:space="preserve">(2), pp.139-148. Available at: </w:t>
            </w:r>
            <w:hyperlink r:id="rId15" w:history="1">
              <w:r w:rsidRPr="000058AE">
                <w:rPr>
                  <w:rStyle w:val="Hyperlink"/>
                  <w:sz w:val="28"/>
                  <w:szCs w:val="24"/>
                  <w:lang w:val="en-US"/>
                </w:rPr>
                <w:t>https://doi.org/</w:t>
              </w:r>
              <w:r w:rsidRPr="007D008F">
                <w:rPr>
                  <w:rStyle w:val="Hyperlink"/>
                  <w:sz w:val="28"/>
                  <w:szCs w:val="24"/>
                  <w:lang w:val="en-US"/>
                </w:rPr>
                <w:t>10.25134/ieflj.v6i2.3382</w:t>
              </w:r>
            </w:hyperlink>
            <w:r>
              <w:rPr>
                <w:sz w:val="28"/>
                <w:szCs w:val="24"/>
                <w:lang w:val="en-US"/>
              </w:rPr>
              <w:t xml:space="preserve"> </w:t>
            </w:r>
          </w:p>
          <w:p w14:paraId="648F940C" w14:textId="77777777" w:rsidR="00BC1DBD" w:rsidRPr="007D008F" w:rsidRDefault="00BC1DBD" w:rsidP="00BC1DBD">
            <w:pPr>
              <w:spacing w:after="0"/>
              <w:ind w:left="720" w:hanging="720"/>
              <w:rPr>
                <w:sz w:val="28"/>
                <w:szCs w:val="24"/>
                <w:lang w:val="en-US"/>
              </w:rPr>
            </w:pPr>
            <w:proofErr w:type="spellStart"/>
            <w:r w:rsidRPr="007D008F">
              <w:rPr>
                <w:sz w:val="28"/>
                <w:szCs w:val="24"/>
                <w:lang w:val="en-US"/>
              </w:rPr>
              <w:t>Oviawe</w:t>
            </w:r>
            <w:proofErr w:type="spellEnd"/>
            <w:r w:rsidRPr="007D008F">
              <w:rPr>
                <w:sz w:val="28"/>
                <w:szCs w:val="24"/>
                <w:lang w:val="en-US"/>
              </w:rPr>
              <w:t xml:space="preserve">, J. (2020). ‘Application of Graham Gibbs Model of Reflection to Improve Teaching Understanding among Technical Education Students in Ambrose Alli University </w:t>
            </w:r>
            <w:proofErr w:type="spellStart"/>
            <w:r w:rsidRPr="007D008F">
              <w:rPr>
                <w:sz w:val="28"/>
                <w:szCs w:val="24"/>
                <w:lang w:val="en-US"/>
              </w:rPr>
              <w:t>Ekpoma</w:t>
            </w:r>
            <w:proofErr w:type="spellEnd"/>
            <w:r w:rsidRPr="007D008F">
              <w:rPr>
                <w:sz w:val="28"/>
                <w:szCs w:val="24"/>
                <w:lang w:val="en-US"/>
              </w:rPr>
              <w:t xml:space="preserve"> Edo State’, </w:t>
            </w:r>
            <w:proofErr w:type="spellStart"/>
            <w:r w:rsidRPr="007D008F">
              <w:rPr>
                <w:i/>
                <w:iCs/>
                <w:sz w:val="28"/>
                <w:szCs w:val="24"/>
                <w:lang w:val="en-US"/>
              </w:rPr>
              <w:t>Sumerianz</w:t>
            </w:r>
            <w:proofErr w:type="spellEnd"/>
            <w:r w:rsidRPr="007D008F">
              <w:rPr>
                <w:i/>
                <w:iCs/>
                <w:sz w:val="28"/>
                <w:szCs w:val="24"/>
                <w:lang w:val="en-US"/>
              </w:rPr>
              <w:t xml:space="preserve"> Journal of Education, Linguistics and Literature</w:t>
            </w:r>
            <w:r w:rsidRPr="007D008F">
              <w:rPr>
                <w:sz w:val="28"/>
                <w:szCs w:val="24"/>
                <w:lang w:val="en-US"/>
              </w:rPr>
              <w:t>, </w:t>
            </w:r>
            <w:r w:rsidRPr="007D008F">
              <w:rPr>
                <w:i/>
                <w:iCs/>
                <w:sz w:val="28"/>
                <w:szCs w:val="24"/>
                <w:lang w:val="en-US"/>
              </w:rPr>
              <w:t>3</w:t>
            </w:r>
            <w:r w:rsidRPr="007D008F">
              <w:rPr>
                <w:sz w:val="28"/>
                <w:szCs w:val="24"/>
                <w:lang w:val="en-US"/>
              </w:rPr>
              <w:t xml:space="preserve">(2), pp.1201-2617. Available at: </w:t>
            </w:r>
            <w:hyperlink r:id="rId16" w:history="1">
              <w:r w:rsidRPr="007D008F">
                <w:rPr>
                  <w:rStyle w:val="Hyperlink"/>
                  <w:sz w:val="28"/>
                  <w:szCs w:val="24"/>
                  <w:lang w:val="en-US"/>
                </w:rPr>
                <w:t>https://www.sumerianz.com/pdf-files/sjell3(2)8-15.pdf</w:t>
              </w:r>
            </w:hyperlink>
          </w:p>
          <w:p w14:paraId="7082BAD0" w14:textId="732F72E3" w:rsidR="005C77A4" w:rsidRPr="00746A35" w:rsidRDefault="00BC1DBD" w:rsidP="00BC1DBD">
            <w:pPr>
              <w:spacing w:after="0"/>
              <w:ind w:left="720" w:hanging="720"/>
              <w:rPr>
                <w:sz w:val="28"/>
                <w:szCs w:val="24"/>
                <w:lang w:val="en-US"/>
              </w:rPr>
            </w:pPr>
            <w:r w:rsidRPr="007D008F">
              <w:rPr>
                <w:sz w:val="28"/>
                <w:szCs w:val="24"/>
                <w:lang w:val="en-US"/>
              </w:rPr>
              <w:t>The University of Edinburgh. (2024</w:t>
            </w:r>
            <w:r w:rsidRPr="007D008F">
              <w:rPr>
                <w:i/>
                <w:iCs/>
                <w:sz w:val="28"/>
                <w:szCs w:val="24"/>
                <w:lang w:val="en-US"/>
              </w:rPr>
              <w:t>). </w:t>
            </w:r>
            <w:r w:rsidRPr="007D008F">
              <w:rPr>
                <w:sz w:val="28"/>
                <w:szCs w:val="24"/>
                <w:lang w:val="en-US"/>
              </w:rPr>
              <w:t xml:space="preserve">‘Gibbs' reflective cycle.’ Available at: </w:t>
            </w:r>
            <w:hyperlink r:id="rId17" w:history="1">
              <w:r w:rsidRPr="007D008F">
                <w:rPr>
                  <w:rStyle w:val="Hyperlink"/>
                  <w:sz w:val="28"/>
                  <w:szCs w:val="24"/>
                  <w:lang w:val="en-US"/>
                </w:rPr>
                <w:t>https://www.ed.ac.uk/reflection/reflectors-toolkit/reflecting-on-experience/gibbs-reflective-cycle</w:t>
              </w:r>
            </w:hyperlink>
            <w:r w:rsidRPr="007D008F">
              <w:rPr>
                <w:sz w:val="28"/>
                <w:szCs w:val="24"/>
                <w:lang w:val="en-US"/>
              </w:rPr>
              <w:t xml:space="preserve"> (Accessed: 28 January 2024)</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3F7C66A8" w:rsidR="00B9157C" w:rsidRPr="00B9157C" w:rsidRDefault="00A04A9A" w:rsidP="00B9157C">
            <w:pPr>
              <w:jc w:val="center"/>
              <w:rPr>
                <w:b/>
                <w:bCs/>
                <w:i/>
                <w:iCs/>
                <w:color w:val="BFBFBF" w:themeColor="background1" w:themeShade="BF"/>
                <w:sz w:val="28"/>
                <w:szCs w:val="24"/>
                <w:lang w:val="en-US"/>
              </w:rPr>
            </w:pPr>
            <w:r>
              <w:rPr>
                <w:b/>
                <w:bCs/>
                <w:i/>
                <w:iCs/>
                <w:noProof/>
                <w:color w:val="auto"/>
                <w:sz w:val="28"/>
                <w:szCs w:val="24"/>
                <w:lang w:val="en-US"/>
              </w:rPr>
              <w:drawing>
                <wp:inline distT="0" distB="0" distL="0" distR="0" wp14:anchorId="7E9E2E46" wp14:editId="4B240263">
                  <wp:extent cx="5722620" cy="3238500"/>
                  <wp:effectExtent l="0" t="0" r="0" b="0"/>
                  <wp:docPr id="44842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3238500"/>
                          </a:xfrm>
                          <a:prstGeom prst="rect">
                            <a:avLst/>
                          </a:prstGeom>
                          <a:noFill/>
                          <a:ln>
                            <a:noFill/>
                          </a:ln>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7F7C5378" w:rsidR="007B3A72" w:rsidRPr="004F78B3" w:rsidRDefault="00A04A9A" w:rsidP="007B3A72">
            <w:pPr>
              <w:rPr>
                <w:color w:val="BFBFBF" w:themeColor="background1" w:themeShade="BF"/>
                <w:sz w:val="28"/>
                <w:szCs w:val="24"/>
                <w:lang w:val="en-US"/>
              </w:rPr>
            </w:pPr>
            <w:r>
              <w:rPr>
                <w:b/>
                <w:bCs/>
                <w:noProof/>
                <w:color w:val="auto"/>
                <w:sz w:val="28"/>
                <w:szCs w:val="24"/>
                <w:lang w:val="en-US"/>
              </w:rPr>
              <w:lastRenderedPageBreak/>
              <w:drawing>
                <wp:inline distT="0" distB="0" distL="0" distR="0" wp14:anchorId="638F36E0" wp14:editId="2BAF4F27">
                  <wp:extent cx="5730240" cy="3208020"/>
                  <wp:effectExtent l="0" t="0" r="3810" b="0"/>
                  <wp:docPr id="14211497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3208020"/>
                          </a:xfrm>
                          <a:prstGeom prst="rect">
                            <a:avLst/>
                          </a:prstGeom>
                          <a:noFill/>
                          <a:ln>
                            <a:noFill/>
                          </a:ln>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519C4254" w:rsidR="003164B2" w:rsidRPr="004F78B3" w:rsidRDefault="00A04A9A" w:rsidP="003164B2">
            <w:pPr>
              <w:rPr>
                <w:color w:val="BFBFBF" w:themeColor="background1" w:themeShade="BF"/>
                <w:sz w:val="28"/>
                <w:szCs w:val="24"/>
              </w:rPr>
            </w:pPr>
            <w:r>
              <w:rPr>
                <w:b/>
                <w:bCs/>
                <w:noProof/>
                <w:color w:val="auto"/>
                <w:sz w:val="28"/>
                <w:szCs w:val="24"/>
                <w:lang w:val="en-US"/>
              </w:rPr>
              <w:drawing>
                <wp:inline distT="0" distB="0" distL="0" distR="0" wp14:anchorId="421CE14C" wp14:editId="35A68DD7">
                  <wp:extent cx="5722620" cy="3200400"/>
                  <wp:effectExtent l="0" t="0" r="0" b="0"/>
                  <wp:docPr id="1869757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2620" cy="3200400"/>
                          </a:xfrm>
                          <a:prstGeom prst="rect">
                            <a:avLst/>
                          </a:prstGeom>
                          <a:noFill/>
                          <a:ln>
                            <a:noFill/>
                          </a:ln>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5C65209A" w:rsidR="003164B2" w:rsidRPr="004F78B3" w:rsidRDefault="00A04A9A" w:rsidP="000C4168">
            <w:pPr>
              <w:rPr>
                <w:color w:val="BFBFBF" w:themeColor="background1" w:themeShade="BF"/>
                <w:sz w:val="28"/>
                <w:szCs w:val="24"/>
                <w:lang w:val="en-US"/>
              </w:rPr>
            </w:pPr>
            <w:r>
              <w:rPr>
                <w:b/>
                <w:bCs/>
                <w:noProof/>
                <w:color w:val="auto"/>
                <w:sz w:val="28"/>
                <w:szCs w:val="24"/>
                <w:lang w:val="en-US"/>
              </w:rPr>
              <w:lastRenderedPageBreak/>
              <w:drawing>
                <wp:inline distT="0" distB="0" distL="0" distR="0" wp14:anchorId="24FB4886" wp14:editId="2E3257F5">
                  <wp:extent cx="5730240" cy="3238500"/>
                  <wp:effectExtent l="0" t="0" r="3810" b="0"/>
                  <wp:docPr id="685755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A01366C" w:rsidR="00F015B2" w:rsidRPr="009030EC" w:rsidRDefault="00A04A9A" w:rsidP="00F015B2">
            <w:pPr>
              <w:rPr>
                <w:b/>
                <w:bCs/>
                <w:i/>
                <w:iCs/>
                <w:color w:val="auto"/>
                <w:sz w:val="28"/>
                <w:szCs w:val="24"/>
                <w:lang w:val="en-US"/>
              </w:rPr>
            </w:pPr>
            <w:r>
              <w:rPr>
                <w:b/>
                <w:bCs/>
                <w:noProof/>
                <w:color w:val="auto"/>
                <w:sz w:val="28"/>
                <w:szCs w:val="24"/>
                <w:lang w:val="en-US"/>
              </w:rPr>
              <w:drawing>
                <wp:inline distT="0" distB="0" distL="0" distR="0" wp14:anchorId="2C8A2B8B" wp14:editId="7230ED01">
                  <wp:extent cx="5730240" cy="3208020"/>
                  <wp:effectExtent l="0" t="0" r="3810" b="0"/>
                  <wp:docPr id="20174786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3208020"/>
                          </a:xfrm>
                          <a:prstGeom prst="rect">
                            <a:avLst/>
                          </a:prstGeom>
                          <a:noFill/>
                          <a:ln>
                            <a:noFill/>
                          </a:ln>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160EBEF" w14:textId="77777777" w:rsidR="00A04A9A" w:rsidRDefault="00A04A9A" w:rsidP="003164B2">
            <w:pPr>
              <w:rPr>
                <w:b/>
                <w:bCs/>
                <w:sz w:val="28"/>
                <w:szCs w:val="24"/>
              </w:rPr>
            </w:pPr>
          </w:p>
          <w:p w14:paraId="49323843" w14:textId="77777777" w:rsidR="00A04A9A" w:rsidRDefault="00A04A9A" w:rsidP="003164B2">
            <w:pPr>
              <w:rPr>
                <w:b/>
                <w:bCs/>
                <w:sz w:val="28"/>
                <w:szCs w:val="24"/>
              </w:rPr>
            </w:pPr>
          </w:p>
          <w:p w14:paraId="2C6FBD78" w14:textId="77777777" w:rsidR="00A04A9A" w:rsidRDefault="00A04A9A" w:rsidP="003164B2">
            <w:pPr>
              <w:rPr>
                <w:b/>
                <w:bCs/>
                <w:sz w:val="28"/>
                <w:szCs w:val="24"/>
              </w:rPr>
            </w:pPr>
          </w:p>
          <w:p w14:paraId="6DA94034" w14:textId="77777777" w:rsidR="00A04A9A" w:rsidRDefault="00A04A9A" w:rsidP="003164B2">
            <w:pPr>
              <w:rPr>
                <w:b/>
                <w:bCs/>
                <w:sz w:val="28"/>
                <w:szCs w:val="24"/>
              </w:rPr>
            </w:pPr>
          </w:p>
          <w:p w14:paraId="22E1AE60" w14:textId="77777777" w:rsidR="00A04A9A" w:rsidRDefault="00A04A9A" w:rsidP="003164B2">
            <w:pPr>
              <w:rPr>
                <w:b/>
                <w:bCs/>
                <w:sz w:val="28"/>
                <w:szCs w:val="24"/>
              </w:rPr>
            </w:pPr>
            <w:r>
              <w:rPr>
                <w:b/>
                <w:bCs/>
                <w:noProof/>
                <w:sz w:val="28"/>
                <w:szCs w:val="24"/>
              </w:rPr>
              <w:lastRenderedPageBreak/>
              <w:drawing>
                <wp:inline distT="0" distB="0" distL="0" distR="0" wp14:anchorId="45D0D9E0" wp14:editId="5A6FE335">
                  <wp:extent cx="5730240" cy="3238500"/>
                  <wp:effectExtent l="0" t="0" r="3810" b="0"/>
                  <wp:docPr id="272057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p>
          <w:p w14:paraId="4F88EB94" w14:textId="77777777" w:rsidR="00A04A9A" w:rsidRDefault="00A04A9A" w:rsidP="003164B2">
            <w:pPr>
              <w:rPr>
                <w:b/>
                <w:bCs/>
                <w:sz w:val="28"/>
                <w:szCs w:val="24"/>
              </w:rPr>
            </w:pPr>
          </w:p>
          <w:p w14:paraId="084E69D2" w14:textId="77777777" w:rsidR="00A04A9A" w:rsidRDefault="00A04A9A" w:rsidP="003164B2">
            <w:pPr>
              <w:rPr>
                <w:b/>
                <w:bCs/>
                <w:sz w:val="28"/>
                <w:szCs w:val="24"/>
              </w:rPr>
            </w:pPr>
          </w:p>
          <w:p w14:paraId="0B91A569" w14:textId="52C26FF8"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6E212A23" w14:textId="77777777" w:rsidR="00274D56" w:rsidRPr="00274D56" w:rsidRDefault="00274D56" w:rsidP="00274D56">
            <w:pPr>
              <w:spacing w:after="0"/>
              <w:ind w:left="720" w:hanging="720"/>
              <w:rPr>
                <w:sz w:val="28"/>
                <w:szCs w:val="24"/>
                <w:lang w:val="en-US"/>
              </w:rPr>
            </w:pPr>
            <w:proofErr w:type="spellStart"/>
            <w:r w:rsidRPr="00274D56">
              <w:rPr>
                <w:sz w:val="28"/>
                <w:szCs w:val="24"/>
                <w:lang w:val="en-US"/>
              </w:rPr>
              <w:t>Aniqoh</w:t>
            </w:r>
            <w:proofErr w:type="spellEnd"/>
            <w:r w:rsidRPr="00274D56">
              <w:rPr>
                <w:sz w:val="28"/>
                <w:szCs w:val="24"/>
                <w:lang w:val="en-US"/>
              </w:rPr>
              <w:t xml:space="preserve">, N.A.F.A. and </w:t>
            </w:r>
            <w:proofErr w:type="spellStart"/>
            <w:r w:rsidRPr="00274D56">
              <w:rPr>
                <w:sz w:val="28"/>
                <w:szCs w:val="24"/>
                <w:lang w:val="en-US"/>
              </w:rPr>
              <w:t>Hanastiana</w:t>
            </w:r>
            <w:proofErr w:type="spellEnd"/>
            <w:r w:rsidRPr="00274D56">
              <w:rPr>
                <w:sz w:val="28"/>
                <w:szCs w:val="24"/>
                <w:lang w:val="en-US"/>
              </w:rPr>
              <w:t>, M.R., 2020. ‘Halal food industry: challenges and opportunities in Europe’, </w:t>
            </w:r>
            <w:r w:rsidRPr="00274D56">
              <w:rPr>
                <w:i/>
                <w:iCs/>
                <w:sz w:val="28"/>
                <w:szCs w:val="24"/>
                <w:lang w:val="en-US"/>
              </w:rPr>
              <w:t>Journal of Digital Marketing and Halal Industry</w:t>
            </w:r>
            <w:r w:rsidRPr="00274D56">
              <w:rPr>
                <w:sz w:val="28"/>
                <w:szCs w:val="24"/>
                <w:lang w:val="en-US"/>
              </w:rPr>
              <w:t>, </w:t>
            </w:r>
            <w:r w:rsidRPr="00274D56">
              <w:rPr>
                <w:i/>
                <w:iCs/>
                <w:sz w:val="28"/>
                <w:szCs w:val="24"/>
                <w:lang w:val="en-US"/>
              </w:rPr>
              <w:t>2</w:t>
            </w:r>
            <w:r w:rsidRPr="00274D56">
              <w:rPr>
                <w:sz w:val="28"/>
                <w:szCs w:val="24"/>
                <w:lang w:val="en-US"/>
              </w:rPr>
              <w:t xml:space="preserve">(1), pp.43-54. Available at: </w:t>
            </w:r>
            <w:hyperlink r:id="rId24" w:history="1">
              <w:r w:rsidRPr="00274D56">
                <w:rPr>
                  <w:rStyle w:val="Hyperlink"/>
                  <w:sz w:val="28"/>
                  <w:szCs w:val="24"/>
                  <w:lang w:val="en-US"/>
                </w:rPr>
                <w:t>https://doi.org/10.21580/jdmhi.2020.2.1.5799</w:t>
              </w:r>
            </w:hyperlink>
            <w:r w:rsidRPr="00274D56">
              <w:rPr>
                <w:sz w:val="28"/>
                <w:szCs w:val="24"/>
                <w:lang w:val="en-US"/>
              </w:rPr>
              <w:t xml:space="preserve"> </w:t>
            </w:r>
          </w:p>
          <w:p w14:paraId="095A7B14" w14:textId="77777777" w:rsidR="00274D56" w:rsidRPr="00274D56" w:rsidRDefault="00274D56" w:rsidP="00274D56">
            <w:pPr>
              <w:spacing w:after="0"/>
              <w:ind w:left="720" w:hanging="720"/>
              <w:rPr>
                <w:sz w:val="28"/>
                <w:szCs w:val="24"/>
                <w:lang w:val="en-US"/>
              </w:rPr>
            </w:pPr>
            <w:r w:rsidRPr="00274D56">
              <w:rPr>
                <w:sz w:val="28"/>
                <w:szCs w:val="24"/>
                <w:lang w:val="en-US"/>
              </w:rPr>
              <w:t>Blue, G. M., and Harun, M. (2003). ‘Hospitality language as a professional skill’, </w:t>
            </w:r>
            <w:r w:rsidRPr="00274D56">
              <w:rPr>
                <w:i/>
                <w:iCs/>
                <w:sz w:val="28"/>
                <w:szCs w:val="24"/>
                <w:lang w:val="en-US"/>
              </w:rPr>
              <w:t>English for Specific Purposes</w:t>
            </w:r>
            <w:r w:rsidRPr="00274D56">
              <w:rPr>
                <w:sz w:val="28"/>
                <w:szCs w:val="24"/>
                <w:lang w:val="en-US"/>
              </w:rPr>
              <w:t>, </w:t>
            </w:r>
            <w:r w:rsidRPr="00274D56">
              <w:rPr>
                <w:i/>
                <w:iCs/>
                <w:sz w:val="28"/>
                <w:szCs w:val="24"/>
                <w:lang w:val="en-US"/>
              </w:rPr>
              <w:t>22</w:t>
            </w:r>
            <w:r w:rsidRPr="00274D56">
              <w:rPr>
                <w:sz w:val="28"/>
                <w:szCs w:val="24"/>
                <w:lang w:val="en-US"/>
              </w:rPr>
              <w:t>(1), pp. 73-91. </w:t>
            </w:r>
            <w:hyperlink r:id="rId25" w:history="1">
              <w:r w:rsidRPr="00274D56">
                <w:rPr>
                  <w:rStyle w:val="Hyperlink"/>
                  <w:sz w:val="28"/>
                  <w:szCs w:val="24"/>
                  <w:lang w:val="en-US"/>
                </w:rPr>
                <w:t xml:space="preserve"> Available at: https://doi.org/10.1016/s0889-4906(01)00031-x</w:t>
              </w:r>
            </w:hyperlink>
            <w:r w:rsidRPr="00274D56">
              <w:rPr>
                <w:sz w:val="28"/>
                <w:szCs w:val="24"/>
                <w:lang w:val="en-US"/>
              </w:rPr>
              <w:t xml:space="preserve"> </w:t>
            </w:r>
          </w:p>
          <w:p w14:paraId="6F305334" w14:textId="77777777" w:rsidR="00274D56" w:rsidRPr="00274D56" w:rsidRDefault="00274D56" w:rsidP="00274D56">
            <w:pPr>
              <w:spacing w:after="0"/>
              <w:ind w:left="720" w:hanging="720"/>
              <w:rPr>
                <w:sz w:val="28"/>
                <w:szCs w:val="24"/>
                <w:lang w:val="en-US"/>
              </w:rPr>
            </w:pPr>
            <w:r w:rsidRPr="00274D56">
              <w:rPr>
                <w:sz w:val="28"/>
                <w:szCs w:val="24"/>
                <w:lang w:val="en-US"/>
              </w:rPr>
              <w:t xml:space="preserve">Dawson, M., Madera, J., and Neal, J. (2011). ‘Managing Bilingual Employees: Communication Strategies for Hospitality Managers’, </w:t>
            </w:r>
            <w:r w:rsidRPr="00274D56">
              <w:rPr>
                <w:i/>
                <w:iCs/>
                <w:sz w:val="28"/>
                <w:szCs w:val="24"/>
                <w:lang w:val="en-US"/>
              </w:rPr>
              <w:t>Worldwide Hospitality and Tourism Themes, 3</w:t>
            </w:r>
            <w:r w:rsidRPr="00274D56">
              <w:rPr>
                <w:sz w:val="28"/>
                <w:szCs w:val="24"/>
                <w:lang w:val="en-US"/>
              </w:rPr>
              <w:t xml:space="preserve">(4), pp. 319-334. Available at: </w:t>
            </w:r>
            <w:hyperlink r:id="rId26" w:history="1">
              <w:r w:rsidRPr="00274D56">
                <w:rPr>
                  <w:rStyle w:val="Hyperlink"/>
                  <w:sz w:val="28"/>
                  <w:szCs w:val="24"/>
                  <w:lang w:val="en-US"/>
                </w:rPr>
                <w:t>https://doi.org/10.1108/17554211111162444</w:t>
              </w:r>
            </w:hyperlink>
          </w:p>
          <w:p w14:paraId="2BF4E0C9" w14:textId="77777777" w:rsidR="00274D56" w:rsidRPr="00274D56" w:rsidRDefault="00274D56" w:rsidP="00274D56">
            <w:pPr>
              <w:spacing w:after="0"/>
              <w:ind w:left="720" w:hanging="720"/>
              <w:rPr>
                <w:sz w:val="28"/>
                <w:szCs w:val="24"/>
                <w:lang w:val="en-US"/>
              </w:rPr>
            </w:pPr>
            <w:r w:rsidRPr="00274D56">
              <w:rPr>
                <w:sz w:val="28"/>
                <w:szCs w:val="24"/>
                <w:lang w:val="en-US"/>
              </w:rPr>
              <w:t>Fan, A., Van Hoof, H.B., Dou, X. and Serrano, A.L. (2023). ‘The impact of linguistic style on customer satisfaction: a cross-cultural empirical study in Ecuador’, </w:t>
            </w:r>
            <w:r w:rsidRPr="00274D56">
              <w:rPr>
                <w:i/>
                <w:iCs/>
                <w:sz w:val="28"/>
                <w:szCs w:val="24"/>
                <w:lang w:val="en-US"/>
              </w:rPr>
              <w:t>International Hospitality Review</w:t>
            </w:r>
            <w:r w:rsidRPr="00274D56">
              <w:rPr>
                <w:sz w:val="28"/>
                <w:szCs w:val="24"/>
                <w:lang w:val="en-US"/>
              </w:rPr>
              <w:t>, </w:t>
            </w:r>
            <w:r w:rsidRPr="00274D56">
              <w:rPr>
                <w:i/>
                <w:iCs/>
                <w:sz w:val="28"/>
                <w:szCs w:val="24"/>
                <w:lang w:val="en-US"/>
              </w:rPr>
              <w:t>37</w:t>
            </w:r>
            <w:r w:rsidRPr="00274D56">
              <w:rPr>
                <w:sz w:val="28"/>
                <w:szCs w:val="24"/>
                <w:lang w:val="en-US"/>
              </w:rPr>
              <w:t xml:space="preserve">(1), pp.125-142. Available at: </w:t>
            </w:r>
            <w:hyperlink r:id="rId27" w:history="1">
              <w:r w:rsidRPr="00274D56">
                <w:rPr>
                  <w:rStyle w:val="Hyperlink"/>
                  <w:sz w:val="28"/>
                  <w:szCs w:val="24"/>
                  <w:lang w:val="en-US"/>
                </w:rPr>
                <w:t>https://doi.org/10.1108/IHR-04-2021-0028</w:t>
              </w:r>
            </w:hyperlink>
          </w:p>
          <w:p w14:paraId="6C605243" w14:textId="77777777" w:rsidR="00274D56" w:rsidRPr="00274D56" w:rsidRDefault="00274D56" w:rsidP="00274D56">
            <w:pPr>
              <w:spacing w:after="0"/>
              <w:ind w:left="720" w:hanging="720"/>
              <w:rPr>
                <w:sz w:val="28"/>
                <w:szCs w:val="24"/>
                <w:lang w:val="en-US"/>
              </w:rPr>
            </w:pPr>
            <w:r w:rsidRPr="00274D56">
              <w:rPr>
                <w:sz w:val="28"/>
                <w:szCs w:val="24"/>
                <w:lang w:val="en-US"/>
              </w:rPr>
              <w:t xml:space="preserve">Mkandawire, S.B., </w:t>
            </w:r>
            <w:proofErr w:type="spellStart"/>
            <w:r w:rsidRPr="00274D56">
              <w:rPr>
                <w:sz w:val="28"/>
                <w:szCs w:val="24"/>
                <w:lang w:val="en-US"/>
              </w:rPr>
              <w:t>Zuilkowski</w:t>
            </w:r>
            <w:proofErr w:type="spellEnd"/>
            <w:r w:rsidRPr="00274D56">
              <w:rPr>
                <w:sz w:val="28"/>
                <w:szCs w:val="24"/>
                <w:lang w:val="en-US"/>
              </w:rPr>
              <w:t xml:space="preserve">, S.S., Mwansa, J.M. and </w:t>
            </w:r>
            <w:proofErr w:type="spellStart"/>
            <w:r w:rsidRPr="00274D56">
              <w:rPr>
                <w:sz w:val="28"/>
                <w:szCs w:val="24"/>
                <w:lang w:val="en-US"/>
              </w:rPr>
              <w:t>Manchishi</w:t>
            </w:r>
            <w:proofErr w:type="spellEnd"/>
            <w:r w:rsidRPr="00274D56">
              <w:rPr>
                <w:sz w:val="28"/>
                <w:szCs w:val="24"/>
                <w:lang w:val="en-US"/>
              </w:rPr>
              <w:t>, P.C. (2023). ‘Instructional strategies used by teachers in multilingual classes to help non-speakers of the language of instruction learn initial reading skills in Zambia’, </w:t>
            </w:r>
            <w:r w:rsidRPr="00274D56">
              <w:rPr>
                <w:i/>
                <w:iCs/>
                <w:sz w:val="28"/>
                <w:szCs w:val="24"/>
                <w:lang w:val="en-US"/>
              </w:rPr>
              <w:t>International Multilingual Research Journal</w:t>
            </w:r>
            <w:r w:rsidRPr="00274D56">
              <w:rPr>
                <w:sz w:val="28"/>
                <w:szCs w:val="24"/>
                <w:lang w:val="en-US"/>
              </w:rPr>
              <w:t xml:space="preserve">, pp.1-26. Available at: </w:t>
            </w:r>
            <w:hyperlink r:id="rId28" w:history="1">
              <w:r w:rsidRPr="00274D56">
                <w:rPr>
                  <w:rStyle w:val="Hyperlink"/>
                  <w:sz w:val="28"/>
                  <w:szCs w:val="24"/>
                  <w:lang w:val="en-US"/>
                </w:rPr>
                <w:t>https://doi.org/10.1080/19313152.2023.2255777</w:t>
              </w:r>
            </w:hyperlink>
          </w:p>
          <w:p w14:paraId="376E4F65" w14:textId="2D3B1DD5" w:rsidR="0064455E" w:rsidRPr="00274D56" w:rsidRDefault="00274D56" w:rsidP="00274D56">
            <w:pPr>
              <w:spacing w:after="0"/>
              <w:ind w:left="720" w:hanging="720"/>
              <w:rPr>
                <w:b/>
                <w:bCs/>
                <w:sz w:val="28"/>
                <w:szCs w:val="24"/>
                <w:lang w:val="en-US"/>
              </w:rPr>
            </w:pPr>
            <w:r w:rsidRPr="00274D56">
              <w:rPr>
                <w:sz w:val="28"/>
                <w:szCs w:val="24"/>
                <w:lang w:val="en-US"/>
              </w:rPr>
              <w:lastRenderedPageBreak/>
              <w:t>Renner, B. (2020). ‘(In) directness as an (</w:t>
            </w:r>
            <w:proofErr w:type="spellStart"/>
            <w:r w:rsidRPr="00274D56">
              <w:rPr>
                <w:sz w:val="28"/>
                <w:szCs w:val="24"/>
                <w:lang w:val="en-US"/>
              </w:rPr>
              <w:t>im</w:t>
            </w:r>
            <w:proofErr w:type="spellEnd"/>
            <w:r w:rsidRPr="00274D56">
              <w:rPr>
                <w:sz w:val="28"/>
                <w:szCs w:val="24"/>
                <w:lang w:val="en-US"/>
              </w:rPr>
              <w:t xml:space="preserve">) politeness strategy in the contact between German and Brazilian Portuguese as additional languages’, </w:t>
            </w:r>
            <w:proofErr w:type="spellStart"/>
            <w:r w:rsidRPr="00274D56">
              <w:rPr>
                <w:i/>
                <w:iCs/>
                <w:sz w:val="28"/>
                <w:szCs w:val="24"/>
                <w:lang w:val="en-US"/>
              </w:rPr>
              <w:t>Universidade</w:t>
            </w:r>
            <w:proofErr w:type="spellEnd"/>
            <w:r w:rsidRPr="00274D56">
              <w:rPr>
                <w:i/>
                <w:iCs/>
                <w:sz w:val="28"/>
                <w:szCs w:val="24"/>
                <w:lang w:val="en-US"/>
              </w:rPr>
              <w:t xml:space="preserve"> de Brasília</w:t>
            </w:r>
            <w:r w:rsidRPr="00274D56">
              <w:rPr>
                <w:sz w:val="28"/>
                <w:szCs w:val="24"/>
                <w:lang w:val="en-US"/>
              </w:rPr>
              <w:t xml:space="preserve">. Available at: </w:t>
            </w:r>
            <w:hyperlink r:id="rId29" w:history="1">
              <w:r w:rsidRPr="00274D56">
                <w:rPr>
                  <w:rStyle w:val="Hyperlink"/>
                  <w:sz w:val="28"/>
                  <w:szCs w:val="24"/>
                  <w:lang w:val="en-US"/>
                </w:rPr>
                <w:t>http://icts.unb.br/jspui/handle/10482/39433</w:t>
              </w:r>
            </w:hyperlink>
            <w:r w:rsidRPr="00274D56">
              <w:rPr>
                <w:sz w:val="28"/>
                <w:szCs w:val="24"/>
                <w:lang w:val="en-US"/>
              </w:rPr>
              <w:t xml:space="preserve"> (Accessed: 28 January 2024)</w:t>
            </w:r>
          </w:p>
        </w:tc>
      </w:tr>
    </w:tbl>
    <w:p w14:paraId="5DD504A2" w14:textId="77777777" w:rsidR="00091775" w:rsidRDefault="00091775"/>
    <w:sectPr w:rsidR="00091775" w:rsidSect="00D27084">
      <w:footerReference w:type="default" r:id="rId30"/>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82634" w14:textId="77777777" w:rsidR="00D27084" w:rsidRDefault="00D27084" w:rsidP="007C2128">
      <w:pPr>
        <w:spacing w:after="0" w:line="240" w:lineRule="auto"/>
      </w:pPr>
      <w:r>
        <w:separator/>
      </w:r>
    </w:p>
  </w:endnote>
  <w:endnote w:type="continuationSeparator" w:id="0">
    <w:p w14:paraId="441260A5" w14:textId="77777777" w:rsidR="00D27084" w:rsidRDefault="00D27084"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23227" w14:textId="77777777" w:rsidR="00D27084" w:rsidRDefault="00D27084" w:rsidP="007C2128">
      <w:pPr>
        <w:spacing w:after="0" w:line="240" w:lineRule="auto"/>
      </w:pPr>
      <w:r>
        <w:separator/>
      </w:r>
    </w:p>
  </w:footnote>
  <w:footnote w:type="continuationSeparator" w:id="0">
    <w:p w14:paraId="57BFD585" w14:textId="77777777" w:rsidR="00D27084" w:rsidRDefault="00D27084"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81706"/>
    <w:multiLevelType w:val="hybridMultilevel"/>
    <w:tmpl w:val="F78A10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564C20"/>
    <w:multiLevelType w:val="hybridMultilevel"/>
    <w:tmpl w:val="751050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D82B0F"/>
    <w:multiLevelType w:val="hybridMultilevel"/>
    <w:tmpl w:val="3D6E1B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911BB5"/>
    <w:multiLevelType w:val="hybridMultilevel"/>
    <w:tmpl w:val="6B60B9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DD40F7"/>
    <w:multiLevelType w:val="hybridMultilevel"/>
    <w:tmpl w:val="0AF01C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A54578"/>
    <w:multiLevelType w:val="hybridMultilevel"/>
    <w:tmpl w:val="B896EE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B77782"/>
    <w:multiLevelType w:val="hybridMultilevel"/>
    <w:tmpl w:val="FC4A69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BE645F"/>
    <w:multiLevelType w:val="hybridMultilevel"/>
    <w:tmpl w:val="7A14B84A"/>
    <w:lvl w:ilvl="0" w:tplc="960834A6">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6652548">
    <w:abstractNumId w:val="4"/>
  </w:num>
  <w:num w:numId="2" w16cid:durableId="1357734961">
    <w:abstractNumId w:val="6"/>
  </w:num>
  <w:num w:numId="3" w16cid:durableId="231933427">
    <w:abstractNumId w:val="7"/>
  </w:num>
  <w:num w:numId="4" w16cid:durableId="635768229">
    <w:abstractNumId w:val="2"/>
  </w:num>
  <w:num w:numId="5" w16cid:durableId="810750954">
    <w:abstractNumId w:val="1"/>
  </w:num>
  <w:num w:numId="6" w16cid:durableId="1173767331">
    <w:abstractNumId w:val="5"/>
  </w:num>
  <w:num w:numId="7" w16cid:durableId="230845574">
    <w:abstractNumId w:val="0"/>
  </w:num>
  <w:num w:numId="8" w16cid:durableId="1687976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0MDM3MzUwNDExNDJV0lEKTi0uzszPAykwrAUAjVb8SCwAAAA="/>
  </w:docVars>
  <w:rsids>
    <w:rsidRoot w:val="007C2128"/>
    <w:rsid w:val="000058AE"/>
    <w:rsid w:val="00031283"/>
    <w:rsid w:val="00042874"/>
    <w:rsid w:val="000544C5"/>
    <w:rsid w:val="00085A4E"/>
    <w:rsid w:val="00091775"/>
    <w:rsid w:val="000A23B0"/>
    <w:rsid w:val="000A7D84"/>
    <w:rsid w:val="000C4168"/>
    <w:rsid w:val="000F4282"/>
    <w:rsid w:val="00133E1B"/>
    <w:rsid w:val="00136D1F"/>
    <w:rsid w:val="00147D7C"/>
    <w:rsid w:val="0019065B"/>
    <w:rsid w:val="001C05B9"/>
    <w:rsid w:val="00250D6E"/>
    <w:rsid w:val="00272D06"/>
    <w:rsid w:val="00274D56"/>
    <w:rsid w:val="002F762E"/>
    <w:rsid w:val="003164B2"/>
    <w:rsid w:val="003439EA"/>
    <w:rsid w:val="00373FD2"/>
    <w:rsid w:val="00452F90"/>
    <w:rsid w:val="004C7DFF"/>
    <w:rsid w:val="004F3356"/>
    <w:rsid w:val="004F78B3"/>
    <w:rsid w:val="005671B3"/>
    <w:rsid w:val="0059363C"/>
    <w:rsid w:val="005A2949"/>
    <w:rsid w:val="005B229D"/>
    <w:rsid w:val="005C77A4"/>
    <w:rsid w:val="00602C4B"/>
    <w:rsid w:val="0064255F"/>
    <w:rsid w:val="0064455E"/>
    <w:rsid w:val="00675DCB"/>
    <w:rsid w:val="006B575E"/>
    <w:rsid w:val="006C0FE2"/>
    <w:rsid w:val="006D765B"/>
    <w:rsid w:val="00723301"/>
    <w:rsid w:val="00746A35"/>
    <w:rsid w:val="00755B4B"/>
    <w:rsid w:val="007A0095"/>
    <w:rsid w:val="007B3A72"/>
    <w:rsid w:val="007C2128"/>
    <w:rsid w:val="007D008F"/>
    <w:rsid w:val="00833B1F"/>
    <w:rsid w:val="00834656"/>
    <w:rsid w:val="00847B3C"/>
    <w:rsid w:val="008B6E38"/>
    <w:rsid w:val="008C0A30"/>
    <w:rsid w:val="009030EC"/>
    <w:rsid w:val="00903A18"/>
    <w:rsid w:val="00910929"/>
    <w:rsid w:val="009650AB"/>
    <w:rsid w:val="009C5BA7"/>
    <w:rsid w:val="009D4BFB"/>
    <w:rsid w:val="009E74DD"/>
    <w:rsid w:val="009E7920"/>
    <w:rsid w:val="00A04A9A"/>
    <w:rsid w:val="00A135A5"/>
    <w:rsid w:val="00A60F09"/>
    <w:rsid w:val="00A86087"/>
    <w:rsid w:val="00AA645D"/>
    <w:rsid w:val="00B3346C"/>
    <w:rsid w:val="00B9157C"/>
    <w:rsid w:val="00BB23AB"/>
    <w:rsid w:val="00BC1DBD"/>
    <w:rsid w:val="00C91424"/>
    <w:rsid w:val="00C974B9"/>
    <w:rsid w:val="00CA1BDB"/>
    <w:rsid w:val="00D27084"/>
    <w:rsid w:val="00DA485D"/>
    <w:rsid w:val="00DC7387"/>
    <w:rsid w:val="00E73500"/>
    <w:rsid w:val="00E749F1"/>
    <w:rsid w:val="00E95FE6"/>
    <w:rsid w:val="00EA0CC8"/>
    <w:rsid w:val="00EA2EA9"/>
    <w:rsid w:val="00F015B2"/>
    <w:rsid w:val="00F91363"/>
    <w:rsid w:val="00FD00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64255F"/>
    <w:rPr>
      <w:color w:val="0563C1" w:themeColor="hyperlink"/>
      <w:u w:val="single"/>
    </w:rPr>
  </w:style>
  <w:style w:type="character" w:styleId="UnresolvedMention">
    <w:name w:val="Unresolved Mention"/>
    <w:basedOn w:val="DefaultParagraphFont"/>
    <w:uiPriority w:val="99"/>
    <w:semiHidden/>
    <w:unhideWhenUsed/>
    <w:rsid w:val="0064255F"/>
    <w:rPr>
      <w:color w:val="605E5C"/>
      <w:shd w:val="clear" w:color="auto" w:fill="E1DFDD"/>
    </w:rPr>
  </w:style>
  <w:style w:type="paragraph" w:styleId="ListParagraph">
    <w:name w:val="List Paragraph"/>
    <w:basedOn w:val="Normal"/>
    <w:uiPriority w:val="34"/>
    <w:qFormat/>
    <w:rsid w:val="00CA1B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49365.2019.1601247" TargetMode="External"/><Relationship Id="rId13" Type="http://schemas.openxmlformats.org/officeDocument/2006/relationships/hyperlink" Target="https://doi.org/10.1108/fs-12-2016-0058" TargetMode="External"/><Relationship Id="rId18" Type="http://schemas.openxmlformats.org/officeDocument/2006/relationships/image" Target="media/image2.png"/><Relationship Id="rId26" Type="http://schemas.openxmlformats.org/officeDocument/2006/relationships/hyperlink" Target="https://doi.org/10.1108/17554211111162444" TargetMode="Externa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https://doi.org/10.59690/kw15368"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s://doi.org/10.1016/s0889-4906(01)00031-x" TargetMode="External"/><Relationship Id="rId2" Type="http://schemas.openxmlformats.org/officeDocument/2006/relationships/styles" Target="styles.xml"/><Relationship Id="rId16" Type="http://schemas.openxmlformats.org/officeDocument/2006/relationships/hyperlink" Target="https://www.sumerianz.com/pdf-files/sjell3(2)8-15.pdf" TargetMode="External"/><Relationship Id="rId20" Type="http://schemas.openxmlformats.org/officeDocument/2006/relationships/image" Target="media/image4.png"/><Relationship Id="rId29" Type="http://schemas.openxmlformats.org/officeDocument/2006/relationships/hyperlink" Target="http://icts.unb.br/jspui/handle/10482/394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2508281.2021.1965369" TargetMode="External"/><Relationship Id="rId24" Type="http://schemas.openxmlformats.org/officeDocument/2006/relationships/hyperlink" Target="https://doi.org/10.21580/jdmhi.2020.2.1.5799"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25134/ieflj.v6i2.3382" TargetMode="External"/><Relationship Id="rId23" Type="http://schemas.openxmlformats.org/officeDocument/2006/relationships/image" Target="media/image7.png"/><Relationship Id="rId28" Type="http://schemas.openxmlformats.org/officeDocument/2006/relationships/hyperlink" Target="https://doi.org/10.1080/19313152.2023.2255777" TargetMode="External"/><Relationship Id="rId10" Type="http://schemas.openxmlformats.org/officeDocument/2006/relationships/hyperlink" Target="https://doi.org/10.17192/z2021.0230" TargetMode="Externa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publication.com/wp-content/uploads/2019/06/ICARSS-1-1699.pdf" TargetMode="External"/><Relationship Id="rId14" Type="http://schemas.openxmlformats.org/officeDocument/2006/relationships/hyperlink" Target="https://doi.org/10.2478/ejthr-2019-0007" TargetMode="External"/><Relationship Id="rId22" Type="http://schemas.openxmlformats.org/officeDocument/2006/relationships/image" Target="media/image6.png"/><Relationship Id="rId27" Type="http://schemas.openxmlformats.org/officeDocument/2006/relationships/hyperlink" Target="https://doi.org/10.1108/IHR-04-2021-002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11</Pages>
  <Words>2437</Words>
  <Characters>13892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valeriu bogatu</cp:lastModifiedBy>
  <cp:revision>72</cp:revision>
  <dcterms:created xsi:type="dcterms:W3CDTF">2023-12-20T11:14:00Z</dcterms:created>
  <dcterms:modified xsi:type="dcterms:W3CDTF">2024-02-04T16:19:00Z</dcterms:modified>
</cp:coreProperties>
</file>