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96B65" w14:textId="77777777" w:rsidR="00BC4601" w:rsidRDefault="00BC4601">
      <w:pPr>
        <w:spacing w:line="360" w:lineRule="auto"/>
        <w:jc w:val="both"/>
        <w:rPr>
          <w:b/>
          <w:bCs/>
          <w:sz w:val="28"/>
          <w:szCs w:val="28"/>
        </w:rPr>
      </w:pPr>
    </w:p>
    <w:p w14:paraId="0549C86E" w14:textId="77777777" w:rsidR="00BC4601" w:rsidRDefault="00BC4601">
      <w:pPr>
        <w:spacing w:line="360" w:lineRule="auto"/>
        <w:jc w:val="both"/>
        <w:rPr>
          <w:b/>
          <w:bCs/>
          <w:sz w:val="28"/>
          <w:szCs w:val="28"/>
        </w:rPr>
      </w:pPr>
    </w:p>
    <w:p w14:paraId="2AA76376" w14:textId="77777777" w:rsidR="00FF58DC" w:rsidRDefault="00FF58DC" w:rsidP="00FF58DC">
      <w:pPr>
        <w:rPr>
          <w:rFonts w:ascii="Arial" w:hAnsi="Arial" w:cs="Arial"/>
        </w:rPr>
      </w:pPr>
      <w:proofErr w:type="spellStart"/>
      <w:r>
        <w:rPr>
          <w:rFonts w:ascii="Arial" w:hAnsi="Arial" w:cs="Arial"/>
        </w:rPr>
        <w:t>Weyni</w:t>
      </w:r>
      <w:proofErr w:type="spellEnd"/>
      <w:r>
        <w:rPr>
          <w:rFonts w:ascii="Arial" w:hAnsi="Arial" w:cs="Arial"/>
        </w:rPr>
        <w:t xml:space="preserve"> </w:t>
      </w:r>
      <w:proofErr w:type="spellStart"/>
      <w:r>
        <w:rPr>
          <w:rFonts w:ascii="Arial" w:hAnsi="Arial" w:cs="Arial"/>
        </w:rPr>
        <w:t>Tesfalem</w:t>
      </w:r>
      <w:proofErr w:type="spellEnd"/>
      <w:r>
        <w:rPr>
          <w:rFonts w:ascii="Arial" w:hAnsi="Arial" w:cs="Arial"/>
        </w:rPr>
        <w:t xml:space="preserve"> </w:t>
      </w:r>
    </w:p>
    <w:p w14:paraId="729F68ED" w14:textId="09FA7879" w:rsidR="00FF58DC" w:rsidRDefault="00FF58DC" w:rsidP="00FF58DC">
      <w:pPr>
        <w:rPr>
          <w:rFonts w:ascii="Arial" w:hAnsi="Arial" w:cs="Arial"/>
        </w:rPr>
      </w:pPr>
      <w:r>
        <w:rPr>
          <w:rFonts w:ascii="Arial" w:hAnsi="Arial" w:cs="Arial"/>
        </w:rPr>
        <w:t>Student ID: 2131120</w:t>
      </w:r>
    </w:p>
    <w:p w14:paraId="68EC7E24" w14:textId="4DB7C3D9" w:rsidR="00EC7F45" w:rsidRDefault="00EC7F45" w:rsidP="00FF58DC">
      <w:pPr>
        <w:rPr>
          <w:rFonts w:ascii="Arial" w:hAnsi="Arial" w:cs="Arial"/>
          <w:lang w:val="en-GB"/>
        </w:rPr>
      </w:pPr>
      <w:r w:rsidRPr="00EC7F45">
        <w:rPr>
          <w:rFonts w:ascii="Arial" w:hAnsi="Arial" w:cs="Arial"/>
          <w:lang w:val="en-GB"/>
        </w:rPr>
        <w:t>Module: Digital Skills and R</w:t>
      </w:r>
      <w:r>
        <w:rPr>
          <w:rFonts w:ascii="Arial" w:hAnsi="Arial" w:cs="Arial"/>
          <w:lang w:val="en-GB"/>
        </w:rPr>
        <w:t>esearch Methods</w:t>
      </w:r>
    </w:p>
    <w:p w14:paraId="68893BBD" w14:textId="25D03B97" w:rsidR="00FF58DC" w:rsidRDefault="00FF58DC" w:rsidP="00FF58DC">
      <w:pPr>
        <w:rPr>
          <w:rFonts w:ascii="Arial" w:hAnsi="Arial" w:cs="Arial"/>
          <w:lang w:val="fr-FR"/>
        </w:rPr>
      </w:pPr>
      <w:r w:rsidRPr="00EC7F45">
        <w:rPr>
          <w:rFonts w:ascii="Arial" w:hAnsi="Arial" w:cs="Arial"/>
          <w:lang w:val="fr-FR"/>
        </w:rPr>
        <w:t>Module Code: LCHS</w:t>
      </w:r>
      <w:r w:rsidRPr="00EC7F45">
        <w:rPr>
          <w:rFonts w:ascii="Arial" w:hAnsi="Arial" w:cs="Arial"/>
          <w:lang w:val="fr-FR"/>
        </w:rPr>
        <w:t>4002</w:t>
      </w:r>
    </w:p>
    <w:p w14:paraId="2A375A3A" w14:textId="77777777" w:rsidR="00EC7F45" w:rsidRPr="00EC7F45" w:rsidRDefault="00EC7F45" w:rsidP="00EC7F45">
      <w:pPr>
        <w:rPr>
          <w:rFonts w:ascii="Arial" w:hAnsi="Arial" w:cs="Arial"/>
          <w:lang w:val="fr-FR"/>
        </w:rPr>
      </w:pPr>
      <w:proofErr w:type="spellStart"/>
      <w:r w:rsidRPr="00EC7F45">
        <w:rPr>
          <w:rFonts w:ascii="Arial" w:hAnsi="Arial" w:cs="Arial"/>
          <w:lang w:val="fr-FR"/>
        </w:rPr>
        <w:t>Lecturer</w:t>
      </w:r>
      <w:proofErr w:type="spellEnd"/>
      <w:r w:rsidRPr="00EC7F45">
        <w:rPr>
          <w:rFonts w:ascii="Arial" w:hAnsi="Arial" w:cs="Arial"/>
          <w:lang w:val="fr-FR"/>
        </w:rPr>
        <w:t xml:space="preserve">: G1-Koushik </w:t>
      </w:r>
      <w:proofErr w:type="spellStart"/>
      <w:r w:rsidRPr="00EC7F45">
        <w:rPr>
          <w:rFonts w:ascii="Arial" w:hAnsi="Arial" w:cs="Arial"/>
          <w:lang w:val="fr-FR"/>
        </w:rPr>
        <w:t>Modak</w:t>
      </w:r>
      <w:proofErr w:type="spellEnd"/>
    </w:p>
    <w:p w14:paraId="288D3CFC" w14:textId="4D696830" w:rsidR="00EC7F45" w:rsidRPr="00EC7F45" w:rsidRDefault="00EC7F45" w:rsidP="00EC7F45">
      <w:pPr>
        <w:rPr>
          <w:rFonts w:ascii="Arial" w:hAnsi="Arial" w:cs="Arial"/>
          <w:lang w:val="fr-FR"/>
        </w:rPr>
      </w:pPr>
      <w:proofErr w:type="spellStart"/>
      <w:r w:rsidRPr="00EC7F45">
        <w:rPr>
          <w:rFonts w:ascii="Arial" w:hAnsi="Arial" w:cs="Arial"/>
          <w:lang w:val="fr-FR"/>
        </w:rPr>
        <w:t>Lecturer</w:t>
      </w:r>
      <w:proofErr w:type="spellEnd"/>
      <w:r w:rsidRPr="00EC7F45">
        <w:rPr>
          <w:rFonts w:ascii="Arial" w:hAnsi="Arial" w:cs="Arial"/>
          <w:lang w:val="fr-FR"/>
        </w:rPr>
        <w:t>: G</w:t>
      </w:r>
      <w:r>
        <w:rPr>
          <w:rFonts w:ascii="Arial" w:hAnsi="Arial" w:cs="Arial"/>
          <w:lang w:val="fr-FR"/>
        </w:rPr>
        <w:t xml:space="preserve">2+G3- </w:t>
      </w:r>
      <w:proofErr w:type="spellStart"/>
      <w:r>
        <w:rPr>
          <w:rFonts w:ascii="Arial" w:hAnsi="Arial" w:cs="Arial"/>
          <w:lang w:val="fr-FR"/>
        </w:rPr>
        <w:t>Amitave</w:t>
      </w:r>
      <w:proofErr w:type="spellEnd"/>
      <w:r>
        <w:rPr>
          <w:rFonts w:ascii="Arial" w:hAnsi="Arial" w:cs="Arial"/>
          <w:lang w:val="fr-FR"/>
        </w:rPr>
        <w:t xml:space="preserve"> </w:t>
      </w:r>
      <w:proofErr w:type="spellStart"/>
      <w:r>
        <w:rPr>
          <w:rFonts w:ascii="Arial" w:hAnsi="Arial" w:cs="Arial"/>
          <w:lang w:val="fr-FR"/>
        </w:rPr>
        <w:t>Banik</w:t>
      </w:r>
      <w:proofErr w:type="spellEnd"/>
    </w:p>
    <w:p w14:paraId="408ADC6F" w14:textId="77777777" w:rsidR="00EC7F45" w:rsidRPr="00EC7F45" w:rsidRDefault="00EC7F45" w:rsidP="00FF58DC">
      <w:pPr>
        <w:rPr>
          <w:rFonts w:ascii="Arial" w:hAnsi="Arial" w:cs="Arial"/>
          <w:lang w:val="fr-FR"/>
        </w:rPr>
      </w:pPr>
    </w:p>
    <w:p w14:paraId="043F4303" w14:textId="77777777" w:rsidR="00EC7F45" w:rsidRPr="00EC7F45" w:rsidRDefault="00EC7F45" w:rsidP="00FF58DC">
      <w:pPr>
        <w:rPr>
          <w:rFonts w:ascii="Arial" w:hAnsi="Arial" w:cs="Arial"/>
          <w:lang w:val="fr-FR"/>
        </w:rPr>
      </w:pPr>
    </w:p>
    <w:p w14:paraId="73C5B45F" w14:textId="5AEE0ADD" w:rsidR="00FF58DC" w:rsidRPr="00EC7F45" w:rsidRDefault="00FF58DC" w:rsidP="00FF58DC">
      <w:pPr>
        <w:rPr>
          <w:rFonts w:ascii="Arial" w:hAnsi="Arial" w:cs="Arial"/>
          <w:lang w:val="fr-FR"/>
        </w:rPr>
      </w:pPr>
    </w:p>
    <w:p w14:paraId="05FC7668" w14:textId="6C030829" w:rsidR="00FF58DC" w:rsidRPr="00EC7F45" w:rsidRDefault="00FF58DC">
      <w:pPr>
        <w:spacing w:line="360" w:lineRule="auto"/>
        <w:jc w:val="both"/>
        <w:rPr>
          <w:b/>
          <w:bCs/>
          <w:sz w:val="28"/>
          <w:szCs w:val="28"/>
          <w:lang w:val="fr-FR"/>
        </w:rPr>
      </w:pPr>
      <w:r w:rsidRPr="00EC7F45">
        <w:rPr>
          <w:b/>
          <w:bCs/>
          <w:sz w:val="28"/>
          <w:szCs w:val="28"/>
          <w:lang w:val="fr-FR"/>
        </w:rPr>
        <w:t xml:space="preserve">5Hospital </w:t>
      </w:r>
    </w:p>
    <w:p w14:paraId="7A9ADA0E" w14:textId="3B31705A" w:rsidR="00BC4601" w:rsidRDefault="00ED28AC">
      <w:pPr>
        <w:spacing w:line="360" w:lineRule="auto"/>
        <w:jc w:val="both"/>
        <w:rPr>
          <w:b/>
          <w:bCs/>
          <w:sz w:val="28"/>
          <w:szCs w:val="28"/>
        </w:rPr>
      </w:pPr>
      <w:r>
        <w:rPr>
          <w:b/>
          <w:bCs/>
          <w:sz w:val="28"/>
          <w:szCs w:val="28"/>
        </w:rPr>
        <w:t xml:space="preserve">Writing review assignment </w:t>
      </w:r>
    </w:p>
    <w:p w14:paraId="5A06D64F" w14:textId="77777777" w:rsidR="001D0321" w:rsidRDefault="00ED28AC">
      <w:pPr>
        <w:spacing w:line="360" w:lineRule="auto"/>
        <w:jc w:val="both"/>
        <w:rPr>
          <w:b/>
          <w:bCs/>
          <w:sz w:val="28"/>
          <w:szCs w:val="28"/>
        </w:rPr>
      </w:pPr>
      <w:r>
        <w:rPr>
          <w:b/>
          <w:bCs/>
          <w:sz w:val="28"/>
          <w:szCs w:val="28"/>
        </w:rPr>
        <w:t>The use of information and communication technology in healthcare to improve participation in everyday lif</w:t>
      </w:r>
      <w:r w:rsidR="001D0321">
        <w:rPr>
          <w:b/>
          <w:bCs/>
          <w:sz w:val="28"/>
          <w:szCs w:val="28"/>
        </w:rPr>
        <w:t>e</w:t>
      </w:r>
    </w:p>
    <w:p w14:paraId="296C8ED3" w14:textId="6F66E908" w:rsidR="00BC4601" w:rsidRPr="001D0321" w:rsidRDefault="00ED28AC">
      <w:pPr>
        <w:spacing w:line="360" w:lineRule="auto"/>
        <w:jc w:val="both"/>
        <w:rPr>
          <w:b/>
          <w:bCs/>
          <w:sz w:val="28"/>
          <w:szCs w:val="28"/>
        </w:rPr>
      </w:pPr>
      <w:r>
        <w:rPr>
          <w:b/>
          <w:bCs/>
          <w:sz w:val="28"/>
          <w:szCs w:val="28"/>
        </w:rPr>
        <w:t>1.</w:t>
      </w:r>
      <w:r>
        <w:t>Background and purpose research: The increase in use of everyday information and communication technologies can lead to the need for health professionals to incorporate technology use competencies in practice. Information and communication technologies has the potential to improve participation in daily life among people with disability. The aim was to review and describe evidence of the use of information and communication technology, including mobile technology, for improving participation in everyday life. A secondary aim was to describe how study outcomes were related to participation.</w:t>
      </w:r>
    </w:p>
    <w:p w14:paraId="44AFF8C3" w14:textId="77777777" w:rsidR="00BC4601" w:rsidRDefault="00ED28AC">
      <w:pPr>
        <w:spacing w:line="360" w:lineRule="auto"/>
        <w:jc w:val="both"/>
      </w:pPr>
      <w:r>
        <w:t xml:space="preserve">the World Health Organization has urged member states, “to develop the infrastructure for information and communication technologies (ICT) for health as deemed appropriate to promote equitable, affordable, and universal access to their benefits, and to continue to work with information and telecommunication agencies and other partners in order to reduce costs and make eHealth successful” [1, p. 109]. The use of </w:t>
      </w:r>
      <w:r>
        <w:lastRenderedPageBreak/>
        <w:t>ICT can have great potential to support rehabilitation and it is consequently of interest to explore evidence as well as benefits and implications for clinical practice. There are many terms used to describe the use of ICT to support healthcare. These terms are often used interchangeably, which can contribute to misunderstanding or misconceptions. Terms include: eHealth, mHealth, telehealth, telerehabilitation and telemedicine. For instance, the World Health Organization (WHO) uses the term eHealth to describe the use of ICT to support population health and in healthcare areas [1]. Within rehabilitation sciences, telerehabilitation is emerging , defined by the delivery of rehabilitation services via ICT [2] to include a wide range of services such as: assessment, intervention, supervision, education, consultation and counseling [5,6]. To prevent confusion, ICT will be used in this study as a term to describe technologies used to support and deliver healthcare services.</w:t>
      </w:r>
    </w:p>
    <w:p w14:paraId="2DE72EF4" w14:textId="77777777" w:rsidR="00BC4601" w:rsidRDefault="00ED28AC">
      <w:pPr>
        <w:spacing w:line="360" w:lineRule="auto"/>
        <w:jc w:val="both"/>
      </w:pPr>
      <w:r>
        <w:rPr>
          <w:b/>
          <w:bCs/>
          <w:sz w:val="28"/>
          <w:szCs w:val="28"/>
        </w:rPr>
        <w:t>2.</w:t>
      </w:r>
      <w:r>
        <w:t>The use of ICT, specifically smartphones and tablets is rapidly growing . It is estimated that the amount of smartphone subscriptions in Europe will reach 880 million by 2021 [8], and mobile app markets will expand even more, with currently over 160,000 mobile health apps available for download . The use of ICT in healthcare has shown great potential in improving the quality of life among senior citizens , by facilitating support in independent living for persons with conditions such as stroke and Alzheimer’s disease]. Moreover, ICT has demonstrated potential in improving communication between patients and healthcare providers . Although it is still unclear how telerehabilitation services can most appropriately be rendered, it has been suggested that ICT can add value to current stroke rehabilitation]. For instance, White et al.  described how, among persons with stroke, the use of a tablet was experienced as contributing to motivation, socialization, and was non-burdensome. This is also in line with earlier research showing that people after a stroke were using smartphones and tablets in their everyday life</w:t>
      </w:r>
    </w:p>
    <w:p w14:paraId="1900FF84" w14:textId="77777777" w:rsidR="00BC4601" w:rsidRDefault="00ED28AC">
      <w:pPr>
        <w:spacing w:line="360" w:lineRule="auto"/>
        <w:jc w:val="both"/>
      </w:pPr>
      <w:r>
        <w:t>There is still a knowledge gap between clinical practice and the use of ICT applications to improve rehabilitation and participation outcomes, which needs to be filled. Therefore, the aim of this article is to review and describe evidence of the use of ICT, including mobile technology, for improving participation in everyday life. A secondary aim was to describe how study outcomes were related to measuring participation.</w:t>
      </w:r>
    </w:p>
    <w:p w14:paraId="56571942" w14:textId="77777777" w:rsidR="00BC4601" w:rsidRDefault="00ED28AC">
      <w:pPr>
        <w:spacing w:line="360" w:lineRule="auto"/>
        <w:jc w:val="both"/>
      </w:pPr>
      <w:r>
        <w:rPr>
          <w:b/>
          <w:bCs/>
          <w:sz w:val="28"/>
          <w:szCs w:val="28"/>
        </w:rPr>
        <w:t>3.</w:t>
      </w:r>
      <w:r>
        <w:t>Materials and methods: A scoping review methodology was used to identify studies through databases as MEDLINE, CINAHL, Cochrane Library. Thereafter, the studies were screened and assessed for inclusion.</w:t>
      </w:r>
    </w:p>
    <w:p w14:paraId="6670DC8E" w14:textId="77777777" w:rsidR="00BC4601" w:rsidRDefault="00ED28AC">
      <w:pPr>
        <w:spacing w:line="360" w:lineRule="auto"/>
        <w:jc w:val="both"/>
      </w:pPr>
      <w:r>
        <w:lastRenderedPageBreak/>
        <w:t xml:space="preserve">A scoping review design was used to disseminate the field of enquiry and supported the process to identify the knowledge gaps within the existing evidence. This scoping review followed the five stages as described by the methodological framework of Arksey and O’Malley ; as a complement, the recommendations by </w:t>
      </w:r>
      <w:proofErr w:type="spellStart"/>
      <w:r>
        <w:t>Levac</w:t>
      </w:r>
      <w:proofErr w:type="spellEnd"/>
      <w:r>
        <w:t xml:space="preserve"> et al.  on the Arksey and O’Malley framework have been used.</w:t>
      </w:r>
    </w:p>
    <w:p w14:paraId="12CA1CCA" w14:textId="77777777" w:rsidR="00BC4601" w:rsidRDefault="00ED28AC">
      <w:pPr>
        <w:spacing w:line="360" w:lineRule="auto"/>
        <w:jc w:val="both"/>
      </w:pPr>
      <w:r>
        <w:t>Results: Eleven studies were included. The most commonly used technology were videoconferencing and the telephone. Ten of the 11 studies reported a change in participation in everyday life. Participation was mainly described as involvement in a life situation or related to activities of daily living.</w:t>
      </w:r>
    </w:p>
    <w:p w14:paraId="6EBF25C1" w14:textId="77777777" w:rsidR="00BC4601" w:rsidRDefault="00ED28AC">
      <w:pPr>
        <w:spacing w:line="360" w:lineRule="auto"/>
        <w:jc w:val="both"/>
      </w:pPr>
      <w:r>
        <w:t>Conclusion: Delivering an intervention to improve participation through information and communication technology can be a valid option in rehabilitation. There is a need to measure and describe the intervention and its outcomes in relation to a definition of participation in future studies.</w:t>
      </w:r>
    </w:p>
    <w:p w14:paraId="36185C0B" w14:textId="77777777" w:rsidR="00BC4601" w:rsidRDefault="00ED28AC">
      <w:pPr>
        <w:spacing w:line="360" w:lineRule="auto"/>
        <w:jc w:val="both"/>
      </w:pPr>
      <w:r>
        <w:t>To our knowledge this is the first scoping review conducted with a focus on ICT and participation. There is a knowledge gap regarding how ICT is used in rehabilitation, therefore this scoping review was performed in order to disseminate the evidence for improving participation in everyday life using ICT. However, in this study only studies written in English were included; this might have limited the results, since the ICT interventions could be given in other languages and those results could’ve been published in the same language. This can be seen in the results where only one of the 11 included studies is from a non-English speaking country. The all-encompassing term ICT was used to combine different terms within the review, the search however was conducted with many terms that were found combined with a Boolean operator. In this search, some more unknown terms could have been missed.</w:t>
      </w:r>
    </w:p>
    <w:p w14:paraId="5F8FE072" w14:textId="66AD257A" w:rsidR="00BC4601" w:rsidRDefault="00ED28AC">
      <w:pPr>
        <w:spacing w:line="360" w:lineRule="auto"/>
        <w:jc w:val="both"/>
      </w:pPr>
      <w:r>
        <w:t xml:space="preserve">Firstly, the studies included in this scoping review show that there is potential in using ICT-based interventions to improve participation however the design of a study has different impact on the level of evidence provided. Traditionally RCT designs are viewed as having a higher impact than for example case studies . Case study design were used in three studies and a single group pre-post design in one study. RCT design was used in seven of the included studies, only one showed significant improvements in favor of the ICT-based intervention group compared to the control group [33], two studies found a non-significant improvement in favor of the intervention group , and one found no improvement. The remaining three RCT’s found improvements in participation in both the intervention and the control groups, with a non-significant difference between groups. </w:t>
      </w:r>
      <w:r w:rsidR="009D082E">
        <w:t>Fordyce</w:t>
      </w:r>
      <w:r>
        <w:t xml:space="preserve"> et al.], compared the effects of home-based ICT versus standard home care services. Even though both groups improved significantly, the amount of visits were significantly lower in the ICT group, which suggests it could be more cost-effective </w:t>
      </w:r>
      <w:r>
        <w:lastRenderedPageBreak/>
        <w:t>compared to the standard face-to-face home care services. The study by Nguyen et al.  aimed to develop an intervention that would be (equally) effective whether delivered via ICT or face-to-face, in order to reach a larger number of patients with COPD. Both treatment groups had improved results, rendering the study a success. Of these three studies only the study by Linder et al. [38] hypothesized that the ICT intervention group, who received the home exercise program together with the Hand Mentor Pro robotic device, would be significantly better than the control group receiving only the home exercise program. These studies show the potential of using ICT to deliver interventions as being equally efficient as face-to-face interventions and at the same time beneficial for healthcare at distance and for cost-effectiveness. Being able to provide healthcare services in the patient’s own environment increases the chances of improving the persons participation because of the contextual relevance the home environment creates . If there is an ICT option available, or more suitable for a patient, it seems to be a viable option. The results indicate that there is still a need for studies with sufficient power to investigating the effectiveness of ICT-based interventions.</w:t>
      </w:r>
    </w:p>
    <w:p w14:paraId="2DA25613" w14:textId="77777777" w:rsidR="00BC4601" w:rsidRDefault="00ED28AC">
      <w:pPr>
        <w:spacing w:line="360" w:lineRule="auto"/>
        <w:jc w:val="both"/>
      </w:pPr>
      <w:r>
        <w:t xml:space="preserve">Secondly, the approach in eight of the 11 studies showed that ICT was used as a tool for delivering an intervention. The intervention could either have been recently developed or be a currently existing intervention. An example is Hermann et al.  they guided a patient using videoconferencing in the use of a previously developed electrical muscle stimulating hand orthosis. The results suggested that it was the orthosis that caused most of the improvement, and not as much the therapy received over videoconferencing since the therapist mainly had a counseling and supervising role. Three of the 11 studies have instead developed an intervention to be based on ICT as an integrated platform for the rehabilitation process; a web-based application ], a website  and an online health community . These three studies used the potential of ICT as a form of rehabilitation intervention, rather than the other eight studies that used ICT as a tool for delivering an intervention that also could have been face-to-face. The majority of the included studies used existing interventions, which can be explained from a cost-effectiveness point of view, but also from the perspective of ICT interventions being a young research area. One challenge in integrating new technologies is short utility period. The time from development to implementation needs to be rapid in order to be competitive in relation to how fast the development of ICT products is happening. Nearly as soon as a new product is launched, there is a need for of a new version or an update. Surprisingly no studies were found on using smartphones targeting participation in everyday life, even though the aim of this study included the use of mobile technology and the fact that there is already such a large amount of mobile applications available [9]. However, four of the 11 studies used a website or web-based application to connect participants with each other and the professionals , </w:t>
      </w:r>
      <w:r>
        <w:lastRenderedPageBreak/>
        <w:t>to track progress [38,41], or to communicate with participants . The websites that have been used might be convertible to a mobile application in the future. The current growth rate in technology [46,47] can be one reason for why there are few studies available with the latest smart phone technology.</w:t>
      </w:r>
    </w:p>
    <w:p w14:paraId="47CCD684" w14:textId="14F2808E" w:rsidR="00BC4601" w:rsidRDefault="00ED28AC">
      <w:pPr>
        <w:spacing w:line="360" w:lineRule="auto"/>
        <w:jc w:val="both"/>
      </w:pPr>
      <w:r>
        <w:t xml:space="preserve">At last a relevant finding was the analysis of how participation was described, measured, and used as an outcome in the included studies. Interestingly, participation was mainly used as an outcome for involvement in a life situation as measured by using assessment tools such as the Reintegration to Normal Living Index, or as related to ADL. Only three studies included the outcome of participation as a choice, by using the Canadian Occupational Performance Measure as an outcome . Participation demonstrated improvement as an outcome in three of the studies, even though participation was not described as a direct intervention target in any of the included studies nor as a primary aim. Instead participation was indirectly targeted by improved ADL or physical activity. This suggests that there is a potential in the design of ICT-based interventions to also target participation as an outcome measure in future studies. However, in most of the studies the concept of participation was not defined. A definition of participation would add to the </w:t>
      </w:r>
      <w:proofErr w:type="spellStart"/>
      <w:r>
        <w:t>generalisability</w:t>
      </w:r>
      <w:proofErr w:type="spellEnd"/>
      <w:r>
        <w:t xml:space="preserve"> of the studies and would make it more accessible to implement in other locations . By describing how participation was measured in the included studies, this scoping review illuminates the potential of improving participation with the use of ICT-based interventions. As improving participation is a relevant goal for rehabilitation and healthcare  there is also a need to measure and describe the intervention and its outcomes in relation to a definition of participation.</w:t>
      </w:r>
    </w:p>
    <w:p w14:paraId="184E67F6" w14:textId="77777777" w:rsidR="00BC4601" w:rsidRDefault="00ED28AC">
      <w:pPr>
        <w:spacing w:line="360" w:lineRule="auto"/>
        <w:jc w:val="both"/>
      </w:pPr>
      <w:r>
        <w:t>IMPLICATIONS FOR REHABILITATION</w:t>
      </w:r>
    </w:p>
    <w:p w14:paraId="12F71253" w14:textId="77777777" w:rsidR="00BC4601" w:rsidRDefault="00ED28AC">
      <w:pPr>
        <w:spacing w:line="360" w:lineRule="auto"/>
        <w:jc w:val="both"/>
      </w:pPr>
      <w:r>
        <w:t>The use of an information and communication technology application seems to be as good as the face-to-face intervention.</w:t>
      </w:r>
    </w:p>
    <w:p w14:paraId="2B86B858" w14:textId="77777777" w:rsidR="00BC4601" w:rsidRDefault="00ED28AC">
      <w:pPr>
        <w:spacing w:line="360" w:lineRule="auto"/>
        <w:jc w:val="both"/>
      </w:pPr>
      <w:r>
        <w:t>There is a need for defining the concept of participation related to outcome measures in future studies.</w:t>
      </w:r>
    </w:p>
    <w:p w14:paraId="6A5AD8AA" w14:textId="77777777" w:rsidR="00BC4601" w:rsidRDefault="00ED28AC">
      <w:pPr>
        <w:spacing w:line="360" w:lineRule="auto"/>
        <w:jc w:val="both"/>
      </w:pPr>
      <w:r>
        <w:rPr>
          <w:b/>
          <w:sz w:val="24"/>
          <w:szCs w:val="24"/>
        </w:rPr>
        <w:t>4.Reference</w:t>
      </w:r>
    </w:p>
    <w:p w14:paraId="3A36E3A6" w14:textId="05A904FC" w:rsidR="00BC4601" w:rsidRDefault="00ED28AC">
      <w:pPr>
        <w:spacing w:line="360" w:lineRule="auto"/>
        <w:jc w:val="both"/>
      </w:pPr>
      <w:r>
        <w:t>1.</w:t>
      </w:r>
      <w:r w:rsidR="001D0321" w:rsidRPr="001D0321">
        <w:rPr>
          <w:rFonts w:ascii="Roboto" w:hAnsi="Roboto"/>
          <w:color w:val="006621"/>
          <w:shd w:val="clear" w:color="auto" w:fill="FFFFFF"/>
        </w:rPr>
        <w:t xml:space="preserve"> </w:t>
      </w:r>
      <w:hyperlink r:id="rId4" w:history="1">
        <w:r w:rsidR="001D0321" w:rsidRPr="009F044E">
          <w:rPr>
            <w:rStyle w:val="Hyperlink"/>
            <w:rFonts w:ascii="Roboto" w:hAnsi="Roboto"/>
            <w:shd w:val="clear" w:color="auto" w:fill="FFFFFF"/>
          </w:rPr>
          <w:t>https://apps.who.int/iris/handle/10665/20398</w:t>
        </w:r>
      </w:hyperlink>
      <w:r w:rsidR="001D0321" w:rsidRPr="001D0321">
        <w:rPr>
          <w:rFonts w:ascii="Roboto" w:hAnsi="Roboto"/>
          <w:color w:val="000000" w:themeColor="text1"/>
          <w:shd w:val="clear" w:color="auto" w:fill="FFFFFF"/>
        </w:rPr>
        <w:t xml:space="preserve"> </w:t>
      </w:r>
      <w:r w:rsidR="001D0321" w:rsidRPr="001D0321">
        <w:rPr>
          <w:rFonts w:ascii="Roboto" w:hAnsi="Roboto"/>
          <w:color w:val="000000" w:themeColor="text1"/>
          <w:shd w:val="clear" w:color="auto" w:fill="FFFFFF"/>
        </w:rPr>
        <w:t>https://apps.who.int/iris/handle/10665/20398</w:t>
      </w:r>
    </w:p>
    <w:p w14:paraId="66C834BD" w14:textId="5173474B" w:rsidR="00BC4601" w:rsidRDefault="00ED28AC">
      <w:pPr>
        <w:spacing w:line="360" w:lineRule="auto"/>
        <w:jc w:val="both"/>
      </w:pPr>
      <w:r>
        <w:t>2.</w:t>
      </w:r>
      <w:hyperlink r:id="rId5" w:history="1">
        <w:r w:rsidR="001D0321" w:rsidRPr="009F044E">
          <w:rPr>
            <w:rStyle w:val="Hyperlink"/>
            <w:rFonts w:ascii="Roboto" w:hAnsi="Roboto"/>
            <w:shd w:val="clear" w:color="auto" w:fill="FFFFFF"/>
          </w:rPr>
          <w:t>https://www.ncbi.nlm.nih.gov/pubmed/19592797</w:t>
        </w:r>
      </w:hyperlink>
      <w:r w:rsidR="001D0321">
        <w:rPr>
          <w:rFonts w:ascii="Roboto" w:hAnsi="Roboto"/>
          <w:color w:val="006621"/>
          <w:shd w:val="clear" w:color="auto" w:fill="FFFFFF"/>
        </w:rPr>
        <w:t xml:space="preserve"> </w:t>
      </w:r>
      <w:r w:rsidR="001D0321" w:rsidRPr="001D0321">
        <w:rPr>
          <w:rFonts w:ascii="Roboto" w:hAnsi="Roboto"/>
          <w:color w:val="000000" w:themeColor="text1"/>
          <w:shd w:val="clear" w:color="auto" w:fill="FFFFFF"/>
        </w:rPr>
        <w:t>https://www.ncbi.nlm.nih.gov/pubmed/19592797</w:t>
      </w:r>
    </w:p>
    <w:p w14:paraId="299C23E8" w14:textId="068FC299" w:rsidR="00BC4601" w:rsidRDefault="00ED28AC">
      <w:pPr>
        <w:spacing w:line="360" w:lineRule="auto"/>
        <w:jc w:val="both"/>
      </w:pPr>
      <w:r w:rsidRPr="001D0321">
        <w:t>3.</w:t>
      </w:r>
      <w:r w:rsidR="001D0321" w:rsidRPr="001D0321">
        <w:rPr>
          <w:rFonts w:ascii="Roboto" w:hAnsi="Roboto"/>
          <w:color w:val="006621"/>
          <w:shd w:val="clear" w:color="auto" w:fill="FFFFFF"/>
        </w:rPr>
        <w:t xml:space="preserve"> </w:t>
      </w:r>
      <w:hyperlink r:id="rId6" w:history="1">
        <w:r w:rsidR="001D0321" w:rsidRPr="009F044E">
          <w:rPr>
            <w:rStyle w:val="Hyperlink"/>
            <w:rFonts w:ascii="Roboto" w:hAnsi="Roboto"/>
            <w:shd w:val="clear" w:color="auto" w:fill="FFFFFF"/>
          </w:rPr>
          <w:t>https://pubmed.ncbi.nlm.nih.gov/21160118</w:t>
        </w:r>
      </w:hyperlink>
      <w:r w:rsidR="001D0321">
        <w:rPr>
          <w:rFonts w:ascii="Roboto" w:hAnsi="Roboto"/>
          <w:color w:val="006621"/>
          <w:shd w:val="clear" w:color="auto" w:fill="FFFFFF"/>
        </w:rPr>
        <w:t xml:space="preserve"> </w:t>
      </w:r>
      <w:r w:rsidR="001D0321" w:rsidRPr="001D0321">
        <w:rPr>
          <w:rFonts w:ascii="Roboto" w:hAnsi="Roboto"/>
          <w:color w:val="000000" w:themeColor="text1"/>
          <w:shd w:val="clear" w:color="auto" w:fill="FFFFFF"/>
        </w:rPr>
        <w:t>https://pubmed.ncbi.nlm.nih.gov/21160118</w:t>
      </w:r>
    </w:p>
    <w:p w14:paraId="661A4EAD" w14:textId="787BC615" w:rsidR="00BC4601" w:rsidRPr="009D082E" w:rsidRDefault="00ED28AC">
      <w:pPr>
        <w:spacing w:line="360" w:lineRule="auto"/>
        <w:jc w:val="both"/>
      </w:pPr>
      <w:r w:rsidRPr="009D082E">
        <w:lastRenderedPageBreak/>
        <w:t>4</w:t>
      </w:r>
      <w:r w:rsidR="009D082E">
        <w:t>.</w:t>
      </w:r>
      <w:hyperlink r:id="rId7" w:history="1">
        <w:r w:rsidR="009D082E" w:rsidRPr="009F044E">
          <w:rPr>
            <w:rStyle w:val="Hyperlink"/>
          </w:rPr>
          <w:t>https://www.semanticscholar.org/paper/A-quality-assessment-of-systematic-reviews-on-what-Rogante-Kairy/8111ca6a7e699ce44773dd0e1d7fefdc2cb7d63a</w:t>
        </w:r>
        <w:r w:rsidR="009D082E" w:rsidRPr="009F044E">
          <w:rPr>
            <w:rStyle w:val="Hyperlink"/>
          </w:rPr>
          <w:t>4</w:t>
        </w:r>
      </w:hyperlink>
      <w:r w:rsidR="009D082E">
        <w:t xml:space="preserve"> </w:t>
      </w:r>
      <w:r w:rsidR="009D082E" w:rsidRPr="009D082E">
        <w:t>https://www.semanticscholar.org/paper/A-quality-assessment-of-systematic-reviews-on-what-Rogante-Kairy/8111ca6a7e699ce44773dd0e1d7fefdc2cb7d63a</w:t>
      </w:r>
    </w:p>
    <w:p w14:paraId="1A49230F" w14:textId="7B40A7D6" w:rsidR="00BC4601" w:rsidRDefault="00ED28AC">
      <w:pPr>
        <w:spacing w:line="360" w:lineRule="auto"/>
        <w:jc w:val="both"/>
      </w:pPr>
      <w:r>
        <w:t>5.</w:t>
      </w:r>
      <w:hyperlink r:id="rId8" w:history="1">
        <w:r w:rsidR="009D082E" w:rsidRPr="009F044E">
          <w:rPr>
            <w:rStyle w:val="Hyperlink"/>
            <w:rFonts w:ascii="Roboto" w:hAnsi="Roboto"/>
            <w:shd w:val="clear" w:color="auto" w:fill="FFFFFF"/>
          </w:rPr>
          <w:t>https://europepmc.org/article/PMC/PMC429679</w:t>
        </w:r>
      </w:hyperlink>
      <w:r w:rsidR="009D082E">
        <w:rPr>
          <w:rFonts w:ascii="Roboto" w:hAnsi="Roboto"/>
          <w:color w:val="006621"/>
          <w:shd w:val="clear" w:color="auto" w:fill="FFFFFF"/>
        </w:rPr>
        <w:t xml:space="preserve"> </w:t>
      </w:r>
      <w:r w:rsidR="009D082E" w:rsidRPr="009D082E">
        <w:rPr>
          <w:rFonts w:ascii="Roboto" w:hAnsi="Roboto"/>
          <w:color w:val="000000" w:themeColor="text1"/>
          <w:shd w:val="clear" w:color="auto" w:fill="FFFFFF"/>
        </w:rPr>
        <w:t>https://europepmc.org/article/PMC/PMC429679</w:t>
      </w:r>
    </w:p>
    <w:p w14:paraId="02D2B29F" w14:textId="6291D5B3" w:rsidR="00A530BA" w:rsidRDefault="00ED28AC">
      <w:pPr>
        <w:spacing w:line="360" w:lineRule="auto"/>
        <w:jc w:val="both"/>
      </w:pPr>
      <w:r>
        <w:t>6.</w:t>
      </w:r>
      <w:r w:rsidR="009D082E">
        <w:t>8</w:t>
      </w:r>
      <w:hyperlink r:id="rId9" w:history="1">
        <w:r w:rsidR="009D082E" w:rsidRPr="009F044E">
          <w:rPr>
            <w:rStyle w:val="Hyperlink"/>
          </w:rPr>
          <w:t>https://www.researchgate.net/publication/24024172_Telerehabilitation_a_coming_of_age</w:t>
        </w:r>
      </w:hyperlink>
      <w:r w:rsidR="009D082E">
        <w:t xml:space="preserve"> </w:t>
      </w:r>
      <w:r w:rsidR="009D082E" w:rsidRPr="009D082E">
        <w:t>https://www.researchgate.net/publication/24024172_Telerehabilitation_a_coming_of_age</w:t>
      </w:r>
    </w:p>
    <w:sectPr w:rsidR="00A530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172A27"/>
    <w:rsid w:val="001D0321"/>
    <w:rsid w:val="009D082E"/>
    <w:rsid w:val="00A530BA"/>
    <w:rsid w:val="00BC4601"/>
    <w:rsid w:val="00EC7F45"/>
    <w:rsid w:val="00ED28AC"/>
    <w:rsid w:val="00FF5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6AEC46"/>
  <w14:defaultImageDpi w14:val="0"/>
  <w15:chartTrackingRefBased/>
  <w15:docId w15:val="{E3DD1D56-AAD1-C443-8663-D86B9CE8A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pPr>
      <w:ind w:left="720"/>
      <w:contextualSpacing/>
    </w:pPr>
  </w:style>
  <w:style w:type="character" w:styleId="Hyperlink">
    <w:name w:val="Hyperlink"/>
    <w:basedOn w:val="DefaultParagraphFont"/>
    <w:uiPriority w:val="99"/>
    <w:unhideWhenUsed/>
    <w:rsid w:val="001D0321"/>
    <w:rPr>
      <w:color w:val="0563C1" w:themeColor="hyperlink"/>
      <w:u w:val="single"/>
    </w:rPr>
  </w:style>
  <w:style w:type="character" w:styleId="UnresolvedMention">
    <w:name w:val="Unresolved Mention"/>
    <w:basedOn w:val="DefaultParagraphFont"/>
    <w:uiPriority w:val="99"/>
    <w:semiHidden/>
    <w:unhideWhenUsed/>
    <w:rsid w:val="001D03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280"/>
</w:webSettings>
</file>

<file path=word/_rels/document.xml.rels><?xml version="1.0" encoding="UTF-8" standalone="yes"?>
<Relationships xmlns="http://schemas.openxmlformats.org/package/2006/relationships"><Relationship Id="rId8" Type="http://schemas.openxmlformats.org/officeDocument/2006/relationships/hyperlink" Target="https://europepmc.org/article/PMC/PMC429679" TargetMode="External"/><Relationship Id="rId3" Type="http://schemas.openxmlformats.org/officeDocument/2006/relationships/webSettings" Target="webSettings.xml"/><Relationship Id="rId7" Type="http://schemas.openxmlformats.org/officeDocument/2006/relationships/hyperlink" Target="https://www.semanticscholar.org/paper/A-quality-assessment-of-systematic-reviews-on-what-Rogante-Kairy/8111ca6a7e699ce44773dd0e1d7fefdc2cb7d63a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21160118" TargetMode="External"/><Relationship Id="rId11" Type="http://schemas.openxmlformats.org/officeDocument/2006/relationships/theme" Target="theme/theme1.xml"/><Relationship Id="rId5" Type="http://schemas.openxmlformats.org/officeDocument/2006/relationships/hyperlink" Target="https://www.ncbi.nlm.nih.gov/pubmed/19592797" TargetMode="External"/><Relationship Id="rId10" Type="http://schemas.openxmlformats.org/officeDocument/2006/relationships/fontTable" Target="fontTable.xml"/><Relationship Id="rId4" Type="http://schemas.openxmlformats.org/officeDocument/2006/relationships/hyperlink" Target="https://apps.who.int/iris/handle/10665/20398" TargetMode="External"/><Relationship Id="rId9" Type="http://schemas.openxmlformats.org/officeDocument/2006/relationships/hyperlink" Target="https://www.researchgate.net/publication/24024172_Telerehabilitation_a_coming_of_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T08</dc:creator>
  <cp:keywords/>
  <cp:lastModifiedBy>melat kebede</cp:lastModifiedBy>
  <cp:revision>2</cp:revision>
  <dcterms:created xsi:type="dcterms:W3CDTF">2022-09-02T22:09:00Z</dcterms:created>
  <dcterms:modified xsi:type="dcterms:W3CDTF">2022-09-02T22:09:00Z</dcterms:modified>
</cp:coreProperties>
</file>