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426A1D" w14:textId="77777777" w:rsidR="00C21E15" w:rsidRPr="0002351C" w:rsidRDefault="0002351C">
      <w:pPr>
        <w:jc w:val="center"/>
        <w:rPr>
          <w:b/>
          <w:lang w:val="en-GB"/>
        </w:rPr>
      </w:pPr>
      <w:r w:rsidRPr="0002351C">
        <w:rPr>
          <w:b/>
          <w:noProof/>
          <w:lang w:val="en-GB"/>
        </w:rPr>
        <w:drawing>
          <wp:inline distT="0" distB="0" distL="0" distR="0" wp14:anchorId="3F6DF054" wp14:editId="389688A9">
            <wp:extent cx="4475890" cy="1843888"/>
            <wp:effectExtent l="0" t="0" r="1270" b="4445"/>
            <wp:docPr id="715502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502508" name=""/>
                    <pic:cNvPicPr/>
                  </pic:nvPicPr>
                  <pic:blipFill>
                    <a:blip r:embed="rId8"/>
                    <a:stretch>
                      <a:fillRect/>
                    </a:stretch>
                  </pic:blipFill>
                  <pic:spPr>
                    <a:xfrm>
                      <a:off x="0" y="0"/>
                      <a:ext cx="4504199" cy="1855550"/>
                    </a:xfrm>
                    <a:prstGeom prst="rect">
                      <a:avLst/>
                    </a:prstGeom>
                  </pic:spPr>
                </pic:pic>
              </a:graphicData>
            </a:graphic>
          </wp:inline>
        </w:drawing>
      </w:r>
    </w:p>
    <w:p w14:paraId="6DEDCD3F" w14:textId="77777777" w:rsidR="00C21E15" w:rsidRPr="0002351C" w:rsidRDefault="00C21E15">
      <w:pPr>
        <w:jc w:val="center"/>
        <w:rPr>
          <w:b/>
          <w:lang w:val="en-GB"/>
        </w:rPr>
      </w:pPr>
    </w:p>
    <w:p w14:paraId="56E7EDAF" w14:textId="77777777" w:rsidR="00C21E15" w:rsidRPr="0002351C" w:rsidRDefault="00C21E15">
      <w:pPr>
        <w:jc w:val="center"/>
        <w:rPr>
          <w:b/>
          <w:lang w:val="en-GB"/>
        </w:rPr>
      </w:pPr>
    </w:p>
    <w:p w14:paraId="1A963FE6" w14:textId="77777777" w:rsidR="00C21E15" w:rsidRPr="0002351C" w:rsidRDefault="00C21E15">
      <w:pPr>
        <w:jc w:val="center"/>
        <w:rPr>
          <w:b/>
          <w:lang w:val="en-GB"/>
        </w:rPr>
      </w:pPr>
    </w:p>
    <w:p w14:paraId="6B5F69DB" w14:textId="77777777" w:rsidR="0002351C" w:rsidRPr="0002351C" w:rsidRDefault="00000000">
      <w:pPr>
        <w:jc w:val="center"/>
        <w:rPr>
          <w:b/>
          <w:sz w:val="32"/>
          <w:szCs w:val="32"/>
          <w:lang w:val="en-GB"/>
        </w:rPr>
      </w:pPr>
      <w:r w:rsidRPr="0002351C">
        <w:rPr>
          <w:b/>
          <w:sz w:val="32"/>
          <w:szCs w:val="32"/>
          <w:lang w:val="en-GB"/>
        </w:rPr>
        <w:t xml:space="preserve">BRAND EXTENSION OF TANISHQ IN COLLABORATION WITH BERKELEY GROUP OF THE UK </w:t>
      </w:r>
    </w:p>
    <w:p w14:paraId="7902B2F2" w14:textId="7F7CDA4E" w:rsidR="0002351C" w:rsidRPr="006D3154" w:rsidRDefault="0002351C" w:rsidP="006D3154">
      <w:pPr>
        <w:pStyle w:val="ListParagraph"/>
        <w:rPr>
          <w:b/>
          <w:sz w:val="32"/>
          <w:szCs w:val="32"/>
          <w:lang w:val="en-GB"/>
        </w:rPr>
      </w:pPr>
      <w:r w:rsidRPr="006D3154">
        <w:rPr>
          <w:b/>
          <w:sz w:val="32"/>
          <w:szCs w:val="32"/>
          <w:lang w:val="en-GB"/>
        </w:rPr>
        <w:t>Program name:</w:t>
      </w:r>
      <w:r w:rsidR="003105D0">
        <w:rPr>
          <w:b/>
          <w:sz w:val="32"/>
          <w:szCs w:val="32"/>
          <w:lang w:val="en-GB"/>
        </w:rPr>
        <w:t xml:space="preserve"> </w:t>
      </w:r>
      <w:r w:rsidR="006D3154">
        <w:rPr>
          <w:b/>
          <w:sz w:val="32"/>
          <w:szCs w:val="32"/>
          <w:lang w:val="en-GB"/>
        </w:rPr>
        <w:t xml:space="preserve">Master of business administration              </w:t>
      </w:r>
      <w:r w:rsidRPr="006D3154">
        <w:rPr>
          <w:b/>
          <w:sz w:val="32"/>
          <w:szCs w:val="32"/>
          <w:lang w:val="en-GB"/>
        </w:rPr>
        <w:t xml:space="preserve"> </w:t>
      </w:r>
    </w:p>
    <w:p w14:paraId="30EC3364" w14:textId="0EB03552" w:rsidR="0002351C" w:rsidRPr="006D3154" w:rsidRDefault="0002351C" w:rsidP="006D3154">
      <w:pPr>
        <w:pStyle w:val="ListParagraph"/>
        <w:rPr>
          <w:b/>
          <w:sz w:val="32"/>
          <w:szCs w:val="32"/>
          <w:lang w:val="en-GB"/>
        </w:rPr>
      </w:pPr>
      <w:r w:rsidRPr="006D3154">
        <w:rPr>
          <w:b/>
          <w:sz w:val="32"/>
          <w:szCs w:val="32"/>
          <w:lang w:val="en-GB"/>
        </w:rPr>
        <w:t>Module name and code:</w:t>
      </w:r>
      <w:r w:rsidR="006D3154" w:rsidRPr="006D3154">
        <w:rPr>
          <w:b/>
          <w:sz w:val="32"/>
          <w:szCs w:val="32"/>
          <w:lang w:val="en-GB"/>
        </w:rPr>
        <w:t xml:space="preserve"> </w:t>
      </w:r>
      <w:r w:rsidR="006D3154">
        <w:rPr>
          <w:b/>
          <w:sz w:val="32"/>
          <w:szCs w:val="32"/>
          <w:lang w:val="en-GB"/>
        </w:rPr>
        <w:t xml:space="preserve"> </w:t>
      </w:r>
      <w:r w:rsidR="006D3154" w:rsidRPr="006D3154">
        <w:rPr>
          <w:b/>
          <w:sz w:val="32"/>
          <w:szCs w:val="32"/>
          <w:lang w:val="en-GB"/>
        </w:rPr>
        <w:t>Marketing management</w:t>
      </w:r>
      <w:r w:rsidR="00E61EB1" w:rsidRPr="006D3154">
        <w:rPr>
          <w:b/>
          <w:sz w:val="32"/>
          <w:szCs w:val="32"/>
          <w:lang w:val="en-GB"/>
        </w:rPr>
        <w:t xml:space="preserve"> LCMB7024</w:t>
      </w:r>
    </w:p>
    <w:p w14:paraId="3516B01A" w14:textId="7F7D289B" w:rsidR="0002351C" w:rsidRPr="006D3154" w:rsidRDefault="0002351C" w:rsidP="006D3154">
      <w:pPr>
        <w:pStyle w:val="ListParagraph"/>
        <w:rPr>
          <w:b/>
          <w:bCs/>
          <w:sz w:val="32"/>
          <w:szCs w:val="32"/>
          <w:lang w:val="en-GB"/>
        </w:rPr>
      </w:pPr>
      <w:r w:rsidRPr="006D3154">
        <w:rPr>
          <w:b/>
          <w:bCs/>
          <w:sz w:val="32"/>
          <w:szCs w:val="32"/>
          <w:lang w:val="en-GB"/>
        </w:rPr>
        <w:t>Lecturer’s name:</w:t>
      </w:r>
      <w:r w:rsidR="006D3154">
        <w:rPr>
          <w:b/>
          <w:bCs/>
          <w:sz w:val="32"/>
          <w:szCs w:val="32"/>
          <w:lang w:val="en-GB"/>
        </w:rPr>
        <w:t xml:space="preserve">  Dr. Jayalakshmi </w:t>
      </w:r>
      <w:r w:rsidR="003105D0">
        <w:rPr>
          <w:b/>
          <w:bCs/>
          <w:sz w:val="32"/>
          <w:szCs w:val="32"/>
          <w:lang w:val="en-GB"/>
        </w:rPr>
        <w:t>Gopalkrishnan</w:t>
      </w:r>
      <w:r w:rsidR="006D3154">
        <w:rPr>
          <w:b/>
          <w:bCs/>
          <w:sz w:val="32"/>
          <w:szCs w:val="32"/>
          <w:lang w:val="en-GB"/>
        </w:rPr>
        <w:t xml:space="preserve">          </w:t>
      </w:r>
    </w:p>
    <w:p w14:paraId="5F284CD8" w14:textId="7916EDA3" w:rsidR="0002351C" w:rsidRPr="006D3154" w:rsidRDefault="0002351C" w:rsidP="006D3154">
      <w:pPr>
        <w:pStyle w:val="ListParagraph"/>
        <w:rPr>
          <w:b/>
          <w:bCs/>
          <w:sz w:val="32"/>
          <w:szCs w:val="32"/>
          <w:lang w:val="en-GB"/>
        </w:rPr>
      </w:pPr>
      <w:r w:rsidRPr="006D3154">
        <w:rPr>
          <w:b/>
          <w:bCs/>
          <w:sz w:val="32"/>
          <w:szCs w:val="32"/>
          <w:lang w:val="en-GB"/>
        </w:rPr>
        <w:t xml:space="preserve">Student </w:t>
      </w:r>
      <w:r w:rsidR="003105D0" w:rsidRPr="006D3154">
        <w:rPr>
          <w:b/>
          <w:bCs/>
          <w:sz w:val="32"/>
          <w:szCs w:val="32"/>
          <w:lang w:val="en-GB"/>
        </w:rPr>
        <w:t>name</w:t>
      </w:r>
      <w:r w:rsidR="003105D0">
        <w:rPr>
          <w:b/>
          <w:bCs/>
          <w:sz w:val="32"/>
          <w:szCs w:val="32"/>
          <w:lang w:val="en-GB"/>
        </w:rPr>
        <w:t>:</w:t>
      </w:r>
      <w:r w:rsidR="00E61EB1" w:rsidRPr="006D3154">
        <w:rPr>
          <w:b/>
          <w:bCs/>
          <w:sz w:val="32"/>
          <w:szCs w:val="32"/>
          <w:lang w:val="en-GB"/>
        </w:rPr>
        <w:t xml:space="preserve"> Rutvi R. Bhanderi</w:t>
      </w:r>
    </w:p>
    <w:p w14:paraId="475500DD" w14:textId="3432C1C9" w:rsidR="0002351C" w:rsidRPr="006D3154" w:rsidRDefault="0002351C" w:rsidP="006D3154">
      <w:pPr>
        <w:pStyle w:val="ListParagraph"/>
        <w:rPr>
          <w:b/>
          <w:bCs/>
          <w:sz w:val="32"/>
          <w:szCs w:val="32"/>
          <w:lang w:val="en-GB"/>
        </w:rPr>
      </w:pPr>
      <w:r w:rsidRPr="006D3154">
        <w:rPr>
          <w:b/>
          <w:bCs/>
          <w:sz w:val="32"/>
          <w:szCs w:val="32"/>
          <w:lang w:val="en-GB"/>
        </w:rPr>
        <w:t>Student ID:</w:t>
      </w:r>
      <w:r w:rsidR="006D3154">
        <w:rPr>
          <w:b/>
          <w:bCs/>
          <w:sz w:val="32"/>
          <w:szCs w:val="32"/>
          <w:lang w:val="en-GB"/>
        </w:rPr>
        <w:t xml:space="preserve"> </w:t>
      </w:r>
      <w:r w:rsidR="00E61EB1" w:rsidRPr="006D3154">
        <w:rPr>
          <w:b/>
          <w:bCs/>
          <w:sz w:val="32"/>
          <w:szCs w:val="32"/>
          <w:lang w:val="en-GB"/>
        </w:rPr>
        <w:t xml:space="preserve"> 2420026</w:t>
      </w:r>
    </w:p>
    <w:p w14:paraId="72340049" w14:textId="018B8884" w:rsidR="0002351C" w:rsidRPr="006D3154" w:rsidRDefault="006D3154" w:rsidP="006D3154">
      <w:pPr>
        <w:pStyle w:val="ListParagraph"/>
        <w:rPr>
          <w:b/>
          <w:bCs/>
          <w:sz w:val="32"/>
          <w:szCs w:val="32"/>
          <w:lang w:val="en-GB"/>
        </w:rPr>
      </w:pPr>
      <w:r>
        <w:rPr>
          <w:b/>
          <w:bCs/>
          <w:sz w:val="32"/>
          <w:szCs w:val="32"/>
          <w:lang w:val="en-GB"/>
        </w:rPr>
        <w:t xml:space="preserve"> </w:t>
      </w:r>
      <w:r w:rsidR="0002351C" w:rsidRPr="006D3154">
        <w:rPr>
          <w:b/>
          <w:bCs/>
          <w:sz w:val="32"/>
          <w:szCs w:val="32"/>
          <w:lang w:val="en-GB"/>
        </w:rPr>
        <w:t>Wordcount:</w:t>
      </w:r>
      <w:r>
        <w:rPr>
          <w:b/>
          <w:bCs/>
          <w:sz w:val="32"/>
          <w:szCs w:val="32"/>
          <w:lang w:val="en-GB"/>
        </w:rPr>
        <w:t xml:space="preserve">  2556 </w:t>
      </w:r>
    </w:p>
    <w:p w14:paraId="111E0E8F" w14:textId="56F4A579" w:rsidR="00C21E15" w:rsidRPr="006D3154" w:rsidRDefault="00000000" w:rsidP="006D3154">
      <w:pPr>
        <w:jc w:val="center"/>
        <w:rPr>
          <w:b/>
          <w:sz w:val="32"/>
          <w:szCs w:val="32"/>
          <w:lang w:val="en-GB"/>
        </w:rPr>
      </w:pPr>
      <w:r w:rsidRPr="006D3154">
        <w:rPr>
          <w:lang w:val="en-GB"/>
        </w:rPr>
        <w:br w:type="page"/>
      </w:r>
      <w:r w:rsidR="006D3154">
        <w:rPr>
          <w:lang w:val="en-GB"/>
        </w:rPr>
        <w:lastRenderedPageBreak/>
        <w:t>`</w:t>
      </w:r>
    </w:p>
    <w:bookmarkStart w:id="0" w:name="_mgn0g5gdzh6i" w:colFirst="0" w:colLast="0" w:displacedByCustomXml="next"/>
    <w:bookmarkEnd w:id="0" w:displacedByCustomXml="next"/>
    <w:sdt>
      <w:sdtPr>
        <w:rPr>
          <w:rFonts w:ascii="Times New Roman" w:eastAsia="Times New Roman" w:hAnsi="Times New Roman" w:cs="Times New Roman"/>
          <w:color w:val="auto"/>
          <w:sz w:val="24"/>
          <w:szCs w:val="24"/>
          <w:lang w:val="en"/>
        </w:rPr>
        <w:id w:val="-1823190872"/>
        <w:docPartObj>
          <w:docPartGallery w:val="Table of Contents"/>
          <w:docPartUnique/>
        </w:docPartObj>
      </w:sdtPr>
      <w:sdtEndPr>
        <w:rPr>
          <w:b/>
          <w:bCs/>
          <w:noProof/>
        </w:rPr>
      </w:sdtEndPr>
      <w:sdtContent>
        <w:p w14:paraId="46AF6AE1" w14:textId="3C7AB2BB" w:rsidR="002B792A" w:rsidRPr="002B792A" w:rsidRDefault="002B792A" w:rsidP="002B792A">
          <w:pPr>
            <w:pStyle w:val="TOCHeading"/>
            <w:jc w:val="center"/>
            <w:rPr>
              <w:rFonts w:ascii="Times New Roman" w:hAnsi="Times New Roman" w:cs="Times New Roman"/>
              <w:b/>
              <w:bCs/>
              <w:color w:val="auto"/>
              <w:sz w:val="28"/>
              <w:szCs w:val="28"/>
            </w:rPr>
          </w:pPr>
          <w:r w:rsidRPr="002B792A">
            <w:rPr>
              <w:rFonts w:ascii="Times New Roman" w:hAnsi="Times New Roman" w:cs="Times New Roman"/>
              <w:b/>
              <w:bCs/>
              <w:color w:val="auto"/>
              <w:sz w:val="28"/>
              <w:szCs w:val="28"/>
            </w:rPr>
            <w:t>Table of Contents</w:t>
          </w:r>
        </w:p>
        <w:p w14:paraId="5C53F1FC" w14:textId="47D0A608" w:rsidR="002B792A" w:rsidRDefault="002B792A">
          <w:pPr>
            <w:pStyle w:val="TOC1"/>
            <w:tabs>
              <w:tab w:val="right" w:leader="dot" w:pos="9350"/>
            </w:tabs>
            <w:rPr>
              <w:noProof/>
            </w:rPr>
          </w:pPr>
          <w:r>
            <w:fldChar w:fldCharType="begin"/>
          </w:r>
          <w:r>
            <w:instrText xml:space="preserve"> TOC \o "1-3" \h \z \u </w:instrText>
          </w:r>
          <w:r>
            <w:fldChar w:fldCharType="separate"/>
          </w:r>
          <w:hyperlink w:anchor="_Toc195638736" w:history="1">
            <w:r w:rsidRPr="00710FDB">
              <w:rPr>
                <w:rStyle w:val="Hyperlink"/>
                <w:noProof/>
                <w:lang w:val="en-GB"/>
              </w:rPr>
              <w:t>Introduction</w:t>
            </w:r>
            <w:r>
              <w:rPr>
                <w:noProof/>
                <w:webHidden/>
              </w:rPr>
              <w:tab/>
            </w:r>
            <w:r>
              <w:rPr>
                <w:noProof/>
                <w:webHidden/>
              </w:rPr>
              <w:fldChar w:fldCharType="begin"/>
            </w:r>
            <w:r>
              <w:rPr>
                <w:noProof/>
                <w:webHidden/>
              </w:rPr>
              <w:instrText xml:space="preserve"> PAGEREF _Toc195638736 \h </w:instrText>
            </w:r>
            <w:r>
              <w:rPr>
                <w:noProof/>
                <w:webHidden/>
              </w:rPr>
            </w:r>
            <w:r>
              <w:rPr>
                <w:noProof/>
                <w:webHidden/>
              </w:rPr>
              <w:fldChar w:fldCharType="separate"/>
            </w:r>
            <w:r>
              <w:rPr>
                <w:noProof/>
                <w:webHidden/>
              </w:rPr>
              <w:t>1</w:t>
            </w:r>
            <w:r>
              <w:rPr>
                <w:noProof/>
                <w:webHidden/>
              </w:rPr>
              <w:fldChar w:fldCharType="end"/>
            </w:r>
          </w:hyperlink>
        </w:p>
        <w:p w14:paraId="1B773FAB" w14:textId="3459D53C" w:rsidR="002B792A" w:rsidRDefault="002B792A">
          <w:pPr>
            <w:pStyle w:val="TOC1"/>
            <w:tabs>
              <w:tab w:val="right" w:leader="dot" w:pos="9350"/>
            </w:tabs>
            <w:rPr>
              <w:noProof/>
            </w:rPr>
          </w:pPr>
          <w:hyperlink w:anchor="_Toc195638737" w:history="1">
            <w:r w:rsidRPr="00710FDB">
              <w:rPr>
                <w:rStyle w:val="Hyperlink"/>
                <w:noProof/>
                <w:lang w:val="en-GB"/>
              </w:rPr>
              <w:t>1.0 Development of a new brand extension for Taniqu</w:t>
            </w:r>
            <w:r>
              <w:rPr>
                <w:noProof/>
                <w:webHidden/>
              </w:rPr>
              <w:tab/>
            </w:r>
            <w:r>
              <w:rPr>
                <w:noProof/>
                <w:webHidden/>
              </w:rPr>
              <w:fldChar w:fldCharType="begin"/>
            </w:r>
            <w:r>
              <w:rPr>
                <w:noProof/>
                <w:webHidden/>
              </w:rPr>
              <w:instrText xml:space="preserve"> PAGEREF _Toc195638737 \h </w:instrText>
            </w:r>
            <w:r>
              <w:rPr>
                <w:noProof/>
                <w:webHidden/>
              </w:rPr>
            </w:r>
            <w:r>
              <w:rPr>
                <w:noProof/>
                <w:webHidden/>
              </w:rPr>
              <w:fldChar w:fldCharType="separate"/>
            </w:r>
            <w:r>
              <w:rPr>
                <w:noProof/>
                <w:webHidden/>
              </w:rPr>
              <w:t>1</w:t>
            </w:r>
            <w:r>
              <w:rPr>
                <w:noProof/>
                <w:webHidden/>
              </w:rPr>
              <w:fldChar w:fldCharType="end"/>
            </w:r>
          </w:hyperlink>
        </w:p>
        <w:p w14:paraId="48D244E8" w14:textId="46C2B0F6" w:rsidR="002B792A" w:rsidRDefault="002B792A">
          <w:pPr>
            <w:pStyle w:val="TOC1"/>
            <w:tabs>
              <w:tab w:val="right" w:leader="dot" w:pos="9350"/>
            </w:tabs>
            <w:rPr>
              <w:noProof/>
            </w:rPr>
          </w:pPr>
          <w:hyperlink w:anchor="_Toc195638738" w:history="1">
            <w:r w:rsidRPr="00710FDB">
              <w:rPr>
                <w:rStyle w:val="Hyperlink"/>
                <w:noProof/>
                <w:lang w:val="en-GB"/>
              </w:rPr>
              <w:t>2.0 Determination of segmentation, targeting and positioning of Tanishq</w:t>
            </w:r>
            <w:r>
              <w:rPr>
                <w:noProof/>
                <w:webHidden/>
              </w:rPr>
              <w:tab/>
            </w:r>
            <w:r>
              <w:rPr>
                <w:noProof/>
                <w:webHidden/>
              </w:rPr>
              <w:fldChar w:fldCharType="begin"/>
            </w:r>
            <w:r>
              <w:rPr>
                <w:noProof/>
                <w:webHidden/>
              </w:rPr>
              <w:instrText xml:space="preserve"> PAGEREF _Toc195638738 \h </w:instrText>
            </w:r>
            <w:r>
              <w:rPr>
                <w:noProof/>
                <w:webHidden/>
              </w:rPr>
            </w:r>
            <w:r>
              <w:rPr>
                <w:noProof/>
                <w:webHidden/>
              </w:rPr>
              <w:fldChar w:fldCharType="separate"/>
            </w:r>
            <w:r>
              <w:rPr>
                <w:noProof/>
                <w:webHidden/>
              </w:rPr>
              <w:t>5</w:t>
            </w:r>
            <w:r>
              <w:rPr>
                <w:noProof/>
                <w:webHidden/>
              </w:rPr>
              <w:fldChar w:fldCharType="end"/>
            </w:r>
          </w:hyperlink>
        </w:p>
        <w:p w14:paraId="45AA648D" w14:textId="3E411A83" w:rsidR="002B792A" w:rsidRDefault="002B792A">
          <w:pPr>
            <w:pStyle w:val="TOC1"/>
            <w:tabs>
              <w:tab w:val="right" w:leader="dot" w:pos="9350"/>
            </w:tabs>
            <w:rPr>
              <w:noProof/>
            </w:rPr>
          </w:pPr>
          <w:hyperlink w:anchor="_Toc195638739" w:history="1">
            <w:r w:rsidRPr="00710FDB">
              <w:rPr>
                <w:rStyle w:val="Hyperlink"/>
                <w:noProof/>
                <w:lang w:val="en-GB"/>
              </w:rPr>
              <w:t>3.0 Consumer persona development</w:t>
            </w:r>
            <w:r>
              <w:rPr>
                <w:noProof/>
                <w:webHidden/>
              </w:rPr>
              <w:tab/>
            </w:r>
            <w:r>
              <w:rPr>
                <w:noProof/>
                <w:webHidden/>
              </w:rPr>
              <w:fldChar w:fldCharType="begin"/>
            </w:r>
            <w:r>
              <w:rPr>
                <w:noProof/>
                <w:webHidden/>
              </w:rPr>
              <w:instrText xml:space="preserve"> PAGEREF _Toc195638739 \h </w:instrText>
            </w:r>
            <w:r>
              <w:rPr>
                <w:noProof/>
                <w:webHidden/>
              </w:rPr>
            </w:r>
            <w:r>
              <w:rPr>
                <w:noProof/>
                <w:webHidden/>
              </w:rPr>
              <w:fldChar w:fldCharType="separate"/>
            </w:r>
            <w:r>
              <w:rPr>
                <w:noProof/>
                <w:webHidden/>
              </w:rPr>
              <w:t>7</w:t>
            </w:r>
            <w:r>
              <w:rPr>
                <w:noProof/>
                <w:webHidden/>
              </w:rPr>
              <w:fldChar w:fldCharType="end"/>
            </w:r>
          </w:hyperlink>
        </w:p>
        <w:p w14:paraId="34E0611F" w14:textId="44CE090C" w:rsidR="002B792A" w:rsidRDefault="002B792A">
          <w:pPr>
            <w:pStyle w:val="TOC1"/>
            <w:tabs>
              <w:tab w:val="right" w:leader="dot" w:pos="9350"/>
            </w:tabs>
            <w:rPr>
              <w:noProof/>
            </w:rPr>
          </w:pPr>
          <w:hyperlink w:anchor="_Toc195638740" w:history="1">
            <w:r w:rsidRPr="00710FDB">
              <w:rPr>
                <w:rStyle w:val="Hyperlink"/>
                <w:noProof/>
                <w:lang w:val="en-GB"/>
              </w:rPr>
              <w:t>4. Marketing mix of Tanishq band extension (4Ps)</w:t>
            </w:r>
            <w:r>
              <w:rPr>
                <w:noProof/>
                <w:webHidden/>
              </w:rPr>
              <w:tab/>
            </w:r>
            <w:r>
              <w:rPr>
                <w:noProof/>
                <w:webHidden/>
              </w:rPr>
              <w:fldChar w:fldCharType="begin"/>
            </w:r>
            <w:r>
              <w:rPr>
                <w:noProof/>
                <w:webHidden/>
              </w:rPr>
              <w:instrText xml:space="preserve"> PAGEREF _Toc195638740 \h </w:instrText>
            </w:r>
            <w:r>
              <w:rPr>
                <w:noProof/>
                <w:webHidden/>
              </w:rPr>
            </w:r>
            <w:r>
              <w:rPr>
                <w:noProof/>
                <w:webHidden/>
              </w:rPr>
              <w:fldChar w:fldCharType="separate"/>
            </w:r>
            <w:r>
              <w:rPr>
                <w:noProof/>
                <w:webHidden/>
              </w:rPr>
              <w:t>9</w:t>
            </w:r>
            <w:r>
              <w:rPr>
                <w:noProof/>
                <w:webHidden/>
              </w:rPr>
              <w:fldChar w:fldCharType="end"/>
            </w:r>
          </w:hyperlink>
        </w:p>
        <w:p w14:paraId="1EFAAB52" w14:textId="7E9D97EE" w:rsidR="002B792A" w:rsidRDefault="002B792A">
          <w:pPr>
            <w:pStyle w:val="TOC1"/>
            <w:tabs>
              <w:tab w:val="right" w:leader="dot" w:pos="9350"/>
            </w:tabs>
            <w:rPr>
              <w:noProof/>
            </w:rPr>
          </w:pPr>
          <w:hyperlink w:anchor="_Toc195638741" w:history="1">
            <w:r w:rsidRPr="00710FDB">
              <w:rPr>
                <w:rStyle w:val="Hyperlink"/>
                <w:noProof/>
                <w:lang w:val="en-GB"/>
              </w:rPr>
              <w:t>Conclusion</w:t>
            </w:r>
            <w:r>
              <w:rPr>
                <w:noProof/>
                <w:webHidden/>
              </w:rPr>
              <w:tab/>
            </w:r>
            <w:r>
              <w:rPr>
                <w:noProof/>
                <w:webHidden/>
              </w:rPr>
              <w:fldChar w:fldCharType="begin"/>
            </w:r>
            <w:r>
              <w:rPr>
                <w:noProof/>
                <w:webHidden/>
              </w:rPr>
              <w:instrText xml:space="preserve"> PAGEREF _Toc195638741 \h </w:instrText>
            </w:r>
            <w:r>
              <w:rPr>
                <w:noProof/>
                <w:webHidden/>
              </w:rPr>
            </w:r>
            <w:r>
              <w:rPr>
                <w:noProof/>
                <w:webHidden/>
              </w:rPr>
              <w:fldChar w:fldCharType="separate"/>
            </w:r>
            <w:r>
              <w:rPr>
                <w:noProof/>
                <w:webHidden/>
              </w:rPr>
              <w:t>10</w:t>
            </w:r>
            <w:r>
              <w:rPr>
                <w:noProof/>
                <w:webHidden/>
              </w:rPr>
              <w:fldChar w:fldCharType="end"/>
            </w:r>
          </w:hyperlink>
        </w:p>
        <w:p w14:paraId="118B2017" w14:textId="4A3A351B" w:rsidR="002B792A" w:rsidRDefault="002B792A">
          <w:pPr>
            <w:pStyle w:val="TOC1"/>
            <w:tabs>
              <w:tab w:val="right" w:leader="dot" w:pos="9350"/>
            </w:tabs>
            <w:rPr>
              <w:noProof/>
            </w:rPr>
          </w:pPr>
          <w:hyperlink w:anchor="_Toc195638742" w:history="1">
            <w:r w:rsidRPr="00710FDB">
              <w:rPr>
                <w:rStyle w:val="Hyperlink"/>
                <w:noProof/>
                <w:lang w:val="en-GB"/>
              </w:rPr>
              <w:t>References</w:t>
            </w:r>
            <w:r>
              <w:rPr>
                <w:noProof/>
                <w:webHidden/>
              </w:rPr>
              <w:tab/>
            </w:r>
            <w:r>
              <w:rPr>
                <w:noProof/>
                <w:webHidden/>
              </w:rPr>
              <w:fldChar w:fldCharType="begin"/>
            </w:r>
            <w:r>
              <w:rPr>
                <w:noProof/>
                <w:webHidden/>
              </w:rPr>
              <w:instrText xml:space="preserve"> PAGEREF _Toc195638742 \h </w:instrText>
            </w:r>
            <w:r>
              <w:rPr>
                <w:noProof/>
                <w:webHidden/>
              </w:rPr>
            </w:r>
            <w:r>
              <w:rPr>
                <w:noProof/>
                <w:webHidden/>
              </w:rPr>
              <w:fldChar w:fldCharType="separate"/>
            </w:r>
            <w:r>
              <w:rPr>
                <w:noProof/>
                <w:webHidden/>
              </w:rPr>
              <w:t>11</w:t>
            </w:r>
            <w:r>
              <w:rPr>
                <w:noProof/>
                <w:webHidden/>
              </w:rPr>
              <w:fldChar w:fldCharType="end"/>
            </w:r>
          </w:hyperlink>
        </w:p>
        <w:p w14:paraId="52A41BD2" w14:textId="36141BC9" w:rsidR="002B792A" w:rsidRDefault="002B792A">
          <w:r>
            <w:rPr>
              <w:b/>
              <w:bCs/>
              <w:noProof/>
            </w:rPr>
            <w:fldChar w:fldCharType="end"/>
          </w:r>
        </w:p>
      </w:sdtContent>
    </w:sdt>
    <w:p w14:paraId="4DB43FAD" w14:textId="16FB9D1A" w:rsidR="002B792A" w:rsidRDefault="002B792A" w:rsidP="002B792A">
      <w:pPr>
        <w:rPr>
          <w:lang w:val="en-GB"/>
        </w:rPr>
      </w:pPr>
      <w:r>
        <w:rPr>
          <w:lang w:val="en-GB"/>
        </w:rPr>
        <w:br w:type="page"/>
      </w:r>
    </w:p>
    <w:p w14:paraId="492139AC" w14:textId="029334E8" w:rsidR="00C21E15" w:rsidRPr="0002351C" w:rsidRDefault="00000000">
      <w:pPr>
        <w:pStyle w:val="Heading1"/>
        <w:rPr>
          <w:lang w:val="en-GB"/>
        </w:rPr>
      </w:pPr>
      <w:bookmarkStart w:id="1" w:name="_Toc195638736"/>
      <w:r w:rsidRPr="0002351C">
        <w:rPr>
          <w:lang w:val="en-GB"/>
        </w:rPr>
        <w:lastRenderedPageBreak/>
        <w:t>Introduction</w:t>
      </w:r>
      <w:bookmarkEnd w:id="1"/>
      <w:r w:rsidRPr="0002351C">
        <w:rPr>
          <w:lang w:val="en-GB"/>
        </w:rPr>
        <w:t xml:space="preserve"> </w:t>
      </w:r>
    </w:p>
    <w:p w14:paraId="1AAE5E64" w14:textId="77777777" w:rsidR="00C21E15" w:rsidRPr="0002351C" w:rsidRDefault="00000000">
      <w:pPr>
        <w:rPr>
          <w:lang w:val="en-GB"/>
        </w:rPr>
      </w:pPr>
      <w:r w:rsidRPr="0002351C">
        <w:rPr>
          <w:lang w:val="en-GB"/>
        </w:rPr>
        <w:t xml:space="preserve">The contemporary age has created a new revolution of competitive strategies, where brand expansion has been considered one of the essential approaches to business engagement and optimisation of effectiveness. The contemporary hypercompetitive global market, as mentioned by Lindskov (2022), has been described as an environment of intense change where a rapid market entry of the organisation with flexibility, aggressiveness and innovative approach intensifies the competition. Here “brand expansion” comes into play, as advocated in the study by Ungerman and Burešová (2022), that expansion of a brand enables the organisation to acquire a competitive advantage in the market. </w:t>
      </w:r>
    </w:p>
    <w:p w14:paraId="2E67F32D" w14:textId="7D9ED563" w:rsidR="00C21E15" w:rsidRPr="0002351C" w:rsidRDefault="00000000">
      <w:pPr>
        <w:rPr>
          <w:lang w:val="en-GB"/>
        </w:rPr>
      </w:pPr>
      <w:r w:rsidRPr="0002351C">
        <w:rPr>
          <w:lang w:val="en-GB"/>
        </w:rPr>
        <w:t>This concept has been considered as the purpose of this study as it intends to explore the brand expansion of Tanishq, recognised as the most renowned jewellery brand under the Tata group (</w:t>
      </w:r>
      <w:proofErr w:type="spellStart"/>
      <w:r w:rsidRPr="0002351C">
        <w:rPr>
          <w:lang w:val="en-GB"/>
        </w:rPr>
        <w:t>Titancompany</w:t>
      </w:r>
      <w:proofErr w:type="spellEnd"/>
      <w:r w:rsidRPr="0002351C">
        <w:rPr>
          <w:lang w:val="en-GB"/>
        </w:rPr>
        <w:t>, 2025). In this context, the brand expansion is seen as proposing a brand extension envisioning a collaboration with Berkeley Group, a well-known UK-based luxury real estate developer (</w:t>
      </w:r>
      <w:proofErr w:type="spellStart"/>
      <w:r w:rsidRPr="0002351C">
        <w:rPr>
          <w:lang w:val="en-GB"/>
        </w:rPr>
        <w:t>Berkeleygroup</w:t>
      </w:r>
      <w:proofErr w:type="spellEnd"/>
      <w:r w:rsidRPr="0002351C">
        <w:rPr>
          <w:lang w:val="en-GB"/>
        </w:rPr>
        <w:t xml:space="preserve">, 2025). The intention of prioritising this brand extension is to concentrate on the integration of the unique designs of Tanishq into premium interior decor and home lifestyle products, targeting affluent homeowners in the UK. </w:t>
      </w:r>
    </w:p>
    <w:p w14:paraId="64E8DECF" w14:textId="77777777" w:rsidR="00C21E15" w:rsidRPr="0002351C" w:rsidRDefault="00000000">
      <w:pPr>
        <w:pStyle w:val="Heading1"/>
        <w:rPr>
          <w:lang w:val="en-GB"/>
        </w:rPr>
      </w:pPr>
      <w:bookmarkStart w:id="2" w:name="_dyvcqkeh79i" w:colFirst="0" w:colLast="0"/>
      <w:bookmarkStart w:id="3" w:name="_Toc195638737"/>
      <w:bookmarkEnd w:id="2"/>
      <w:r w:rsidRPr="0002351C">
        <w:rPr>
          <w:lang w:val="en-GB"/>
        </w:rPr>
        <w:t xml:space="preserve">1.0 Development of a new brand extension for </w:t>
      </w:r>
      <w:proofErr w:type="spellStart"/>
      <w:r w:rsidRPr="0002351C">
        <w:rPr>
          <w:lang w:val="en-GB"/>
        </w:rPr>
        <w:t>Taniqu</w:t>
      </w:r>
      <w:bookmarkEnd w:id="3"/>
      <w:proofErr w:type="spellEnd"/>
    </w:p>
    <w:p w14:paraId="54B8A6C1" w14:textId="77777777" w:rsidR="00C21E15" w:rsidRPr="00E61EB1" w:rsidRDefault="00000000">
      <w:pPr>
        <w:rPr>
          <w:b/>
          <w:iCs/>
          <w:lang w:val="en-GB"/>
        </w:rPr>
      </w:pPr>
      <w:r w:rsidRPr="0002351C">
        <w:rPr>
          <w:b/>
          <w:i/>
          <w:lang w:val="en-GB"/>
        </w:rPr>
        <w:t>1.</w:t>
      </w:r>
      <w:r w:rsidRPr="00E61EB1">
        <w:rPr>
          <w:b/>
          <w:iCs/>
          <w:lang w:val="en-GB"/>
        </w:rPr>
        <w:t xml:space="preserve">1 Opportunity of the brand: overview </w:t>
      </w:r>
    </w:p>
    <w:p w14:paraId="4AE2281C" w14:textId="77777777" w:rsidR="00C21E15" w:rsidRPr="0002351C" w:rsidRDefault="00000000">
      <w:pPr>
        <w:rPr>
          <w:lang w:val="en-GB"/>
        </w:rPr>
      </w:pPr>
      <w:r w:rsidRPr="0002351C">
        <w:rPr>
          <w:lang w:val="en-GB"/>
        </w:rPr>
        <w:t>Tanishq, an Indian jewellery brand under the Tata Group, has been found with a brand position that symbolises trust, and craftsmanship while maintaining cultural relevance simultaneously (</w:t>
      </w:r>
      <w:proofErr w:type="spellStart"/>
      <w:r w:rsidRPr="0002351C">
        <w:rPr>
          <w:lang w:val="en-GB"/>
        </w:rPr>
        <w:t>Titancompany</w:t>
      </w:r>
      <w:proofErr w:type="spellEnd"/>
      <w:r w:rsidRPr="0002351C">
        <w:rPr>
          <w:lang w:val="en-GB"/>
        </w:rPr>
        <w:t xml:space="preserve">, 2025). In accordance with the statement of </w:t>
      </w:r>
      <w:proofErr w:type="spellStart"/>
      <w:r w:rsidRPr="0002351C">
        <w:rPr>
          <w:lang w:val="en-GB"/>
        </w:rPr>
        <w:t>Morewedge</w:t>
      </w:r>
      <w:proofErr w:type="spellEnd"/>
      <w:r w:rsidRPr="0002351C">
        <w:rPr>
          <w:lang w:val="en-GB"/>
        </w:rPr>
        <w:t xml:space="preserve"> </w:t>
      </w:r>
      <w:r w:rsidRPr="0002351C">
        <w:rPr>
          <w:i/>
          <w:lang w:val="en-GB"/>
        </w:rPr>
        <w:t xml:space="preserve">et al., </w:t>
      </w:r>
      <w:r w:rsidRPr="0002351C">
        <w:rPr>
          <w:lang w:val="en-GB"/>
        </w:rPr>
        <w:t xml:space="preserve">(2023), it can be propagated that at the contemporary edge, the consumption pattern of consumers has evolved towards the prioritisation of having “own private material goods”, referring to product ownership. In light of this, it can be stated that Tanishq can grab this opportunity to diversify its product extension by entering into the luxury home lifestyle and decor design as it has been found to properly align with global trends regarding experiencing a successful extension of fashion and jewellery houses for instance Versace and </w:t>
      </w:r>
      <w:proofErr w:type="spellStart"/>
      <w:r w:rsidRPr="0002351C">
        <w:rPr>
          <w:lang w:val="en-GB"/>
        </w:rPr>
        <w:t>Bvlgari</w:t>
      </w:r>
      <w:proofErr w:type="spellEnd"/>
      <w:r w:rsidRPr="0002351C">
        <w:rPr>
          <w:lang w:val="en-GB"/>
        </w:rPr>
        <w:t xml:space="preserve"> into real-estate and interiors experiences. </w:t>
      </w:r>
    </w:p>
    <w:p w14:paraId="61298686" w14:textId="77777777" w:rsidR="00C21E15" w:rsidRPr="0002351C" w:rsidRDefault="00000000">
      <w:pPr>
        <w:rPr>
          <w:lang w:val="en-GB"/>
        </w:rPr>
      </w:pPr>
      <w:r w:rsidRPr="0002351C">
        <w:rPr>
          <w:lang w:val="en-GB"/>
        </w:rPr>
        <w:lastRenderedPageBreak/>
        <w:t xml:space="preserve">This extension may need to concentrate on the inclusion of gold-accented wall panels, lamps, designer mirrors, door handles and sculpture pieces. These offerings can be cocreated by utilising the leverage of Berkeley’s market presence in the luxury real estate segment with the purpose of having a design excellence to co-create and distinctive and experience-led value proposition for the brand Tanishq. </w:t>
      </w:r>
    </w:p>
    <w:p w14:paraId="111AA00B" w14:textId="77777777" w:rsidR="00C21E15" w:rsidRPr="00E61EB1" w:rsidRDefault="00000000">
      <w:pPr>
        <w:rPr>
          <w:b/>
          <w:iCs/>
          <w:lang w:val="en-GB"/>
        </w:rPr>
      </w:pPr>
      <w:r w:rsidRPr="00E61EB1">
        <w:rPr>
          <w:b/>
          <w:iCs/>
          <w:lang w:val="en-GB"/>
        </w:rPr>
        <w:t xml:space="preserve">1.2 Strategic rationale: Brand extension Fit </w:t>
      </w:r>
    </w:p>
    <w:p w14:paraId="457A85E9" w14:textId="77777777" w:rsidR="00C21E15" w:rsidRPr="0002351C" w:rsidRDefault="00000000">
      <w:pPr>
        <w:jc w:val="center"/>
        <w:rPr>
          <w:lang w:val="en-GB"/>
        </w:rPr>
      </w:pPr>
      <w:r w:rsidRPr="0002351C">
        <w:rPr>
          <w:noProof/>
          <w:lang w:val="en-GB"/>
        </w:rPr>
        <w:drawing>
          <wp:inline distT="114300" distB="114300" distL="114300" distR="114300" wp14:anchorId="4065A125" wp14:editId="15E3EDF9">
            <wp:extent cx="4838700" cy="1952625"/>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38700" cy="1952625"/>
                    </a:xfrm>
                    <a:prstGeom prst="rect">
                      <a:avLst/>
                    </a:prstGeom>
                    <a:ln w="25400">
                      <a:solidFill>
                        <a:srgbClr val="000000"/>
                      </a:solidFill>
                      <a:prstDash val="solid"/>
                    </a:ln>
                  </pic:spPr>
                </pic:pic>
              </a:graphicData>
            </a:graphic>
          </wp:inline>
        </w:drawing>
      </w:r>
    </w:p>
    <w:p w14:paraId="0870132A" w14:textId="77777777" w:rsidR="00C21E15" w:rsidRPr="0002351C" w:rsidRDefault="00000000">
      <w:pPr>
        <w:jc w:val="center"/>
        <w:rPr>
          <w:b/>
          <w:lang w:val="en-GB"/>
        </w:rPr>
      </w:pPr>
      <w:r w:rsidRPr="0002351C">
        <w:rPr>
          <w:b/>
          <w:lang w:val="en-GB"/>
        </w:rPr>
        <w:t>Figure 1: Application of extension model of Aaker and Keller</w:t>
      </w:r>
    </w:p>
    <w:p w14:paraId="4E9BEBBA" w14:textId="77777777" w:rsidR="00C21E15" w:rsidRPr="0002351C" w:rsidRDefault="00000000">
      <w:pPr>
        <w:jc w:val="center"/>
        <w:rPr>
          <w:lang w:val="en-GB"/>
        </w:rPr>
      </w:pPr>
      <w:r w:rsidRPr="0002351C">
        <w:rPr>
          <w:lang w:val="en-GB"/>
        </w:rPr>
        <w:t>(Source: Deng and Messinger, 2022)</w:t>
      </w:r>
    </w:p>
    <w:p w14:paraId="4EAF249F" w14:textId="77777777" w:rsidR="00C21E15" w:rsidRPr="0002351C" w:rsidRDefault="00000000">
      <w:pPr>
        <w:rPr>
          <w:lang w:val="en-GB"/>
        </w:rPr>
      </w:pPr>
      <w:r w:rsidRPr="0002351C">
        <w:rPr>
          <w:lang w:val="en-GB"/>
        </w:rPr>
        <w:t xml:space="preserve">Figure 1 demonstrates the application of Aaker and Keller's Brand Extension Model which is based on the integration of three particular aspects including sustainability, competency and transferability, indicating the six distinct dimensions that are seen to collectively account for brand extension fit. In this context, both the brands of jewellery and home decor are seen to share common brand dimensions like aestheticism (feature), craftsmanship (function), luxury appeal (image), and personalisation (usage association and target market). Based on this, it can be propagated that the core competency of Tanishq is efficient in managing artisanal design that may have a seamless transition into lifestyle interior products. </w:t>
      </w:r>
    </w:p>
    <w:p w14:paraId="301CD0BD" w14:textId="77777777" w:rsidR="00C21E15" w:rsidRPr="0002351C" w:rsidRDefault="00000000">
      <w:pPr>
        <w:rPr>
          <w:lang w:val="en-GB"/>
        </w:rPr>
      </w:pPr>
      <w:r w:rsidRPr="0002351C">
        <w:rPr>
          <w:lang w:val="en-GB"/>
        </w:rPr>
        <w:t xml:space="preserve">On the other hand, it is advocated by Misra </w:t>
      </w:r>
      <w:r w:rsidRPr="0002351C">
        <w:rPr>
          <w:i/>
          <w:lang w:val="en-GB"/>
        </w:rPr>
        <w:t xml:space="preserve">et al., </w:t>
      </w:r>
      <w:r w:rsidRPr="0002351C">
        <w:rPr>
          <w:lang w:val="en-GB"/>
        </w:rPr>
        <w:t xml:space="preserve">(2024), that the organisational implementation of Tanishq's advertising campaign by depicting “ordinary women who rose to become high performers through hard work” has showcased the emotional brand equity. This positive and emotional brand equity of Tanishq among Indian customers will allow the brand in the UK in </w:t>
      </w:r>
      <w:r w:rsidRPr="0002351C">
        <w:rPr>
          <w:lang w:val="en-GB"/>
        </w:rPr>
        <w:lastRenderedPageBreak/>
        <w:t xml:space="preserve">terms of concentrate on the diaspora of India, as the target ethnic minority groups, can serve as cultural anchors with the intention of launching this brand extension. </w:t>
      </w:r>
    </w:p>
    <w:p w14:paraId="5C80A87E" w14:textId="77777777" w:rsidR="00C21E15" w:rsidRPr="00E61EB1" w:rsidRDefault="00000000">
      <w:pPr>
        <w:rPr>
          <w:b/>
          <w:iCs/>
          <w:lang w:val="en-GB"/>
        </w:rPr>
      </w:pPr>
      <w:r w:rsidRPr="00E61EB1">
        <w:rPr>
          <w:b/>
          <w:iCs/>
          <w:lang w:val="en-GB"/>
        </w:rPr>
        <w:t xml:space="preserve">1.3 Innovation considering product details </w:t>
      </w:r>
    </w:p>
    <w:p w14:paraId="4ECCCEB4" w14:textId="77777777" w:rsidR="00C21E15" w:rsidRPr="0002351C" w:rsidRDefault="00000000">
      <w:pPr>
        <w:rPr>
          <w:lang w:val="en-GB"/>
        </w:rPr>
      </w:pPr>
      <w:r w:rsidRPr="0002351C">
        <w:rPr>
          <w:lang w:val="en-GB"/>
        </w:rPr>
        <w:t xml:space="preserve">This extension of the brand, Tanishq is seen to concentrate on the customised home decor service inspired by the traditional and contemporary design-based collection of Tanishq. As this entire approach of brand extension depends on customisation and cocreation, it will be beneficial for both brands, as mentioned in the study by Kent </w:t>
      </w:r>
      <w:r w:rsidRPr="0002351C">
        <w:rPr>
          <w:i/>
          <w:lang w:val="en-GB"/>
        </w:rPr>
        <w:t xml:space="preserve">et al., </w:t>
      </w:r>
      <w:r w:rsidRPr="0002351C">
        <w:rPr>
          <w:lang w:val="en-GB"/>
        </w:rPr>
        <w:t xml:space="preserve">(2023), the customised approach not only showcases the customisation of products but also indicates efficiency in processing and offering the customer-centric designs. Additionally, in this extension, the service further includes the facilitation of gold-toned accents on selected textiles, accessories and fixtures, and the integration of the seasonal and festive collection can be aligned with cultural themes, concentrating on exclusivity maintenance of the designs and supports the consultancy services of Berkeley’s premium home buyers, focusing on approach of “East-meets-waste home aesthetics”. </w:t>
      </w:r>
    </w:p>
    <w:p w14:paraId="22229C92" w14:textId="77777777" w:rsidR="00C21E15" w:rsidRPr="00E61EB1" w:rsidRDefault="00000000">
      <w:pPr>
        <w:rPr>
          <w:b/>
          <w:iCs/>
          <w:lang w:val="en-GB"/>
        </w:rPr>
      </w:pPr>
      <w:r w:rsidRPr="00E61EB1">
        <w:rPr>
          <w:b/>
          <w:iCs/>
          <w:lang w:val="en-GB"/>
        </w:rPr>
        <w:t xml:space="preserve">1.4 Market gap and innovation </w:t>
      </w:r>
    </w:p>
    <w:p w14:paraId="24DD43F7" w14:textId="5B780275" w:rsidR="00C21E15" w:rsidRPr="0002351C" w:rsidRDefault="00000000">
      <w:pPr>
        <w:rPr>
          <w:lang w:val="en-GB"/>
        </w:rPr>
      </w:pPr>
      <w:r w:rsidRPr="0002351C">
        <w:rPr>
          <w:lang w:val="en-GB"/>
        </w:rPr>
        <w:t>Based on the market size of the home decor in the UK, is found with a growth rate of “1.46%” estimated to be reached between 2025 to 2029 (Statista, 2025). Additionally, the UK home furnishing market size outlook suggested an estimation of a high revenue:</w:t>
      </w:r>
    </w:p>
    <w:p w14:paraId="578513AD" w14:textId="77777777" w:rsidR="00C21E15" w:rsidRPr="0002351C" w:rsidRDefault="00000000">
      <w:pPr>
        <w:jc w:val="center"/>
        <w:rPr>
          <w:lang w:val="en-GB"/>
        </w:rPr>
      </w:pPr>
      <w:r w:rsidRPr="0002351C">
        <w:rPr>
          <w:noProof/>
          <w:lang w:val="en-GB"/>
        </w:rPr>
        <w:drawing>
          <wp:inline distT="114300" distB="114300" distL="114300" distR="114300" wp14:anchorId="642D21A7" wp14:editId="3270E65A">
            <wp:extent cx="3184589" cy="2616262"/>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184589" cy="2616262"/>
                    </a:xfrm>
                    <a:prstGeom prst="rect">
                      <a:avLst/>
                    </a:prstGeom>
                    <a:ln w="25400">
                      <a:solidFill>
                        <a:srgbClr val="000000"/>
                      </a:solidFill>
                      <a:prstDash val="solid"/>
                    </a:ln>
                  </pic:spPr>
                </pic:pic>
              </a:graphicData>
            </a:graphic>
          </wp:inline>
        </w:drawing>
      </w:r>
    </w:p>
    <w:p w14:paraId="2750AF7D" w14:textId="77777777" w:rsidR="00C21E15" w:rsidRPr="0002351C" w:rsidRDefault="00000000">
      <w:pPr>
        <w:jc w:val="center"/>
        <w:rPr>
          <w:b/>
          <w:lang w:val="en-GB"/>
        </w:rPr>
      </w:pPr>
      <w:r w:rsidRPr="0002351C">
        <w:rPr>
          <w:b/>
          <w:lang w:val="en-GB"/>
        </w:rPr>
        <w:t xml:space="preserve">Figure 2: Revenue of UK’s home decor market </w:t>
      </w:r>
    </w:p>
    <w:p w14:paraId="5D690781" w14:textId="77777777" w:rsidR="00C21E15" w:rsidRPr="0002351C" w:rsidRDefault="00000000">
      <w:pPr>
        <w:jc w:val="center"/>
        <w:rPr>
          <w:lang w:val="en-GB"/>
        </w:rPr>
      </w:pPr>
      <w:r w:rsidRPr="0002351C">
        <w:rPr>
          <w:lang w:val="en-GB"/>
        </w:rPr>
        <w:lastRenderedPageBreak/>
        <w:t xml:space="preserve">(Source: </w:t>
      </w:r>
      <w:proofErr w:type="spellStart"/>
      <w:r w:rsidRPr="0002351C">
        <w:rPr>
          <w:lang w:val="en-GB"/>
        </w:rPr>
        <w:t>Grandviewresearch</w:t>
      </w:r>
      <w:proofErr w:type="spellEnd"/>
      <w:r w:rsidRPr="0002351C">
        <w:rPr>
          <w:lang w:val="en-GB"/>
        </w:rPr>
        <w:t>, 2025)</w:t>
      </w:r>
    </w:p>
    <w:p w14:paraId="2151C970" w14:textId="1CABF4E3" w:rsidR="00C21E15" w:rsidRPr="0002351C" w:rsidRDefault="00000000">
      <w:pPr>
        <w:rPr>
          <w:lang w:val="en-GB"/>
        </w:rPr>
      </w:pPr>
      <w:r w:rsidRPr="0002351C">
        <w:rPr>
          <w:lang w:val="en-GB"/>
        </w:rPr>
        <w:t xml:space="preserve">Figure 2 demonstrates the estimation of the projected revenue of the UK’s home </w:t>
      </w:r>
      <w:r w:rsidR="00714748" w:rsidRPr="0002351C">
        <w:rPr>
          <w:lang w:val="en-GB"/>
        </w:rPr>
        <w:t>decor</w:t>
      </w:r>
      <w:r w:rsidRPr="0002351C">
        <w:rPr>
          <w:lang w:val="en-GB"/>
        </w:rPr>
        <w:t xml:space="preserve"> market revenue is “US$ 94,053.9 million by 2030” (</w:t>
      </w:r>
      <w:proofErr w:type="spellStart"/>
      <w:r w:rsidRPr="0002351C">
        <w:rPr>
          <w:lang w:val="en-GB"/>
        </w:rPr>
        <w:t>Grandviewresearch</w:t>
      </w:r>
      <w:proofErr w:type="spellEnd"/>
      <w:r w:rsidRPr="0002351C">
        <w:rPr>
          <w:lang w:val="en-GB"/>
        </w:rPr>
        <w:t xml:space="preserve">, 2025). Hence, the market has a growth opportunity for Tanishq with the opportunity to contribute to the identification of the lack of culturally rooted luxury interior brands, especially the Indian-origin and global luxury customers. Therefore, this market extension will target a niche market that is currently underserved with affluent customers with a South Asian diaspora to balance cultural heritage coupled with contemporary elegance in home design. </w:t>
      </w:r>
    </w:p>
    <w:p w14:paraId="59A9A4E7" w14:textId="0ED66430" w:rsidR="00C21E15" w:rsidRPr="0002351C" w:rsidRDefault="00000000">
      <w:pPr>
        <w:rPr>
          <w:lang w:val="en-GB"/>
        </w:rPr>
      </w:pPr>
      <w:r w:rsidRPr="0002351C">
        <w:rPr>
          <w:lang w:val="en-GB"/>
        </w:rPr>
        <w:t xml:space="preserve">The application of the Blue Ocean theory, as mentioned by Razak (2023), is seen to be concentrated on emphasising the creation of unconstructed market space to improve the competitive advantages while not concentrating on the saturated market competition. In this context, it can be propagated that Tanishq intended to explore the scope of redefining luxury by translating symbolic design elements like temple motifs and floral filigree into lifestyle </w:t>
      </w:r>
      <w:r w:rsidR="006F663A" w:rsidRPr="0002351C">
        <w:rPr>
          <w:lang w:val="en-GB"/>
        </w:rPr>
        <w:t>decor</w:t>
      </w:r>
      <w:r w:rsidRPr="0002351C">
        <w:rPr>
          <w:lang w:val="en-GB"/>
        </w:rPr>
        <w:t xml:space="preserve"> rather than prevailing the existing jewellery and home </w:t>
      </w:r>
      <w:r w:rsidR="006F663A" w:rsidRPr="0002351C">
        <w:rPr>
          <w:lang w:val="en-GB"/>
        </w:rPr>
        <w:t>decor</w:t>
      </w:r>
      <w:r w:rsidRPr="0002351C">
        <w:rPr>
          <w:lang w:val="en-GB"/>
        </w:rPr>
        <w:t xml:space="preserve"> brands of the UK. </w:t>
      </w:r>
    </w:p>
    <w:p w14:paraId="5C281C3D" w14:textId="77777777" w:rsidR="00C21E15" w:rsidRPr="0002351C" w:rsidRDefault="00000000">
      <w:pPr>
        <w:jc w:val="center"/>
        <w:rPr>
          <w:lang w:val="en-GB"/>
        </w:rPr>
      </w:pPr>
      <w:r w:rsidRPr="0002351C">
        <w:rPr>
          <w:noProof/>
          <w:lang w:val="en-GB"/>
        </w:rPr>
        <w:drawing>
          <wp:inline distT="114300" distB="114300" distL="114300" distR="114300" wp14:anchorId="3041C6A4" wp14:editId="666E410A">
            <wp:extent cx="4181475" cy="2524125"/>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181475" cy="2524125"/>
                    </a:xfrm>
                    <a:prstGeom prst="rect">
                      <a:avLst/>
                    </a:prstGeom>
                    <a:ln w="25400">
                      <a:solidFill>
                        <a:srgbClr val="000000"/>
                      </a:solidFill>
                      <a:prstDash val="solid"/>
                    </a:ln>
                  </pic:spPr>
                </pic:pic>
              </a:graphicData>
            </a:graphic>
          </wp:inline>
        </w:drawing>
      </w:r>
    </w:p>
    <w:p w14:paraId="09D046B3" w14:textId="77777777" w:rsidR="00C21E15" w:rsidRPr="0002351C" w:rsidRDefault="00000000">
      <w:pPr>
        <w:jc w:val="center"/>
        <w:rPr>
          <w:b/>
          <w:lang w:val="en-GB"/>
        </w:rPr>
      </w:pPr>
      <w:r w:rsidRPr="0002351C">
        <w:rPr>
          <w:b/>
          <w:lang w:val="en-GB"/>
        </w:rPr>
        <w:t xml:space="preserve">Figure 3: Ansoff matrix </w:t>
      </w:r>
    </w:p>
    <w:p w14:paraId="16350225" w14:textId="77777777" w:rsidR="00C21E15" w:rsidRPr="0002351C" w:rsidRDefault="00000000">
      <w:pPr>
        <w:jc w:val="center"/>
        <w:rPr>
          <w:lang w:val="en-GB"/>
        </w:rPr>
      </w:pPr>
      <w:r w:rsidRPr="0002351C">
        <w:rPr>
          <w:lang w:val="en-GB"/>
        </w:rPr>
        <w:t>(Source: Aditiya and Kirana, 2025)</w:t>
      </w:r>
    </w:p>
    <w:p w14:paraId="0A9FF300" w14:textId="53616EDF" w:rsidR="00C21E15" w:rsidRPr="0002351C" w:rsidRDefault="00000000">
      <w:pPr>
        <w:rPr>
          <w:lang w:val="en-GB"/>
        </w:rPr>
      </w:pPr>
      <w:r w:rsidRPr="0002351C">
        <w:rPr>
          <w:lang w:val="en-GB"/>
        </w:rPr>
        <w:t xml:space="preserve">Inspired by the application of the Ansoff matrix, as advocated in the study by Aditiya and Kirana, (2025), it seeks to concentrate on diversification in terms of supporting the brand extension, </w:t>
      </w:r>
      <w:r w:rsidRPr="0002351C">
        <w:rPr>
          <w:lang w:val="en-GB"/>
        </w:rPr>
        <w:lastRenderedPageBreak/>
        <w:t xml:space="preserve">Tanishq intends to introduce a new product line referring to home </w:t>
      </w:r>
      <w:r w:rsidR="003666FC" w:rsidRPr="0002351C">
        <w:rPr>
          <w:lang w:val="en-GB"/>
        </w:rPr>
        <w:t>decor</w:t>
      </w:r>
      <w:r w:rsidRPr="0002351C">
        <w:rPr>
          <w:lang w:val="en-GB"/>
        </w:rPr>
        <w:t xml:space="preserve"> in a new geographic market of the UK. Hence, it indicates that is an innovative but high-risk quadrant, but leveraging the established presence of Berkeley Group will enable Tanishq to mitigate the risks through brand credibility and experimental luxury positioning of the brand in the UK’s market. </w:t>
      </w:r>
    </w:p>
    <w:p w14:paraId="353A0B43" w14:textId="77777777" w:rsidR="00C21E15" w:rsidRPr="0002351C" w:rsidRDefault="00000000">
      <w:pPr>
        <w:pStyle w:val="Heading1"/>
        <w:rPr>
          <w:lang w:val="en-GB"/>
        </w:rPr>
      </w:pPr>
      <w:bookmarkStart w:id="4" w:name="_90egtwlv4e1z" w:colFirst="0" w:colLast="0"/>
      <w:bookmarkStart w:id="5" w:name="_Toc195638738"/>
      <w:bookmarkEnd w:id="4"/>
      <w:r w:rsidRPr="0002351C">
        <w:rPr>
          <w:lang w:val="en-GB"/>
        </w:rPr>
        <w:t>2.0 Determination of segmentation, targeting and positioning of Tanishq</w:t>
      </w:r>
      <w:bookmarkEnd w:id="5"/>
    </w:p>
    <w:p w14:paraId="0ECECF07" w14:textId="77777777" w:rsidR="00C21E15" w:rsidRPr="0002351C" w:rsidRDefault="00000000">
      <w:pPr>
        <w:rPr>
          <w:lang w:val="en-GB"/>
        </w:rPr>
      </w:pPr>
      <w:r w:rsidRPr="0002351C">
        <w:rPr>
          <w:lang w:val="en-GB"/>
        </w:rPr>
        <w:t>Inspired by the study of Dibb and Simkin (2001), the organisational brand expansion required to be concentrated on the development of a well-structured segmentation, targeting and positioning (STP) strategy. For Tanishq, thus, it is essential to ensure connectivity with its intended audience in the UK:</w:t>
      </w:r>
    </w:p>
    <w:p w14:paraId="2EE8F02C" w14:textId="77777777" w:rsidR="00C21E15" w:rsidRPr="00E61EB1" w:rsidRDefault="00000000">
      <w:pPr>
        <w:rPr>
          <w:b/>
          <w:iCs/>
          <w:lang w:val="en-GB"/>
        </w:rPr>
      </w:pPr>
      <w:r w:rsidRPr="00E61EB1">
        <w:rPr>
          <w:b/>
          <w:iCs/>
          <w:lang w:val="en-GB"/>
        </w:rPr>
        <w:t xml:space="preserve">2.1 Segmentation strategy </w:t>
      </w:r>
    </w:p>
    <w:p w14:paraId="39529D67" w14:textId="77777777" w:rsidR="00C21E15" w:rsidRPr="0002351C" w:rsidRDefault="00000000">
      <w:pPr>
        <w:rPr>
          <w:lang w:val="en-GB"/>
        </w:rPr>
      </w:pPr>
      <w:r w:rsidRPr="0002351C">
        <w:rPr>
          <w:lang w:val="en-GB"/>
        </w:rPr>
        <w:t xml:space="preserve">Segmentation divides the market into distinct customer groups with shared characteristics, as mentioned by </w:t>
      </w:r>
      <w:proofErr w:type="spellStart"/>
      <w:r w:rsidRPr="0002351C">
        <w:rPr>
          <w:lang w:val="en-GB"/>
        </w:rPr>
        <w:t>Madzík</w:t>
      </w:r>
      <w:proofErr w:type="spellEnd"/>
      <w:r w:rsidRPr="0002351C">
        <w:rPr>
          <w:lang w:val="en-GB"/>
        </w:rPr>
        <w:t xml:space="preserve"> </w:t>
      </w:r>
      <w:r w:rsidRPr="0002351C">
        <w:rPr>
          <w:i/>
          <w:lang w:val="en-GB"/>
        </w:rPr>
        <w:t xml:space="preserve">et al., </w:t>
      </w:r>
      <w:r w:rsidRPr="0002351C">
        <w:rPr>
          <w:lang w:val="en-GB"/>
        </w:rPr>
        <w:t>(2021), as it includes a combination of psychographic, behavioural and demographic.</w:t>
      </w:r>
    </w:p>
    <w:p w14:paraId="316D54F5" w14:textId="77777777" w:rsidR="00C21E15" w:rsidRPr="0002351C" w:rsidRDefault="00000000">
      <w:pPr>
        <w:rPr>
          <w:lang w:val="en-GB"/>
        </w:rPr>
      </w:pPr>
      <w:r w:rsidRPr="00E61EB1">
        <w:rPr>
          <w:b/>
          <w:bCs/>
          <w:iCs/>
          <w:u w:val="single"/>
          <w:lang w:val="en-GB"/>
        </w:rPr>
        <w:t>Demographic</w:t>
      </w:r>
      <w:r w:rsidRPr="00E61EB1">
        <w:rPr>
          <w:b/>
          <w:bCs/>
          <w:iCs/>
          <w:lang w:val="en-GB"/>
        </w:rPr>
        <w:t>:</w:t>
      </w:r>
      <w:r w:rsidRPr="0002351C">
        <w:rPr>
          <w:lang w:val="en-GB"/>
        </w:rPr>
        <w:t xml:space="preserve"> It is observed that in the UK, more than 1.4 million people in the UK have created the UK’s biggest ethnic minority group (BBC, 2024). In consideration of this particular fact, the target population of Tanishq in the UK is required to concentrate on individuals aged 30 to 60 years old and required to be typically homeowners, and affluent professionals. This can be reasoned by stating that these determined demographically targeted people can be found with an interest in investing in luxury real estate and premium lifestyle enhancements. </w:t>
      </w:r>
    </w:p>
    <w:p w14:paraId="4A60FAFE" w14:textId="77777777" w:rsidR="00C21E15" w:rsidRPr="0002351C" w:rsidRDefault="00000000">
      <w:pPr>
        <w:rPr>
          <w:lang w:val="en-GB"/>
        </w:rPr>
      </w:pPr>
      <w:r w:rsidRPr="00E61EB1">
        <w:rPr>
          <w:b/>
          <w:bCs/>
          <w:iCs/>
          <w:u w:val="single"/>
          <w:lang w:val="en-GB"/>
        </w:rPr>
        <w:t>Psychographic</w:t>
      </w:r>
      <w:r w:rsidRPr="00E61EB1">
        <w:rPr>
          <w:b/>
          <w:bCs/>
          <w:iCs/>
          <w:lang w:val="en-GB"/>
        </w:rPr>
        <w:t>:</w:t>
      </w:r>
      <w:r w:rsidRPr="0002351C">
        <w:rPr>
          <w:lang w:val="en-GB"/>
        </w:rPr>
        <w:t xml:space="preserve"> Tanishq is required to target those with an association with the cultural heritage, design sophistication and luxury aestheticism, which includes the people who put value on exclusivity, and craftsmanship influenced by storytelling preferences in product design. </w:t>
      </w:r>
    </w:p>
    <w:p w14:paraId="0589C0C3" w14:textId="77777777" w:rsidR="00C21E15" w:rsidRDefault="00000000">
      <w:pPr>
        <w:rPr>
          <w:lang w:val="en-GB"/>
        </w:rPr>
      </w:pPr>
      <w:r w:rsidRPr="0002351C">
        <w:rPr>
          <w:i/>
          <w:u w:val="single"/>
          <w:lang w:val="en-GB"/>
        </w:rPr>
        <w:t>Behavioural</w:t>
      </w:r>
      <w:r w:rsidRPr="0002351C">
        <w:rPr>
          <w:lang w:val="en-GB"/>
        </w:rPr>
        <w:t xml:space="preserve">: the target population should have the tendency to have a frequent renovation including a personalised approach to their living spaces with high involvement in interior decisions as it will allow Tanishq to exhibit excellence in brand loyalty development as a culturally rooted brand. </w:t>
      </w:r>
    </w:p>
    <w:p w14:paraId="1CCBA7F8" w14:textId="77777777" w:rsidR="00E61EB1" w:rsidRPr="0002351C" w:rsidRDefault="00E61EB1">
      <w:pPr>
        <w:rPr>
          <w:lang w:val="en-GB"/>
        </w:rPr>
      </w:pPr>
    </w:p>
    <w:p w14:paraId="10B4AE31" w14:textId="77777777" w:rsidR="00C21E15" w:rsidRPr="00E61EB1" w:rsidRDefault="00000000">
      <w:pPr>
        <w:rPr>
          <w:b/>
          <w:iCs/>
          <w:lang w:val="en-GB"/>
        </w:rPr>
      </w:pPr>
      <w:r w:rsidRPr="00E61EB1">
        <w:rPr>
          <w:b/>
          <w:iCs/>
          <w:lang w:val="en-GB"/>
        </w:rPr>
        <w:lastRenderedPageBreak/>
        <w:t xml:space="preserve">2.2 Targeting strategy </w:t>
      </w:r>
    </w:p>
    <w:p w14:paraId="1FEF7E81" w14:textId="77777777" w:rsidR="00E61EB1" w:rsidRDefault="00E61EB1">
      <w:pPr>
        <w:rPr>
          <w:lang w:val="en-GB"/>
        </w:rPr>
      </w:pPr>
    </w:p>
    <w:p w14:paraId="7E8B4DDC" w14:textId="7A40B869" w:rsidR="00C21E15" w:rsidRPr="0002351C" w:rsidRDefault="00000000">
      <w:pPr>
        <w:rPr>
          <w:lang w:val="en-GB"/>
        </w:rPr>
      </w:pPr>
      <w:r w:rsidRPr="0002351C">
        <w:rPr>
          <w:lang w:val="en-GB"/>
        </w:rPr>
        <w:t xml:space="preserve">As per the statistical estimation, nearly 240,000 people migrated from India to the UK in June 2024 (Office for National Statistics, 2025). In this context, the brand is required for approval primarily by Indian-origin residents who are found to have already identified with the brand loyalty of Tanishq and are found to be seeking a way to integrate cultural expression into their UK homes. On the other hand, to support such a targeting approach of Tanishq, the brand is suggested to apply a </w:t>
      </w:r>
      <w:r w:rsidR="003666FC" w:rsidRPr="0002351C">
        <w:rPr>
          <w:lang w:val="en-GB"/>
        </w:rPr>
        <w:t>multisegmented</w:t>
      </w:r>
      <w:r w:rsidRPr="0002351C">
        <w:rPr>
          <w:lang w:val="en-GB"/>
        </w:rPr>
        <w:t xml:space="preserve"> strategy, as advocated by </w:t>
      </w:r>
      <w:proofErr w:type="spellStart"/>
      <w:r w:rsidRPr="0002351C">
        <w:rPr>
          <w:lang w:val="en-GB"/>
        </w:rPr>
        <w:t>Nadube</w:t>
      </w:r>
      <w:proofErr w:type="spellEnd"/>
      <w:r w:rsidRPr="0002351C">
        <w:rPr>
          <w:lang w:val="en-GB"/>
        </w:rPr>
        <w:t xml:space="preserve"> and Didia (2018), to promote efficiency in managing the business concentrating on other segments while discrepancies in business profitability from any one of the segments. In the case of Tanishq, while concentrating on the collaboration with Berkeley Group, is required to approach to develop brand orientation with both culturally connected and global audiences at the same time. </w:t>
      </w:r>
    </w:p>
    <w:p w14:paraId="4136FCBD" w14:textId="77777777" w:rsidR="00C21E15" w:rsidRPr="00E61EB1" w:rsidRDefault="00000000">
      <w:pPr>
        <w:rPr>
          <w:b/>
          <w:iCs/>
          <w:lang w:val="en-GB"/>
        </w:rPr>
      </w:pPr>
      <w:r w:rsidRPr="00E61EB1">
        <w:rPr>
          <w:b/>
          <w:iCs/>
          <w:lang w:val="en-GB"/>
        </w:rPr>
        <w:t xml:space="preserve">2.3 Positioning strategy </w:t>
      </w:r>
    </w:p>
    <w:p w14:paraId="758AB666" w14:textId="77777777" w:rsidR="00C21E15" w:rsidRPr="0002351C" w:rsidRDefault="00000000">
      <w:pPr>
        <w:jc w:val="center"/>
        <w:rPr>
          <w:lang w:val="en-GB"/>
        </w:rPr>
      </w:pPr>
      <w:r w:rsidRPr="0002351C">
        <w:rPr>
          <w:noProof/>
          <w:lang w:val="en-GB"/>
        </w:rPr>
        <w:drawing>
          <wp:inline distT="114300" distB="114300" distL="114300" distR="114300" wp14:anchorId="2EC21711" wp14:editId="66FBB95F">
            <wp:extent cx="4595813" cy="3645717"/>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595813" cy="3645717"/>
                    </a:xfrm>
                    <a:prstGeom prst="rect">
                      <a:avLst/>
                    </a:prstGeom>
                    <a:ln w="25400">
                      <a:solidFill>
                        <a:srgbClr val="000000"/>
                      </a:solidFill>
                      <a:prstDash val="solid"/>
                    </a:ln>
                  </pic:spPr>
                </pic:pic>
              </a:graphicData>
            </a:graphic>
          </wp:inline>
        </w:drawing>
      </w:r>
    </w:p>
    <w:p w14:paraId="65845BCA" w14:textId="77777777" w:rsidR="00C21E15" w:rsidRPr="0002351C" w:rsidRDefault="00000000">
      <w:pPr>
        <w:jc w:val="center"/>
        <w:rPr>
          <w:b/>
          <w:lang w:val="en-GB"/>
        </w:rPr>
      </w:pPr>
      <w:r w:rsidRPr="0002351C">
        <w:rPr>
          <w:b/>
          <w:lang w:val="en-GB"/>
        </w:rPr>
        <w:t xml:space="preserve">Figure 4: Position map of Tanishq in brand extension in the UK </w:t>
      </w:r>
    </w:p>
    <w:p w14:paraId="21C25496" w14:textId="77777777" w:rsidR="00C21E15" w:rsidRPr="0002351C" w:rsidRDefault="00000000">
      <w:pPr>
        <w:jc w:val="center"/>
        <w:rPr>
          <w:lang w:val="en-GB"/>
        </w:rPr>
      </w:pPr>
      <w:r w:rsidRPr="0002351C">
        <w:rPr>
          <w:lang w:val="en-GB"/>
        </w:rPr>
        <w:lastRenderedPageBreak/>
        <w:t>(Source: Self-developed with MS. Word)</w:t>
      </w:r>
    </w:p>
    <w:p w14:paraId="3733D02A" w14:textId="772C5636" w:rsidR="00C21E15" w:rsidRPr="0002351C" w:rsidRDefault="00000000">
      <w:pPr>
        <w:rPr>
          <w:lang w:val="en-GB"/>
        </w:rPr>
      </w:pPr>
      <w:r w:rsidRPr="0002351C">
        <w:rPr>
          <w:lang w:val="en-GB"/>
        </w:rPr>
        <w:t xml:space="preserve">Based on Figure 4, it can be stated that the brand is required to be positioned in the high design value and high cultural value where few competitors are </w:t>
      </w:r>
      <w:r w:rsidR="003666FC" w:rsidRPr="0002351C">
        <w:rPr>
          <w:lang w:val="en-GB"/>
        </w:rPr>
        <w:t>seen</w:t>
      </w:r>
      <w:r w:rsidRPr="0002351C">
        <w:rPr>
          <w:lang w:val="en-GB"/>
        </w:rPr>
        <w:t xml:space="preserve"> to operate in the UK market.  However, inspired by the study of Saputra </w:t>
      </w:r>
      <w:r w:rsidRPr="0002351C">
        <w:rPr>
          <w:i/>
          <w:lang w:val="en-GB"/>
        </w:rPr>
        <w:t xml:space="preserve">et al., </w:t>
      </w:r>
      <w:r w:rsidRPr="0002351C">
        <w:rPr>
          <w:lang w:val="en-GB"/>
        </w:rPr>
        <w:t xml:space="preserve">(2021), it can be stated that effective brand positioning allows the brand to develop and create an emotional resonance. In the case of Tanishq, the brand will be able to adopt brand equity in the context of offering home personalisation and lifestyle enhancement in the market of the UK. </w:t>
      </w:r>
    </w:p>
    <w:p w14:paraId="59C5B4A5" w14:textId="77777777" w:rsidR="00C21E15" w:rsidRPr="0002351C" w:rsidRDefault="00000000">
      <w:pPr>
        <w:pStyle w:val="Heading1"/>
        <w:rPr>
          <w:lang w:val="en-GB"/>
        </w:rPr>
      </w:pPr>
      <w:bookmarkStart w:id="6" w:name="_vyf0wqv2nyuh" w:colFirst="0" w:colLast="0"/>
      <w:bookmarkStart w:id="7" w:name="_Toc195638739"/>
      <w:bookmarkEnd w:id="6"/>
      <w:r w:rsidRPr="0002351C">
        <w:rPr>
          <w:lang w:val="en-GB"/>
        </w:rPr>
        <w:t>3.0 Consumer persona development</w:t>
      </w:r>
      <w:bookmarkEnd w:id="7"/>
    </w:p>
    <w:p w14:paraId="10B01288" w14:textId="77777777" w:rsidR="00C21E15" w:rsidRPr="00E61EB1" w:rsidRDefault="00000000">
      <w:pPr>
        <w:rPr>
          <w:b/>
          <w:iCs/>
          <w:lang w:val="en-GB"/>
        </w:rPr>
      </w:pPr>
      <w:r w:rsidRPr="00E61EB1">
        <w:rPr>
          <w:b/>
          <w:iCs/>
          <w:lang w:val="en-GB"/>
        </w:rPr>
        <w:t>3.1 Detailed consumer persona</w:t>
      </w:r>
    </w:p>
    <w:p w14:paraId="4DC3B729" w14:textId="77777777" w:rsidR="00C21E15" w:rsidRPr="0002351C" w:rsidRDefault="00000000">
      <w:pPr>
        <w:jc w:val="center"/>
        <w:rPr>
          <w:lang w:val="en-GB"/>
        </w:rPr>
      </w:pPr>
      <w:r w:rsidRPr="0002351C">
        <w:rPr>
          <w:noProof/>
          <w:lang w:val="en-GB"/>
        </w:rPr>
        <w:drawing>
          <wp:inline distT="114300" distB="114300" distL="114300" distR="114300" wp14:anchorId="62035550" wp14:editId="34ECDC2B">
            <wp:extent cx="4176713" cy="5135424"/>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176713" cy="5135424"/>
                    </a:xfrm>
                    <a:prstGeom prst="rect">
                      <a:avLst/>
                    </a:prstGeom>
                    <a:ln w="25400">
                      <a:solidFill>
                        <a:srgbClr val="000000"/>
                      </a:solidFill>
                      <a:prstDash val="solid"/>
                    </a:ln>
                  </pic:spPr>
                </pic:pic>
              </a:graphicData>
            </a:graphic>
          </wp:inline>
        </w:drawing>
      </w:r>
    </w:p>
    <w:p w14:paraId="68566BDF" w14:textId="77777777" w:rsidR="00C21E15" w:rsidRPr="0002351C" w:rsidRDefault="00000000">
      <w:pPr>
        <w:jc w:val="center"/>
        <w:rPr>
          <w:b/>
          <w:lang w:val="en-GB"/>
        </w:rPr>
      </w:pPr>
      <w:r w:rsidRPr="0002351C">
        <w:rPr>
          <w:b/>
          <w:lang w:val="en-GB"/>
        </w:rPr>
        <w:lastRenderedPageBreak/>
        <w:t>Figure 5: Consumer persona</w:t>
      </w:r>
    </w:p>
    <w:p w14:paraId="56752AE5" w14:textId="77777777" w:rsidR="00C21E15" w:rsidRPr="0002351C" w:rsidRDefault="00000000">
      <w:pPr>
        <w:jc w:val="center"/>
        <w:rPr>
          <w:lang w:val="en-GB"/>
        </w:rPr>
      </w:pPr>
      <w:r w:rsidRPr="0002351C">
        <w:rPr>
          <w:lang w:val="en-GB"/>
        </w:rPr>
        <w:t>(Source: Self-developed by Canva)</w:t>
      </w:r>
    </w:p>
    <w:p w14:paraId="67FB67B5" w14:textId="77777777" w:rsidR="00C21E15" w:rsidRPr="0002351C" w:rsidRDefault="00000000">
      <w:pPr>
        <w:rPr>
          <w:lang w:val="en-GB"/>
        </w:rPr>
      </w:pPr>
      <w:r w:rsidRPr="0002351C">
        <w:rPr>
          <w:lang w:val="en-GB"/>
        </w:rPr>
        <w:t xml:space="preserve">Figure 5 demonstrates that a preferable consumer persona, that can be considered to be developed based on the determined targeted population of this particular brand extension of </w:t>
      </w:r>
      <w:proofErr w:type="spellStart"/>
      <w:r w:rsidRPr="0002351C">
        <w:rPr>
          <w:lang w:val="en-GB"/>
        </w:rPr>
        <w:t>Tanishque</w:t>
      </w:r>
      <w:proofErr w:type="spellEnd"/>
      <w:r w:rsidRPr="0002351C">
        <w:rPr>
          <w:lang w:val="en-GB"/>
        </w:rPr>
        <w:t xml:space="preserve"> while cooperating with Berkeley Group in the UK to facilitate interior decoration service. It refers to the facts as follows:</w:t>
      </w:r>
    </w:p>
    <w:p w14:paraId="32C686C3" w14:textId="77777777" w:rsidR="00C21E15" w:rsidRPr="0002351C" w:rsidRDefault="00000000">
      <w:pPr>
        <w:rPr>
          <w:lang w:val="en-GB"/>
        </w:rPr>
      </w:pPr>
      <w:r w:rsidRPr="00E61EB1">
        <w:rPr>
          <w:b/>
          <w:bCs/>
          <w:iCs/>
          <w:u w:val="single"/>
          <w:lang w:val="en-GB"/>
        </w:rPr>
        <w:t xml:space="preserve">Appealing consumer trend: </w:t>
      </w:r>
      <w:r w:rsidRPr="0002351C">
        <w:rPr>
          <w:lang w:val="en-GB"/>
        </w:rPr>
        <w:t xml:space="preserve">Tanishq, here has adopted the intention of offering designs that can appeal to upscale consumers who seek more than just home decor. In accordance with the statement of Benjamin (2024), “homes are constructed of patterns of cultural processes”, and this propagation has been considered where hence Tanishq has been seen to target the persons who desire emotional and cultural connection in their lives. Considering this, the consumer persona presented in Figure 5, is seen to demonstrate the brand’s ideal persona, Ananya Mehta, who is a 38-year-old British-Indian professional living in London.  </w:t>
      </w:r>
    </w:p>
    <w:p w14:paraId="052CB1EC" w14:textId="77777777" w:rsidR="00C21E15" w:rsidRPr="0002351C" w:rsidRDefault="00000000">
      <w:pPr>
        <w:rPr>
          <w:lang w:val="en-GB"/>
        </w:rPr>
      </w:pPr>
      <w:r w:rsidRPr="00E61EB1">
        <w:rPr>
          <w:b/>
          <w:bCs/>
          <w:iCs/>
          <w:u w:val="single"/>
          <w:lang w:val="en-GB"/>
        </w:rPr>
        <w:t>Demographic aspect</w:t>
      </w:r>
      <w:r w:rsidRPr="00E61EB1">
        <w:rPr>
          <w:b/>
          <w:bCs/>
          <w:iCs/>
          <w:lang w:val="en-GB"/>
        </w:rPr>
        <w:t xml:space="preserve">: </w:t>
      </w:r>
      <w:r w:rsidRPr="0002351C">
        <w:rPr>
          <w:lang w:val="en-GB"/>
        </w:rPr>
        <w:t xml:space="preserve">In Figure 5, Ananya represents a demographic of is affluent, well-educated culturally rooted with highly </w:t>
      </w:r>
      <w:proofErr w:type="gramStart"/>
      <w:r w:rsidRPr="0002351C">
        <w:rPr>
          <w:lang w:val="en-GB"/>
        </w:rPr>
        <w:t>design-conscious</w:t>
      </w:r>
      <w:proofErr w:type="gramEnd"/>
      <w:r w:rsidRPr="0002351C">
        <w:rPr>
          <w:lang w:val="en-GB"/>
        </w:rPr>
        <w:t xml:space="preserve">. On the other hand, as per the estimation, in the UK, nearly 9.3% of the population is recognised to be Asian, and Asian British (Office for National Statistics, 2021). Ananya is considered to belong to this particular growing Asian diaspora in the UK, and she is married and resides in a luxury home in West London. With having high-income profession, she has a significant tendency to invest in products that reflect her tastes, heritage and social standing. </w:t>
      </w:r>
    </w:p>
    <w:p w14:paraId="1EB25E5D" w14:textId="77777777" w:rsidR="00C21E15" w:rsidRPr="0002351C" w:rsidRDefault="00000000">
      <w:pPr>
        <w:rPr>
          <w:lang w:val="en-GB"/>
        </w:rPr>
      </w:pPr>
      <w:r w:rsidRPr="00E61EB1">
        <w:rPr>
          <w:b/>
          <w:bCs/>
          <w:iCs/>
          <w:u w:val="single"/>
          <w:lang w:val="en-GB"/>
        </w:rPr>
        <w:t>Psychological aspects</w:t>
      </w:r>
      <w:r w:rsidRPr="00E61EB1">
        <w:rPr>
          <w:b/>
          <w:bCs/>
          <w:iCs/>
          <w:lang w:val="en-GB"/>
        </w:rPr>
        <w:t>:</w:t>
      </w:r>
      <w:r w:rsidRPr="0002351C">
        <w:rPr>
          <w:lang w:val="en-GB"/>
        </w:rPr>
        <w:t xml:space="preserve"> </w:t>
      </w:r>
      <w:proofErr w:type="gramStart"/>
      <w:r w:rsidRPr="0002351C">
        <w:rPr>
          <w:lang w:val="en-GB"/>
        </w:rPr>
        <w:t>In light of</w:t>
      </w:r>
      <w:proofErr w:type="gramEnd"/>
      <w:r w:rsidRPr="0002351C">
        <w:rPr>
          <w:lang w:val="en-GB"/>
        </w:rPr>
        <w:t xml:space="preserve"> the application of the VALS framework (value, attitude, lifestyle), the determined consumer persona is seen to reflect the characteristics typical to the reformer and aspire segments. As per the statement of DUMITRESCU (2024), the “aspirer is a materialistic and curious person” and the reformer segment refers to the authentic and harmonious approach of the person. Based on this, it can be further propagated that the proposed consumer persona in Figure 5, Ananya is found to place a high value on self-expression, cultural identity and quality that influences her to lean towards products that combine modern elegance with meaning along with heritage-inspired designs. </w:t>
      </w:r>
    </w:p>
    <w:p w14:paraId="3BDACF08" w14:textId="77777777" w:rsidR="00C21E15" w:rsidRPr="0002351C" w:rsidRDefault="00000000">
      <w:pPr>
        <w:rPr>
          <w:lang w:val="en-GB"/>
        </w:rPr>
      </w:pPr>
      <w:r w:rsidRPr="00E61EB1">
        <w:rPr>
          <w:b/>
          <w:bCs/>
          <w:iCs/>
          <w:u w:val="single"/>
          <w:lang w:val="en-GB"/>
        </w:rPr>
        <w:lastRenderedPageBreak/>
        <w:t>Lifestyle choices and consumer behaviour</w:t>
      </w:r>
      <w:r w:rsidRPr="00E61EB1">
        <w:rPr>
          <w:b/>
          <w:bCs/>
          <w:iCs/>
          <w:lang w:val="en-GB"/>
        </w:rPr>
        <w:t>:</w:t>
      </w:r>
      <w:r w:rsidRPr="0002351C">
        <w:rPr>
          <w:lang w:val="en-GB"/>
        </w:rPr>
        <w:t xml:space="preserve"> The lifestyle of this persona is seen to evolve around having proper balancing a demanding career and the role of a homemaker as well, hence, home has become a central space for Ananya for relaxation, entertainment and cultural connection development. Additionally, Ananya has been identified not to be a price-sensitive buyer but rather concentrate on value creation on ethnicity, exclusivity and authenticity in terms of consumer behaviour. </w:t>
      </w:r>
    </w:p>
    <w:p w14:paraId="5445370D" w14:textId="77777777" w:rsidR="00C21E15" w:rsidRPr="0002351C" w:rsidRDefault="00000000">
      <w:pPr>
        <w:rPr>
          <w:lang w:val="en-GB"/>
        </w:rPr>
      </w:pPr>
      <w:r w:rsidRPr="00E61EB1">
        <w:rPr>
          <w:b/>
          <w:bCs/>
          <w:iCs/>
          <w:u w:val="single"/>
          <w:lang w:val="en-GB"/>
        </w:rPr>
        <w:t>Pain point</w:t>
      </w:r>
      <w:r w:rsidRPr="00E61EB1">
        <w:rPr>
          <w:b/>
          <w:bCs/>
          <w:iCs/>
          <w:lang w:val="en-GB"/>
        </w:rPr>
        <w:t>:</w:t>
      </w:r>
      <w:r w:rsidRPr="0002351C">
        <w:rPr>
          <w:lang w:val="en-GB"/>
        </w:rPr>
        <w:t xml:space="preserve"> The pain point is found to be lacking in luxury interior solutions that can align with the cultural identity of Ananya in the UK market. Hence, customers like Ananya will be the ideal choice of target consumers of Tanishq as they can be served with culturally inspired luxury home decor.  </w:t>
      </w:r>
    </w:p>
    <w:p w14:paraId="7E5DE30F" w14:textId="77777777" w:rsidR="00C21E15" w:rsidRPr="0002351C" w:rsidRDefault="00000000">
      <w:pPr>
        <w:pStyle w:val="Heading1"/>
        <w:rPr>
          <w:lang w:val="en-GB"/>
        </w:rPr>
      </w:pPr>
      <w:bookmarkStart w:id="8" w:name="_fk50vlrlgmen" w:colFirst="0" w:colLast="0"/>
      <w:bookmarkStart w:id="9" w:name="_Toc195638740"/>
      <w:bookmarkEnd w:id="8"/>
      <w:r w:rsidRPr="0002351C">
        <w:rPr>
          <w:lang w:val="en-GB"/>
        </w:rPr>
        <w:t>4. Marketing mix of Tanishq band extension (4Ps)</w:t>
      </w:r>
      <w:bookmarkEnd w:id="9"/>
    </w:p>
    <w:p w14:paraId="72DCA185" w14:textId="77777777" w:rsidR="00C21E15" w:rsidRPr="00E61EB1" w:rsidRDefault="00000000">
      <w:pPr>
        <w:rPr>
          <w:b/>
          <w:iCs/>
          <w:u w:val="single"/>
          <w:lang w:val="en-GB"/>
        </w:rPr>
      </w:pPr>
      <w:r w:rsidRPr="00E61EB1">
        <w:rPr>
          <w:b/>
          <w:iCs/>
          <w:u w:val="single"/>
          <w:lang w:val="en-GB"/>
        </w:rPr>
        <w:t xml:space="preserve">4.1 Product </w:t>
      </w:r>
    </w:p>
    <w:p w14:paraId="152D5AE3" w14:textId="77777777" w:rsidR="00C21E15" w:rsidRPr="0002351C" w:rsidRDefault="00000000">
      <w:pPr>
        <w:rPr>
          <w:lang w:val="en-GB"/>
        </w:rPr>
      </w:pPr>
      <w:r w:rsidRPr="0002351C">
        <w:rPr>
          <w:lang w:val="en-GB"/>
        </w:rPr>
        <w:t xml:space="preserve">Tanishq is seen to be concentrated on offering a curated collection of luxury home decor and interior elements inspired by the heritage of India tailoring modern and luxurious aspects and trends of the UK homes. Hence, the products of this brand extension of Tanishq cooperated with Berkeley groups and are seen to include wall panels and mural art featuring motifs from Indian temples and Mughal architecture. Inspired by the study of </w:t>
      </w:r>
      <w:proofErr w:type="spellStart"/>
      <w:r w:rsidRPr="0002351C">
        <w:rPr>
          <w:lang w:val="en-GB"/>
        </w:rPr>
        <w:t>Okul</w:t>
      </w:r>
      <w:proofErr w:type="spellEnd"/>
      <w:r w:rsidRPr="0002351C">
        <w:rPr>
          <w:lang w:val="en-GB"/>
        </w:rPr>
        <w:t xml:space="preserve"> (2024), it can be propagated that the concentration of brand-facilitating wall panels, made with nature-inspired elements indicates the eco-consciousness of the brand. Additionally, a premium furniture range will be offered including embroidered cushions, and rugs utilising Indian weaving tradition.  </w:t>
      </w:r>
    </w:p>
    <w:p w14:paraId="08047BC7" w14:textId="77777777" w:rsidR="00C21E15" w:rsidRPr="00E61EB1" w:rsidRDefault="00000000">
      <w:pPr>
        <w:rPr>
          <w:b/>
          <w:iCs/>
          <w:lang w:val="en-GB"/>
        </w:rPr>
      </w:pPr>
      <w:r w:rsidRPr="00E61EB1">
        <w:rPr>
          <w:b/>
          <w:iCs/>
          <w:lang w:val="en-GB"/>
        </w:rPr>
        <w:t>4.2 Price</w:t>
      </w:r>
    </w:p>
    <w:p w14:paraId="2F0D3572" w14:textId="77777777" w:rsidR="00C21E15" w:rsidRDefault="00000000">
      <w:pPr>
        <w:rPr>
          <w:lang w:val="en-GB"/>
        </w:rPr>
      </w:pPr>
      <w:r w:rsidRPr="0002351C">
        <w:rPr>
          <w:lang w:val="en-GB"/>
        </w:rPr>
        <w:t xml:space="preserve">Inspired by the study of Subrahmanyam and Arif (2022), the application of premium pricing enables brands to attract premium customers who offer long-term brand loyalty. Hence, Tanishq is suggested to apply such a pricing strategy to reflect the value of the brand, craftsmanship and exclusivity while aligning with the UK’s standards of luxury items like high-end custom collections can be initially availed by Tanishq which can start from £2,000 to £ 25,000, which will depend on the customisation request of the customers. </w:t>
      </w:r>
    </w:p>
    <w:p w14:paraId="6C4F04F2" w14:textId="77777777" w:rsidR="00E61EB1" w:rsidRPr="0002351C" w:rsidRDefault="00E61EB1">
      <w:pPr>
        <w:rPr>
          <w:lang w:val="en-GB"/>
        </w:rPr>
      </w:pPr>
    </w:p>
    <w:p w14:paraId="28C81A13" w14:textId="77777777" w:rsidR="00C21E15" w:rsidRPr="00E61EB1" w:rsidRDefault="00000000">
      <w:pPr>
        <w:rPr>
          <w:b/>
          <w:iCs/>
          <w:lang w:val="en-GB"/>
        </w:rPr>
      </w:pPr>
      <w:r w:rsidRPr="00E61EB1">
        <w:rPr>
          <w:b/>
          <w:iCs/>
          <w:lang w:val="en-GB"/>
        </w:rPr>
        <w:lastRenderedPageBreak/>
        <w:t>4.3 Place</w:t>
      </w:r>
    </w:p>
    <w:p w14:paraId="1F9D2591" w14:textId="77777777" w:rsidR="00C21E15" w:rsidRPr="0002351C" w:rsidRDefault="00000000">
      <w:pPr>
        <w:rPr>
          <w:lang w:val="en-GB"/>
        </w:rPr>
      </w:pPr>
      <w:r w:rsidRPr="0002351C">
        <w:rPr>
          <w:lang w:val="en-GB"/>
        </w:rPr>
        <w:t xml:space="preserve">It is suggested that the brand is required to concentrate on the adaptation of an omnichannel distribution model, as advocated by Wan (2022), which enables the brand to combine exclusivity with accessibility. Initially, the e-commerce platform can be facilitated by the brand considering UK-based websites with virtual room visualisation and integration of AI-assisted decor suggestions. Additionally, the establishment of a studio-gallery concept is required where </w:t>
      </w:r>
      <w:proofErr w:type="spellStart"/>
      <w:r w:rsidRPr="0002351C">
        <w:rPr>
          <w:lang w:val="en-GB"/>
        </w:rPr>
        <w:t>th</w:t>
      </w:r>
      <w:proofErr w:type="spellEnd"/>
      <w:r w:rsidRPr="0002351C">
        <w:rPr>
          <w:lang w:val="en-GB"/>
        </w:rPr>
        <w:t xml:space="preserve"> customers can explore collections in real room settings. In collaboration with the Berkley Group, the display of the living interiors of Tanishq will allow the integration of consumer excitement during the buyer walkthrough stage.  </w:t>
      </w:r>
    </w:p>
    <w:p w14:paraId="6AB6FD45" w14:textId="77777777" w:rsidR="00C21E15" w:rsidRPr="00E61EB1" w:rsidRDefault="00000000">
      <w:pPr>
        <w:rPr>
          <w:b/>
          <w:iCs/>
          <w:lang w:val="en-GB"/>
        </w:rPr>
      </w:pPr>
      <w:r w:rsidRPr="00E61EB1">
        <w:rPr>
          <w:b/>
          <w:iCs/>
          <w:lang w:val="en-GB"/>
        </w:rPr>
        <w:t xml:space="preserve">4.4 Promotion </w:t>
      </w:r>
    </w:p>
    <w:p w14:paraId="091F38DB" w14:textId="77777777" w:rsidR="00C21E15" w:rsidRDefault="00000000">
      <w:pPr>
        <w:rPr>
          <w:lang w:val="en-GB"/>
        </w:rPr>
      </w:pPr>
      <w:r w:rsidRPr="0002351C">
        <w:rPr>
          <w:lang w:val="en-GB"/>
        </w:rPr>
        <w:t xml:space="preserve">Implementation of the promotion strategy concentrating on influencer marketing is suggested, as in the study of Joshi </w:t>
      </w:r>
      <w:r w:rsidRPr="0002351C">
        <w:rPr>
          <w:i/>
          <w:lang w:val="en-GB"/>
        </w:rPr>
        <w:t xml:space="preserve">et al., </w:t>
      </w:r>
      <w:r w:rsidRPr="0002351C">
        <w:rPr>
          <w:lang w:val="en-GB"/>
        </w:rPr>
        <w:t xml:space="preserve">(2023), it is mentioned to be effective to promote brand loyalty. In the case of Tanishq, the brand is required to promote through facilitating collaboration with South Asian interior influencers, designers and celebrities.  </w:t>
      </w:r>
    </w:p>
    <w:p w14:paraId="4B4666F5" w14:textId="77777777" w:rsidR="00E61EB1" w:rsidRDefault="00E61EB1">
      <w:pPr>
        <w:rPr>
          <w:lang w:val="en-GB"/>
        </w:rPr>
      </w:pPr>
    </w:p>
    <w:p w14:paraId="05F18CD5" w14:textId="77777777" w:rsidR="00E61EB1" w:rsidRDefault="00E61EB1">
      <w:pPr>
        <w:rPr>
          <w:lang w:val="en-GB"/>
        </w:rPr>
      </w:pPr>
    </w:p>
    <w:p w14:paraId="7DA81675" w14:textId="77777777" w:rsidR="00E61EB1" w:rsidRDefault="00E61EB1">
      <w:pPr>
        <w:rPr>
          <w:lang w:val="en-GB"/>
        </w:rPr>
      </w:pPr>
    </w:p>
    <w:p w14:paraId="39772F6A" w14:textId="77777777" w:rsidR="00E61EB1" w:rsidRDefault="00E61EB1">
      <w:pPr>
        <w:rPr>
          <w:lang w:val="en-GB"/>
        </w:rPr>
      </w:pPr>
    </w:p>
    <w:p w14:paraId="19FBB1E5" w14:textId="77777777" w:rsidR="00E61EB1" w:rsidRDefault="00E61EB1">
      <w:pPr>
        <w:rPr>
          <w:lang w:val="en-GB"/>
        </w:rPr>
      </w:pPr>
    </w:p>
    <w:p w14:paraId="2A600970" w14:textId="77777777" w:rsidR="00E61EB1" w:rsidRDefault="00E61EB1">
      <w:pPr>
        <w:rPr>
          <w:lang w:val="en-GB"/>
        </w:rPr>
      </w:pPr>
    </w:p>
    <w:p w14:paraId="2188C94F" w14:textId="77777777" w:rsidR="00E61EB1" w:rsidRDefault="00E61EB1">
      <w:pPr>
        <w:rPr>
          <w:lang w:val="en-GB"/>
        </w:rPr>
      </w:pPr>
    </w:p>
    <w:p w14:paraId="086F9834" w14:textId="77777777" w:rsidR="00E61EB1" w:rsidRDefault="00E61EB1">
      <w:pPr>
        <w:rPr>
          <w:lang w:val="en-GB"/>
        </w:rPr>
      </w:pPr>
    </w:p>
    <w:p w14:paraId="7F2DA277" w14:textId="77777777" w:rsidR="00E61EB1" w:rsidRDefault="00E61EB1">
      <w:pPr>
        <w:rPr>
          <w:lang w:val="en-GB"/>
        </w:rPr>
      </w:pPr>
    </w:p>
    <w:p w14:paraId="1B20DF8E" w14:textId="77777777" w:rsidR="00E61EB1" w:rsidRDefault="00E61EB1">
      <w:pPr>
        <w:rPr>
          <w:lang w:val="en-GB"/>
        </w:rPr>
      </w:pPr>
    </w:p>
    <w:p w14:paraId="30BBD509" w14:textId="77777777" w:rsidR="00E61EB1" w:rsidRPr="0002351C" w:rsidRDefault="00E61EB1">
      <w:pPr>
        <w:rPr>
          <w:lang w:val="en-GB"/>
        </w:rPr>
      </w:pPr>
    </w:p>
    <w:p w14:paraId="0DD4D58B" w14:textId="77777777" w:rsidR="00C21E15" w:rsidRPr="0002351C" w:rsidRDefault="00000000">
      <w:pPr>
        <w:pStyle w:val="Heading1"/>
        <w:rPr>
          <w:lang w:val="en-GB"/>
        </w:rPr>
      </w:pPr>
      <w:bookmarkStart w:id="10" w:name="_c3ea5o4fwntt" w:colFirst="0" w:colLast="0"/>
      <w:bookmarkStart w:id="11" w:name="_Toc195638741"/>
      <w:bookmarkEnd w:id="10"/>
      <w:r w:rsidRPr="0002351C">
        <w:rPr>
          <w:lang w:val="en-GB"/>
        </w:rPr>
        <w:t>Conclusion</w:t>
      </w:r>
      <w:bookmarkEnd w:id="11"/>
      <w:r w:rsidRPr="0002351C">
        <w:rPr>
          <w:lang w:val="en-GB"/>
        </w:rPr>
        <w:t xml:space="preserve"> </w:t>
      </w:r>
    </w:p>
    <w:p w14:paraId="391100E0" w14:textId="77777777" w:rsidR="00C21E15" w:rsidRPr="0002351C" w:rsidRDefault="00000000">
      <w:pPr>
        <w:rPr>
          <w:lang w:val="en-GB"/>
        </w:rPr>
      </w:pPr>
      <w:r w:rsidRPr="0002351C">
        <w:rPr>
          <w:lang w:val="en-GB"/>
        </w:rPr>
        <w:t xml:space="preserve">It can be concluded by stating that the brand extension strategy of Tanishq is prioritised in the UK luxury home decor market through the facilitation of a collaboration with a real-estate brand namely Berkeley Group. The brand extension is seen to leverage the brand’s heritage craftsmanship to offer premium interior products, considering the detailed market map analysis it has evolved that the brand has the scope of contributing to untapped demand for culturally inspired decor\. Finally, the development of a consumer persona helps to tailor the application of the 4Ps marketing strategy contributing to optimising the market relevance of this brand extension of Tanishq to support the attainment of competitive advantage in the UK’s interior designing market. </w:t>
      </w:r>
      <w:r w:rsidRPr="0002351C">
        <w:rPr>
          <w:lang w:val="en-GB"/>
        </w:rPr>
        <w:br w:type="page"/>
      </w:r>
    </w:p>
    <w:p w14:paraId="5C5B60DF" w14:textId="77777777" w:rsidR="00C21E15" w:rsidRPr="0002351C" w:rsidRDefault="00000000">
      <w:pPr>
        <w:pStyle w:val="Heading1"/>
        <w:rPr>
          <w:lang w:val="en-GB"/>
        </w:rPr>
      </w:pPr>
      <w:bookmarkStart w:id="12" w:name="_qr8wdzk6mjrr" w:colFirst="0" w:colLast="0"/>
      <w:bookmarkStart w:id="13" w:name="_Toc195638742"/>
      <w:bookmarkEnd w:id="12"/>
      <w:r w:rsidRPr="0002351C">
        <w:rPr>
          <w:lang w:val="en-GB"/>
        </w:rPr>
        <w:lastRenderedPageBreak/>
        <w:t>References</w:t>
      </w:r>
      <w:bookmarkEnd w:id="13"/>
    </w:p>
    <w:p w14:paraId="38A04080" w14:textId="77777777" w:rsidR="00C21E15" w:rsidRPr="0002351C" w:rsidRDefault="00000000">
      <w:pPr>
        <w:spacing w:before="240"/>
        <w:rPr>
          <w:lang w:val="en-GB"/>
        </w:rPr>
      </w:pPr>
      <w:r w:rsidRPr="0002351C">
        <w:rPr>
          <w:lang w:val="en-GB"/>
        </w:rPr>
        <w:t>Aditiya, S. and Kirana, D.H.K., (2025). ‘</w:t>
      </w:r>
      <w:proofErr w:type="spellStart"/>
      <w:r w:rsidRPr="0002351C">
        <w:rPr>
          <w:lang w:val="en-GB"/>
        </w:rPr>
        <w:t>Smarteye</w:t>
      </w:r>
      <w:proofErr w:type="spellEnd"/>
      <w:r w:rsidRPr="0002351C">
        <w:rPr>
          <w:lang w:val="en-GB"/>
        </w:rPr>
        <w:t xml:space="preserve">. id’s Business Expansion Strategy for Global Market Penetration through the Ansoff Matrix.’ </w:t>
      </w:r>
      <w:r w:rsidRPr="0002351C">
        <w:rPr>
          <w:i/>
          <w:lang w:val="en-GB"/>
        </w:rPr>
        <w:t>International Journal of Management and Business Economics</w:t>
      </w:r>
      <w:r w:rsidRPr="0002351C">
        <w:rPr>
          <w:lang w:val="en-GB"/>
        </w:rPr>
        <w:t xml:space="preserve">, </w:t>
      </w:r>
      <w:r w:rsidRPr="0002351C">
        <w:rPr>
          <w:i/>
          <w:lang w:val="en-GB"/>
        </w:rPr>
        <w:t>3</w:t>
      </w:r>
      <w:r w:rsidRPr="0002351C">
        <w:rPr>
          <w:lang w:val="en-GB"/>
        </w:rPr>
        <w:t>(2), pp.60-65.</w:t>
      </w:r>
    </w:p>
    <w:p w14:paraId="76D74125" w14:textId="77777777" w:rsidR="00C21E15" w:rsidRPr="0002351C" w:rsidRDefault="00000000">
      <w:pPr>
        <w:spacing w:before="240"/>
        <w:rPr>
          <w:lang w:val="en-GB"/>
        </w:rPr>
      </w:pPr>
      <w:r w:rsidRPr="0002351C">
        <w:rPr>
          <w:lang w:val="en-GB"/>
        </w:rPr>
        <w:t xml:space="preserve">BBC, (2024). </w:t>
      </w:r>
      <w:r w:rsidRPr="0002351C">
        <w:rPr>
          <w:i/>
          <w:lang w:val="en-GB"/>
        </w:rPr>
        <w:t>BAME We're Not the Same: India.</w:t>
      </w:r>
      <w:r w:rsidRPr="0002351C">
        <w:rPr>
          <w:lang w:val="en-GB"/>
        </w:rPr>
        <w:t xml:space="preserve"> Available at:</w:t>
      </w:r>
      <w:hyperlink r:id="rId14">
        <w:r w:rsidR="00C21E15" w:rsidRPr="0002351C">
          <w:rPr>
            <w:lang w:val="en-GB"/>
          </w:rPr>
          <w:t xml:space="preserve"> </w:t>
        </w:r>
      </w:hyperlink>
      <w:hyperlink r:id="rId15">
        <w:r w:rsidR="00C21E15" w:rsidRPr="0002351C">
          <w:rPr>
            <w:color w:val="1155CC"/>
            <w:u w:val="single"/>
            <w:lang w:val="en-GB"/>
          </w:rPr>
          <w:t>https://www.bbc.co.uk/creativediversity/nuance-in-bame/indian/</w:t>
        </w:r>
      </w:hyperlink>
      <w:r w:rsidRPr="0002351C">
        <w:rPr>
          <w:lang w:val="en-GB"/>
        </w:rPr>
        <w:t xml:space="preserve"> [accessed 15 April 2025]</w:t>
      </w:r>
    </w:p>
    <w:p w14:paraId="3AEB0FB1" w14:textId="77777777" w:rsidR="00C21E15" w:rsidRPr="0002351C" w:rsidRDefault="00000000">
      <w:pPr>
        <w:spacing w:before="240"/>
        <w:rPr>
          <w:lang w:val="en-GB"/>
        </w:rPr>
      </w:pPr>
      <w:r w:rsidRPr="0002351C">
        <w:rPr>
          <w:lang w:val="en-GB"/>
        </w:rPr>
        <w:t xml:space="preserve">Benjamin, D.N. ed., 2024. </w:t>
      </w:r>
      <w:r w:rsidRPr="0002351C">
        <w:rPr>
          <w:i/>
          <w:lang w:val="en-GB"/>
        </w:rPr>
        <w:t>The home: Words, interpretations, meanings and environments</w:t>
      </w:r>
      <w:r w:rsidRPr="0002351C">
        <w:rPr>
          <w:lang w:val="en-GB"/>
        </w:rPr>
        <w:t>. Taylor &amp; Francis.</w:t>
      </w:r>
    </w:p>
    <w:p w14:paraId="66C5DED4" w14:textId="77777777" w:rsidR="00C21E15" w:rsidRPr="0002351C" w:rsidRDefault="00000000">
      <w:pPr>
        <w:spacing w:before="240"/>
        <w:rPr>
          <w:lang w:val="en-GB"/>
        </w:rPr>
      </w:pPr>
      <w:proofErr w:type="spellStart"/>
      <w:r w:rsidRPr="0002351C">
        <w:rPr>
          <w:lang w:val="en-GB"/>
        </w:rPr>
        <w:t>Berkeleygroup</w:t>
      </w:r>
      <w:proofErr w:type="spellEnd"/>
      <w:r w:rsidRPr="0002351C">
        <w:rPr>
          <w:lang w:val="en-GB"/>
        </w:rPr>
        <w:t xml:space="preserve">, (2025). </w:t>
      </w:r>
      <w:r w:rsidRPr="0002351C">
        <w:rPr>
          <w:i/>
          <w:lang w:val="en-GB"/>
        </w:rPr>
        <w:t>About Us</w:t>
      </w:r>
      <w:r w:rsidRPr="0002351C">
        <w:rPr>
          <w:lang w:val="en-GB"/>
        </w:rPr>
        <w:t>. Available at:</w:t>
      </w:r>
      <w:hyperlink r:id="rId16">
        <w:r w:rsidR="00C21E15" w:rsidRPr="0002351C">
          <w:rPr>
            <w:lang w:val="en-GB"/>
          </w:rPr>
          <w:t xml:space="preserve"> </w:t>
        </w:r>
      </w:hyperlink>
      <w:hyperlink r:id="rId17">
        <w:r w:rsidR="00C21E15" w:rsidRPr="0002351C">
          <w:rPr>
            <w:color w:val="1155CC"/>
            <w:u w:val="single"/>
            <w:lang w:val="en-GB"/>
          </w:rPr>
          <w:t>https://www.berkeleygroup.co.uk/about-us</w:t>
        </w:r>
      </w:hyperlink>
      <w:r w:rsidRPr="0002351C">
        <w:rPr>
          <w:lang w:val="en-GB"/>
        </w:rPr>
        <w:t xml:space="preserve"> [accessed 15 April 2025]</w:t>
      </w:r>
    </w:p>
    <w:p w14:paraId="50024993" w14:textId="77777777" w:rsidR="00C21E15" w:rsidRPr="0002351C" w:rsidRDefault="00000000">
      <w:pPr>
        <w:spacing w:before="240"/>
        <w:rPr>
          <w:lang w:val="en-GB"/>
        </w:rPr>
      </w:pPr>
      <w:r w:rsidRPr="0002351C">
        <w:rPr>
          <w:lang w:val="en-GB"/>
        </w:rPr>
        <w:t xml:space="preserve">Deng, Q.C. and Messinger, P.R., (2022). ‘Dimensions of brand-extension fit.’ </w:t>
      </w:r>
      <w:r w:rsidRPr="0002351C">
        <w:rPr>
          <w:i/>
          <w:lang w:val="en-GB"/>
        </w:rPr>
        <w:t>International journal of research in marketing</w:t>
      </w:r>
      <w:r w:rsidRPr="0002351C">
        <w:rPr>
          <w:lang w:val="en-GB"/>
        </w:rPr>
        <w:t xml:space="preserve">, </w:t>
      </w:r>
      <w:r w:rsidRPr="0002351C">
        <w:rPr>
          <w:i/>
          <w:lang w:val="en-GB"/>
        </w:rPr>
        <w:t>39</w:t>
      </w:r>
      <w:r w:rsidRPr="0002351C">
        <w:rPr>
          <w:lang w:val="en-GB"/>
        </w:rPr>
        <w:t>(3), pp.764-787.</w:t>
      </w:r>
    </w:p>
    <w:p w14:paraId="02CD6F16" w14:textId="77777777" w:rsidR="00C21E15" w:rsidRPr="0002351C" w:rsidRDefault="00000000">
      <w:pPr>
        <w:spacing w:before="240"/>
        <w:rPr>
          <w:lang w:val="en-GB"/>
        </w:rPr>
      </w:pPr>
      <w:r w:rsidRPr="0002351C">
        <w:rPr>
          <w:lang w:val="en-GB"/>
        </w:rPr>
        <w:t xml:space="preserve">Dibb, S. and Simkin, L., (2001). ‘Market segmentation: diagnosing and treating the barriers.’ </w:t>
      </w:r>
      <w:r w:rsidRPr="0002351C">
        <w:rPr>
          <w:i/>
          <w:lang w:val="en-GB"/>
        </w:rPr>
        <w:t>Industrial Marketing Management</w:t>
      </w:r>
      <w:r w:rsidRPr="0002351C">
        <w:rPr>
          <w:lang w:val="en-GB"/>
        </w:rPr>
        <w:t xml:space="preserve">, </w:t>
      </w:r>
      <w:r w:rsidRPr="0002351C">
        <w:rPr>
          <w:i/>
          <w:lang w:val="en-GB"/>
        </w:rPr>
        <w:t>30</w:t>
      </w:r>
      <w:r w:rsidRPr="0002351C">
        <w:rPr>
          <w:lang w:val="en-GB"/>
        </w:rPr>
        <w:t>(8), pp.609-625.</w:t>
      </w:r>
    </w:p>
    <w:p w14:paraId="1E2B5AF0" w14:textId="77777777" w:rsidR="00C21E15" w:rsidRPr="0002351C" w:rsidRDefault="00000000">
      <w:pPr>
        <w:spacing w:before="240"/>
        <w:rPr>
          <w:lang w:val="en-GB"/>
        </w:rPr>
      </w:pPr>
      <w:r w:rsidRPr="0002351C">
        <w:rPr>
          <w:lang w:val="en-GB"/>
        </w:rPr>
        <w:t xml:space="preserve">DUMITRESCU, A., (2024). ‘Influence of Personal Values on Product Aesthetics.’ </w:t>
      </w:r>
      <w:r w:rsidRPr="0002351C">
        <w:rPr>
          <w:i/>
          <w:lang w:val="en-GB"/>
        </w:rPr>
        <w:t>FAIMA Business &amp; Management Journal</w:t>
      </w:r>
      <w:r w:rsidRPr="0002351C">
        <w:rPr>
          <w:lang w:val="en-GB"/>
        </w:rPr>
        <w:t xml:space="preserve">, </w:t>
      </w:r>
      <w:r w:rsidRPr="0002351C">
        <w:rPr>
          <w:i/>
          <w:lang w:val="en-GB"/>
        </w:rPr>
        <w:t>12</w:t>
      </w:r>
      <w:r w:rsidRPr="0002351C">
        <w:rPr>
          <w:lang w:val="en-GB"/>
        </w:rPr>
        <w:t>(4).</w:t>
      </w:r>
    </w:p>
    <w:p w14:paraId="004C68A9" w14:textId="77777777" w:rsidR="00C21E15" w:rsidRPr="0002351C" w:rsidRDefault="00000000">
      <w:pPr>
        <w:spacing w:before="240"/>
        <w:rPr>
          <w:lang w:val="en-GB"/>
        </w:rPr>
      </w:pPr>
      <w:proofErr w:type="spellStart"/>
      <w:r w:rsidRPr="0002351C">
        <w:rPr>
          <w:lang w:val="en-GB"/>
        </w:rPr>
        <w:t>Grandviewresearch</w:t>
      </w:r>
      <w:proofErr w:type="spellEnd"/>
      <w:r w:rsidRPr="0002351C">
        <w:rPr>
          <w:i/>
          <w:lang w:val="en-GB"/>
        </w:rPr>
        <w:t xml:space="preserve">, </w:t>
      </w:r>
      <w:r w:rsidRPr="0002351C">
        <w:rPr>
          <w:lang w:val="en-GB"/>
        </w:rPr>
        <w:t xml:space="preserve">(2025). </w:t>
      </w:r>
      <w:r w:rsidRPr="0002351C">
        <w:rPr>
          <w:i/>
          <w:lang w:val="en-GB"/>
        </w:rPr>
        <w:t>UK Home Furnishing Market Size &amp; Outlook, 2030</w:t>
      </w:r>
      <w:r w:rsidRPr="0002351C">
        <w:rPr>
          <w:lang w:val="en-GB"/>
        </w:rPr>
        <w:t xml:space="preserve"> (2025). Available at:</w:t>
      </w:r>
      <w:hyperlink r:id="rId18">
        <w:r w:rsidR="00C21E15" w:rsidRPr="0002351C">
          <w:rPr>
            <w:lang w:val="en-GB"/>
          </w:rPr>
          <w:t xml:space="preserve"> </w:t>
        </w:r>
      </w:hyperlink>
      <w:hyperlink r:id="rId19">
        <w:r w:rsidR="00C21E15" w:rsidRPr="0002351C">
          <w:rPr>
            <w:color w:val="1155CC"/>
            <w:u w:val="single"/>
            <w:lang w:val="en-GB"/>
          </w:rPr>
          <w:t>https://www.grandviewresearch.com/horizon/outlook/home-furnishing-market/uk</w:t>
        </w:r>
      </w:hyperlink>
      <w:r w:rsidRPr="0002351C">
        <w:rPr>
          <w:lang w:val="en-GB"/>
        </w:rPr>
        <w:t>. [accessed 15 April 2025]</w:t>
      </w:r>
    </w:p>
    <w:p w14:paraId="0E57B9BE" w14:textId="77777777" w:rsidR="00C21E15" w:rsidRPr="0002351C" w:rsidRDefault="00000000">
      <w:pPr>
        <w:spacing w:before="240"/>
        <w:rPr>
          <w:lang w:val="en-GB"/>
        </w:rPr>
      </w:pPr>
      <w:r w:rsidRPr="0002351C">
        <w:rPr>
          <w:lang w:val="en-GB"/>
        </w:rPr>
        <w:t xml:space="preserve">Joshi, Y., Lim, W.M., </w:t>
      </w:r>
      <w:proofErr w:type="spellStart"/>
      <w:r w:rsidRPr="0002351C">
        <w:rPr>
          <w:lang w:val="en-GB"/>
        </w:rPr>
        <w:t>Jagani</w:t>
      </w:r>
      <w:proofErr w:type="spellEnd"/>
      <w:r w:rsidRPr="0002351C">
        <w:rPr>
          <w:lang w:val="en-GB"/>
        </w:rPr>
        <w:t xml:space="preserve">, K. and Kumar, S., (2023). ‘Social media influencer marketing: foundations, trends, and ways forward.’ </w:t>
      </w:r>
      <w:r w:rsidRPr="0002351C">
        <w:rPr>
          <w:i/>
          <w:lang w:val="en-GB"/>
        </w:rPr>
        <w:t>Electronic Commerce Research</w:t>
      </w:r>
      <w:r w:rsidRPr="0002351C">
        <w:rPr>
          <w:lang w:val="en-GB"/>
        </w:rPr>
        <w:t>, pp.1-55.</w:t>
      </w:r>
    </w:p>
    <w:p w14:paraId="567D7727" w14:textId="77777777" w:rsidR="00C21E15" w:rsidRPr="0002351C" w:rsidRDefault="00000000">
      <w:pPr>
        <w:spacing w:before="240"/>
        <w:rPr>
          <w:lang w:val="en-GB"/>
        </w:rPr>
      </w:pPr>
      <w:r w:rsidRPr="0002351C">
        <w:rPr>
          <w:lang w:val="en-GB"/>
        </w:rPr>
        <w:t xml:space="preserve">Kent, T., </w:t>
      </w:r>
      <w:proofErr w:type="spellStart"/>
      <w:r w:rsidRPr="0002351C">
        <w:rPr>
          <w:lang w:val="en-GB"/>
        </w:rPr>
        <w:t>Kuksa</w:t>
      </w:r>
      <w:proofErr w:type="spellEnd"/>
      <w:r w:rsidRPr="0002351C">
        <w:rPr>
          <w:lang w:val="en-GB"/>
        </w:rPr>
        <w:t xml:space="preserve">, I. and Fisher, T., 2023. Customisation and co-creation: An evolving complexity. </w:t>
      </w:r>
      <w:r w:rsidRPr="0002351C">
        <w:rPr>
          <w:i/>
          <w:lang w:val="en-GB"/>
        </w:rPr>
        <w:t>Understanding personalisation: New aspects of design and consumption</w:t>
      </w:r>
      <w:r w:rsidRPr="0002351C">
        <w:rPr>
          <w:lang w:val="en-GB"/>
        </w:rPr>
        <w:t>, pp.169-189.</w:t>
      </w:r>
    </w:p>
    <w:p w14:paraId="2651062B" w14:textId="77777777" w:rsidR="00C21E15" w:rsidRPr="0002351C" w:rsidRDefault="00000000">
      <w:pPr>
        <w:spacing w:before="240"/>
        <w:rPr>
          <w:lang w:val="en-GB"/>
        </w:rPr>
      </w:pPr>
      <w:r w:rsidRPr="0002351C">
        <w:rPr>
          <w:lang w:val="en-GB"/>
        </w:rPr>
        <w:t xml:space="preserve">Lindskov, A., (2022). ‘Hypercompetition: a review and agenda for future research.’ </w:t>
      </w:r>
      <w:r w:rsidRPr="0002351C">
        <w:rPr>
          <w:i/>
          <w:lang w:val="en-GB"/>
        </w:rPr>
        <w:t>Competitiveness Review: An International Business Journal</w:t>
      </w:r>
      <w:r w:rsidRPr="0002351C">
        <w:rPr>
          <w:lang w:val="en-GB"/>
        </w:rPr>
        <w:t xml:space="preserve">, </w:t>
      </w:r>
      <w:r w:rsidRPr="0002351C">
        <w:rPr>
          <w:i/>
          <w:lang w:val="en-GB"/>
        </w:rPr>
        <w:t>32</w:t>
      </w:r>
      <w:r w:rsidRPr="0002351C">
        <w:rPr>
          <w:lang w:val="en-GB"/>
        </w:rPr>
        <w:t>(3), pp.391-427.</w:t>
      </w:r>
    </w:p>
    <w:p w14:paraId="0D665400" w14:textId="77777777" w:rsidR="00C21E15" w:rsidRPr="0002351C" w:rsidRDefault="00000000">
      <w:pPr>
        <w:spacing w:before="240"/>
        <w:rPr>
          <w:lang w:val="en-GB"/>
        </w:rPr>
      </w:pPr>
      <w:proofErr w:type="spellStart"/>
      <w:r w:rsidRPr="0002351C">
        <w:rPr>
          <w:lang w:val="en-GB"/>
        </w:rPr>
        <w:lastRenderedPageBreak/>
        <w:t>Madzík</w:t>
      </w:r>
      <w:proofErr w:type="spellEnd"/>
      <w:r w:rsidRPr="0002351C">
        <w:rPr>
          <w:lang w:val="en-GB"/>
        </w:rPr>
        <w:t xml:space="preserve">, P., </w:t>
      </w:r>
      <w:proofErr w:type="spellStart"/>
      <w:r w:rsidRPr="0002351C">
        <w:rPr>
          <w:lang w:val="en-GB"/>
        </w:rPr>
        <w:t>Čarnogurský</w:t>
      </w:r>
      <w:proofErr w:type="spellEnd"/>
      <w:r w:rsidRPr="0002351C">
        <w:rPr>
          <w:lang w:val="en-GB"/>
        </w:rPr>
        <w:t xml:space="preserve">, K., </w:t>
      </w:r>
      <w:proofErr w:type="spellStart"/>
      <w:r w:rsidRPr="0002351C">
        <w:rPr>
          <w:lang w:val="en-GB"/>
        </w:rPr>
        <w:t>Hrnčiar</w:t>
      </w:r>
      <w:proofErr w:type="spellEnd"/>
      <w:r w:rsidRPr="0002351C">
        <w:rPr>
          <w:lang w:val="en-GB"/>
        </w:rPr>
        <w:t xml:space="preserve">, M. and Zimon, D., 2021. Comparison of demographic, geographic, psychographic and behavioural approach to customer segmentation. </w:t>
      </w:r>
      <w:r w:rsidRPr="0002351C">
        <w:rPr>
          <w:i/>
          <w:lang w:val="en-GB"/>
        </w:rPr>
        <w:t>International Journal of Services and Operations Management</w:t>
      </w:r>
      <w:r w:rsidRPr="0002351C">
        <w:rPr>
          <w:lang w:val="en-GB"/>
        </w:rPr>
        <w:t xml:space="preserve">, </w:t>
      </w:r>
      <w:r w:rsidRPr="0002351C">
        <w:rPr>
          <w:i/>
          <w:lang w:val="en-GB"/>
        </w:rPr>
        <w:t>40</w:t>
      </w:r>
      <w:r w:rsidRPr="0002351C">
        <w:rPr>
          <w:lang w:val="en-GB"/>
        </w:rPr>
        <w:t>(3), pp.346-371.</w:t>
      </w:r>
    </w:p>
    <w:p w14:paraId="29B13634" w14:textId="77777777" w:rsidR="00C21E15" w:rsidRPr="0002351C" w:rsidRDefault="00000000">
      <w:pPr>
        <w:spacing w:before="240"/>
        <w:rPr>
          <w:lang w:val="en-GB"/>
        </w:rPr>
      </w:pPr>
      <w:r w:rsidRPr="0002351C">
        <w:rPr>
          <w:lang w:val="en-GB"/>
        </w:rPr>
        <w:t xml:space="preserve">Misra, R., Aggarwal, E., Mahajan, R. and Singh, A.B., (2024). ‘Branded Luxury Jewellery New Expression: An Interaction Of </w:t>
      </w:r>
      <w:proofErr w:type="spellStart"/>
      <w:r w:rsidRPr="0002351C">
        <w:rPr>
          <w:lang w:val="en-GB"/>
        </w:rPr>
        <w:t>Femvertising</w:t>
      </w:r>
      <w:proofErr w:type="spellEnd"/>
      <w:r w:rsidRPr="0002351C">
        <w:rPr>
          <w:lang w:val="en-GB"/>
        </w:rPr>
        <w:t xml:space="preserve">, Brand Image And Brand Love.’ </w:t>
      </w:r>
      <w:r w:rsidRPr="0002351C">
        <w:rPr>
          <w:i/>
          <w:lang w:val="en-GB"/>
        </w:rPr>
        <w:t>Management Research and Practice</w:t>
      </w:r>
      <w:r w:rsidRPr="0002351C">
        <w:rPr>
          <w:lang w:val="en-GB"/>
        </w:rPr>
        <w:t xml:space="preserve">, </w:t>
      </w:r>
      <w:r w:rsidRPr="0002351C">
        <w:rPr>
          <w:i/>
          <w:lang w:val="en-GB"/>
        </w:rPr>
        <w:t>16</w:t>
      </w:r>
      <w:r w:rsidRPr="0002351C">
        <w:rPr>
          <w:lang w:val="en-GB"/>
        </w:rPr>
        <w:t>(2), pp.66-79.</w:t>
      </w:r>
    </w:p>
    <w:p w14:paraId="0E793732" w14:textId="77777777" w:rsidR="00C21E15" w:rsidRPr="0002351C" w:rsidRDefault="00000000">
      <w:pPr>
        <w:spacing w:before="240"/>
        <w:rPr>
          <w:lang w:val="en-GB"/>
        </w:rPr>
      </w:pPr>
      <w:proofErr w:type="spellStart"/>
      <w:r w:rsidRPr="0002351C">
        <w:rPr>
          <w:lang w:val="en-GB"/>
        </w:rPr>
        <w:t>Morewedge</w:t>
      </w:r>
      <w:proofErr w:type="spellEnd"/>
      <w:r w:rsidRPr="0002351C">
        <w:rPr>
          <w:lang w:val="en-GB"/>
        </w:rPr>
        <w:t xml:space="preserve">, C.K., Monga, A., Palmatier, R.W., Shu, S.B. and Small, D.A., (2021). ‘Evolution of consumption: A psychological ownership framework.’ </w:t>
      </w:r>
      <w:r w:rsidRPr="0002351C">
        <w:rPr>
          <w:i/>
          <w:lang w:val="en-GB"/>
        </w:rPr>
        <w:t>Journal of Marketing</w:t>
      </w:r>
      <w:r w:rsidRPr="0002351C">
        <w:rPr>
          <w:lang w:val="en-GB"/>
        </w:rPr>
        <w:t xml:space="preserve">, </w:t>
      </w:r>
      <w:r w:rsidRPr="0002351C">
        <w:rPr>
          <w:i/>
          <w:lang w:val="en-GB"/>
        </w:rPr>
        <w:t>85</w:t>
      </w:r>
      <w:r w:rsidRPr="0002351C">
        <w:rPr>
          <w:lang w:val="en-GB"/>
        </w:rPr>
        <w:t>(1), pp.196-218.</w:t>
      </w:r>
    </w:p>
    <w:p w14:paraId="5B472585" w14:textId="77777777" w:rsidR="00C21E15" w:rsidRPr="0002351C" w:rsidRDefault="00000000">
      <w:pPr>
        <w:spacing w:before="240"/>
        <w:rPr>
          <w:lang w:val="en-GB"/>
        </w:rPr>
      </w:pPr>
      <w:proofErr w:type="spellStart"/>
      <w:r w:rsidRPr="0002351C">
        <w:rPr>
          <w:lang w:val="en-GB"/>
        </w:rPr>
        <w:t>Nadube</w:t>
      </w:r>
      <w:proofErr w:type="spellEnd"/>
      <w:r w:rsidRPr="0002351C">
        <w:rPr>
          <w:lang w:val="en-GB"/>
        </w:rPr>
        <w:t xml:space="preserve">, P.M. and Didia, J.U.D., (2018). ‘Market targeting and strategic positioning.’ </w:t>
      </w:r>
      <w:r w:rsidRPr="0002351C">
        <w:rPr>
          <w:i/>
          <w:lang w:val="en-GB"/>
        </w:rPr>
        <w:t>International Journal of Marketing Research and Management</w:t>
      </w:r>
      <w:r w:rsidRPr="0002351C">
        <w:rPr>
          <w:lang w:val="en-GB"/>
        </w:rPr>
        <w:t xml:space="preserve">, </w:t>
      </w:r>
      <w:r w:rsidRPr="0002351C">
        <w:rPr>
          <w:i/>
          <w:lang w:val="en-GB"/>
        </w:rPr>
        <w:t>8</w:t>
      </w:r>
      <w:r w:rsidRPr="0002351C">
        <w:rPr>
          <w:lang w:val="en-GB"/>
        </w:rPr>
        <w:t>(1), pp.32-45.</w:t>
      </w:r>
    </w:p>
    <w:p w14:paraId="53774D89" w14:textId="77777777" w:rsidR="00C21E15" w:rsidRPr="0002351C" w:rsidRDefault="00000000">
      <w:pPr>
        <w:spacing w:before="240"/>
        <w:rPr>
          <w:lang w:val="en-GB"/>
        </w:rPr>
      </w:pPr>
      <w:r w:rsidRPr="0002351C">
        <w:rPr>
          <w:lang w:val="en-GB"/>
        </w:rPr>
        <w:t xml:space="preserve">Office for National Statistics (2021). </w:t>
      </w:r>
      <w:r w:rsidRPr="0002351C">
        <w:rPr>
          <w:i/>
          <w:lang w:val="en-GB"/>
        </w:rPr>
        <w:t>Ethnicity - Office for National Statistics</w:t>
      </w:r>
      <w:r w:rsidRPr="0002351C">
        <w:rPr>
          <w:lang w:val="en-GB"/>
        </w:rPr>
        <w:t>. Available at:</w:t>
      </w:r>
      <w:hyperlink r:id="rId20">
        <w:r w:rsidR="00C21E15" w:rsidRPr="0002351C">
          <w:rPr>
            <w:lang w:val="en-GB"/>
          </w:rPr>
          <w:t xml:space="preserve"> </w:t>
        </w:r>
      </w:hyperlink>
      <w:hyperlink r:id="rId21">
        <w:r w:rsidR="00C21E15" w:rsidRPr="0002351C">
          <w:rPr>
            <w:color w:val="1155CC"/>
            <w:u w:val="single"/>
            <w:lang w:val="en-GB"/>
          </w:rPr>
          <w:t>https://www.ons.gov.uk/peoplepopulationandcommunity/culturalidentity/ethnicity</w:t>
        </w:r>
      </w:hyperlink>
      <w:r w:rsidRPr="0002351C">
        <w:rPr>
          <w:lang w:val="en-GB"/>
        </w:rPr>
        <w:t>. [accessed 15 April 2025]</w:t>
      </w:r>
    </w:p>
    <w:p w14:paraId="22E66207" w14:textId="77777777" w:rsidR="00C21E15" w:rsidRPr="0002351C" w:rsidRDefault="00000000">
      <w:pPr>
        <w:spacing w:before="240"/>
        <w:rPr>
          <w:lang w:val="en-GB"/>
        </w:rPr>
      </w:pPr>
      <w:r w:rsidRPr="0002351C">
        <w:rPr>
          <w:lang w:val="en-GB"/>
        </w:rPr>
        <w:t xml:space="preserve">Office for National Statistics (2025). </w:t>
      </w:r>
      <w:r w:rsidRPr="0002351C">
        <w:rPr>
          <w:i/>
          <w:lang w:val="en-GB"/>
        </w:rPr>
        <w:t>Indian population in the UK - Office for National Statistics.</w:t>
      </w:r>
      <w:r w:rsidRPr="0002351C">
        <w:rPr>
          <w:lang w:val="en-GB"/>
        </w:rPr>
        <w:t xml:space="preserve"> Available at:</w:t>
      </w:r>
      <w:hyperlink r:id="rId22" w:anchor=":~:text=Migration%20status%20and%20annual%20flow,in%20year%20ending%20June%202024">
        <w:r w:rsidR="00C21E15" w:rsidRPr="0002351C">
          <w:rPr>
            <w:lang w:val="en-GB"/>
          </w:rPr>
          <w:t xml:space="preserve"> </w:t>
        </w:r>
      </w:hyperlink>
      <w:hyperlink r:id="rId23" w:anchor=":~:text=Migration%20status%20and%20annual%20flow,in%20year%20ending%20June%202024">
        <w:r w:rsidR="00C21E15" w:rsidRPr="0002351C">
          <w:rPr>
            <w:color w:val="1155CC"/>
            <w:u w:val="single"/>
            <w:lang w:val="en-GB"/>
          </w:rPr>
          <w:t>https://www.ons.gov.uk/aboutus/transparencyandgovernance/freedomofinformationfoi/indianpopulationintheuk#:~:text=Migration%20status%20and%20annual%20flow,in%20year%20ending%20June%202024</w:t>
        </w:r>
      </w:hyperlink>
      <w:r w:rsidRPr="0002351C">
        <w:rPr>
          <w:lang w:val="en-GB"/>
        </w:rPr>
        <w:t>. [accessed 15 April 2025]</w:t>
      </w:r>
    </w:p>
    <w:p w14:paraId="7B4B778A" w14:textId="77777777" w:rsidR="00C21E15" w:rsidRPr="0002351C" w:rsidRDefault="00000000">
      <w:pPr>
        <w:spacing w:before="240"/>
        <w:rPr>
          <w:lang w:val="en-GB"/>
        </w:rPr>
      </w:pPr>
      <w:proofErr w:type="spellStart"/>
      <w:r w:rsidRPr="0002351C">
        <w:rPr>
          <w:lang w:val="en-GB"/>
        </w:rPr>
        <w:t>Okul</w:t>
      </w:r>
      <w:proofErr w:type="spellEnd"/>
      <w:r w:rsidRPr="0002351C">
        <w:rPr>
          <w:lang w:val="en-GB"/>
        </w:rPr>
        <w:t xml:space="preserve">, E.S., (2024). </w:t>
      </w:r>
      <w:r w:rsidRPr="0002351C">
        <w:rPr>
          <w:i/>
          <w:lang w:val="en-GB"/>
        </w:rPr>
        <w:t>Design Solutions for Green Walls in Interior Spaces</w:t>
      </w:r>
      <w:r w:rsidRPr="0002351C">
        <w:rPr>
          <w:lang w:val="en-GB"/>
        </w:rPr>
        <w:t xml:space="preserve"> (Doctoral dissertation, </w:t>
      </w:r>
      <w:proofErr w:type="spellStart"/>
      <w:r w:rsidRPr="0002351C">
        <w:rPr>
          <w:lang w:val="en-GB"/>
        </w:rPr>
        <w:t>Politecnico</w:t>
      </w:r>
      <w:proofErr w:type="spellEnd"/>
      <w:r w:rsidRPr="0002351C">
        <w:rPr>
          <w:lang w:val="en-GB"/>
        </w:rPr>
        <w:t xml:space="preserve"> di Torino).</w:t>
      </w:r>
    </w:p>
    <w:p w14:paraId="1935D089" w14:textId="77777777" w:rsidR="00C21E15" w:rsidRPr="0002351C" w:rsidRDefault="00000000">
      <w:pPr>
        <w:spacing w:before="240"/>
        <w:rPr>
          <w:lang w:val="en-GB"/>
        </w:rPr>
      </w:pPr>
      <w:r w:rsidRPr="0002351C">
        <w:rPr>
          <w:lang w:val="en-GB"/>
        </w:rPr>
        <w:t xml:space="preserve">Razak, I., (2023). ‘Blue Ocean Strategy: Marketing Strategy to achieve Competitive Advantage.’ </w:t>
      </w:r>
      <w:proofErr w:type="spellStart"/>
      <w:r w:rsidRPr="0002351C">
        <w:rPr>
          <w:i/>
          <w:lang w:val="en-GB"/>
        </w:rPr>
        <w:t>Jurnal</w:t>
      </w:r>
      <w:proofErr w:type="spellEnd"/>
      <w:r w:rsidRPr="0002351C">
        <w:rPr>
          <w:i/>
          <w:lang w:val="en-GB"/>
        </w:rPr>
        <w:t xml:space="preserve"> Sosial Sains dan </w:t>
      </w:r>
      <w:proofErr w:type="spellStart"/>
      <w:r w:rsidRPr="0002351C">
        <w:rPr>
          <w:i/>
          <w:lang w:val="en-GB"/>
        </w:rPr>
        <w:t>Komunikasi</w:t>
      </w:r>
      <w:proofErr w:type="spellEnd"/>
      <w:r w:rsidRPr="0002351C">
        <w:rPr>
          <w:lang w:val="en-GB"/>
        </w:rPr>
        <w:t xml:space="preserve">, </w:t>
      </w:r>
      <w:r w:rsidRPr="0002351C">
        <w:rPr>
          <w:i/>
          <w:lang w:val="en-GB"/>
        </w:rPr>
        <w:t>2</w:t>
      </w:r>
      <w:r w:rsidRPr="0002351C">
        <w:rPr>
          <w:lang w:val="en-GB"/>
        </w:rPr>
        <w:t>(1), pp.115-122.</w:t>
      </w:r>
    </w:p>
    <w:p w14:paraId="408DE4B9" w14:textId="77777777" w:rsidR="00C21E15" w:rsidRPr="0002351C" w:rsidRDefault="00000000">
      <w:pPr>
        <w:spacing w:before="240"/>
        <w:rPr>
          <w:lang w:val="en-GB"/>
        </w:rPr>
      </w:pPr>
      <w:r w:rsidRPr="0002351C">
        <w:rPr>
          <w:lang w:val="en-GB"/>
        </w:rPr>
        <w:t xml:space="preserve">Saputra, M.H., </w:t>
      </w:r>
      <w:proofErr w:type="spellStart"/>
      <w:r w:rsidRPr="0002351C">
        <w:rPr>
          <w:lang w:val="en-GB"/>
        </w:rPr>
        <w:t>Ardyan</w:t>
      </w:r>
      <w:proofErr w:type="spellEnd"/>
      <w:r w:rsidRPr="0002351C">
        <w:rPr>
          <w:lang w:val="en-GB"/>
        </w:rPr>
        <w:t xml:space="preserve">, E., Tanesia, C.Y. and </w:t>
      </w:r>
      <w:proofErr w:type="spellStart"/>
      <w:r w:rsidRPr="0002351C">
        <w:rPr>
          <w:lang w:val="en-GB"/>
        </w:rPr>
        <w:t>Ariningsih</w:t>
      </w:r>
      <w:proofErr w:type="spellEnd"/>
      <w:r w:rsidRPr="0002351C">
        <w:rPr>
          <w:lang w:val="en-GB"/>
        </w:rPr>
        <w:t xml:space="preserve">, E.P., (2021). ‘BUILDING BRAND RESONANCE: OPTIMIZING SYMBOLIC BRAND REPUTATION AND CUSTOMERS’EMOTIONAL VALUE.’ </w:t>
      </w:r>
      <w:r w:rsidRPr="0002351C">
        <w:rPr>
          <w:i/>
          <w:lang w:val="en-GB"/>
        </w:rPr>
        <w:t>ASEAN Marketing Journal</w:t>
      </w:r>
      <w:r w:rsidRPr="0002351C">
        <w:rPr>
          <w:lang w:val="en-GB"/>
        </w:rPr>
        <w:t xml:space="preserve">, </w:t>
      </w:r>
      <w:r w:rsidRPr="0002351C">
        <w:rPr>
          <w:i/>
          <w:lang w:val="en-GB"/>
        </w:rPr>
        <w:t>13</w:t>
      </w:r>
      <w:r w:rsidRPr="0002351C">
        <w:rPr>
          <w:lang w:val="en-GB"/>
        </w:rPr>
        <w:t>(2), p.5.</w:t>
      </w:r>
    </w:p>
    <w:p w14:paraId="1E8C5597" w14:textId="77777777" w:rsidR="00C21E15" w:rsidRPr="0002351C" w:rsidRDefault="00000000">
      <w:pPr>
        <w:spacing w:before="240"/>
        <w:rPr>
          <w:lang w:val="en-GB"/>
        </w:rPr>
      </w:pPr>
      <w:r w:rsidRPr="0002351C">
        <w:rPr>
          <w:lang w:val="en-GB"/>
        </w:rPr>
        <w:lastRenderedPageBreak/>
        <w:t xml:space="preserve">Statista (2025) </w:t>
      </w:r>
      <w:r w:rsidRPr="0002351C">
        <w:rPr>
          <w:i/>
          <w:lang w:val="en-GB"/>
        </w:rPr>
        <w:t>Home décor - United Kingdom | Statista market forecast</w:t>
      </w:r>
      <w:r w:rsidRPr="0002351C">
        <w:rPr>
          <w:lang w:val="en-GB"/>
        </w:rPr>
        <w:t>. Available at:</w:t>
      </w:r>
      <w:hyperlink r:id="rId24">
        <w:r w:rsidR="00C21E15" w:rsidRPr="0002351C">
          <w:rPr>
            <w:lang w:val="en-GB"/>
          </w:rPr>
          <w:t xml:space="preserve"> </w:t>
        </w:r>
      </w:hyperlink>
      <w:hyperlink r:id="rId25">
        <w:r w:rsidR="00C21E15" w:rsidRPr="0002351C">
          <w:rPr>
            <w:color w:val="1155CC"/>
            <w:u w:val="single"/>
            <w:lang w:val="en-GB"/>
          </w:rPr>
          <w:t>https://www.statista.com/outlook/cmo/furniture/home-decor/united-kingdom</w:t>
        </w:r>
      </w:hyperlink>
      <w:r w:rsidRPr="0002351C">
        <w:rPr>
          <w:lang w:val="en-GB"/>
        </w:rPr>
        <w:t>. [accessed 15 April 2025]</w:t>
      </w:r>
    </w:p>
    <w:p w14:paraId="08BC472B" w14:textId="77777777" w:rsidR="00C21E15" w:rsidRPr="0002351C" w:rsidRDefault="00000000">
      <w:pPr>
        <w:spacing w:before="240"/>
        <w:rPr>
          <w:lang w:val="en-GB"/>
        </w:rPr>
      </w:pPr>
      <w:r w:rsidRPr="0002351C">
        <w:rPr>
          <w:lang w:val="en-GB"/>
        </w:rPr>
        <w:t xml:space="preserve">Subrahmanyam, S. and Arif, S.A.F., (2022). ‘PREMIUM PRICING STRATEGY AND CUSTOMER RETENTION-AN ANALYSIS.’ </w:t>
      </w:r>
      <w:r w:rsidRPr="0002351C">
        <w:rPr>
          <w:i/>
          <w:lang w:val="en-GB"/>
        </w:rPr>
        <w:t>International Journal of Early Childhood Special Education</w:t>
      </w:r>
      <w:r w:rsidRPr="0002351C">
        <w:rPr>
          <w:lang w:val="en-GB"/>
        </w:rPr>
        <w:t xml:space="preserve">, </w:t>
      </w:r>
      <w:r w:rsidRPr="0002351C">
        <w:rPr>
          <w:i/>
          <w:lang w:val="en-GB"/>
        </w:rPr>
        <w:t>14</w:t>
      </w:r>
      <w:r w:rsidRPr="0002351C">
        <w:rPr>
          <w:lang w:val="en-GB"/>
        </w:rPr>
        <w:t>(3).</w:t>
      </w:r>
    </w:p>
    <w:p w14:paraId="3A02F0C6" w14:textId="77777777" w:rsidR="00C21E15" w:rsidRPr="0002351C" w:rsidRDefault="00000000">
      <w:pPr>
        <w:spacing w:before="240"/>
        <w:rPr>
          <w:lang w:val="en-GB"/>
        </w:rPr>
      </w:pPr>
      <w:proofErr w:type="spellStart"/>
      <w:r w:rsidRPr="0002351C">
        <w:rPr>
          <w:lang w:val="en-GB"/>
        </w:rPr>
        <w:t>Titancompany</w:t>
      </w:r>
      <w:proofErr w:type="spellEnd"/>
      <w:r w:rsidRPr="0002351C">
        <w:rPr>
          <w:lang w:val="en-GB"/>
        </w:rPr>
        <w:t xml:space="preserve">, (2025). </w:t>
      </w:r>
      <w:r w:rsidRPr="0002351C">
        <w:rPr>
          <w:i/>
          <w:lang w:val="en-GB"/>
        </w:rPr>
        <w:t>Tanishq Jewellery by Titan Company</w:t>
      </w:r>
      <w:r w:rsidRPr="0002351C">
        <w:rPr>
          <w:lang w:val="en-GB"/>
        </w:rPr>
        <w:t>. Available at:</w:t>
      </w:r>
      <w:hyperlink r:id="rId26">
        <w:r w:rsidR="00C21E15" w:rsidRPr="0002351C">
          <w:rPr>
            <w:lang w:val="en-GB"/>
          </w:rPr>
          <w:t xml:space="preserve"> </w:t>
        </w:r>
      </w:hyperlink>
      <w:hyperlink r:id="rId27">
        <w:r w:rsidR="00C21E15" w:rsidRPr="0002351C">
          <w:rPr>
            <w:color w:val="1155CC"/>
            <w:u w:val="single"/>
            <w:lang w:val="en-GB"/>
          </w:rPr>
          <w:t>https://www.titancompany.in/our-brands/tanishq</w:t>
        </w:r>
      </w:hyperlink>
      <w:r w:rsidRPr="0002351C">
        <w:rPr>
          <w:lang w:val="en-GB"/>
        </w:rPr>
        <w:t xml:space="preserve"> [accessed 15 April 2025]</w:t>
      </w:r>
    </w:p>
    <w:p w14:paraId="1DDB9F98" w14:textId="77777777" w:rsidR="00C21E15" w:rsidRPr="0002351C" w:rsidRDefault="00000000">
      <w:pPr>
        <w:spacing w:before="240"/>
        <w:rPr>
          <w:lang w:val="en-GB"/>
        </w:rPr>
      </w:pPr>
      <w:r w:rsidRPr="0002351C">
        <w:rPr>
          <w:lang w:val="en-GB"/>
        </w:rPr>
        <w:t xml:space="preserve">Ungerman, O. and Burešová, J., (2022). ‘Extending a Brand into Another Segment as a Means of Gaining a Competitive Advantage.’ </w:t>
      </w:r>
      <w:r w:rsidRPr="0002351C">
        <w:rPr>
          <w:i/>
          <w:lang w:val="en-GB"/>
        </w:rPr>
        <w:t>Journal of Competitiveness</w:t>
      </w:r>
      <w:r w:rsidRPr="0002351C">
        <w:rPr>
          <w:lang w:val="en-GB"/>
        </w:rPr>
        <w:t xml:space="preserve">, </w:t>
      </w:r>
      <w:r w:rsidRPr="0002351C">
        <w:rPr>
          <w:i/>
          <w:lang w:val="en-GB"/>
        </w:rPr>
        <w:t>14</w:t>
      </w:r>
      <w:r w:rsidRPr="0002351C">
        <w:rPr>
          <w:lang w:val="en-GB"/>
        </w:rPr>
        <w:t>(4), p.137.</w:t>
      </w:r>
    </w:p>
    <w:p w14:paraId="0D863E86" w14:textId="77777777" w:rsidR="00C21E15" w:rsidRPr="0002351C" w:rsidRDefault="00000000">
      <w:pPr>
        <w:spacing w:before="240"/>
        <w:rPr>
          <w:lang w:val="en-GB"/>
        </w:rPr>
      </w:pPr>
      <w:r w:rsidRPr="0002351C">
        <w:rPr>
          <w:lang w:val="en-GB"/>
        </w:rPr>
        <w:t xml:space="preserve">Wan, X., (2022). ‘Omnichannel distribution to </w:t>
      </w:r>
      <w:proofErr w:type="spellStart"/>
      <w:r w:rsidRPr="0002351C">
        <w:rPr>
          <w:lang w:val="en-GB"/>
        </w:rPr>
        <w:t>fulfill</w:t>
      </w:r>
      <w:proofErr w:type="spellEnd"/>
      <w:r w:rsidRPr="0002351C">
        <w:rPr>
          <w:lang w:val="en-GB"/>
        </w:rPr>
        <w:t xml:space="preserve"> retail orders.’ </w:t>
      </w:r>
      <w:r w:rsidRPr="0002351C">
        <w:rPr>
          <w:i/>
          <w:lang w:val="en-GB"/>
        </w:rPr>
        <w:t>Manufacturing &amp; Service Operations Management</w:t>
      </w:r>
      <w:r w:rsidRPr="0002351C">
        <w:rPr>
          <w:lang w:val="en-GB"/>
        </w:rPr>
        <w:t xml:space="preserve">, </w:t>
      </w:r>
      <w:r w:rsidRPr="0002351C">
        <w:rPr>
          <w:i/>
          <w:lang w:val="en-GB"/>
        </w:rPr>
        <w:t>24</w:t>
      </w:r>
      <w:r w:rsidRPr="0002351C">
        <w:rPr>
          <w:lang w:val="en-GB"/>
        </w:rPr>
        <w:t>(4), pp.2150-2165.</w:t>
      </w:r>
    </w:p>
    <w:p w14:paraId="721945E9" w14:textId="77777777" w:rsidR="00C21E15" w:rsidRPr="0002351C" w:rsidRDefault="00C21E15">
      <w:pPr>
        <w:rPr>
          <w:lang w:val="en-GB"/>
        </w:rPr>
      </w:pPr>
    </w:p>
    <w:p w14:paraId="4E9BF46E" w14:textId="77777777" w:rsidR="00C21E15" w:rsidRPr="0002351C" w:rsidRDefault="00C21E15">
      <w:pPr>
        <w:rPr>
          <w:lang w:val="en-GB"/>
        </w:rPr>
      </w:pPr>
    </w:p>
    <w:p w14:paraId="4FFCF24E" w14:textId="77777777" w:rsidR="00C21E15" w:rsidRPr="0002351C" w:rsidRDefault="00C21E15">
      <w:pPr>
        <w:rPr>
          <w:lang w:val="en-GB"/>
        </w:rPr>
      </w:pPr>
    </w:p>
    <w:p w14:paraId="35E88C14" w14:textId="77777777" w:rsidR="00C21E15" w:rsidRPr="0002351C" w:rsidRDefault="00C21E15">
      <w:pPr>
        <w:rPr>
          <w:lang w:val="en-GB"/>
        </w:rPr>
      </w:pPr>
    </w:p>
    <w:p w14:paraId="3552AAC4" w14:textId="77777777" w:rsidR="00C21E15" w:rsidRPr="0002351C" w:rsidRDefault="00000000">
      <w:pPr>
        <w:rPr>
          <w:lang w:val="en-GB"/>
        </w:rPr>
      </w:pPr>
      <w:r w:rsidRPr="0002351C">
        <w:rPr>
          <w:lang w:val="en-GB"/>
        </w:rPr>
        <w:br/>
      </w:r>
    </w:p>
    <w:sectPr w:rsidR="00C21E15" w:rsidRPr="0002351C" w:rsidSect="0002351C">
      <w:footerReference w:type="default" r:id="rId28"/>
      <w:footerReference w:type="firs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9BEC8" w14:textId="77777777" w:rsidR="00561E13" w:rsidRDefault="00561E13">
      <w:pPr>
        <w:spacing w:before="0" w:line="240" w:lineRule="auto"/>
      </w:pPr>
      <w:r>
        <w:separator/>
      </w:r>
    </w:p>
  </w:endnote>
  <w:endnote w:type="continuationSeparator" w:id="0">
    <w:p w14:paraId="40E2010E" w14:textId="77777777" w:rsidR="00561E13" w:rsidRDefault="00561E13">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BBC87" w14:textId="77777777" w:rsidR="00C21E15"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02351C">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5C31A4" w14:textId="77777777" w:rsidR="00C21E15" w:rsidRDefault="00C21E1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A185A" w14:textId="77777777" w:rsidR="00561E13" w:rsidRDefault="00561E13">
      <w:pPr>
        <w:spacing w:before="0" w:line="240" w:lineRule="auto"/>
      </w:pPr>
      <w:r>
        <w:separator/>
      </w:r>
    </w:p>
  </w:footnote>
  <w:footnote w:type="continuationSeparator" w:id="0">
    <w:p w14:paraId="4C78705D" w14:textId="77777777" w:rsidR="00561E13" w:rsidRDefault="00561E13">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2525C6"/>
    <w:multiLevelType w:val="hybridMultilevel"/>
    <w:tmpl w:val="A8B00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87683D"/>
    <w:multiLevelType w:val="hybridMultilevel"/>
    <w:tmpl w:val="A38CE4F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6AE4402"/>
    <w:multiLevelType w:val="hybridMultilevel"/>
    <w:tmpl w:val="6346F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CA1A46"/>
    <w:multiLevelType w:val="hybridMultilevel"/>
    <w:tmpl w:val="6F8A7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FF6EBF"/>
    <w:multiLevelType w:val="hybridMultilevel"/>
    <w:tmpl w:val="CFB4B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2889511">
    <w:abstractNumId w:val="2"/>
  </w:num>
  <w:num w:numId="2" w16cid:durableId="1934317819">
    <w:abstractNumId w:val="3"/>
  </w:num>
  <w:num w:numId="3" w16cid:durableId="1482574109">
    <w:abstractNumId w:val="0"/>
  </w:num>
  <w:num w:numId="4" w16cid:durableId="684020092">
    <w:abstractNumId w:val="1"/>
  </w:num>
  <w:num w:numId="5" w16cid:durableId="12912104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1E15"/>
    <w:rsid w:val="0002351C"/>
    <w:rsid w:val="002816AA"/>
    <w:rsid w:val="002B792A"/>
    <w:rsid w:val="003105D0"/>
    <w:rsid w:val="003666FC"/>
    <w:rsid w:val="005049FE"/>
    <w:rsid w:val="00561E13"/>
    <w:rsid w:val="00573466"/>
    <w:rsid w:val="006B6E60"/>
    <w:rsid w:val="006D3154"/>
    <w:rsid w:val="006F663A"/>
    <w:rsid w:val="00714748"/>
    <w:rsid w:val="007C5A1D"/>
    <w:rsid w:val="00B81590"/>
    <w:rsid w:val="00C21E15"/>
    <w:rsid w:val="00C348C6"/>
    <w:rsid w:val="00CC73A5"/>
    <w:rsid w:val="00D0407B"/>
    <w:rsid w:val="00E61EB1"/>
    <w:rsid w:val="00F659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78FD3"/>
  <w15:docId w15:val="{90414976-2835-4C7D-9D5D-F66E87D29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B792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B792A"/>
    <w:pPr>
      <w:spacing w:after="100"/>
    </w:pPr>
  </w:style>
  <w:style w:type="character" w:styleId="Hyperlink">
    <w:name w:val="Hyperlink"/>
    <w:basedOn w:val="DefaultParagraphFont"/>
    <w:uiPriority w:val="99"/>
    <w:unhideWhenUsed/>
    <w:rsid w:val="002B792A"/>
    <w:rPr>
      <w:color w:val="0000FF" w:themeColor="hyperlink"/>
      <w:u w:val="single"/>
    </w:rPr>
  </w:style>
  <w:style w:type="paragraph" w:styleId="ListParagraph">
    <w:name w:val="List Paragraph"/>
    <w:basedOn w:val="Normal"/>
    <w:uiPriority w:val="34"/>
    <w:qFormat/>
    <w:rsid w:val="006D31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randviewresearch.com/horizon/outlook/home-furnishing-market/uk" TargetMode="External"/><Relationship Id="rId26" Type="http://schemas.openxmlformats.org/officeDocument/2006/relationships/hyperlink" Target="https://www.titancompany.in/our-brands/tanishq" TargetMode="External"/><Relationship Id="rId3" Type="http://schemas.openxmlformats.org/officeDocument/2006/relationships/styles" Target="styles.xml"/><Relationship Id="rId21" Type="http://schemas.openxmlformats.org/officeDocument/2006/relationships/hyperlink" Target="https://www.ons.gov.uk/peoplepopulationandcommunity/culturalidentity/ethnicit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erkeleygroup.co.uk/about-us" TargetMode="External"/><Relationship Id="rId25" Type="http://schemas.openxmlformats.org/officeDocument/2006/relationships/hyperlink" Target="https://www.statista.com/outlook/cmo/furniture/home-decor/united-kingdom" TargetMode="External"/><Relationship Id="rId2" Type="http://schemas.openxmlformats.org/officeDocument/2006/relationships/numbering" Target="numbering.xml"/><Relationship Id="rId16" Type="http://schemas.openxmlformats.org/officeDocument/2006/relationships/hyperlink" Target="https://www.berkeleygroup.co.uk/about-us" TargetMode="External"/><Relationship Id="rId20" Type="http://schemas.openxmlformats.org/officeDocument/2006/relationships/hyperlink" Target="https://www.ons.gov.uk/peoplepopulationandcommunity/culturalidentity/ethnicity"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outlook/cmo/furniture/home-decor/united-kingdom" TargetMode="External"/><Relationship Id="rId5" Type="http://schemas.openxmlformats.org/officeDocument/2006/relationships/webSettings" Target="webSettings.xml"/><Relationship Id="rId15" Type="http://schemas.openxmlformats.org/officeDocument/2006/relationships/hyperlink" Target="https://www.bbc.co.uk/creativediversity/nuance-in-bame/indian/" TargetMode="External"/><Relationship Id="rId23" Type="http://schemas.openxmlformats.org/officeDocument/2006/relationships/hyperlink" Target="https://www.ons.gov.uk/aboutus/transparencyandgovernance/freedomofinformationfoi/indianpopulationintheuk"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grandviewresearch.com/horizon/outlook/home-furnishing-market/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creativediversity/nuance-in-bame/indian/" TargetMode="External"/><Relationship Id="rId22" Type="http://schemas.openxmlformats.org/officeDocument/2006/relationships/hyperlink" Target="https://www.ons.gov.uk/aboutus/transparencyandgovernance/freedomofinformationfoi/indianpopulationintheuk" TargetMode="External"/><Relationship Id="rId27" Type="http://schemas.openxmlformats.org/officeDocument/2006/relationships/hyperlink" Target="https://www.titancompany.in/our-brands/tanishq"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BB2A7-8493-4EFF-BBD9-95B270FFA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16</Pages>
  <Words>3546</Words>
  <Characters>20213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RajnikGoganbhai Bhanderi</cp:lastModifiedBy>
  <cp:revision>11</cp:revision>
  <dcterms:created xsi:type="dcterms:W3CDTF">2025-04-15T14:11:00Z</dcterms:created>
  <dcterms:modified xsi:type="dcterms:W3CDTF">2025-04-27T19:57:00Z</dcterms:modified>
</cp:coreProperties>
</file>