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CACBE3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6E638C">
              <w:rPr>
                <w:rFonts w:ascii="Tahoma" w:hAnsi="Tahoma" w:cs="Tahoma"/>
                <w:b/>
                <w:sz w:val="20"/>
                <w:szCs w:val="20"/>
              </w:rPr>
              <w:t>Romel</w:t>
            </w:r>
            <w:proofErr w:type="spellEnd"/>
            <w:r w:rsidR="006E638C">
              <w:rPr>
                <w:rFonts w:ascii="Tahoma" w:hAnsi="Tahoma" w:cs="Tahoma"/>
                <w:b/>
                <w:sz w:val="20"/>
                <w:szCs w:val="20"/>
              </w:rPr>
              <w:t xml:space="preserve"> </w:t>
            </w:r>
            <w:proofErr w:type="spellStart"/>
            <w:r w:rsidR="006E638C">
              <w:rPr>
                <w:rFonts w:ascii="Tahoma" w:hAnsi="Tahoma" w:cs="Tahoma"/>
                <w:b/>
                <w:sz w:val="20"/>
                <w:szCs w:val="20"/>
              </w:rPr>
              <w:t>Bidhan</w:t>
            </w:r>
            <w:proofErr w:type="spellEnd"/>
            <w:r w:rsidR="006E638C">
              <w:rPr>
                <w:rFonts w:ascii="Tahoma" w:hAnsi="Tahoma" w:cs="Tahoma"/>
                <w:b/>
                <w:sz w:val="20"/>
                <w:szCs w:val="20"/>
              </w:rPr>
              <w:t xml:space="preserve"> </w:t>
            </w:r>
            <w:proofErr w:type="spellStart"/>
            <w:r w:rsidR="006E638C">
              <w:rPr>
                <w:rFonts w:ascii="Tahoma" w:hAnsi="Tahoma" w:cs="Tahoma"/>
                <w:b/>
                <w:sz w:val="20"/>
                <w:szCs w:val="20"/>
              </w:rPr>
              <w:t>Shawjal</w:t>
            </w:r>
            <w:proofErr w:type="spellEnd"/>
          </w:p>
          <w:p w14:paraId="498F0B10" w14:textId="77777777" w:rsidR="001B69C8" w:rsidRPr="003C3341" w:rsidRDefault="001B69C8">
            <w:pPr>
              <w:rPr>
                <w:rFonts w:ascii="Tahoma" w:hAnsi="Tahoma" w:cs="Tahoma"/>
                <w:b/>
                <w:sz w:val="20"/>
                <w:szCs w:val="20"/>
              </w:rPr>
            </w:pPr>
          </w:p>
          <w:p w14:paraId="69E1F0CF" w14:textId="2A09467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E638C">
              <w:rPr>
                <w:rFonts w:ascii="Tahoma" w:hAnsi="Tahoma" w:cs="Tahoma"/>
                <w:b/>
                <w:sz w:val="20"/>
                <w:szCs w:val="20"/>
              </w:rPr>
              <w:t>2019166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0E186A5"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E638C">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26F736F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6E638C">
              <w:rPr>
                <w:rFonts w:ascii="Tahoma" w:hAnsi="Tahoma" w:cs="Tahoma"/>
                <w:b/>
                <w:sz w:val="20"/>
                <w:szCs w:val="20"/>
              </w:rPr>
              <w:t>Ryan Peter</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150A763"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6E638C">
              <w:rPr>
                <w:rFonts w:ascii="Tahoma" w:hAnsi="Tahoma" w:cs="Tahoma"/>
                <w:b/>
                <w:sz w:val="20"/>
                <w:szCs w:val="20"/>
              </w:rPr>
              <w:t>Allergies and Intolerances and the importance within the industry</w:t>
            </w:r>
            <w:bookmarkStart w:id="0" w:name="_GoBack"/>
            <w:bookmarkEnd w:id="0"/>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2E2B3A9D" w14:textId="1B350B45" w:rsidR="003D5F11" w:rsidRDefault="003D5F11" w:rsidP="003D5F11">
            <w:pPr>
              <w:spacing w:line="360" w:lineRule="auto"/>
              <w:jc w:val="both"/>
              <w:rPr>
                <w:rFonts w:ascii="Arial" w:hAnsi="Arial" w:cs="Arial"/>
              </w:rPr>
            </w:pPr>
            <w:r w:rsidRPr="003D5F11">
              <w:rPr>
                <w:rFonts w:ascii="Arial" w:hAnsi="Arial" w:cs="Arial"/>
              </w:rPr>
              <w:t>Having solid feelings is all acceptable; it's our overreacting that gets us into problems, as Alber Ellis famously remarked</w:t>
            </w:r>
            <w:r>
              <w:rPr>
                <w:rFonts w:ascii="Arial" w:hAnsi="Arial" w:cs="Arial"/>
              </w:rPr>
              <w:t xml:space="preserve"> (</w:t>
            </w:r>
            <w:proofErr w:type="spellStart"/>
            <w:r w:rsidRPr="003D5F11">
              <w:rPr>
                <w:rFonts w:ascii="Arial" w:hAnsi="Arial" w:cs="Arial"/>
              </w:rPr>
              <w:t>Takasato</w:t>
            </w:r>
            <w:proofErr w:type="spellEnd"/>
            <w:r w:rsidRPr="003D5F11">
              <w:rPr>
                <w:rFonts w:ascii="Arial" w:hAnsi="Arial" w:cs="Arial"/>
              </w:rPr>
              <w:t>,</w:t>
            </w:r>
            <w:r>
              <w:rPr>
                <w:rFonts w:ascii="Arial" w:hAnsi="Arial" w:cs="Arial"/>
              </w:rPr>
              <w:t xml:space="preserve"> 2021)</w:t>
            </w:r>
            <w:r w:rsidRPr="003D5F11">
              <w:rPr>
                <w:rFonts w:ascii="Arial" w:hAnsi="Arial" w:cs="Arial"/>
              </w:rPr>
              <w:t>. According to this saying, overreacting may seriously affect our health and even put our lives in danger. Let me first mention the things we covered in class this week before going into further depth. We learned about food intolerance and celiac disease in class this week. When the body reacts strongly to a particular food, this is known as Food Allergy</w:t>
            </w:r>
            <w:r>
              <w:rPr>
                <w:rFonts w:ascii="Arial" w:hAnsi="Arial" w:cs="Arial"/>
              </w:rPr>
              <w:t xml:space="preserve"> (</w:t>
            </w:r>
            <w:proofErr w:type="spellStart"/>
            <w:r w:rsidRPr="003D5F11">
              <w:rPr>
                <w:rFonts w:ascii="Arial" w:hAnsi="Arial" w:cs="Arial"/>
              </w:rPr>
              <w:t>Satitsuksanoa</w:t>
            </w:r>
            <w:proofErr w:type="spellEnd"/>
            <w:r w:rsidRPr="003D5F11">
              <w:rPr>
                <w:rFonts w:ascii="Arial" w:hAnsi="Arial" w:cs="Arial"/>
              </w:rPr>
              <w:t>,</w:t>
            </w:r>
            <w:r>
              <w:rPr>
                <w:rFonts w:ascii="Arial" w:hAnsi="Arial" w:cs="Arial"/>
              </w:rPr>
              <w:t xml:space="preserve"> 2021)</w:t>
            </w:r>
            <w:r w:rsidRPr="003D5F11">
              <w:rPr>
                <w:rFonts w:ascii="Arial" w:hAnsi="Arial" w:cs="Arial"/>
              </w:rPr>
              <w:t>. An allergy may impact the whole body, sometimes within minutes of contact with the allergen and sometimes hours or days afterwards. In the case of the coeliac syndrome, the gut reacts to gluten in a way that prevents the body from absorbing carbs and vitamins, which may manifest themselves in a variety of ways. Nausea, coughing, dysentery, as well as weight loss, dry mouth, and hair loss are just a few of the symptoms that may occur</w:t>
            </w:r>
            <w:r>
              <w:rPr>
                <w:rFonts w:ascii="Arial" w:hAnsi="Arial" w:cs="Arial"/>
              </w:rPr>
              <w:t xml:space="preserve"> (</w:t>
            </w:r>
            <w:r w:rsidRPr="003D5F11">
              <w:rPr>
                <w:rFonts w:ascii="Arial" w:hAnsi="Arial" w:cs="Arial"/>
              </w:rPr>
              <w:t>Jungles,</w:t>
            </w:r>
            <w:r>
              <w:rPr>
                <w:rFonts w:ascii="Arial" w:hAnsi="Arial" w:cs="Arial"/>
              </w:rPr>
              <w:t xml:space="preserve"> 2021)</w:t>
            </w:r>
            <w:r w:rsidRPr="003D5F11">
              <w:rPr>
                <w:rFonts w:ascii="Arial" w:hAnsi="Arial" w:cs="Arial"/>
              </w:rPr>
              <w:t xml:space="preserve">. People who suffer from food intolerances cannot correctly digest their meals due to a lack of responses in the digestive system that trigger the reaction. Eating intolerances and </w:t>
            </w:r>
            <w:proofErr w:type="spellStart"/>
            <w:r w:rsidRPr="003D5F11">
              <w:rPr>
                <w:rFonts w:ascii="Arial" w:hAnsi="Arial" w:cs="Arial"/>
              </w:rPr>
              <w:t>anticorps</w:t>
            </w:r>
            <w:proofErr w:type="spellEnd"/>
            <w:r w:rsidRPr="003D5F11">
              <w:rPr>
                <w:rFonts w:ascii="Arial" w:hAnsi="Arial" w:cs="Arial"/>
              </w:rPr>
              <w:t xml:space="preserve"> are fighting one other because of a malfunctioning immune system. Anaphylaxis, a potentially fatal allergic response, is yet another subject we've covered. In most cases, it occurs when a person is exposed to an allergen that has a severe reaction. Although anaphylaxis is not always considered an emergency medical situation, it should nevertheless be handled as such. </w:t>
            </w:r>
          </w:p>
          <w:p w14:paraId="4B2AFE9E" w14:textId="77777777" w:rsidR="003D5F11" w:rsidRPr="003D5F11" w:rsidRDefault="003D5F11" w:rsidP="003D5F11">
            <w:pPr>
              <w:spacing w:line="360" w:lineRule="auto"/>
              <w:jc w:val="both"/>
              <w:rPr>
                <w:rFonts w:ascii="Arial" w:hAnsi="Arial" w:cs="Arial"/>
              </w:rPr>
            </w:pPr>
          </w:p>
          <w:p w14:paraId="4B7461B7" w14:textId="146F0224" w:rsidR="003D5F11" w:rsidRPr="003D5F11" w:rsidRDefault="003D5F11" w:rsidP="003D5F11">
            <w:pPr>
              <w:spacing w:line="360" w:lineRule="auto"/>
              <w:jc w:val="both"/>
              <w:rPr>
                <w:rFonts w:ascii="Arial" w:hAnsi="Arial" w:cs="Arial"/>
              </w:rPr>
            </w:pPr>
            <w:r w:rsidRPr="003D5F11">
              <w:rPr>
                <w:rFonts w:ascii="Arial" w:hAnsi="Arial" w:cs="Arial"/>
              </w:rPr>
              <w:lastRenderedPageBreak/>
              <w:t>To deal with this pressing issue, the UK government passed the FIR legislation in 2014</w:t>
            </w:r>
            <w:r>
              <w:rPr>
                <w:rFonts w:ascii="Arial" w:hAnsi="Arial" w:cs="Arial"/>
              </w:rPr>
              <w:t xml:space="preserve"> (</w:t>
            </w:r>
            <w:r w:rsidRPr="003D5F11">
              <w:rPr>
                <w:rFonts w:ascii="Arial" w:hAnsi="Arial" w:cs="Arial"/>
              </w:rPr>
              <w:t>Halken</w:t>
            </w:r>
            <w:r>
              <w:rPr>
                <w:rFonts w:ascii="Arial" w:hAnsi="Arial" w:cs="Arial"/>
              </w:rPr>
              <w:t>, 2021)</w:t>
            </w:r>
            <w:r w:rsidRPr="003D5F11">
              <w:rPr>
                <w:rFonts w:ascii="Arial" w:hAnsi="Arial" w:cs="Arial"/>
              </w:rPr>
              <w:t>. In light of these regulations, every business that provides food to a client, whether for free or a charge, must disclose the contents of the food they provide. Foods and drinks labelled "</w:t>
            </w:r>
            <w:proofErr w:type="spellStart"/>
            <w:r w:rsidRPr="003D5F11">
              <w:rPr>
                <w:rFonts w:ascii="Arial" w:hAnsi="Arial" w:cs="Arial"/>
              </w:rPr>
              <w:t>Freefrom</w:t>
            </w:r>
            <w:proofErr w:type="spellEnd"/>
            <w:r w:rsidRPr="003D5F11">
              <w:rPr>
                <w:rFonts w:ascii="Arial" w:hAnsi="Arial" w:cs="Arial"/>
              </w:rPr>
              <w:t xml:space="preserve">" are those that do not include any ingredients to which particular consumers may be sensitive or intolerant. </w:t>
            </w:r>
          </w:p>
          <w:p w14:paraId="4AD58AAA" w14:textId="77777777" w:rsidR="003D5F11" w:rsidRPr="003D5F11" w:rsidRDefault="003D5F11" w:rsidP="003D5F11">
            <w:pPr>
              <w:spacing w:line="360" w:lineRule="auto"/>
              <w:jc w:val="both"/>
              <w:rPr>
                <w:rFonts w:ascii="Arial" w:hAnsi="Arial" w:cs="Arial"/>
              </w:rPr>
            </w:pPr>
          </w:p>
          <w:p w14:paraId="7D3565C9" w14:textId="12BFADF7" w:rsidR="003D5F11" w:rsidRDefault="003D5F11" w:rsidP="003D5F11">
            <w:pPr>
              <w:spacing w:line="360" w:lineRule="auto"/>
              <w:jc w:val="both"/>
              <w:rPr>
                <w:rFonts w:ascii="Arial" w:hAnsi="Arial" w:cs="Arial"/>
              </w:rPr>
            </w:pPr>
            <w:r w:rsidRPr="003D5F11">
              <w:rPr>
                <w:rFonts w:ascii="Arial" w:hAnsi="Arial" w:cs="Arial"/>
              </w:rPr>
              <w:t xml:space="preserve">First, I've learnt that every time we consume food that is publicly accessible, we are making an existence choice. The tale of an Adolescent called Natasha, who died in Brittany due to an Allergic Reaction, made me emotional and understood the importance of this decision. As a second step, food manufacturers and restaurant owners must take full responsibility for labelling </w:t>
            </w:r>
            <w:proofErr w:type="spellStart"/>
            <w:r w:rsidRPr="003D5F11">
              <w:rPr>
                <w:rFonts w:ascii="Arial" w:hAnsi="Arial" w:cs="Arial"/>
              </w:rPr>
              <w:t>prepackaged</w:t>
            </w:r>
            <w:proofErr w:type="spellEnd"/>
            <w:r w:rsidRPr="003D5F11">
              <w:rPr>
                <w:rFonts w:ascii="Arial" w:hAnsi="Arial" w:cs="Arial"/>
              </w:rPr>
              <w:t xml:space="preserve"> items with the correct allergy information and symbol and conveying all allergen information to their consumers when serving non-</w:t>
            </w:r>
            <w:proofErr w:type="spellStart"/>
            <w:r w:rsidRPr="003D5F11">
              <w:rPr>
                <w:rFonts w:ascii="Arial" w:hAnsi="Arial" w:cs="Arial"/>
              </w:rPr>
              <w:t>prepackaged</w:t>
            </w:r>
            <w:proofErr w:type="spellEnd"/>
            <w:r w:rsidRPr="003D5F11">
              <w:rPr>
                <w:rFonts w:ascii="Arial" w:hAnsi="Arial" w:cs="Arial"/>
              </w:rPr>
              <w:t xml:space="preserve"> food products. In addition, all players in the food industry should be required to comply with Natasha's Law when it becomes effective in 2021</w:t>
            </w:r>
            <w:r>
              <w:rPr>
                <w:rFonts w:ascii="Arial" w:hAnsi="Arial" w:cs="Arial"/>
              </w:rPr>
              <w:t xml:space="preserve"> (</w:t>
            </w:r>
            <w:proofErr w:type="spellStart"/>
            <w:r w:rsidRPr="003D5F11">
              <w:rPr>
                <w:rFonts w:ascii="Arial" w:hAnsi="Arial" w:cs="Arial"/>
              </w:rPr>
              <w:t>Genuneit</w:t>
            </w:r>
            <w:proofErr w:type="spellEnd"/>
            <w:r w:rsidRPr="003D5F11">
              <w:rPr>
                <w:rFonts w:ascii="Arial" w:hAnsi="Arial" w:cs="Arial"/>
              </w:rPr>
              <w:t>,</w:t>
            </w:r>
            <w:r>
              <w:rPr>
                <w:rFonts w:ascii="Arial" w:hAnsi="Arial" w:cs="Arial"/>
              </w:rPr>
              <w:t xml:space="preserve"> 2021)</w:t>
            </w:r>
            <w:r w:rsidRPr="003D5F11">
              <w:rPr>
                <w:rFonts w:ascii="Arial" w:hAnsi="Arial" w:cs="Arial"/>
              </w:rPr>
              <w:t>. The third is that the UK's free-from food sector is worth more than a 200-million-pound business – and increasing. Waitrose's Food &amp; Drink 2021 Report indicating that sales of allergic free food products beefed up by 29% last year</w:t>
            </w:r>
            <w:r>
              <w:rPr>
                <w:rFonts w:ascii="Arial" w:hAnsi="Arial" w:cs="Arial"/>
              </w:rPr>
              <w:t xml:space="preserve"> (</w:t>
            </w:r>
            <w:r w:rsidRPr="003D5F11">
              <w:rPr>
                <w:rFonts w:ascii="Arial" w:hAnsi="Arial" w:cs="Arial"/>
              </w:rPr>
              <w:t>Durban,</w:t>
            </w:r>
            <w:r>
              <w:rPr>
                <w:rFonts w:ascii="Arial" w:hAnsi="Arial" w:cs="Arial"/>
              </w:rPr>
              <w:t xml:space="preserve"> 2021)</w:t>
            </w:r>
            <w:r w:rsidRPr="003D5F11">
              <w:rPr>
                <w:rFonts w:ascii="Arial" w:hAnsi="Arial" w:cs="Arial"/>
              </w:rPr>
              <w:t>. The last things that need to outline are that the allergen item is not limited to only the 14 items selected by the European union health sector. Any person might be an allergen to any food item.</w:t>
            </w:r>
          </w:p>
          <w:p w14:paraId="28252967" w14:textId="77777777" w:rsidR="003D5F11" w:rsidRPr="003D5F11" w:rsidRDefault="003D5F11" w:rsidP="003D5F11">
            <w:pPr>
              <w:spacing w:line="360" w:lineRule="auto"/>
              <w:jc w:val="both"/>
              <w:rPr>
                <w:rFonts w:ascii="Arial" w:hAnsi="Arial" w:cs="Arial"/>
              </w:rPr>
            </w:pPr>
          </w:p>
          <w:p w14:paraId="048EBB8C" w14:textId="4F18E48A" w:rsidR="003D5F11" w:rsidRPr="003D5F11" w:rsidRDefault="003D5F11" w:rsidP="003D5F11">
            <w:pPr>
              <w:spacing w:line="360" w:lineRule="auto"/>
              <w:jc w:val="both"/>
              <w:rPr>
                <w:rFonts w:ascii="Arial" w:hAnsi="Arial" w:cs="Arial"/>
              </w:rPr>
            </w:pPr>
            <w:r w:rsidRPr="003D5F11">
              <w:rPr>
                <w:rFonts w:ascii="Arial" w:hAnsi="Arial" w:cs="Arial"/>
              </w:rPr>
              <w:t>With this backdrop. I want to outline my future implication of this insight from a managerial perspective. For a proactive manager, I reckon, the 360-degree view is none to the second qualification. One recent phenomenon I can commemorate here is Tesla's CEO Elon mask's recent decision not to accept any bitcoin as a monetary value of a Tesla car due to environmental concerns</w:t>
            </w:r>
            <w:r>
              <w:rPr>
                <w:rFonts w:ascii="Arial" w:hAnsi="Arial" w:cs="Arial"/>
              </w:rPr>
              <w:t xml:space="preserve"> (</w:t>
            </w:r>
            <w:r w:rsidRPr="003D5F11">
              <w:rPr>
                <w:rFonts w:ascii="Arial" w:hAnsi="Arial" w:cs="Arial"/>
              </w:rPr>
              <w:t>García-Grimshaw,</w:t>
            </w:r>
            <w:r>
              <w:rPr>
                <w:rFonts w:ascii="Arial" w:hAnsi="Arial" w:cs="Arial"/>
              </w:rPr>
              <w:t xml:space="preserve"> 2021)</w:t>
            </w:r>
            <w:r w:rsidRPr="003D5F11">
              <w:rPr>
                <w:rFonts w:ascii="Arial" w:hAnsi="Arial" w:cs="Arial"/>
              </w:rPr>
              <w:t>. Similarly, this food hypersensitivity will be embraced into my business strategy. As customers are our God in this restaurant business, I will use the technological advantage for their health security. Like a device, which may present to every customer before getting order, where the customer will be able to outline what specific food, they are the allergen. As not everyone is an allergen to every food.  This information will transfer to the kitchen on a real-time basis.</w:t>
            </w:r>
          </w:p>
          <w:p w14:paraId="72BD9025" w14:textId="0A9E5AB1" w:rsidR="003D5F11" w:rsidRDefault="003D5F11" w:rsidP="003D5F11">
            <w:pPr>
              <w:spacing w:line="360" w:lineRule="auto"/>
              <w:jc w:val="both"/>
              <w:rPr>
                <w:rFonts w:ascii="Arial" w:hAnsi="Arial" w:cs="Arial"/>
              </w:rPr>
            </w:pPr>
            <w:r w:rsidRPr="003D5F11">
              <w:rPr>
                <w:rFonts w:ascii="Arial" w:hAnsi="Arial" w:cs="Arial"/>
              </w:rPr>
              <w:t>Moreover, I will set up an emergency room where an allergic patient may get first-hand treatment before admitting into the hospital. This type of investment is inevitable from today's perspective, as more than 40% of adults in the UK are suffering from food allergies</w:t>
            </w:r>
            <w:r>
              <w:rPr>
                <w:rFonts w:ascii="Arial" w:hAnsi="Arial" w:cs="Arial"/>
              </w:rPr>
              <w:t xml:space="preserve"> </w:t>
            </w:r>
            <w:r w:rsidRPr="003D5F11">
              <w:rPr>
                <w:rFonts w:ascii="Arial" w:hAnsi="Arial" w:cs="Arial"/>
              </w:rPr>
              <w:t xml:space="preserve">(García-Grimshaw, 2021). I reckon positive collaboration regarding this food allergy with food suppliers will also be on my importance list to implement this. In addition, team member training regarding handling the emergency is inevitable. </w:t>
            </w:r>
          </w:p>
          <w:p w14:paraId="2FA30E4F" w14:textId="1D68BE00" w:rsidR="003D5F11" w:rsidRDefault="003D5F11" w:rsidP="003D5F11">
            <w:pPr>
              <w:spacing w:line="360" w:lineRule="auto"/>
              <w:jc w:val="both"/>
              <w:rPr>
                <w:rFonts w:ascii="Arial" w:hAnsi="Arial" w:cs="Arial"/>
              </w:rPr>
            </w:pPr>
          </w:p>
          <w:p w14:paraId="564DBC8C" w14:textId="77777777" w:rsidR="003D5F11" w:rsidRPr="003D5F11" w:rsidRDefault="003D5F11" w:rsidP="003D5F11">
            <w:pPr>
              <w:spacing w:line="360" w:lineRule="auto"/>
              <w:jc w:val="both"/>
              <w:rPr>
                <w:rFonts w:ascii="Arial" w:hAnsi="Arial" w:cs="Arial"/>
              </w:rPr>
            </w:pPr>
          </w:p>
          <w:p w14:paraId="6D4FD4AC" w14:textId="77777777" w:rsidR="003D5F11" w:rsidRPr="003D5F11" w:rsidRDefault="003D5F11" w:rsidP="003D5F11">
            <w:pPr>
              <w:spacing w:line="360" w:lineRule="auto"/>
              <w:jc w:val="both"/>
              <w:rPr>
                <w:rFonts w:ascii="Arial" w:hAnsi="Arial" w:cs="Arial"/>
              </w:rPr>
            </w:pPr>
          </w:p>
          <w:p w14:paraId="2A9EC6CB" w14:textId="77777777" w:rsidR="003D5F11" w:rsidRPr="003D5F11" w:rsidRDefault="003D5F11" w:rsidP="003D5F11">
            <w:pPr>
              <w:spacing w:line="360" w:lineRule="auto"/>
              <w:jc w:val="both"/>
              <w:rPr>
                <w:rFonts w:ascii="Arial" w:hAnsi="Arial" w:cs="Arial"/>
              </w:rPr>
            </w:pPr>
            <w:r w:rsidRPr="003D5F11">
              <w:rPr>
                <w:rFonts w:ascii="Arial" w:hAnsi="Arial" w:cs="Arial"/>
              </w:rPr>
              <w:t xml:space="preserve">In a nutshell, food hypersensitivity is a global issue. As the UK is one of the busiest tourist places, compromising with such issues should not be acceptable. From a business perspective, it might be an opportunity to create a blue ocean in this cluttered market by embracing this issue at the strategic level. Although many </w:t>
            </w:r>
            <w:proofErr w:type="spellStart"/>
            <w:r w:rsidRPr="003D5F11">
              <w:rPr>
                <w:rFonts w:ascii="Arial" w:hAnsi="Arial" w:cs="Arial"/>
              </w:rPr>
              <w:t>startups</w:t>
            </w:r>
            <w:proofErr w:type="spellEnd"/>
            <w:r w:rsidRPr="003D5F11">
              <w:rPr>
                <w:rFonts w:ascii="Arial" w:hAnsi="Arial" w:cs="Arial"/>
              </w:rPr>
              <w:t xml:space="preserve"> company like Focaccia already started to promote themselves as free from allergic food business. However, the optimum amount of investment will be a silver lining in this red ocean to take the first-mover advantage.</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Pr="008F4A4C" w:rsidRDefault="00375882" w:rsidP="007F6692">
            <w:pPr>
              <w:rPr>
                <w:rFonts w:ascii="Arial" w:hAnsi="Arial" w:cs="Arial"/>
              </w:rPr>
            </w:pPr>
          </w:p>
          <w:p w14:paraId="4F228F5D" w14:textId="77777777" w:rsidR="00375882" w:rsidRPr="008F4A4C" w:rsidRDefault="00375882" w:rsidP="007F6692">
            <w:pPr>
              <w:spacing w:line="360" w:lineRule="auto"/>
              <w:jc w:val="both"/>
              <w:rPr>
                <w:rFonts w:ascii="Arial" w:hAnsi="Arial" w:cs="Arial"/>
              </w:rPr>
            </w:pPr>
          </w:p>
          <w:p w14:paraId="7BE2B521" w14:textId="3A57E0F6" w:rsidR="00375882" w:rsidRPr="008F4A4C" w:rsidRDefault="003D5F11" w:rsidP="007F6692">
            <w:pPr>
              <w:spacing w:line="360" w:lineRule="auto"/>
              <w:jc w:val="both"/>
              <w:rPr>
                <w:rFonts w:ascii="Arial" w:hAnsi="Arial" w:cs="Arial"/>
                <w:color w:val="222222"/>
                <w:shd w:val="clear" w:color="auto" w:fill="FFFFFF"/>
              </w:rPr>
            </w:pPr>
            <w:proofErr w:type="spellStart"/>
            <w:r w:rsidRPr="008F4A4C">
              <w:rPr>
                <w:rFonts w:ascii="Arial" w:hAnsi="Arial" w:cs="Arial"/>
                <w:color w:val="222222"/>
                <w:shd w:val="clear" w:color="auto" w:fill="FFFFFF"/>
              </w:rPr>
              <w:t>Takasato</w:t>
            </w:r>
            <w:proofErr w:type="spellEnd"/>
            <w:r w:rsidRPr="008F4A4C">
              <w:rPr>
                <w:rFonts w:ascii="Arial" w:hAnsi="Arial" w:cs="Arial"/>
                <w:color w:val="222222"/>
                <w:shd w:val="clear" w:color="auto" w:fill="FFFFFF"/>
              </w:rPr>
              <w:t xml:space="preserve">, Y., Kurashima, Y., Kiuchi, M., Hirahara, K., Murasaki, S., Arai, F., Izawa, K., </w:t>
            </w:r>
            <w:proofErr w:type="spellStart"/>
            <w:r w:rsidRPr="008F4A4C">
              <w:rPr>
                <w:rFonts w:ascii="Arial" w:hAnsi="Arial" w:cs="Arial"/>
                <w:color w:val="222222"/>
                <w:shd w:val="clear" w:color="auto" w:fill="FFFFFF"/>
              </w:rPr>
              <w:t>Kaitani</w:t>
            </w:r>
            <w:proofErr w:type="spellEnd"/>
            <w:r w:rsidRPr="008F4A4C">
              <w:rPr>
                <w:rFonts w:ascii="Arial" w:hAnsi="Arial" w:cs="Arial"/>
                <w:color w:val="222222"/>
                <w:shd w:val="clear" w:color="auto" w:fill="FFFFFF"/>
              </w:rPr>
              <w:t>, A., Shimada, K., Saito, Y. and Toyoshima, S., 2021. Orally desensitized mast cells form a regulatory network with Treg cells for the control of food allergy. </w:t>
            </w:r>
            <w:r w:rsidRPr="008F4A4C">
              <w:rPr>
                <w:rFonts w:ascii="Arial" w:hAnsi="Arial" w:cs="Arial"/>
                <w:i/>
                <w:iCs/>
                <w:color w:val="222222"/>
                <w:shd w:val="clear" w:color="auto" w:fill="FFFFFF"/>
              </w:rPr>
              <w:t>Mucosal immunology</w:t>
            </w:r>
            <w:r w:rsidRPr="008F4A4C">
              <w:rPr>
                <w:rFonts w:ascii="Arial" w:hAnsi="Arial" w:cs="Arial"/>
                <w:color w:val="222222"/>
                <w:shd w:val="clear" w:color="auto" w:fill="FFFFFF"/>
              </w:rPr>
              <w:t>, </w:t>
            </w:r>
            <w:r w:rsidRPr="008F4A4C">
              <w:rPr>
                <w:rFonts w:ascii="Arial" w:hAnsi="Arial" w:cs="Arial"/>
                <w:i/>
                <w:iCs/>
                <w:color w:val="222222"/>
                <w:shd w:val="clear" w:color="auto" w:fill="FFFFFF"/>
              </w:rPr>
              <w:t>14</w:t>
            </w:r>
            <w:r w:rsidRPr="008F4A4C">
              <w:rPr>
                <w:rFonts w:ascii="Arial" w:hAnsi="Arial" w:cs="Arial"/>
                <w:color w:val="222222"/>
                <w:shd w:val="clear" w:color="auto" w:fill="FFFFFF"/>
              </w:rPr>
              <w:t>(3), pp.640-651.</w:t>
            </w:r>
          </w:p>
          <w:p w14:paraId="585E0599" w14:textId="06B74F13" w:rsidR="003D5F11" w:rsidRPr="008F4A4C" w:rsidRDefault="003D5F11" w:rsidP="007F6692">
            <w:pPr>
              <w:spacing w:line="360" w:lineRule="auto"/>
              <w:jc w:val="both"/>
              <w:rPr>
                <w:rFonts w:ascii="Arial" w:hAnsi="Arial" w:cs="Arial"/>
                <w:color w:val="222222"/>
                <w:shd w:val="clear" w:color="auto" w:fill="FFFFFF"/>
              </w:rPr>
            </w:pPr>
            <w:proofErr w:type="spellStart"/>
            <w:r w:rsidRPr="008F4A4C">
              <w:rPr>
                <w:rFonts w:ascii="Arial" w:hAnsi="Arial" w:cs="Arial"/>
                <w:color w:val="222222"/>
                <w:shd w:val="clear" w:color="auto" w:fill="FFFFFF"/>
              </w:rPr>
              <w:t>Satitsuksanoa</w:t>
            </w:r>
            <w:proofErr w:type="spellEnd"/>
            <w:r w:rsidRPr="008F4A4C">
              <w:rPr>
                <w:rFonts w:ascii="Arial" w:hAnsi="Arial" w:cs="Arial"/>
                <w:color w:val="222222"/>
                <w:shd w:val="clear" w:color="auto" w:fill="FFFFFF"/>
              </w:rPr>
              <w:t xml:space="preserve">, P., </w:t>
            </w:r>
            <w:proofErr w:type="spellStart"/>
            <w:r w:rsidRPr="008F4A4C">
              <w:rPr>
                <w:rFonts w:ascii="Arial" w:hAnsi="Arial" w:cs="Arial"/>
                <w:color w:val="222222"/>
                <w:shd w:val="clear" w:color="auto" w:fill="FFFFFF"/>
              </w:rPr>
              <w:t>Daanje</w:t>
            </w:r>
            <w:proofErr w:type="spellEnd"/>
            <w:r w:rsidRPr="008F4A4C">
              <w:rPr>
                <w:rFonts w:ascii="Arial" w:hAnsi="Arial" w:cs="Arial"/>
                <w:color w:val="222222"/>
                <w:shd w:val="clear" w:color="auto" w:fill="FFFFFF"/>
              </w:rPr>
              <w:t xml:space="preserve">, M., </w:t>
            </w:r>
            <w:proofErr w:type="spellStart"/>
            <w:r w:rsidRPr="008F4A4C">
              <w:rPr>
                <w:rFonts w:ascii="Arial" w:hAnsi="Arial" w:cs="Arial"/>
                <w:color w:val="222222"/>
                <w:shd w:val="clear" w:color="auto" w:fill="FFFFFF"/>
              </w:rPr>
              <w:t>Akdis</w:t>
            </w:r>
            <w:proofErr w:type="spellEnd"/>
            <w:r w:rsidRPr="008F4A4C">
              <w:rPr>
                <w:rFonts w:ascii="Arial" w:hAnsi="Arial" w:cs="Arial"/>
                <w:color w:val="222222"/>
                <w:shd w:val="clear" w:color="auto" w:fill="FFFFFF"/>
              </w:rPr>
              <w:t xml:space="preserve">, M., Boyd, S.D. and van de Veen, W., 2021. Biology and dynamics of B cells in the context of </w:t>
            </w:r>
            <w:proofErr w:type="spellStart"/>
            <w:r w:rsidRPr="008F4A4C">
              <w:rPr>
                <w:rFonts w:ascii="Arial" w:hAnsi="Arial" w:cs="Arial"/>
                <w:color w:val="222222"/>
                <w:shd w:val="clear" w:color="auto" w:fill="FFFFFF"/>
              </w:rPr>
              <w:t>IgE</w:t>
            </w:r>
            <w:proofErr w:type="spellEnd"/>
            <w:r w:rsidRPr="008F4A4C">
              <w:rPr>
                <w:rFonts w:ascii="Cambria Math" w:hAnsi="Cambria Math" w:cs="Cambria Math"/>
                <w:color w:val="222222"/>
                <w:shd w:val="clear" w:color="auto" w:fill="FFFFFF"/>
              </w:rPr>
              <w:t>‐</w:t>
            </w:r>
            <w:r w:rsidRPr="008F4A4C">
              <w:rPr>
                <w:rFonts w:ascii="Arial" w:hAnsi="Arial" w:cs="Arial"/>
                <w:color w:val="222222"/>
                <w:shd w:val="clear" w:color="auto" w:fill="FFFFFF"/>
              </w:rPr>
              <w:t>mediated food allergy. </w:t>
            </w:r>
            <w:r w:rsidRPr="008F4A4C">
              <w:rPr>
                <w:rFonts w:ascii="Arial" w:hAnsi="Arial" w:cs="Arial"/>
                <w:i/>
                <w:iCs/>
                <w:color w:val="222222"/>
                <w:shd w:val="clear" w:color="auto" w:fill="FFFFFF"/>
              </w:rPr>
              <w:t>Allergy</w:t>
            </w:r>
            <w:r w:rsidRPr="008F4A4C">
              <w:rPr>
                <w:rFonts w:ascii="Arial" w:hAnsi="Arial" w:cs="Arial"/>
                <w:color w:val="222222"/>
                <w:shd w:val="clear" w:color="auto" w:fill="FFFFFF"/>
              </w:rPr>
              <w:t>, </w:t>
            </w:r>
            <w:r w:rsidRPr="008F4A4C">
              <w:rPr>
                <w:rFonts w:ascii="Arial" w:hAnsi="Arial" w:cs="Arial"/>
                <w:i/>
                <w:iCs/>
                <w:color w:val="222222"/>
                <w:shd w:val="clear" w:color="auto" w:fill="FFFFFF"/>
              </w:rPr>
              <w:t>76</w:t>
            </w:r>
            <w:r w:rsidRPr="008F4A4C">
              <w:rPr>
                <w:rFonts w:ascii="Arial" w:hAnsi="Arial" w:cs="Arial"/>
                <w:color w:val="222222"/>
                <w:shd w:val="clear" w:color="auto" w:fill="FFFFFF"/>
              </w:rPr>
              <w:t>(6), pp.1707-1717.</w:t>
            </w:r>
          </w:p>
          <w:p w14:paraId="416142E6" w14:textId="61D08326" w:rsidR="003D5F11" w:rsidRPr="008F4A4C" w:rsidRDefault="003D5F11" w:rsidP="007F6692">
            <w:pPr>
              <w:spacing w:line="360" w:lineRule="auto"/>
              <w:jc w:val="both"/>
              <w:rPr>
                <w:rFonts w:ascii="Arial" w:hAnsi="Arial" w:cs="Arial"/>
                <w:color w:val="222222"/>
                <w:shd w:val="clear" w:color="auto" w:fill="FFFFFF"/>
              </w:rPr>
            </w:pPr>
            <w:r w:rsidRPr="008F4A4C">
              <w:rPr>
                <w:rFonts w:ascii="Arial" w:hAnsi="Arial" w:cs="Arial"/>
                <w:color w:val="222222"/>
                <w:shd w:val="clear" w:color="auto" w:fill="FFFFFF"/>
              </w:rPr>
              <w:t xml:space="preserve">Jungles, K.N., Jungles, K.M., Greenfield, L. and </w:t>
            </w:r>
            <w:proofErr w:type="spellStart"/>
            <w:r w:rsidRPr="008F4A4C">
              <w:rPr>
                <w:rFonts w:ascii="Arial" w:hAnsi="Arial" w:cs="Arial"/>
                <w:color w:val="222222"/>
                <w:shd w:val="clear" w:color="auto" w:fill="FFFFFF"/>
              </w:rPr>
              <w:t>Mahdavinia</w:t>
            </w:r>
            <w:proofErr w:type="spellEnd"/>
            <w:r w:rsidRPr="008F4A4C">
              <w:rPr>
                <w:rFonts w:ascii="Arial" w:hAnsi="Arial" w:cs="Arial"/>
                <w:color w:val="222222"/>
                <w:shd w:val="clear" w:color="auto" w:fill="FFFFFF"/>
              </w:rPr>
              <w:t>, M., 2021. The infant microbiome and its impact on development of food allergy. </w:t>
            </w:r>
            <w:r w:rsidRPr="008F4A4C">
              <w:rPr>
                <w:rFonts w:ascii="Arial" w:hAnsi="Arial" w:cs="Arial"/>
                <w:i/>
                <w:iCs/>
                <w:color w:val="222222"/>
                <w:shd w:val="clear" w:color="auto" w:fill="FFFFFF"/>
              </w:rPr>
              <w:t>Immunology and Allergy Clinics</w:t>
            </w:r>
            <w:r w:rsidRPr="008F4A4C">
              <w:rPr>
                <w:rFonts w:ascii="Arial" w:hAnsi="Arial" w:cs="Arial"/>
                <w:color w:val="222222"/>
                <w:shd w:val="clear" w:color="auto" w:fill="FFFFFF"/>
              </w:rPr>
              <w:t>, </w:t>
            </w:r>
            <w:r w:rsidRPr="008F4A4C">
              <w:rPr>
                <w:rFonts w:ascii="Arial" w:hAnsi="Arial" w:cs="Arial"/>
                <w:i/>
                <w:iCs/>
                <w:color w:val="222222"/>
                <w:shd w:val="clear" w:color="auto" w:fill="FFFFFF"/>
              </w:rPr>
              <w:t>41</w:t>
            </w:r>
            <w:r w:rsidRPr="008F4A4C">
              <w:rPr>
                <w:rFonts w:ascii="Arial" w:hAnsi="Arial" w:cs="Arial"/>
                <w:color w:val="222222"/>
                <w:shd w:val="clear" w:color="auto" w:fill="FFFFFF"/>
              </w:rPr>
              <w:t>(2), pp.285-299.</w:t>
            </w:r>
          </w:p>
          <w:p w14:paraId="1744293D" w14:textId="3541E733" w:rsidR="003D5F11" w:rsidRPr="008F4A4C" w:rsidRDefault="003D5F11" w:rsidP="007F6692">
            <w:pPr>
              <w:spacing w:line="360" w:lineRule="auto"/>
              <w:jc w:val="both"/>
              <w:rPr>
                <w:rFonts w:ascii="Arial" w:hAnsi="Arial" w:cs="Arial"/>
                <w:color w:val="222222"/>
                <w:shd w:val="clear" w:color="auto" w:fill="FFFFFF"/>
              </w:rPr>
            </w:pPr>
            <w:r w:rsidRPr="008F4A4C">
              <w:rPr>
                <w:rFonts w:ascii="Arial" w:hAnsi="Arial" w:cs="Arial"/>
                <w:color w:val="222222"/>
                <w:shd w:val="clear" w:color="auto" w:fill="FFFFFF"/>
              </w:rPr>
              <w:t>van Wijk, R.G. and Dahl, R., 2021. Pros and cons: Should AIT be considered in all patients with allergic asthma</w:t>
            </w:r>
            <w:proofErr w:type="gramStart"/>
            <w:r w:rsidRPr="008F4A4C">
              <w:rPr>
                <w:rFonts w:ascii="Arial" w:hAnsi="Arial" w:cs="Arial"/>
                <w:color w:val="222222"/>
                <w:shd w:val="clear" w:color="auto" w:fill="FFFFFF"/>
              </w:rPr>
              <w:t>?.</w:t>
            </w:r>
            <w:proofErr w:type="gramEnd"/>
            <w:r w:rsidRPr="008F4A4C">
              <w:rPr>
                <w:rFonts w:ascii="Arial" w:hAnsi="Arial" w:cs="Arial"/>
                <w:color w:val="222222"/>
                <w:shd w:val="clear" w:color="auto" w:fill="FFFFFF"/>
              </w:rPr>
              <w:t> </w:t>
            </w:r>
            <w:proofErr w:type="spellStart"/>
            <w:r w:rsidRPr="008F4A4C">
              <w:rPr>
                <w:rFonts w:ascii="Arial" w:hAnsi="Arial" w:cs="Arial"/>
                <w:i/>
                <w:iCs/>
                <w:color w:val="222222"/>
                <w:shd w:val="clear" w:color="auto" w:fill="FFFFFF"/>
              </w:rPr>
              <w:t>Authorea</w:t>
            </w:r>
            <w:proofErr w:type="spellEnd"/>
            <w:r w:rsidRPr="008F4A4C">
              <w:rPr>
                <w:rFonts w:ascii="Arial" w:hAnsi="Arial" w:cs="Arial"/>
                <w:i/>
                <w:iCs/>
                <w:color w:val="222222"/>
                <w:shd w:val="clear" w:color="auto" w:fill="FFFFFF"/>
              </w:rPr>
              <w:t xml:space="preserve"> Preprints</w:t>
            </w:r>
            <w:r w:rsidRPr="008F4A4C">
              <w:rPr>
                <w:rFonts w:ascii="Arial" w:hAnsi="Arial" w:cs="Arial"/>
                <w:color w:val="222222"/>
                <w:shd w:val="clear" w:color="auto" w:fill="FFFFFF"/>
              </w:rPr>
              <w:t>.</w:t>
            </w:r>
          </w:p>
          <w:p w14:paraId="3C4F6146" w14:textId="26C0D07D" w:rsidR="003D5F11" w:rsidRPr="008F4A4C" w:rsidRDefault="003D5F11" w:rsidP="007F6692">
            <w:pPr>
              <w:spacing w:line="360" w:lineRule="auto"/>
              <w:jc w:val="both"/>
              <w:rPr>
                <w:rFonts w:ascii="Arial" w:hAnsi="Arial" w:cs="Arial"/>
                <w:color w:val="222222"/>
                <w:shd w:val="clear" w:color="auto" w:fill="FFFFFF"/>
              </w:rPr>
            </w:pPr>
            <w:r w:rsidRPr="008F4A4C">
              <w:rPr>
                <w:rFonts w:ascii="Arial" w:hAnsi="Arial" w:cs="Arial"/>
                <w:color w:val="222222"/>
                <w:shd w:val="clear" w:color="auto" w:fill="FFFFFF"/>
              </w:rPr>
              <w:t xml:space="preserve">Halken, S., Muraro, A., de Silva, D., </w:t>
            </w:r>
            <w:proofErr w:type="spellStart"/>
            <w:r w:rsidRPr="008F4A4C">
              <w:rPr>
                <w:rFonts w:ascii="Arial" w:hAnsi="Arial" w:cs="Arial"/>
                <w:color w:val="222222"/>
                <w:shd w:val="clear" w:color="auto" w:fill="FFFFFF"/>
              </w:rPr>
              <w:t>Khaleva</w:t>
            </w:r>
            <w:proofErr w:type="spellEnd"/>
            <w:r w:rsidRPr="008F4A4C">
              <w:rPr>
                <w:rFonts w:ascii="Arial" w:hAnsi="Arial" w:cs="Arial"/>
                <w:color w:val="222222"/>
                <w:shd w:val="clear" w:color="auto" w:fill="FFFFFF"/>
              </w:rPr>
              <w:t>, E., Angier, E., Arasi, S., Arshad, H., Bahnson, H.T., Beyer, K., Boyle, R. and du Toit, G., 2021. EAACI guideline: Preventing the development of food allergy in infants and young children (2020 update). </w:t>
            </w:r>
            <w:proofErr w:type="spellStart"/>
            <w:r w:rsidRPr="008F4A4C">
              <w:rPr>
                <w:rFonts w:ascii="Arial" w:hAnsi="Arial" w:cs="Arial"/>
                <w:i/>
                <w:iCs/>
                <w:color w:val="222222"/>
                <w:shd w:val="clear" w:color="auto" w:fill="FFFFFF"/>
              </w:rPr>
              <w:t>Pediatric</w:t>
            </w:r>
            <w:proofErr w:type="spellEnd"/>
            <w:r w:rsidRPr="008F4A4C">
              <w:rPr>
                <w:rFonts w:ascii="Arial" w:hAnsi="Arial" w:cs="Arial"/>
                <w:i/>
                <w:iCs/>
                <w:color w:val="222222"/>
                <w:shd w:val="clear" w:color="auto" w:fill="FFFFFF"/>
              </w:rPr>
              <w:t xml:space="preserve"> Allergy and Immunology</w:t>
            </w:r>
            <w:r w:rsidRPr="008F4A4C">
              <w:rPr>
                <w:rFonts w:ascii="Arial" w:hAnsi="Arial" w:cs="Arial"/>
                <w:color w:val="222222"/>
                <w:shd w:val="clear" w:color="auto" w:fill="FFFFFF"/>
              </w:rPr>
              <w:t>.</w:t>
            </w:r>
          </w:p>
          <w:p w14:paraId="4E0B100B" w14:textId="512B19A4" w:rsidR="003D5F11" w:rsidRPr="008F4A4C" w:rsidRDefault="003D5F11" w:rsidP="007F6692">
            <w:pPr>
              <w:spacing w:line="360" w:lineRule="auto"/>
              <w:jc w:val="both"/>
              <w:rPr>
                <w:rFonts w:ascii="Arial" w:hAnsi="Arial" w:cs="Arial"/>
                <w:color w:val="222222"/>
                <w:shd w:val="clear" w:color="auto" w:fill="FFFFFF"/>
              </w:rPr>
            </w:pPr>
            <w:proofErr w:type="spellStart"/>
            <w:r w:rsidRPr="008F4A4C">
              <w:rPr>
                <w:rFonts w:ascii="Arial" w:hAnsi="Arial" w:cs="Arial"/>
                <w:color w:val="222222"/>
                <w:shd w:val="clear" w:color="auto" w:fill="FFFFFF"/>
              </w:rPr>
              <w:t>Conrado</w:t>
            </w:r>
            <w:proofErr w:type="spellEnd"/>
            <w:r w:rsidRPr="008F4A4C">
              <w:rPr>
                <w:rFonts w:ascii="Arial" w:hAnsi="Arial" w:cs="Arial"/>
                <w:color w:val="222222"/>
                <w:shd w:val="clear" w:color="auto" w:fill="FFFFFF"/>
              </w:rPr>
              <w:t xml:space="preserve">, A.B., </w:t>
            </w:r>
            <w:proofErr w:type="spellStart"/>
            <w:r w:rsidRPr="008F4A4C">
              <w:rPr>
                <w:rFonts w:ascii="Arial" w:hAnsi="Arial" w:cs="Arial"/>
                <w:color w:val="222222"/>
                <w:shd w:val="clear" w:color="auto" w:fill="FFFFFF"/>
              </w:rPr>
              <w:t>Ierodiakonou</w:t>
            </w:r>
            <w:proofErr w:type="spellEnd"/>
            <w:r w:rsidRPr="008F4A4C">
              <w:rPr>
                <w:rFonts w:ascii="Arial" w:hAnsi="Arial" w:cs="Arial"/>
                <w:color w:val="222222"/>
                <w:shd w:val="clear" w:color="auto" w:fill="FFFFFF"/>
              </w:rPr>
              <w:t>, D., Gowland, M.H., Boyle, R.J. and Turner, P.J., 2021. Food anaphylaxis in the United Kingdom: analysis of national data, 1998-2018. </w:t>
            </w:r>
            <w:proofErr w:type="spellStart"/>
            <w:r w:rsidRPr="008F4A4C">
              <w:rPr>
                <w:rFonts w:ascii="Arial" w:hAnsi="Arial" w:cs="Arial"/>
                <w:i/>
                <w:iCs/>
                <w:color w:val="222222"/>
                <w:shd w:val="clear" w:color="auto" w:fill="FFFFFF"/>
              </w:rPr>
              <w:t>bmj</w:t>
            </w:r>
            <w:proofErr w:type="spellEnd"/>
            <w:r w:rsidRPr="008F4A4C">
              <w:rPr>
                <w:rFonts w:ascii="Arial" w:hAnsi="Arial" w:cs="Arial"/>
                <w:color w:val="222222"/>
                <w:shd w:val="clear" w:color="auto" w:fill="FFFFFF"/>
              </w:rPr>
              <w:t>, </w:t>
            </w:r>
            <w:r w:rsidRPr="008F4A4C">
              <w:rPr>
                <w:rFonts w:ascii="Arial" w:hAnsi="Arial" w:cs="Arial"/>
                <w:i/>
                <w:iCs/>
                <w:color w:val="222222"/>
                <w:shd w:val="clear" w:color="auto" w:fill="FFFFFF"/>
              </w:rPr>
              <w:t>372</w:t>
            </w:r>
            <w:r w:rsidRPr="008F4A4C">
              <w:rPr>
                <w:rFonts w:ascii="Arial" w:hAnsi="Arial" w:cs="Arial"/>
                <w:color w:val="222222"/>
                <w:shd w:val="clear" w:color="auto" w:fill="FFFFFF"/>
              </w:rPr>
              <w:t>.</w:t>
            </w:r>
          </w:p>
          <w:p w14:paraId="7D8396F2" w14:textId="2726823F" w:rsidR="003D5F11" w:rsidRPr="008F4A4C" w:rsidRDefault="003D5F11" w:rsidP="007F6692">
            <w:pPr>
              <w:spacing w:line="360" w:lineRule="auto"/>
              <w:jc w:val="both"/>
              <w:rPr>
                <w:rFonts w:ascii="Arial" w:hAnsi="Arial" w:cs="Arial"/>
                <w:color w:val="222222"/>
                <w:shd w:val="clear" w:color="auto" w:fill="FFFFFF"/>
              </w:rPr>
            </w:pPr>
            <w:proofErr w:type="spellStart"/>
            <w:r w:rsidRPr="008F4A4C">
              <w:rPr>
                <w:rFonts w:ascii="Arial" w:hAnsi="Arial" w:cs="Arial"/>
                <w:color w:val="222222"/>
                <w:shd w:val="clear" w:color="auto" w:fill="FFFFFF"/>
              </w:rPr>
              <w:t>Genuneit</w:t>
            </w:r>
            <w:proofErr w:type="spellEnd"/>
            <w:r w:rsidRPr="008F4A4C">
              <w:rPr>
                <w:rFonts w:ascii="Arial" w:hAnsi="Arial" w:cs="Arial"/>
                <w:color w:val="222222"/>
                <w:shd w:val="clear" w:color="auto" w:fill="FFFFFF"/>
              </w:rPr>
              <w:t xml:space="preserve">, J., Jayasinghe, S., RIGGIONI, C., Peters, R., Chu, D., </w:t>
            </w:r>
            <w:proofErr w:type="spellStart"/>
            <w:r w:rsidRPr="008F4A4C">
              <w:rPr>
                <w:rFonts w:ascii="Arial" w:hAnsi="Arial" w:cs="Arial"/>
                <w:color w:val="222222"/>
                <w:shd w:val="clear" w:color="auto" w:fill="FFFFFF"/>
              </w:rPr>
              <w:t>Munblit</w:t>
            </w:r>
            <w:proofErr w:type="spellEnd"/>
            <w:r w:rsidRPr="008F4A4C">
              <w:rPr>
                <w:rFonts w:ascii="Arial" w:hAnsi="Arial" w:cs="Arial"/>
                <w:color w:val="222222"/>
                <w:shd w:val="clear" w:color="auto" w:fill="FFFFFF"/>
              </w:rPr>
              <w:t xml:space="preserve">, D., Boyle, R., Du Toit, G., </w:t>
            </w:r>
            <w:proofErr w:type="spellStart"/>
            <w:r w:rsidRPr="008F4A4C">
              <w:rPr>
                <w:rFonts w:ascii="Arial" w:hAnsi="Arial" w:cs="Arial"/>
                <w:color w:val="222222"/>
                <w:shd w:val="clear" w:color="auto" w:fill="FFFFFF"/>
              </w:rPr>
              <w:t>Skypala</w:t>
            </w:r>
            <w:proofErr w:type="spellEnd"/>
            <w:r w:rsidRPr="008F4A4C">
              <w:rPr>
                <w:rFonts w:ascii="Arial" w:hAnsi="Arial" w:cs="Arial"/>
                <w:color w:val="222222"/>
                <w:shd w:val="clear" w:color="auto" w:fill="FFFFFF"/>
              </w:rPr>
              <w:t xml:space="preserve">, I. and Santos, A., 2021. Protocol for a systematic review of the diagnostic test accuracy of tests for </w:t>
            </w:r>
            <w:proofErr w:type="spellStart"/>
            <w:r w:rsidRPr="008F4A4C">
              <w:rPr>
                <w:rFonts w:ascii="Arial" w:hAnsi="Arial" w:cs="Arial"/>
                <w:color w:val="222222"/>
                <w:shd w:val="clear" w:color="auto" w:fill="FFFFFF"/>
              </w:rPr>
              <w:t>IgE</w:t>
            </w:r>
            <w:proofErr w:type="spellEnd"/>
            <w:r w:rsidRPr="008F4A4C">
              <w:rPr>
                <w:rFonts w:ascii="Arial" w:hAnsi="Arial" w:cs="Arial"/>
                <w:color w:val="222222"/>
                <w:shd w:val="clear" w:color="auto" w:fill="FFFFFF"/>
              </w:rPr>
              <w:t>-mediated food allergy. </w:t>
            </w:r>
            <w:proofErr w:type="spellStart"/>
            <w:r w:rsidRPr="008F4A4C">
              <w:rPr>
                <w:rFonts w:ascii="Arial" w:hAnsi="Arial" w:cs="Arial"/>
                <w:i/>
                <w:iCs/>
                <w:color w:val="222222"/>
                <w:shd w:val="clear" w:color="auto" w:fill="FFFFFF"/>
              </w:rPr>
              <w:t>Authorea</w:t>
            </w:r>
            <w:proofErr w:type="spellEnd"/>
            <w:r w:rsidRPr="008F4A4C">
              <w:rPr>
                <w:rFonts w:ascii="Arial" w:hAnsi="Arial" w:cs="Arial"/>
                <w:i/>
                <w:iCs/>
                <w:color w:val="222222"/>
                <w:shd w:val="clear" w:color="auto" w:fill="FFFFFF"/>
              </w:rPr>
              <w:t xml:space="preserve"> Preprints</w:t>
            </w:r>
            <w:r w:rsidRPr="008F4A4C">
              <w:rPr>
                <w:rFonts w:ascii="Arial" w:hAnsi="Arial" w:cs="Arial"/>
                <w:color w:val="222222"/>
                <w:shd w:val="clear" w:color="auto" w:fill="FFFFFF"/>
              </w:rPr>
              <w:t>.</w:t>
            </w:r>
          </w:p>
          <w:p w14:paraId="0B5F6BB4" w14:textId="2400F8E2" w:rsidR="003D5F11" w:rsidRPr="008F4A4C" w:rsidRDefault="003D5F11" w:rsidP="007F6692">
            <w:pPr>
              <w:spacing w:line="360" w:lineRule="auto"/>
              <w:jc w:val="both"/>
              <w:rPr>
                <w:rFonts w:ascii="Arial" w:hAnsi="Arial" w:cs="Arial"/>
                <w:color w:val="222222"/>
                <w:shd w:val="clear" w:color="auto" w:fill="FFFFFF"/>
              </w:rPr>
            </w:pPr>
            <w:r w:rsidRPr="008F4A4C">
              <w:rPr>
                <w:rFonts w:ascii="Arial" w:hAnsi="Arial" w:cs="Arial"/>
                <w:color w:val="222222"/>
                <w:shd w:val="clear" w:color="auto" w:fill="FFFFFF"/>
              </w:rPr>
              <w:t xml:space="preserve">Durban, R., </w:t>
            </w:r>
            <w:proofErr w:type="spellStart"/>
            <w:r w:rsidRPr="008F4A4C">
              <w:rPr>
                <w:rFonts w:ascii="Arial" w:hAnsi="Arial" w:cs="Arial"/>
                <w:color w:val="222222"/>
                <w:shd w:val="clear" w:color="auto" w:fill="FFFFFF"/>
              </w:rPr>
              <w:t>Groetch</w:t>
            </w:r>
            <w:proofErr w:type="spellEnd"/>
            <w:r w:rsidRPr="008F4A4C">
              <w:rPr>
                <w:rFonts w:ascii="Arial" w:hAnsi="Arial" w:cs="Arial"/>
                <w:color w:val="222222"/>
                <w:shd w:val="clear" w:color="auto" w:fill="FFFFFF"/>
              </w:rPr>
              <w:t xml:space="preserve">, M., Meyer, R., Collins, S.C., Elverson, W., Friebert, A., </w:t>
            </w:r>
            <w:proofErr w:type="spellStart"/>
            <w:r w:rsidRPr="008F4A4C">
              <w:rPr>
                <w:rFonts w:ascii="Arial" w:hAnsi="Arial" w:cs="Arial"/>
                <w:color w:val="222222"/>
                <w:shd w:val="clear" w:color="auto" w:fill="FFFFFF"/>
              </w:rPr>
              <w:t>Kabourek</w:t>
            </w:r>
            <w:proofErr w:type="spellEnd"/>
            <w:r w:rsidRPr="008F4A4C">
              <w:rPr>
                <w:rFonts w:ascii="Arial" w:hAnsi="Arial" w:cs="Arial"/>
                <w:color w:val="222222"/>
                <w:shd w:val="clear" w:color="auto" w:fill="FFFFFF"/>
              </w:rPr>
              <w:t xml:space="preserve">, J., Marchand, S.M., McWilliam, V., Netting, M. and </w:t>
            </w:r>
            <w:proofErr w:type="spellStart"/>
            <w:r w:rsidRPr="008F4A4C">
              <w:rPr>
                <w:rFonts w:ascii="Arial" w:hAnsi="Arial" w:cs="Arial"/>
                <w:color w:val="222222"/>
                <w:shd w:val="clear" w:color="auto" w:fill="FFFFFF"/>
              </w:rPr>
              <w:t>Skypala</w:t>
            </w:r>
            <w:proofErr w:type="spellEnd"/>
            <w:r w:rsidRPr="008F4A4C">
              <w:rPr>
                <w:rFonts w:ascii="Arial" w:hAnsi="Arial" w:cs="Arial"/>
                <w:color w:val="222222"/>
                <w:shd w:val="clear" w:color="auto" w:fill="FFFFFF"/>
              </w:rPr>
              <w:t>, I., 2021. Dietary Management of Food Allergy. </w:t>
            </w:r>
            <w:r w:rsidRPr="008F4A4C">
              <w:rPr>
                <w:rFonts w:ascii="Arial" w:hAnsi="Arial" w:cs="Arial"/>
                <w:i/>
                <w:iCs/>
                <w:color w:val="222222"/>
                <w:shd w:val="clear" w:color="auto" w:fill="FFFFFF"/>
              </w:rPr>
              <w:t>Immunology and Allergy Clinics</w:t>
            </w:r>
            <w:r w:rsidRPr="008F4A4C">
              <w:rPr>
                <w:rFonts w:ascii="Arial" w:hAnsi="Arial" w:cs="Arial"/>
                <w:color w:val="222222"/>
                <w:shd w:val="clear" w:color="auto" w:fill="FFFFFF"/>
              </w:rPr>
              <w:t>, </w:t>
            </w:r>
            <w:r w:rsidRPr="008F4A4C">
              <w:rPr>
                <w:rFonts w:ascii="Arial" w:hAnsi="Arial" w:cs="Arial"/>
                <w:i/>
                <w:iCs/>
                <w:color w:val="222222"/>
                <w:shd w:val="clear" w:color="auto" w:fill="FFFFFF"/>
              </w:rPr>
              <w:t>41</w:t>
            </w:r>
            <w:r w:rsidRPr="008F4A4C">
              <w:rPr>
                <w:rFonts w:ascii="Arial" w:hAnsi="Arial" w:cs="Arial"/>
                <w:color w:val="222222"/>
                <w:shd w:val="clear" w:color="auto" w:fill="FFFFFF"/>
              </w:rPr>
              <w:t>(2), pp.233-270.</w:t>
            </w:r>
          </w:p>
          <w:p w14:paraId="5458CA3F" w14:textId="5E4F9964" w:rsidR="003D5F11" w:rsidRPr="008F4A4C" w:rsidRDefault="003D5F11" w:rsidP="007F6692">
            <w:pPr>
              <w:spacing w:line="360" w:lineRule="auto"/>
              <w:jc w:val="both"/>
              <w:rPr>
                <w:rFonts w:ascii="Arial" w:hAnsi="Arial" w:cs="Arial"/>
                <w:color w:val="222222"/>
                <w:shd w:val="clear" w:color="auto" w:fill="FFFFFF"/>
              </w:rPr>
            </w:pPr>
            <w:r w:rsidRPr="008F4A4C">
              <w:rPr>
                <w:rFonts w:ascii="Arial" w:hAnsi="Arial" w:cs="Arial"/>
                <w:color w:val="222222"/>
                <w:shd w:val="clear" w:color="auto" w:fill="FFFFFF"/>
              </w:rPr>
              <w:t>Mansha, S., 2021. </w:t>
            </w:r>
            <w:r w:rsidRPr="008F4A4C">
              <w:rPr>
                <w:rFonts w:ascii="Arial" w:hAnsi="Arial" w:cs="Arial"/>
                <w:i/>
                <w:iCs/>
                <w:color w:val="222222"/>
                <w:shd w:val="clear" w:color="auto" w:fill="FFFFFF"/>
              </w:rPr>
              <w:t xml:space="preserve">Detection and Differentiation of Bovine and Porcine </w:t>
            </w:r>
            <w:proofErr w:type="spellStart"/>
            <w:r w:rsidRPr="008F4A4C">
              <w:rPr>
                <w:rFonts w:ascii="Arial" w:hAnsi="Arial" w:cs="Arial"/>
                <w:i/>
                <w:iCs/>
                <w:color w:val="222222"/>
                <w:shd w:val="clear" w:color="auto" w:fill="FFFFFF"/>
              </w:rPr>
              <w:t>Gelatin</w:t>
            </w:r>
            <w:proofErr w:type="spellEnd"/>
            <w:r w:rsidRPr="008F4A4C">
              <w:rPr>
                <w:rFonts w:ascii="Arial" w:hAnsi="Arial" w:cs="Arial"/>
                <w:i/>
                <w:iCs/>
                <w:color w:val="222222"/>
                <w:shd w:val="clear" w:color="auto" w:fill="FFFFFF"/>
              </w:rPr>
              <w:t xml:space="preserve"> in Commercial Products</w:t>
            </w:r>
            <w:r w:rsidRPr="008F4A4C">
              <w:rPr>
                <w:rFonts w:ascii="Arial" w:hAnsi="Arial" w:cs="Arial"/>
                <w:color w:val="222222"/>
                <w:shd w:val="clear" w:color="auto" w:fill="FFFFFF"/>
              </w:rPr>
              <w:t> (Doctoral dissertation, Department of Chemistry, COMSATS University Lahore.).</w:t>
            </w:r>
          </w:p>
          <w:p w14:paraId="2EBC88C4" w14:textId="0438C4D9" w:rsidR="003D5F11" w:rsidRPr="008F4A4C" w:rsidRDefault="003D5F11" w:rsidP="007F6692">
            <w:pPr>
              <w:spacing w:line="360" w:lineRule="auto"/>
              <w:jc w:val="both"/>
              <w:rPr>
                <w:rFonts w:ascii="Arial" w:hAnsi="Arial" w:cs="Arial"/>
              </w:rPr>
            </w:pPr>
            <w:r w:rsidRPr="008F4A4C">
              <w:rPr>
                <w:rFonts w:ascii="Arial" w:hAnsi="Arial" w:cs="Arial"/>
                <w:color w:val="222222"/>
                <w:shd w:val="clear" w:color="auto" w:fill="FFFFFF"/>
              </w:rPr>
              <w:lastRenderedPageBreak/>
              <w:t>Kumar, L., 2021. Engrafted stem cell therapy for Alzheimer's disease: A promising treatment strategy with clinical outcome. </w:t>
            </w:r>
            <w:r w:rsidRPr="008F4A4C">
              <w:rPr>
                <w:rFonts w:ascii="Arial" w:hAnsi="Arial" w:cs="Arial"/>
                <w:i/>
                <w:iCs/>
                <w:color w:val="222222"/>
                <w:shd w:val="clear" w:color="auto" w:fill="FFFFFF"/>
              </w:rPr>
              <w:t>Journal of Controlled Release</w:t>
            </w:r>
            <w:r w:rsidRPr="008F4A4C">
              <w:rPr>
                <w:rFonts w:ascii="Arial" w:hAnsi="Arial" w:cs="Arial"/>
                <w:color w:val="222222"/>
                <w:shd w:val="clear" w:color="auto" w:fill="FFFFFF"/>
              </w:rPr>
              <w:t>.</w:t>
            </w:r>
          </w:p>
          <w:p w14:paraId="4C6DEC4D" w14:textId="300F334B" w:rsidR="00375882" w:rsidRPr="008F4A4C" w:rsidRDefault="00375882" w:rsidP="007F6692">
            <w:pPr>
              <w:spacing w:line="360" w:lineRule="auto"/>
              <w:jc w:val="both"/>
              <w:rPr>
                <w:rFonts w:ascii="Arial" w:hAnsi="Arial" w:cs="Arial"/>
              </w:rPr>
            </w:pPr>
          </w:p>
          <w:p w14:paraId="522F9E9C" w14:textId="037D471F" w:rsidR="00375882" w:rsidRPr="008F4A4C" w:rsidRDefault="003D5F11" w:rsidP="007F6692">
            <w:pPr>
              <w:spacing w:line="360" w:lineRule="auto"/>
              <w:jc w:val="both"/>
              <w:rPr>
                <w:rFonts w:ascii="Arial" w:hAnsi="Arial" w:cs="Arial"/>
              </w:rPr>
            </w:pPr>
            <w:r w:rsidRPr="008F4A4C">
              <w:rPr>
                <w:rFonts w:ascii="Arial" w:hAnsi="Arial" w:cs="Arial"/>
                <w:color w:val="222222"/>
                <w:shd w:val="clear" w:color="auto" w:fill="FFFFFF"/>
              </w:rPr>
              <w:t>García-Grimshaw, M., Michel-Chávez, A., Vera-</w:t>
            </w:r>
            <w:proofErr w:type="spellStart"/>
            <w:r w:rsidRPr="008F4A4C">
              <w:rPr>
                <w:rFonts w:ascii="Arial" w:hAnsi="Arial" w:cs="Arial"/>
                <w:color w:val="222222"/>
                <w:shd w:val="clear" w:color="auto" w:fill="FFFFFF"/>
              </w:rPr>
              <w:t>Zertuche</w:t>
            </w:r>
            <w:proofErr w:type="spellEnd"/>
            <w:r w:rsidRPr="008F4A4C">
              <w:rPr>
                <w:rFonts w:ascii="Arial" w:hAnsi="Arial" w:cs="Arial"/>
                <w:color w:val="222222"/>
                <w:shd w:val="clear" w:color="auto" w:fill="FFFFFF"/>
              </w:rPr>
              <w:t xml:space="preserve">, J.M., </w:t>
            </w:r>
            <w:proofErr w:type="spellStart"/>
            <w:r w:rsidRPr="008F4A4C">
              <w:rPr>
                <w:rFonts w:ascii="Arial" w:hAnsi="Arial" w:cs="Arial"/>
                <w:color w:val="222222"/>
                <w:shd w:val="clear" w:color="auto" w:fill="FFFFFF"/>
              </w:rPr>
              <w:t>Galnares-Olalde</w:t>
            </w:r>
            <w:proofErr w:type="spellEnd"/>
            <w:r w:rsidRPr="008F4A4C">
              <w:rPr>
                <w:rFonts w:ascii="Arial" w:hAnsi="Arial" w:cs="Arial"/>
                <w:color w:val="222222"/>
                <w:shd w:val="clear" w:color="auto" w:fill="FFFFFF"/>
              </w:rPr>
              <w:t>, J.A., Hernández-</w:t>
            </w:r>
            <w:proofErr w:type="spellStart"/>
            <w:r w:rsidRPr="008F4A4C">
              <w:rPr>
                <w:rFonts w:ascii="Arial" w:hAnsi="Arial" w:cs="Arial"/>
                <w:color w:val="222222"/>
                <w:shd w:val="clear" w:color="auto" w:fill="FFFFFF"/>
              </w:rPr>
              <w:t>Vanegas</w:t>
            </w:r>
            <w:proofErr w:type="spellEnd"/>
            <w:r w:rsidRPr="008F4A4C">
              <w:rPr>
                <w:rFonts w:ascii="Arial" w:hAnsi="Arial" w:cs="Arial"/>
                <w:color w:val="222222"/>
                <w:shd w:val="clear" w:color="auto" w:fill="FFFFFF"/>
              </w:rPr>
              <w:t>, L.E., Figueroa-</w:t>
            </w:r>
            <w:proofErr w:type="spellStart"/>
            <w:r w:rsidRPr="008F4A4C">
              <w:rPr>
                <w:rFonts w:ascii="Arial" w:hAnsi="Arial" w:cs="Arial"/>
                <w:color w:val="222222"/>
                <w:shd w:val="clear" w:color="auto" w:fill="FFFFFF"/>
              </w:rPr>
              <w:t>Cucurachi</w:t>
            </w:r>
            <w:proofErr w:type="spellEnd"/>
            <w:r w:rsidRPr="008F4A4C">
              <w:rPr>
                <w:rFonts w:ascii="Arial" w:hAnsi="Arial" w:cs="Arial"/>
                <w:color w:val="222222"/>
                <w:shd w:val="clear" w:color="auto" w:fill="FFFFFF"/>
              </w:rPr>
              <w:t>, M., Paredes-Ceballos, O., Reyes-</w:t>
            </w:r>
            <w:proofErr w:type="spellStart"/>
            <w:r w:rsidRPr="008F4A4C">
              <w:rPr>
                <w:rFonts w:ascii="Arial" w:hAnsi="Arial" w:cs="Arial"/>
                <w:color w:val="222222"/>
                <w:shd w:val="clear" w:color="auto" w:fill="FFFFFF"/>
              </w:rPr>
              <w:t>Terán</w:t>
            </w:r>
            <w:proofErr w:type="spellEnd"/>
            <w:r w:rsidRPr="008F4A4C">
              <w:rPr>
                <w:rFonts w:ascii="Arial" w:hAnsi="Arial" w:cs="Arial"/>
                <w:color w:val="222222"/>
                <w:shd w:val="clear" w:color="auto" w:fill="FFFFFF"/>
              </w:rPr>
              <w:t>, G., Carbajal-Sandoval, G., Arauz, A. and Valdés-Ferrer, S.I., 2021. Guillain-Barré syndrome is infrequent among recipients of the BNT162b2 mRNA COVID-19 vaccine. </w:t>
            </w:r>
            <w:r w:rsidRPr="008F4A4C">
              <w:rPr>
                <w:rFonts w:ascii="Arial" w:hAnsi="Arial" w:cs="Arial"/>
                <w:i/>
                <w:iCs/>
                <w:color w:val="222222"/>
                <w:shd w:val="clear" w:color="auto" w:fill="FFFFFF"/>
              </w:rPr>
              <w:t>Clinical Immunology</w:t>
            </w:r>
            <w:r w:rsidRPr="008F4A4C">
              <w:rPr>
                <w:rFonts w:ascii="Arial" w:hAnsi="Arial" w:cs="Arial"/>
                <w:color w:val="222222"/>
                <w:shd w:val="clear" w:color="auto" w:fill="FFFFFF"/>
              </w:rPr>
              <w:t>, </w:t>
            </w:r>
            <w:r w:rsidRPr="008F4A4C">
              <w:rPr>
                <w:rFonts w:ascii="Arial" w:hAnsi="Arial" w:cs="Arial"/>
                <w:i/>
                <w:iCs/>
                <w:color w:val="222222"/>
                <w:shd w:val="clear" w:color="auto" w:fill="FFFFFF"/>
              </w:rPr>
              <w:t>230</w:t>
            </w:r>
            <w:r w:rsidRPr="008F4A4C">
              <w:rPr>
                <w:rFonts w:ascii="Arial" w:hAnsi="Arial" w:cs="Arial"/>
                <w:color w:val="222222"/>
                <w:shd w:val="clear" w:color="auto" w:fill="FFFFFF"/>
              </w:rPr>
              <w:t>, p.108818.</w:t>
            </w:r>
          </w:p>
          <w:p w14:paraId="6944CF61" w14:textId="0FD4B374" w:rsidR="00375882" w:rsidRPr="008F4A4C" w:rsidRDefault="00375882" w:rsidP="007F6692">
            <w:pPr>
              <w:spacing w:line="360" w:lineRule="auto"/>
              <w:jc w:val="both"/>
              <w:rPr>
                <w:rFonts w:ascii="Arial" w:hAnsi="Arial" w:cs="Arial"/>
              </w:rPr>
            </w:pPr>
          </w:p>
          <w:p w14:paraId="6DF51C3D" w14:textId="6F494BB7" w:rsidR="00375882" w:rsidRPr="008F4A4C" w:rsidRDefault="00375882" w:rsidP="007F6692">
            <w:pPr>
              <w:spacing w:line="360" w:lineRule="auto"/>
              <w:jc w:val="both"/>
              <w:rPr>
                <w:rFonts w:ascii="Arial" w:hAnsi="Arial" w:cs="Arial"/>
              </w:rPr>
            </w:pPr>
          </w:p>
          <w:p w14:paraId="69EA998C" w14:textId="6811899E" w:rsidR="00375882" w:rsidRPr="008F4A4C" w:rsidRDefault="00375882" w:rsidP="007F6692">
            <w:pPr>
              <w:spacing w:line="360" w:lineRule="auto"/>
              <w:jc w:val="both"/>
              <w:rPr>
                <w:rFonts w:ascii="Arial" w:hAnsi="Arial" w:cs="Arial"/>
              </w:rPr>
            </w:pPr>
          </w:p>
          <w:p w14:paraId="03D9529C" w14:textId="4342E6D7" w:rsidR="00375882" w:rsidRPr="008F4A4C" w:rsidRDefault="00375882" w:rsidP="007F6692">
            <w:pPr>
              <w:spacing w:line="360" w:lineRule="auto"/>
              <w:jc w:val="both"/>
              <w:rPr>
                <w:rFonts w:ascii="Arial" w:hAnsi="Arial" w:cs="Arial"/>
              </w:rPr>
            </w:pPr>
          </w:p>
          <w:p w14:paraId="789E9A79" w14:textId="77990206" w:rsidR="00375882" w:rsidRPr="008F4A4C" w:rsidRDefault="00375882" w:rsidP="007F6692">
            <w:pPr>
              <w:spacing w:line="360" w:lineRule="auto"/>
              <w:jc w:val="both"/>
              <w:rPr>
                <w:rFonts w:ascii="Arial" w:hAnsi="Arial" w:cs="Arial"/>
              </w:rPr>
            </w:pPr>
          </w:p>
          <w:p w14:paraId="43EF99F0" w14:textId="59F16C78" w:rsidR="00375882" w:rsidRPr="008F4A4C" w:rsidRDefault="00375882" w:rsidP="007F6692">
            <w:pPr>
              <w:spacing w:line="360" w:lineRule="auto"/>
              <w:jc w:val="both"/>
              <w:rPr>
                <w:rFonts w:ascii="Arial" w:hAnsi="Arial" w:cs="Arial"/>
              </w:rPr>
            </w:pPr>
          </w:p>
          <w:p w14:paraId="1DDB2118" w14:textId="7A9165F7" w:rsidR="00375882" w:rsidRPr="008F4A4C" w:rsidRDefault="00375882" w:rsidP="007F6692">
            <w:pPr>
              <w:spacing w:line="360" w:lineRule="auto"/>
              <w:jc w:val="both"/>
              <w:rPr>
                <w:rFonts w:ascii="Arial" w:hAnsi="Arial" w:cs="Arial"/>
              </w:rPr>
            </w:pPr>
          </w:p>
          <w:p w14:paraId="3701A32D" w14:textId="54DDC54C" w:rsidR="00375882" w:rsidRPr="008F4A4C" w:rsidRDefault="00375882" w:rsidP="007F6692">
            <w:pPr>
              <w:spacing w:line="360" w:lineRule="auto"/>
              <w:jc w:val="both"/>
              <w:rPr>
                <w:rFonts w:ascii="Arial" w:hAnsi="Arial" w:cs="Arial"/>
              </w:rPr>
            </w:pPr>
          </w:p>
          <w:p w14:paraId="5AE6C72E" w14:textId="62740FFE" w:rsidR="00375882" w:rsidRPr="008F4A4C" w:rsidRDefault="00375882" w:rsidP="007F6692">
            <w:pPr>
              <w:spacing w:line="360" w:lineRule="auto"/>
              <w:jc w:val="both"/>
              <w:rPr>
                <w:rFonts w:ascii="Arial" w:hAnsi="Arial" w:cs="Arial"/>
              </w:rPr>
            </w:pPr>
          </w:p>
          <w:p w14:paraId="19966CC6" w14:textId="3AD7B82E" w:rsidR="00375882" w:rsidRPr="008F4A4C" w:rsidRDefault="00375882" w:rsidP="007F6692">
            <w:pPr>
              <w:spacing w:line="360" w:lineRule="auto"/>
              <w:jc w:val="both"/>
              <w:rPr>
                <w:rFonts w:ascii="Arial" w:hAnsi="Arial" w:cs="Arial"/>
              </w:rPr>
            </w:pPr>
          </w:p>
          <w:p w14:paraId="00C184CC" w14:textId="1B102F8C" w:rsidR="00375882" w:rsidRPr="008F4A4C" w:rsidRDefault="00375882" w:rsidP="007F6692">
            <w:pPr>
              <w:spacing w:line="360" w:lineRule="auto"/>
              <w:jc w:val="both"/>
              <w:rPr>
                <w:rFonts w:ascii="Arial" w:hAnsi="Arial" w:cs="Arial"/>
              </w:rPr>
            </w:pPr>
          </w:p>
          <w:p w14:paraId="56FCD27E" w14:textId="3C241FCD" w:rsidR="00375882" w:rsidRPr="008F4A4C" w:rsidRDefault="00375882" w:rsidP="007F6692">
            <w:pPr>
              <w:spacing w:line="360" w:lineRule="auto"/>
              <w:jc w:val="both"/>
              <w:rPr>
                <w:rFonts w:ascii="Arial" w:hAnsi="Arial" w:cs="Arial"/>
              </w:rPr>
            </w:pPr>
          </w:p>
          <w:p w14:paraId="50E4CC8B" w14:textId="7487DEDD" w:rsidR="00375882" w:rsidRPr="008F4A4C" w:rsidRDefault="00375882" w:rsidP="007F6692">
            <w:pPr>
              <w:spacing w:line="360" w:lineRule="auto"/>
              <w:jc w:val="both"/>
              <w:rPr>
                <w:rFonts w:ascii="Arial" w:hAnsi="Arial" w:cs="Arial"/>
              </w:rPr>
            </w:pPr>
          </w:p>
          <w:p w14:paraId="2E020AEF" w14:textId="77777777" w:rsidR="00375882" w:rsidRPr="008F4A4C" w:rsidRDefault="00375882" w:rsidP="007F6692">
            <w:pPr>
              <w:spacing w:line="360" w:lineRule="auto"/>
              <w:jc w:val="both"/>
              <w:rPr>
                <w:rFonts w:ascii="Arial" w:hAnsi="Arial" w:cs="Arial"/>
              </w:rPr>
            </w:pPr>
          </w:p>
          <w:p w14:paraId="47FB6995" w14:textId="77777777" w:rsidR="00375882" w:rsidRPr="008F4A4C" w:rsidRDefault="00375882" w:rsidP="007F6692">
            <w:pPr>
              <w:jc w:val="both"/>
              <w:rPr>
                <w:rFonts w:ascii="Arial" w:hAnsi="Arial" w:cs="Arial"/>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F1F2BA" w14:textId="77777777" w:rsidR="00923EBD" w:rsidRDefault="00923EBD">
      <w:r>
        <w:separator/>
      </w:r>
    </w:p>
  </w:endnote>
  <w:endnote w:type="continuationSeparator" w:id="0">
    <w:p w14:paraId="45BAA178" w14:textId="77777777" w:rsidR="00923EBD" w:rsidRDefault="00923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6E638C">
          <w:rPr>
            <w:noProof/>
          </w:rPr>
          <w:t>5</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97C54F" w14:textId="77777777" w:rsidR="00923EBD" w:rsidRDefault="00923EBD">
      <w:r>
        <w:separator/>
      </w:r>
    </w:p>
  </w:footnote>
  <w:footnote w:type="continuationSeparator" w:id="0">
    <w:p w14:paraId="49D29904" w14:textId="77777777" w:rsidR="00923EBD" w:rsidRDefault="00923EB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47171"/>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D5F11"/>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1577"/>
    <w:rsid w:val="00566333"/>
    <w:rsid w:val="005C6352"/>
    <w:rsid w:val="005D0DDE"/>
    <w:rsid w:val="005D5D0B"/>
    <w:rsid w:val="0062012D"/>
    <w:rsid w:val="00643CB9"/>
    <w:rsid w:val="0066732A"/>
    <w:rsid w:val="00677D1F"/>
    <w:rsid w:val="00697481"/>
    <w:rsid w:val="006A4F97"/>
    <w:rsid w:val="006C4640"/>
    <w:rsid w:val="006E638C"/>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8F4A4C"/>
    <w:rsid w:val="00911C43"/>
    <w:rsid w:val="009139BF"/>
    <w:rsid w:val="00923E76"/>
    <w:rsid w:val="00923EBD"/>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1254</Words>
  <Characters>7153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8391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Rumel</cp:lastModifiedBy>
  <cp:revision>5</cp:revision>
  <cp:lastPrinted>2020-09-28T20:53:00Z</cp:lastPrinted>
  <dcterms:created xsi:type="dcterms:W3CDTF">2021-09-29T15:13:00Z</dcterms:created>
  <dcterms:modified xsi:type="dcterms:W3CDTF">2021-10-14T23:09:00Z</dcterms:modified>
</cp:coreProperties>
</file>