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0F4F8" w14:textId="77777777" w:rsidR="006237C3" w:rsidRPr="00CA43F9" w:rsidRDefault="00000000" w:rsidP="006237C3">
      <w:pPr>
        <w:rPr>
          <w:rFonts w:ascii="Arial" w:hAnsi="Arial" w:cs="Arial"/>
          <w:b/>
          <w:bCs/>
          <w:sz w:val="22"/>
          <w:szCs w:val="22"/>
          <w:lang w:val="en-IN"/>
        </w:rPr>
      </w:pPr>
      <w:r w:rsidRPr="00CA43F9">
        <w:rPr>
          <w:rFonts w:ascii="Arial" w:hAnsi="Arial" w:cs="Arial"/>
          <w:b/>
          <w:bCs/>
          <w:sz w:val="22"/>
          <w:szCs w:val="22"/>
          <w:lang w:val="en-IN"/>
        </w:rPr>
        <w:t>LCHS4010: Psychology in Health and Social Care</w:t>
      </w:r>
    </w:p>
    <w:p w14:paraId="5592CBD3" w14:textId="77777777" w:rsidR="006237C3" w:rsidRPr="00CA43F9" w:rsidRDefault="00000000" w:rsidP="006237C3">
      <w:pPr>
        <w:rPr>
          <w:rFonts w:ascii="Arial" w:hAnsi="Arial" w:cs="Arial"/>
          <w:b/>
          <w:bCs/>
          <w:sz w:val="22"/>
          <w:szCs w:val="22"/>
          <w:lang w:val="en-IN"/>
        </w:rPr>
      </w:pPr>
      <w:r w:rsidRPr="00CA43F9">
        <w:rPr>
          <w:rFonts w:ascii="Arial" w:hAnsi="Arial" w:cs="Arial"/>
          <w:b/>
          <w:bCs/>
          <w:sz w:val="22"/>
          <w:szCs w:val="22"/>
          <w:lang w:val="en-IN"/>
        </w:rPr>
        <w:t>Assignment 2 – Written Report</w:t>
      </w:r>
    </w:p>
    <w:p w14:paraId="7BA22FB2" w14:textId="77777777" w:rsidR="006237C3" w:rsidRPr="00CA43F9" w:rsidRDefault="00000000" w:rsidP="006237C3">
      <w:pPr>
        <w:rPr>
          <w:rFonts w:ascii="Arial" w:hAnsi="Arial" w:cs="Arial"/>
          <w:b/>
          <w:bCs/>
          <w:sz w:val="22"/>
          <w:szCs w:val="22"/>
          <w:lang w:val="en-IN"/>
        </w:rPr>
      </w:pPr>
      <w:r w:rsidRPr="00CA43F9">
        <w:rPr>
          <w:rFonts w:ascii="Arial" w:hAnsi="Arial" w:cs="Arial"/>
          <w:b/>
          <w:bCs/>
          <w:sz w:val="22"/>
          <w:szCs w:val="22"/>
          <w:lang w:val="en-IN"/>
        </w:rPr>
        <w:t>Using Psychological Theories to Support Adults Aged 65+ with Dementia in Residential Care</w:t>
      </w:r>
    </w:p>
    <w:p w14:paraId="1443E052" w14:textId="3195FFDB" w:rsidR="00C53D88" w:rsidRPr="00CA43F9" w:rsidRDefault="00C53D88" w:rsidP="006237C3">
      <w:pPr>
        <w:rPr>
          <w:rFonts w:ascii="Arial" w:hAnsi="Arial" w:cs="Arial"/>
          <w:b/>
          <w:bCs/>
          <w:sz w:val="22"/>
          <w:szCs w:val="22"/>
          <w:lang w:val="en-IN"/>
        </w:rPr>
      </w:pPr>
      <w:r w:rsidRPr="00CA43F9">
        <w:rPr>
          <w:rFonts w:ascii="Arial" w:hAnsi="Arial" w:cs="Arial"/>
          <w:b/>
          <w:bCs/>
          <w:sz w:val="22"/>
          <w:szCs w:val="22"/>
          <w:lang w:val="en-IN"/>
        </w:rPr>
        <w:t>Student Name:</w:t>
      </w:r>
      <w:r w:rsidR="002441D8">
        <w:rPr>
          <w:rFonts w:ascii="Arial" w:hAnsi="Arial" w:cs="Arial"/>
          <w:b/>
          <w:bCs/>
          <w:sz w:val="22"/>
          <w:szCs w:val="22"/>
          <w:lang w:val="en-IN"/>
        </w:rPr>
        <w:t xml:space="preserve"> </w:t>
      </w:r>
      <w:proofErr w:type="spellStart"/>
      <w:r w:rsidRPr="00CA43F9">
        <w:rPr>
          <w:rFonts w:ascii="Arial" w:hAnsi="Arial" w:cs="Arial"/>
          <w:b/>
          <w:bCs/>
          <w:sz w:val="22"/>
          <w:szCs w:val="22"/>
          <w:lang w:val="en-IN"/>
        </w:rPr>
        <w:t>Abosede</w:t>
      </w:r>
      <w:proofErr w:type="spellEnd"/>
      <w:r w:rsidRPr="00CA43F9">
        <w:rPr>
          <w:rFonts w:ascii="Arial" w:hAnsi="Arial" w:cs="Arial"/>
          <w:b/>
          <w:bCs/>
          <w:sz w:val="22"/>
          <w:szCs w:val="22"/>
          <w:lang w:val="en-IN"/>
        </w:rPr>
        <w:t xml:space="preserve"> Adesanya</w:t>
      </w:r>
    </w:p>
    <w:p w14:paraId="3F1505A7" w14:textId="2589C6A2" w:rsidR="00C53D88" w:rsidRPr="00CA43F9" w:rsidRDefault="00C53D88" w:rsidP="006237C3">
      <w:pPr>
        <w:rPr>
          <w:rFonts w:ascii="Arial" w:hAnsi="Arial" w:cs="Arial"/>
          <w:b/>
          <w:bCs/>
          <w:sz w:val="22"/>
          <w:szCs w:val="22"/>
          <w:lang w:val="en-IN"/>
        </w:rPr>
      </w:pPr>
      <w:r w:rsidRPr="00CA43F9">
        <w:rPr>
          <w:rFonts w:ascii="Arial" w:hAnsi="Arial" w:cs="Arial"/>
          <w:b/>
          <w:bCs/>
          <w:sz w:val="22"/>
          <w:szCs w:val="22"/>
          <w:lang w:val="en-IN"/>
        </w:rPr>
        <w:t>Lecturer:</w:t>
      </w:r>
      <w:r w:rsidR="002441D8">
        <w:rPr>
          <w:rFonts w:ascii="Arial" w:hAnsi="Arial" w:cs="Arial"/>
          <w:b/>
          <w:bCs/>
          <w:sz w:val="22"/>
          <w:szCs w:val="22"/>
          <w:lang w:val="en-IN"/>
        </w:rPr>
        <w:t xml:space="preserve"> </w:t>
      </w:r>
      <w:r w:rsidRPr="00CA43F9">
        <w:rPr>
          <w:rFonts w:ascii="Arial" w:hAnsi="Arial" w:cs="Arial"/>
          <w:b/>
          <w:bCs/>
          <w:sz w:val="22"/>
          <w:szCs w:val="22"/>
          <w:lang w:val="en-IN"/>
        </w:rPr>
        <w:t>Farah</w:t>
      </w:r>
      <w:r w:rsidR="00CA43F9" w:rsidRPr="00CA43F9">
        <w:rPr>
          <w:rFonts w:ascii="Arial" w:hAnsi="Arial" w:cs="Arial"/>
          <w:b/>
          <w:bCs/>
          <w:sz w:val="22"/>
          <w:szCs w:val="22"/>
          <w:lang w:val="en-IN"/>
        </w:rPr>
        <w:t xml:space="preserve"> Wiita </w:t>
      </w:r>
    </w:p>
    <w:p w14:paraId="5B011649" w14:textId="29482C90" w:rsidR="00CA43F9" w:rsidRPr="00CA43F9" w:rsidRDefault="002441D8" w:rsidP="006237C3">
      <w:pPr>
        <w:rPr>
          <w:rFonts w:ascii="Arial" w:hAnsi="Arial" w:cs="Arial"/>
          <w:b/>
          <w:bCs/>
          <w:sz w:val="22"/>
          <w:szCs w:val="22"/>
          <w:lang w:val="en-IN"/>
        </w:rPr>
      </w:pPr>
      <w:r w:rsidRPr="00CA43F9">
        <w:rPr>
          <w:rFonts w:ascii="Arial" w:hAnsi="Arial" w:cs="Arial"/>
          <w:b/>
          <w:bCs/>
          <w:sz w:val="22"/>
          <w:szCs w:val="22"/>
          <w:lang w:val="en-IN"/>
        </w:rPr>
        <w:t>Student</w:t>
      </w:r>
      <w:r w:rsidR="00CA43F9" w:rsidRPr="00CA43F9">
        <w:rPr>
          <w:rFonts w:ascii="Arial" w:hAnsi="Arial" w:cs="Arial"/>
          <w:b/>
          <w:bCs/>
          <w:sz w:val="22"/>
          <w:szCs w:val="22"/>
          <w:lang w:val="en-IN"/>
        </w:rPr>
        <w:t xml:space="preserve"> ID:2428011</w:t>
      </w:r>
    </w:p>
    <w:p w14:paraId="69256968" w14:textId="191FFD90" w:rsidR="006237C3" w:rsidRPr="00CA43F9" w:rsidRDefault="00000000">
      <w:pPr>
        <w:rPr>
          <w:rFonts w:ascii="Arial" w:hAnsi="Arial" w:cs="Arial"/>
          <w:sz w:val="22"/>
          <w:szCs w:val="22"/>
        </w:rPr>
      </w:pPr>
      <w:r w:rsidRPr="00CA43F9">
        <w:rPr>
          <w:rFonts w:ascii="Arial" w:hAnsi="Arial" w:cs="Arial"/>
          <w:sz w:val="22"/>
          <w:szCs w:val="22"/>
        </w:rPr>
        <w:br w:type="page"/>
      </w:r>
    </w:p>
    <w:sdt>
      <w:sdtPr>
        <w:rPr>
          <w:rFonts w:ascii="Arial" w:eastAsiaTheme="minorHAnsi" w:hAnsi="Arial" w:cs="Arial"/>
          <w:color w:val="auto"/>
          <w:kern w:val="2"/>
          <w:sz w:val="22"/>
          <w:szCs w:val="22"/>
          <w:lang w:val="en-GB"/>
          <w14:ligatures w14:val="standardContextual"/>
        </w:rPr>
        <w:id w:val="-1079673545"/>
        <w:docPartObj>
          <w:docPartGallery w:val="Table of Contents"/>
          <w:docPartUnique/>
        </w:docPartObj>
      </w:sdtPr>
      <w:sdtEndPr>
        <w:rPr>
          <w:b/>
          <w:bCs/>
          <w:noProof/>
        </w:rPr>
      </w:sdtEndPr>
      <w:sdtContent>
        <w:p w14:paraId="0DC151B1" w14:textId="2D9320D8" w:rsidR="00F70A34" w:rsidRPr="00CA43F9" w:rsidRDefault="00000000">
          <w:pPr>
            <w:pStyle w:val="TOCHeading"/>
            <w:rPr>
              <w:rFonts w:ascii="Arial" w:hAnsi="Arial" w:cs="Arial"/>
              <w:sz w:val="22"/>
              <w:szCs w:val="22"/>
            </w:rPr>
          </w:pPr>
          <w:r w:rsidRPr="00CA43F9">
            <w:rPr>
              <w:rFonts w:ascii="Arial" w:hAnsi="Arial" w:cs="Arial"/>
              <w:sz w:val="22"/>
              <w:szCs w:val="22"/>
            </w:rPr>
            <w:t>Table of Contents</w:t>
          </w:r>
        </w:p>
        <w:p w14:paraId="5E86B731" w14:textId="261F06B0" w:rsidR="00DF1ABC" w:rsidRPr="00CA43F9" w:rsidRDefault="00000000">
          <w:pPr>
            <w:pStyle w:val="TOC1"/>
            <w:tabs>
              <w:tab w:val="right" w:leader="dot" w:pos="9016"/>
            </w:tabs>
            <w:rPr>
              <w:rFonts w:ascii="Arial" w:eastAsiaTheme="minorEastAsia" w:hAnsi="Arial" w:cs="Arial"/>
              <w:noProof/>
              <w:sz w:val="22"/>
              <w:szCs w:val="22"/>
              <w:lang w:val="en-IN" w:eastAsia="en-IN"/>
            </w:rPr>
          </w:pPr>
          <w:r w:rsidRPr="00CA43F9">
            <w:rPr>
              <w:rFonts w:ascii="Arial" w:hAnsi="Arial" w:cs="Arial"/>
              <w:sz w:val="22"/>
              <w:szCs w:val="22"/>
            </w:rPr>
            <w:fldChar w:fldCharType="begin"/>
          </w:r>
          <w:r w:rsidRPr="00CA43F9">
            <w:rPr>
              <w:rFonts w:ascii="Arial" w:hAnsi="Arial" w:cs="Arial"/>
              <w:sz w:val="22"/>
              <w:szCs w:val="22"/>
            </w:rPr>
            <w:instrText xml:space="preserve"> TOC \o "1-3" \h \z \u </w:instrText>
          </w:r>
          <w:r w:rsidRPr="00CA43F9">
            <w:rPr>
              <w:rFonts w:ascii="Arial" w:hAnsi="Arial" w:cs="Arial"/>
              <w:sz w:val="22"/>
              <w:szCs w:val="22"/>
            </w:rPr>
            <w:fldChar w:fldCharType="separate"/>
          </w:r>
          <w:hyperlink w:anchor="_Toc216616876" w:history="1">
            <w:r w:rsidR="00DF1ABC" w:rsidRPr="00CA43F9">
              <w:rPr>
                <w:rStyle w:val="Hyperlink"/>
                <w:rFonts w:ascii="Arial" w:hAnsi="Arial" w:cs="Arial"/>
                <w:noProof/>
                <w:sz w:val="22"/>
                <w:szCs w:val="22"/>
              </w:rPr>
              <w:t>1. Introduction</w:t>
            </w:r>
            <w:r w:rsidR="00DF1ABC" w:rsidRPr="00CA43F9">
              <w:rPr>
                <w:rFonts w:ascii="Arial" w:hAnsi="Arial" w:cs="Arial"/>
                <w:noProof/>
                <w:webHidden/>
                <w:sz w:val="22"/>
                <w:szCs w:val="22"/>
              </w:rPr>
              <w:tab/>
            </w:r>
            <w:r w:rsidR="00DF1ABC" w:rsidRPr="00CA43F9">
              <w:rPr>
                <w:rFonts w:ascii="Arial" w:hAnsi="Arial" w:cs="Arial"/>
                <w:noProof/>
                <w:webHidden/>
                <w:sz w:val="22"/>
                <w:szCs w:val="22"/>
              </w:rPr>
              <w:fldChar w:fldCharType="begin"/>
            </w:r>
            <w:r w:rsidR="00DF1ABC" w:rsidRPr="00CA43F9">
              <w:rPr>
                <w:rFonts w:ascii="Arial" w:hAnsi="Arial" w:cs="Arial"/>
                <w:noProof/>
                <w:webHidden/>
                <w:sz w:val="22"/>
                <w:szCs w:val="22"/>
              </w:rPr>
              <w:instrText xml:space="preserve"> PAGEREF _Toc216616876 \h </w:instrText>
            </w:r>
            <w:r w:rsidR="00DF1ABC" w:rsidRPr="00CA43F9">
              <w:rPr>
                <w:rFonts w:ascii="Arial" w:hAnsi="Arial" w:cs="Arial"/>
                <w:noProof/>
                <w:webHidden/>
                <w:sz w:val="22"/>
                <w:szCs w:val="22"/>
              </w:rPr>
            </w:r>
            <w:r w:rsidR="00DF1ABC" w:rsidRPr="00CA43F9">
              <w:rPr>
                <w:rFonts w:ascii="Arial" w:hAnsi="Arial" w:cs="Arial"/>
                <w:noProof/>
                <w:webHidden/>
                <w:sz w:val="22"/>
                <w:szCs w:val="22"/>
              </w:rPr>
              <w:fldChar w:fldCharType="separate"/>
            </w:r>
            <w:r w:rsidR="00DF1ABC" w:rsidRPr="00CA43F9">
              <w:rPr>
                <w:rFonts w:ascii="Arial" w:hAnsi="Arial" w:cs="Arial"/>
                <w:noProof/>
                <w:webHidden/>
                <w:sz w:val="22"/>
                <w:szCs w:val="22"/>
              </w:rPr>
              <w:t>3</w:t>
            </w:r>
            <w:r w:rsidR="00DF1ABC" w:rsidRPr="00CA43F9">
              <w:rPr>
                <w:rFonts w:ascii="Arial" w:hAnsi="Arial" w:cs="Arial"/>
                <w:noProof/>
                <w:webHidden/>
                <w:sz w:val="22"/>
                <w:szCs w:val="22"/>
              </w:rPr>
              <w:fldChar w:fldCharType="end"/>
            </w:r>
          </w:hyperlink>
        </w:p>
        <w:p w14:paraId="712EA897" w14:textId="17BEB098" w:rsidR="00DF1ABC" w:rsidRPr="00CA43F9" w:rsidRDefault="00DF1ABC">
          <w:pPr>
            <w:pStyle w:val="TOC1"/>
            <w:tabs>
              <w:tab w:val="right" w:leader="dot" w:pos="9016"/>
            </w:tabs>
            <w:rPr>
              <w:rFonts w:ascii="Arial" w:eastAsiaTheme="minorEastAsia" w:hAnsi="Arial" w:cs="Arial"/>
              <w:noProof/>
              <w:sz w:val="22"/>
              <w:szCs w:val="22"/>
              <w:lang w:val="en-IN" w:eastAsia="en-IN"/>
            </w:rPr>
          </w:pPr>
          <w:hyperlink w:anchor="_Toc216616877" w:history="1">
            <w:r w:rsidRPr="00CA43F9">
              <w:rPr>
                <w:rStyle w:val="Hyperlink"/>
                <w:rFonts w:ascii="Arial" w:hAnsi="Arial" w:cs="Arial"/>
                <w:noProof/>
                <w:sz w:val="22"/>
                <w:szCs w:val="22"/>
                <w:lang w:val="en-IN"/>
              </w:rPr>
              <w:t>2. Explanation of the Two Psychological Theories</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_Toc216616877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3</w:t>
            </w:r>
            <w:r w:rsidRPr="00CA43F9">
              <w:rPr>
                <w:rFonts w:ascii="Arial" w:hAnsi="Arial" w:cs="Arial"/>
                <w:noProof/>
                <w:webHidden/>
                <w:sz w:val="22"/>
                <w:szCs w:val="22"/>
              </w:rPr>
              <w:fldChar w:fldCharType="end"/>
            </w:r>
          </w:hyperlink>
        </w:p>
        <w:p w14:paraId="2606A83C" w14:textId="775645C4" w:rsidR="00DF1ABC" w:rsidRPr="00CA43F9" w:rsidRDefault="00DF1ABC">
          <w:pPr>
            <w:pStyle w:val="TOC2"/>
            <w:tabs>
              <w:tab w:val="right" w:leader="dot" w:pos="9016"/>
            </w:tabs>
            <w:rPr>
              <w:rFonts w:ascii="Arial" w:eastAsiaTheme="minorEastAsia" w:hAnsi="Arial" w:cs="Arial"/>
              <w:noProof/>
              <w:sz w:val="22"/>
              <w:szCs w:val="22"/>
              <w:lang w:val="en-IN" w:eastAsia="en-IN"/>
            </w:rPr>
          </w:pPr>
          <w:hyperlink w:anchor="_Toc216616878" w:history="1">
            <w:r w:rsidRPr="00CA43F9">
              <w:rPr>
                <w:rStyle w:val="Hyperlink"/>
                <w:rFonts w:ascii="Arial" w:hAnsi="Arial" w:cs="Arial"/>
                <w:noProof/>
                <w:sz w:val="22"/>
                <w:szCs w:val="22"/>
                <w:lang w:val="en-IN"/>
              </w:rPr>
              <w:t>2.1 Erikson’s Psychosocial Theory of Development</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_Toc216616878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3</w:t>
            </w:r>
            <w:r w:rsidRPr="00CA43F9">
              <w:rPr>
                <w:rFonts w:ascii="Arial" w:hAnsi="Arial" w:cs="Arial"/>
                <w:noProof/>
                <w:webHidden/>
                <w:sz w:val="22"/>
                <w:szCs w:val="22"/>
              </w:rPr>
              <w:fldChar w:fldCharType="end"/>
            </w:r>
          </w:hyperlink>
        </w:p>
        <w:p w14:paraId="6870D78B" w14:textId="1F6838A3" w:rsidR="00DF1ABC" w:rsidRPr="00CA43F9" w:rsidRDefault="00DF1ABC">
          <w:pPr>
            <w:pStyle w:val="TOC2"/>
            <w:tabs>
              <w:tab w:val="right" w:leader="dot" w:pos="9016"/>
            </w:tabs>
            <w:rPr>
              <w:rFonts w:ascii="Arial" w:eastAsiaTheme="minorEastAsia" w:hAnsi="Arial" w:cs="Arial"/>
              <w:noProof/>
              <w:sz w:val="22"/>
              <w:szCs w:val="22"/>
              <w:lang w:val="en-IN" w:eastAsia="en-IN"/>
            </w:rPr>
          </w:pPr>
          <w:hyperlink w:anchor="_Toc216616879" w:history="1">
            <w:r w:rsidRPr="00CA43F9">
              <w:rPr>
                <w:rStyle w:val="Hyperlink"/>
                <w:rFonts w:ascii="Arial" w:hAnsi="Arial" w:cs="Arial"/>
                <w:noProof/>
                <w:sz w:val="22"/>
                <w:szCs w:val="22"/>
              </w:rPr>
              <w:t>2.2 Bowlby’s Attachment Theory</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_Toc216616879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4</w:t>
            </w:r>
            <w:r w:rsidRPr="00CA43F9">
              <w:rPr>
                <w:rFonts w:ascii="Arial" w:hAnsi="Arial" w:cs="Arial"/>
                <w:noProof/>
                <w:webHidden/>
                <w:sz w:val="22"/>
                <w:szCs w:val="22"/>
              </w:rPr>
              <w:fldChar w:fldCharType="end"/>
            </w:r>
          </w:hyperlink>
        </w:p>
        <w:p w14:paraId="4C09CFDA" w14:textId="6069E39D" w:rsidR="00DF1ABC" w:rsidRPr="00CA43F9" w:rsidRDefault="00DF1ABC">
          <w:pPr>
            <w:pStyle w:val="TOC1"/>
            <w:tabs>
              <w:tab w:val="right" w:leader="dot" w:pos="9016"/>
            </w:tabs>
            <w:rPr>
              <w:rFonts w:ascii="Arial" w:eastAsiaTheme="minorEastAsia" w:hAnsi="Arial" w:cs="Arial"/>
              <w:noProof/>
              <w:sz w:val="22"/>
              <w:szCs w:val="22"/>
              <w:lang w:val="en-IN" w:eastAsia="en-IN"/>
            </w:rPr>
          </w:pPr>
          <w:hyperlink w:anchor="_Toc216616880" w:history="1">
            <w:r w:rsidRPr="00CA43F9">
              <w:rPr>
                <w:rStyle w:val="Hyperlink"/>
                <w:rFonts w:ascii="Arial" w:hAnsi="Arial" w:cs="Arial"/>
                <w:noProof/>
                <w:sz w:val="22"/>
                <w:szCs w:val="22"/>
              </w:rPr>
              <w:t>3. Strengths and Limitations of the Theories</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_Toc216616880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5</w:t>
            </w:r>
            <w:r w:rsidRPr="00CA43F9">
              <w:rPr>
                <w:rFonts w:ascii="Arial" w:hAnsi="Arial" w:cs="Arial"/>
                <w:noProof/>
                <w:webHidden/>
                <w:sz w:val="22"/>
                <w:szCs w:val="22"/>
              </w:rPr>
              <w:fldChar w:fldCharType="end"/>
            </w:r>
          </w:hyperlink>
        </w:p>
        <w:p w14:paraId="2F77CEAA" w14:textId="1B34347B" w:rsidR="00DF1ABC" w:rsidRPr="00CA43F9" w:rsidRDefault="00DF1ABC">
          <w:pPr>
            <w:pStyle w:val="TOC1"/>
            <w:tabs>
              <w:tab w:val="right" w:leader="dot" w:pos="9016"/>
            </w:tabs>
            <w:rPr>
              <w:rFonts w:ascii="Arial" w:eastAsiaTheme="minorEastAsia" w:hAnsi="Arial" w:cs="Arial"/>
              <w:noProof/>
              <w:sz w:val="22"/>
              <w:szCs w:val="22"/>
              <w:lang w:val="en-IN" w:eastAsia="en-IN"/>
            </w:rPr>
          </w:pPr>
          <w:hyperlink w:anchor="_Toc216616881" w:history="1">
            <w:r w:rsidRPr="00CA43F9">
              <w:rPr>
                <w:rStyle w:val="Hyperlink"/>
                <w:rFonts w:ascii="Arial" w:hAnsi="Arial" w:cs="Arial"/>
                <w:noProof/>
                <w:sz w:val="22"/>
                <w:szCs w:val="22"/>
              </w:rPr>
              <w:t>4. Nature and Nurture in Psychological Development</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_Toc216616881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6</w:t>
            </w:r>
            <w:r w:rsidRPr="00CA43F9">
              <w:rPr>
                <w:rFonts w:ascii="Arial" w:hAnsi="Arial" w:cs="Arial"/>
                <w:noProof/>
                <w:webHidden/>
                <w:sz w:val="22"/>
                <w:szCs w:val="22"/>
              </w:rPr>
              <w:fldChar w:fldCharType="end"/>
            </w:r>
          </w:hyperlink>
        </w:p>
        <w:p w14:paraId="22401BE3" w14:textId="4708A1FB" w:rsidR="00DF1ABC" w:rsidRPr="00CA43F9" w:rsidRDefault="00DF1ABC">
          <w:pPr>
            <w:pStyle w:val="TOC1"/>
            <w:tabs>
              <w:tab w:val="right" w:leader="dot" w:pos="9016"/>
            </w:tabs>
            <w:rPr>
              <w:rFonts w:ascii="Arial" w:eastAsiaTheme="minorEastAsia" w:hAnsi="Arial" w:cs="Arial"/>
              <w:noProof/>
              <w:sz w:val="22"/>
              <w:szCs w:val="22"/>
              <w:lang w:val="en-IN" w:eastAsia="en-IN"/>
            </w:rPr>
          </w:pPr>
          <w:hyperlink w:anchor="_Toc216616882" w:history="1">
            <w:r w:rsidRPr="00CA43F9">
              <w:rPr>
                <w:rStyle w:val="Hyperlink"/>
                <w:rFonts w:ascii="Arial" w:hAnsi="Arial" w:cs="Arial"/>
                <w:noProof/>
                <w:sz w:val="22"/>
                <w:szCs w:val="22"/>
                <w:lang w:val="en-IN"/>
              </w:rPr>
              <w:t>5. Application of Theory in a Dementia Care Home</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_Toc216616882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6</w:t>
            </w:r>
            <w:r w:rsidRPr="00CA43F9">
              <w:rPr>
                <w:rFonts w:ascii="Arial" w:hAnsi="Arial" w:cs="Arial"/>
                <w:noProof/>
                <w:webHidden/>
                <w:sz w:val="22"/>
                <w:szCs w:val="22"/>
              </w:rPr>
              <w:fldChar w:fldCharType="end"/>
            </w:r>
          </w:hyperlink>
        </w:p>
        <w:p w14:paraId="107A9BEC" w14:textId="3CC4A675" w:rsidR="00DF1ABC" w:rsidRPr="00CA43F9" w:rsidRDefault="00DF1ABC">
          <w:pPr>
            <w:pStyle w:val="TOC2"/>
            <w:tabs>
              <w:tab w:val="right" w:leader="dot" w:pos="9016"/>
            </w:tabs>
            <w:rPr>
              <w:rFonts w:ascii="Arial" w:eastAsiaTheme="minorEastAsia" w:hAnsi="Arial" w:cs="Arial"/>
              <w:noProof/>
              <w:sz w:val="22"/>
              <w:szCs w:val="22"/>
              <w:lang w:val="en-IN" w:eastAsia="en-IN"/>
            </w:rPr>
          </w:pPr>
          <w:hyperlink w:anchor="_Toc216616883" w:history="1">
            <w:r w:rsidRPr="00CA43F9">
              <w:rPr>
                <w:rStyle w:val="Hyperlink"/>
                <w:rFonts w:ascii="Arial" w:hAnsi="Arial" w:cs="Arial"/>
                <w:noProof/>
                <w:sz w:val="22"/>
                <w:szCs w:val="22"/>
                <w:lang w:val="en-IN"/>
              </w:rPr>
              <w:t>5.1 Applying Erikson’s Theory</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_Toc216616883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6</w:t>
            </w:r>
            <w:r w:rsidRPr="00CA43F9">
              <w:rPr>
                <w:rFonts w:ascii="Arial" w:hAnsi="Arial" w:cs="Arial"/>
                <w:noProof/>
                <w:webHidden/>
                <w:sz w:val="22"/>
                <w:szCs w:val="22"/>
              </w:rPr>
              <w:fldChar w:fldCharType="end"/>
            </w:r>
          </w:hyperlink>
        </w:p>
        <w:p w14:paraId="4ABC7903" w14:textId="3578FF17" w:rsidR="00DF1ABC" w:rsidRPr="00CA43F9" w:rsidRDefault="00DF1ABC">
          <w:pPr>
            <w:pStyle w:val="TOC2"/>
            <w:tabs>
              <w:tab w:val="right" w:leader="dot" w:pos="9016"/>
            </w:tabs>
            <w:rPr>
              <w:rFonts w:ascii="Arial" w:eastAsiaTheme="minorEastAsia" w:hAnsi="Arial" w:cs="Arial"/>
              <w:noProof/>
              <w:sz w:val="22"/>
              <w:szCs w:val="22"/>
              <w:lang w:val="en-IN" w:eastAsia="en-IN"/>
            </w:rPr>
          </w:pPr>
          <w:hyperlink w:anchor="_Toc216616884" w:history="1">
            <w:r w:rsidRPr="00CA43F9">
              <w:rPr>
                <w:rStyle w:val="Hyperlink"/>
                <w:rFonts w:ascii="Arial" w:hAnsi="Arial" w:cs="Arial"/>
                <w:noProof/>
                <w:sz w:val="22"/>
                <w:szCs w:val="22"/>
              </w:rPr>
              <w:t>5.2 Applying Attachment Theory</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_Toc216616884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7</w:t>
            </w:r>
            <w:r w:rsidRPr="00CA43F9">
              <w:rPr>
                <w:rFonts w:ascii="Arial" w:hAnsi="Arial" w:cs="Arial"/>
                <w:noProof/>
                <w:webHidden/>
                <w:sz w:val="22"/>
                <w:szCs w:val="22"/>
              </w:rPr>
              <w:fldChar w:fldCharType="end"/>
            </w:r>
          </w:hyperlink>
        </w:p>
        <w:p w14:paraId="3B7B3E7C" w14:textId="6D76D83B" w:rsidR="00DF1ABC" w:rsidRPr="00CA43F9" w:rsidRDefault="00DF1ABC">
          <w:pPr>
            <w:pStyle w:val="TOC1"/>
            <w:tabs>
              <w:tab w:val="right" w:leader="dot" w:pos="9016"/>
            </w:tabs>
            <w:rPr>
              <w:rFonts w:ascii="Arial" w:eastAsiaTheme="minorEastAsia" w:hAnsi="Arial" w:cs="Arial"/>
              <w:noProof/>
              <w:sz w:val="22"/>
              <w:szCs w:val="22"/>
              <w:lang w:val="en-IN" w:eastAsia="en-IN"/>
            </w:rPr>
          </w:pPr>
          <w:hyperlink w:anchor="_Toc216616885" w:history="1">
            <w:r w:rsidRPr="00CA43F9">
              <w:rPr>
                <w:rStyle w:val="Hyperlink"/>
                <w:rFonts w:ascii="Arial" w:hAnsi="Arial" w:cs="Arial"/>
                <w:noProof/>
                <w:sz w:val="22"/>
                <w:szCs w:val="22"/>
              </w:rPr>
              <w:t>6. Conclusion</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_Toc216616885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7</w:t>
            </w:r>
            <w:r w:rsidRPr="00CA43F9">
              <w:rPr>
                <w:rFonts w:ascii="Arial" w:hAnsi="Arial" w:cs="Arial"/>
                <w:noProof/>
                <w:webHidden/>
                <w:sz w:val="22"/>
                <w:szCs w:val="22"/>
              </w:rPr>
              <w:fldChar w:fldCharType="end"/>
            </w:r>
          </w:hyperlink>
        </w:p>
        <w:p w14:paraId="0218DF16" w14:textId="030EA848" w:rsidR="00DF1ABC" w:rsidRPr="00CA43F9" w:rsidRDefault="00DF1ABC">
          <w:pPr>
            <w:pStyle w:val="TOC1"/>
            <w:tabs>
              <w:tab w:val="right" w:leader="dot" w:pos="9016"/>
            </w:tabs>
            <w:rPr>
              <w:rFonts w:ascii="Arial" w:eastAsiaTheme="minorEastAsia" w:hAnsi="Arial" w:cs="Arial"/>
              <w:noProof/>
              <w:sz w:val="22"/>
              <w:szCs w:val="22"/>
              <w:lang w:val="en-IN" w:eastAsia="en-IN"/>
            </w:rPr>
          </w:pPr>
          <w:hyperlink w:anchor="_Toc216616886" w:history="1">
            <w:r w:rsidRPr="00CA43F9">
              <w:rPr>
                <w:rStyle w:val="Hyperlink"/>
                <w:rFonts w:ascii="Arial" w:hAnsi="Arial" w:cs="Arial"/>
                <w:noProof/>
                <w:sz w:val="22"/>
                <w:szCs w:val="22"/>
                <w:lang w:val="en-IN"/>
              </w:rPr>
              <w:t>7. References</w:t>
            </w:r>
            <w:r w:rsidRPr="00CA43F9">
              <w:rPr>
                <w:rFonts w:ascii="Arial" w:hAnsi="Arial" w:cs="Arial"/>
                <w:noProof/>
                <w:webHidden/>
                <w:sz w:val="22"/>
                <w:szCs w:val="22"/>
              </w:rPr>
              <w:tab/>
            </w:r>
            <w:r w:rsidRPr="00CA43F9">
              <w:rPr>
                <w:rFonts w:ascii="Arial" w:hAnsi="Arial" w:cs="Arial"/>
                <w:noProof/>
                <w:webHidden/>
                <w:sz w:val="22"/>
                <w:szCs w:val="22"/>
              </w:rPr>
              <w:fldChar w:fldCharType="begin"/>
            </w:r>
            <w:r w:rsidRPr="00CA43F9">
              <w:rPr>
                <w:rFonts w:ascii="Arial" w:hAnsi="Arial" w:cs="Arial"/>
                <w:noProof/>
                <w:webHidden/>
                <w:sz w:val="22"/>
                <w:szCs w:val="22"/>
              </w:rPr>
              <w:instrText xml:space="preserve"> PAGEREF _Toc216616886 \h </w:instrText>
            </w:r>
            <w:r w:rsidRPr="00CA43F9">
              <w:rPr>
                <w:rFonts w:ascii="Arial" w:hAnsi="Arial" w:cs="Arial"/>
                <w:noProof/>
                <w:webHidden/>
                <w:sz w:val="22"/>
                <w:szCs w:val="22"/>
              </w:rPr>
            </w:r>
            <w:r w:rsidRPr="00CA43F9">
              <w:rPr>
                <w:rFonts w:ascii="Arial" w:hAnsi="Arial" w:cs="Arial"/>
                <w:noProof/>
                <w:webHidden/>
                <w:sz w:val="22"/>
                <w:szCs w:val="22"/>
              </w:rPr>
              <w:fldChar w:fldCharType="separate"/>
            </w:r>
            <w:r w:rsidRPr="00CA43F9">
              <w:rPr>
                <w:rFonts w:ascii="Arial" w:hAnsi="Arial" w:cs="Arial"/>
                <w:noProof/>
                <w:webHidden/>
                <w:sz w:val="22"/>
                <w:szCs w:val="22"/>
              </w:rPr>
              <w:t>8</w:t>
            </w:r>
            <w:r w:rsidRPr="00CA43F9">
              <w:rPr>
                <w:rFonts w:ascii="Arial" w:hAnsi="Arial" w:cs="Arial"/>
                <w:noProof/>
                <w:webHidden/>
                <w:sz w:val="22"/>
                <w:szCs w:val="22"/>
              </w:rPr>
              <w:fldChar w:fldCharType="end"/>
            </w:r>
          </w:hyperlink>
        </w:p>
        <w:p w14:paraId="4C679C83" w14:textId="0F32FFC6" w:rsidR="00F70A34" w:rsidRPr="00CA43F9" w:rsidRDefault="00000000">
          <w:pPr>
            <w:rPr>
              <w:rFonts w:ascii="Arial" w:hAnsi="Arial" w:cs="Arial"/>
              <w:sz w:val="22"/>
              <w:szCs w:val="22"/>
            </w:rPr>
          </w:pPr>
          <w:r w:rsidRPr="00CA43F9">
            <w:rPr>
              <w:rFonts w:ascii="Arial" w:hAnsi="Arial" w:cs="Arial"/>
              <w:b/>
              <w:bCs/>
              <w:noProof/>
              <w:sz w:val="22"/>
              <w:szCs w:val="22"/>
            </w:rPr>
            <w:fldChar w:fldCharType="end"/>
          </w:r>
        </w:p>
      </w:sdtContent>
    </w:sdt>
    <w:p w14:paraId="68220388" w14:textId="77777777" w:rsidR="00E04108" w:rsidRPr="00CA43F9" w:rsidRDefault="00000000" w:rsidP="008F1379">
      <w:pPr>
        <w:spacing w:line="360" w:lineRule="auto"/>
        <w:jc w:val="both"/>
        <w:rPr>
          <w:rFonts w:ascii="Arial" w:eastAsiaTheme="majorEastAsia" w:hAnsi="Arial" w:cs="Arial"/>
          <w:color w:val="0F4761" w:themeColor="accent1" w:themeShade="BF"/>
          <w:sz w:val="22"/>
          <w:szCs w:val="22"/>
        </w:rPr>
      </w:pPr>
      <w:r w:rsidRPr="00CA43F9">
        <w:rPr>
          <w:rFonts w:ascii="Arial" w:hAnsi="Arial" w:cs="Arial"/>
          <w:sz w:val="22"/>
          <w:szCs w:val="22"/>
        </w:rPr>
        <w:br w:type="page"/>
      </w:r>
    </w:p>
    <w:p w14:paraId="7B4F4DDB" w14:textId="72880B2F" w:rsidR="0095220F" w:rsidRPr="00CA43F9" w:rsidRDefault="00000000" w:rsidP="008F1379">
      <w:pPr>
        <w:pStyle w:val="Heading1"/>
        <w:spacing w:line="360" w:lineRule="auto"/>
        <w:jc w:val="both"/>
        <w:rPr>
          <w:rFonts w:ascii="Arial" w:hAnsi="Arial" w:cs="Arial"/>
          <w:sz w:val="22"/>
          <w:szCs w:val="22"/>
        </w:rPr>
      </w:pPr>
      <w:bookmarkStart w:id="0" w:name="_Toc216616876"/>
      <w:r w:rsidRPr="00CA43F9">
        <w:rPr>
          <w:rFonts w:ascii="Arial" w:hAnsi="Arial" w:cs="Arial"/>
          <w:sz w:val="22"/>
          <w:szCs w:val="22"/>
        </w:rPr>
        <w:lastRenderedPageBreak/>
        <w:t>1. Introduction</w:t>
      </w:r>
      <w:bookmarkEnd w:id="0"/>
    </w:p>
    <w:p w14:paraId="29E2B990" w14:textId="78D04DFD" w:rsidR="001B7C63"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Rising numbers of older adults living with</w:t>
      </w:r>
      <w:r w:rsidRPr="00CA43F9">
        <w:rPr>
          <w:rFonts w:ascii="Arial" w:hAnsi="Arial" w:cs="Arial"/>
          <w:sz w:val="22"/>
          <w:szCs w:val="22"/>
          <w:lang w:val="en-IN"/>
        </w:rPr>
        <w:t> </w:t>
      </w:r>
      <w:r w:rsidRPr="00CA43F9">
        <w:rPr>
          <w:rFonts w:ascii="Arial" w:hAnsi="Arial" w:cs="Arial"/>
          <w:sz w:val="22"/>
          <w:szCs w:val="22"/>
          <w:lang w:val="en-IN"/>
        </w:rPr>
        <w:t xml:space="preserve"> chronic psychological and neurological disorders, such as dementia, have been reported. Dementia is a progressive disorder of cognitive, emotional, behavioural and social functions that portrays increasing levels of</w:t>
      </w:r>
      <w:r w:rsidRPr="00CA43F9">
        <w:rPr>
          <w:rFonts w:ascii="Arial" w:hAnsi="Arial" w:cs="Arial"/>
          <w:sz w:val="22"/>
          <w:szCs w:val="22"/>
          <w:lang w:val="en-IN"/>
        </w:rPr>
        <w:t> </w:t>
      </w:r>
      <w:r w:rsidRPr="00CA43F9">
        <w:rPr>
          <w:rFonts w:ascii="Arial" w:hAnsi="Arial" w:cs="Arial"/>
          <w:sz w:val="22"/>
          <w:szCs w:val="22"/>
          <w:lang w:val="en-IN"/>
        </w:rPr>
        <w:t xml:space="preserve"> frailty and dependence in the later life course. Residential care</w:t>
      </w:r>
      <w:r w:rsidRPr="00CA43F9">
        <w:rPr>
          <w:rFonts w:ascii="Arial" w:hAnsi="Arial" w:cs="Arial"/>
          <w:sz w:val="22"/>
          <w:szCs w:val="22"/>
          <w:lang w:val="en-IN"/>
        </w:rPr>
        <w:t> </w:t>
      </w:r>
      <w:r w:rsidRPr="00CA43F9">
        <w:rPr>
          <w:rFonts w:ascii="Arial" w:hAnsi="Arial" w:cs="Arial"/>
          <w:sz w:val="22"/>
          <w:szCs w:val="22"/>
          <w:lang w:val="en-IN"/>
        </w:rPr>
        <w:t xml:space="preserve"> homes are home to many people with dementia aged 65 years and older, for whom psychological well-being is as important as physical health. Health and social care</w:t>
      </w:r>
      <w:r w:rsidRPr="00CA43F9">
        <w:rPr>
          <w:rFonts w:ascii="Arial" w:hAnsi="Arial" w:cs="Arial"/>
          <w:sz w:val="22"/>
          <w:szCs w:val="22"/>
          <w:lang w:val="en-IN"/>
        </w:rPr>
        <w:t> </w:t>
      </w:r>
      <w:r w:rsidRPr="00CA43F9">
        <w:rPr>
          <w:rFonts w:ascii="Arial" w:hAnsi="Arial" w:cs="Arial"/>
          <w:sz w:val="22"/>
          <w:szCs w:val="22"/>
          <w:lang w:val="en-IN"/>
        </w:rPr>
        <w:t xml:space="preserve"> professionals thus need a good understanding of psychological theories to help people with cognitive decline alongside their declining mental health problems, such as anxiety, depression and behavioural disturbance</w:t>
      </w:r>
      <w:r w:rsidR="002F69B9" w:rsidRPr="00CA43F9">
        <w:rPr>
          <w:rFonts w:ascii="Arial" w:hAnsi="Arial" w:cs="Arial"/>
          <w:sz w:val="22"/>
          <w:szCs w:val="22"/>
          <w:lang w:val="en-IN"/>
        </w:rPr>
        <w:t xml:space="preserve"> </w:t>
      </w:r>
      <w:r w:rsidR="002F69B9" w:rsidRPr="00CA43F9">
        <w:rPr>
          <w:rFonts w:ascii="Arial" w:hAnsi="Arial" w:cs="Arial"/>
          <w:sz w:val="22"/>
          <w:szCs w:val="22"/>
        </w:rPr>
        <w:t>(Orenstein and Lewis, 2022)</w:t>
      </w:r>
      <w:r w:rsidRPr="00CA43F9">
        <w:rPr>
          <w:rFonts w:ascii="Arial" w:hAnsi="Arial" w:cs="Arial"/>
          <w:sz w:val="22"/>
          <w:szCs w:val="22"/>
          <w:lang w:val="en-IN"/>
        </w:rPr>
        <w:t>.</w:t>
      </w:r>
    </w:p>
    <w:p w14:paraId="79F58241" w14:textId="7AF8434D" w:rsidR="001B7C63"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Psychological theories provide an organised backdrop to guide professionals and help them make sense of how biological transformations, emotional requirements, and environmental forces come together to influence behaviour and health throughout the</w:t>
      </w:r>
      <w:r w:rsidRPr="00CA43F9">
        <w:rPr>
          <w:rFonts w:ascii="Arial" w:hAnsi="Arial" w:cs="Arial"/>
          <w:sz w:val="22"/>
          <w:szCs w:val="22"/>
          <w:lang w:val="en-IN"/>
        </w:rPr>
        <w:t> </w:t>
      </w:r>
      <w:r w:rsidRPr="00CA43F9">
        <w:rPr>
          <w:rFonts w:ascii="Arial" w:hAnsi="Arial" w:cs="Arial"/>
          <w:sz w:val="22"/>
          <w:szCs w:val="22"/>
          <w:lang w:val="en-IN"/>
        </w:rPr>
        <w:t xml:space="preserve"> lifespan. Theoretical understanding in practical application can assist care, home staff interpret behaviour associated with dementia not just as symptoms of the disease but</w:t>
      </w:r>
      <w:r w:rsidRPr="00CA43F9">
        <w:rPr>
          <w:rFonts w:ascii="Arial" w:hAnsi="Arial" w:cs="Arial"/>
          <w:sz w:val="22"/>
          <w:szCs w:val="22"/>
          <w:lang w:val="en-IN"/>
        </w:rPr>
        <w:t> </w:t>
      </w:r>
      <w:r w:rsidRPr="00CA43F9">
        <w:rPr>
          <w:rFonts w:ascii="Arial" w:hAnsi="Arial" w:cs="Arial"/>
          <w:sz w:val="22"/>
          <w:szCs w:val="22"/>
          <w:lang w:val="en-IN"/>
        </w:rPr>
        <w:t xml:space="preserve"> as an expression of unmet psychological needs. Whether through maintaining personhood, compassion, humour or</w:t>
      </w:r>
      <w:r w:rsidRPr="00CA43F9">
        <w:rPr>
          <w:rFonts w:ascii="Arial" w:hAnsi="Arial" w:cs="Arial"/>
          <w:sz w:val="22"/>
          <w:szCs w:val="22"/>
          <w:lang w:val="en-IN"/>
        </w:rPr>
        <w:t> </w:t>
      </w:r>
      <w:r w:rsidRPr="00CA43F9">
        <w:rPr>
          <w:rFonts w:ascii="Arial" w:hAnsi="Arial" w:cs="Arial"/>
          <w:sz w:val="22"/>
          <w:szCs w:val="22"/>
          <w:lang w:val="en-IN"/>
        </w:rPr>
        <w:t xml:space="preserve"> sensitivity, this knowledge is critical when providing more person-centred care for the dementia patient.</w:t>
      </w:r>
    </w:p>
    <w:p w14:paraId="5A92F99D" w14:textId="547F636D" w:rsidR="001B7C63"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This guideline is intended for health and social care practitioners and considers how psychological theory and research can be used to facilitate the positive adjustment of older people</w:t>
      </w:r>
      <w:r w:rsidRPr="00CA43F9">
        <w:rPr>
          <w:rFonts w:ascii="Arial" w:hAnsi="Arial" w:cs="Arial"/>
          <w:sz w:val="22"/>
          <w:szCs w:val="22"/>
          <w:lang w:val="en-IN"/>
        </w:rPr>
        <w:t> </w:t>
      </w:r>
      <w:r w:rsidRPr="00CA43F9">
        <w:rPr>
          <w:rFonts w:ascii="Arial" w:hAnsi="Arial" w:cs="Arial"/>
          <w:sz w:val="22"/>
          <w:szCs w:val="22"/>
          <w:lang w:val="en-IN"/>
        </w:rPr>
        <w:t xml:space="preserve"> with dementia living in a care home. It considers Erikson's Psychosocial Theory of Development and Bowlby’s Attachment theory, both</w:t>
      </w:r>
      <w:r w:rsidRPr="00CA43F9">
        <w:rPr>
          <w:rFonts w:ascii="Arial" w:hAnsi="Arial" w:cs="Arial"/>
          <w:sz w:val="22"/>
          <w:szCs w:val="22"/>
          <w:lang w:val="en-IN"/>
        </w:rPr>
        <w:t> </w:t>
      </w:r>
      <w:r w:rsidRPr="00CA43F9">
        <w:rPr>
          <w:rFonts w:ascii="Arial" w:hAnsi="Arial" w:cs="Arial"/>
          <w:sz w:val="22"/>
          <w:szCs w:val="22"/>
          <w:lang w:val="en-IN"/>
        </w:rPr>
        <w:t xml:space="preserve"> pertinent to later life and studied on the module. In this report, the theories will be described, their positive and negative</w:t>
      </w:r>
      <w:r w:rsidRPr="00CA43F9">
        <w:rPr>
          <w:rFonts w:ascii="Arial" w:hAnsi="Arial" w:cs="Arial"/>
          <w:sz w:val="22"/>
          <w:szCs w:val="22"/>
          <w:lang w:val="en-IN"/>
        </w:rPr>
        <w:t> </w:t>
      </w:r>
      <w:r w:rsidRPr="00CA43F9">
        <w:rPr>
          <w:rFonts w:ascii="Arial" w:hAnsi="Arial" w:cs="Arial"/>
          <w:sz w:val="22"/>
          <w:szCs w:val="22"/>
          <w:lang w:val="en-IN"/>
        </w:rPr>
        <w:t xml:space="preserve"> points discussed, the role of environment versus genetics considered and how they can be utilised in practice to assist in supporting the psychological well-being and wellness of elderly individuals with dementia</w:t>
      </w:r>
      <w:r w:rsidR="00863BD5" w:rsidRPr="00CA43F9">
        <w:rPr>
          <w:rFonts w:ascii="Arial" w:hAnsi="Arial" w:cs="Arial"/>
          <w:sz w:val="22"/>
          <w:szCs w:val="22"/>
          <w:lang w:val="en-IN"/>
        </w:rPr>
        <w:t xml:space="preserve"> </w:t>
      </w:r>
      <w:r w:rsidR="00863BD5" w:rsidRPr="00CA43F9">
        <w:rPr>
          <w:rFonts w:ascii="Arial" w:hAnsi="Arial" w:cs="Arial"/>
          <w:sz w:val="22"/>
          <w:szCs w:val="22"/>
        </w:rPr>
        <w:t>(Samsanovich, 2021)</w:t>
      </w:r>
      <w:r w:rsidRPr="00CA43F9">
        <w:rPr>
          <w:rFonts w:ascii="Arial" w:hAnsi="Arial" w:cs="Arial"/>
          <w:sz w:val="22"/>
          <w:szCs w:val="22"/>
          <w:lang w:val="en-IN"/>
        </w:rPr>
        <w:t>.</w:t>
      </w:r>
    </w:p>
    <w:p w14:paraId="4A1C9FFC" w14:textId="77777777" w:rsidR="006237C3" w:rsidRPr="00CA43F9" w:rsidRDefault="00000000" w:rsidP="008F1379">
      <w:pPr>
        <w:pStyle w:val="Heading1"/>
        <w:spacing w:line="360" w:lineRule="auto"/>
        <w:jc w:val="both"/>
        <w:rPr>
          <w:rFonts w:ascii="Arial" w:hAnsi="Arial" w:cs="Arial"/>
          <w:sz w:val="22"/>
          <w:szCs w:val="22"/>
          <w:lang w:val="en-IN"/>
        </w:rPr>
      </w:pPr>
      <w:bookmarkStart w:id="1" w:name="_Toc216616877"/>
      <w:r w:rsidRPr="00CA43F9">
        <w:rPr>
          <w:rFonts w:ascii="Arial" w:hAnsi="Arial" w:cs="Arial"/>
          <w:sz w:val="22"/>
          <w:szCs w:val="22"/>
          <w:lang w:val="en-IN"/>
        </w:rPr>
        <w:t>2. Explanation of the Two Psychological Theories</w:t>
      </w:r>
      <w:bookmarkEnd w:id="1"/>
    </w:p>
    <w:p w14:paraId="473269E7" w14:textId="77777777" w:rsidR="006237C3" w:rsidRPr="00CA43F9" w:rsidRDefault="00000000" w:rsidP="008F1379">
      <w:pPr>
        <w:pStyle w:val="Heading2"/>
        <w:spacing w:line="360" w:lineRule="auto"/>
        <w:jc w:val="both"/>
        <w:rPr>
          <w:rFonts w:ascii="Arial" w:hAnsi="Arial" w:cs="Arial"/>
          <w:sz w:val="22"/>
          <w:szCs w:val="22"/>
          <w:lang w:val="en-IN"/>
        </w:rPr>
      </w:pPr>
      <w:bookmarkStart w:id="2" w:name="_Toc216616878"/>
      <w:r w:rsidRPr="00CA43F9">
        <w:rPr>
          <w:rFonts w:ascii="Arial" w:hAnsi="Arial" w:cs="Arial"/>
          <w:sz w:val="22"/>
          <w:szCs w:val="22"/>
          <w:lang w:val="en-IN"/>
        </w:rPr>
        <w:t>2.1 Erikson’s Psychosocial Theory of Development</w:t>
      </w:r>
      <w:bookmarkEnd w:id="2"/>
    </w:p>
    <w:p w14:paraId="189EBC68" w14:textId="78E619B2"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The theory of Psychosocial Development was developed by Erik Erikson and serves as</w:t>
      </w:r>
      <w:r w:rsidRPr="00CA43F9">
        <w:rPr>
          <w:rFonts w:ascii="Arial" w:hAnsi="Arial" w:cs="Arial"/>
          <w:sz w:val="22"/>
          <w:szCs w:val="22"/>
          <w:lang w:val="en-IN"/>
        </w:rPr>
        <w:t> </w:t>
      </w:r>
      <w:r w:rsidRPr="00CA43F9">
        <w:rPr>
          <w:rFonts w:ascii="Arial" w:hAnsi="Arial" w:cs="Arial"/>
          <w:sz w:val="22"/>
          <w:szCs w:val="22"/>
          <w:lang w:val="en-IN"/>
        </w:rPr>
        <w:t xml:space="preserve"> a model that suggests human development occurs in eight different stages over the lifespan. Each stage is characterised by a fundamental psychological</w:t>
      </w:r>
      <w:r w:rsidRPr="00CA43F9">
        <w:rPr>
          <w:rFonts w:ascii="Arial" w:hAnsi="Arial" w:cs="Arial"/>
          <w:sz w:val="22"/>
          <w:szCs w:val="22"/>
          <w:lang w:val="en-IN"/>
        </w:rPr>
        <w:t> </w:t>
      </w:r>
      <w:r w:rsidRPr="00CA43F9">
        <w:rPr>
          <w:rFonts w:ascii="Arial" w:hAnsi="Arial" w:cs="Arial"/>
          <w:sz w:val="22"/>
          <w:szCs w:val="22"/>
          <w:lang w:val="en-IN"/>
        </w:rPr>
        <w:t xml:space="preserve"> challenge that one will encounter if one wishes to develop in an </w:t>
      </w:r>
      <w:r w:rsidR="00E04108" w:rsidRPr="00CA43F9">
        <w:rPr>
          <w:rFonts w:ascii="Arial" w:hAnsi="Arial" w:cs="Arial"/>
          <w:sz w:val="22"/>
          <w:szCs w:val="22"/>
          <w:lang w:val="en-IN"/>
        </w:rPr>
        <w:t>emotionally</w:t>
      </w:r>
      <w:r w:rsidRPr="00CA43F9">
        <w:rPr>
          <w:rFonts w:ascii="Arial" w:hAnsi="Arial" w:cs="Arial"/>
          <w:sz w:val="22"/>
          <w:szCs w:val="22"/>
          <w:lang w:val="en-IN"/>
        </w:rPr>
        <w:t xml:space="preserve"> and socially healthy manner (ERICKSON, 1982). Contrary to previous developmental theories that limit their focus to the </w:t>
      </w:r>
      <w:r w:rsidRPr="00CA43F9">
        <w:rPr>
          <w:rFonts w:ascii="Arial" w:hAnsi="Arial" w:cs="Arial"/>
          <w:sz w:val="22"/>
          <w:szCs w:val="22"/>
          <w:lang w:val="en-IN"/>
        </w:rPr>
        <w:lastRenderedPageBreak/>
        <w:t>childhood period, Erikson’s theory acknowledges that psychological development takes</w:t>
      </w:r>
      <w:r w:rsidRPr="00CA43F9">
        <w:rPr>
          <w:rFonts w:ascii="Arial" w:hAnsi="Arial" w:cs="Arial"/>
          <w:sz w:val="22"/>
          <w:szCs w:val="22"/>
          <w:lang w:val="en-IN"/>
        </w:rPr>
        <w:t> </w:t>
      </w:r>
      <w:r w:rsidRPr="00CA43F9">
        <w:rPr>
          <w:rFonts w:ascii="Arial" w:hAnsi="Arial" w:cs="Arial"/>
          <w:sz w:val="22"/>
          <w:szCs w:val="22"/>
          <w:lang w:val="en-IN"/>
        </w:rPr>
        <w:t xml:space="preserve"> place well into old age</w:t>
      </w:r>
      <w:r w:rsidR="000829CC" w:rsidRPr="00CA43F9">
        <w:rPr>
          <w:rFonts w:ascii="Arial" w:hAnsi="Arial" w:cs="Arial"/>
          <w:sz w:val="22"/>
          <w:szCs w:val="22"/>
          <w:lang w:val="en-IN"/>
        </w:rPr>
        <w:t xml:space="preserve"> </w:t>
      </w:r>
      <w:r w:rsidR="000829CC" w:rsidRPr="00CA43F9">
        <w:rPr>
          <w:rFonts w:ascii="Arial" w:hAnsi="Arial" w:cs="Arial"/>
          <w:sz w:val="22"/>
          <w:szCs w:val="22"/>
        </w:rPr>
        <w:t>(Sun and Sun, 2021)</w:t>
      </w:r>
      <w:r w:rsidRPr="00CA43F9">
        <w:rPr>
          <w:rFonts w:ascii="Arial" w:hAnsi="Arial" w:cs="Arial"/>
          <w:sz w:val="22"/>
          <w:szCs w:val="22"/>
          <w:lang w:val="en-IN"/>
        </w:rPr>
        <w:t>.</w:t>
      </w:r>
    </w:p>
    <w:p w14:paraId="1CAEAB24" w14:textId="7763833B"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Erikson’s last psychosocial stage, Integrity versus Despair,</w:t>
      </w:r>
      <w:r w:rsidRPr="00CA43F9">
        <w:rPr>
          <w:rFonts w:ascii="Arial" w:hAnsi="Arial" w:cs="Arial"/>
          <w:sz w:val="22"/>
          <w:szCs w:val="22"/>
          <w:lang w:val="en-IN"/>
        </w:rPr>
        <w:t> </w:t>
      </w:r>
      <w:r w:rsidRPr="00CA43F9">
        <w:rPr>
          <w:rFonts w:ascii="Arial" w:hAnsi="Arial" w:cs="Arial"/>
          <w:sz w:val="22"/>
          <w:szCs w:val="22"/>
          <w:lang w:val="en-IN"/>
        </w:rPr>
        <w:t xml:space="preserve"> takes place in old age, usually from 65 years until death. </w:t>
      </w:r>
      <w:r w:rsidR="00E04108" w:rsidRPr="00CA43F9">
        <w:rPr>
          <w:rFonts w:ascii="Arial" w:hAnsi="Arial" w:cs="Arial"/>
          <w:sz w:val="22"/>
          <w:szCs w:val="22"/>
          <w:lang w:val="en-IN"/>
        </w:rPr>
        <w:t>Currently</w:t>
      </w:r>
      <w:r w:rsidRPr="00CA43F9">
        <w:rPr>
          <w:rFonts w:ascii="Arial" w:hAnsi="Arial" w:cs="Arial"/>
          <w:sz w:val="22"/>
          <w:szCs w:val="22"/>
          <w:lang w:val="en-IN"/>
        </w:rPr>
        <w:t xml:space="preserve">, people </w:t>
      </w:r>
      <w:r w:rsidR="00E04108" w:rsidRPr="00CA43F9">
        <w:rPr>
          <w:rFonts w:ascii="Arial" w:hAnsi="Arial" w:cs="Arial"/>
          <w:sz w:val="22"/>
          <w:szCs w:val="22"/>
          <w:lang w:val="en-IN"/>
        </w:rPr>
        <w:t>anticipate</w:t>
      </w:r>
      <w:r w:rsidRPr="00CA43F9">
        <w:rPr>
          <w:rFonts w:ascii="Arial" w:hAnsi="Arial" w:cs="Arial"/>
          <w:sz w:val="22"/>
          <w:szCs w:val="22"/>
          <w:lang w:val="en-IN"/>
        </w:rPr>
        <w:t xml:space="preserve"> what they</w:t>
      </w:r>
      <w:r w:rsidRPr="00CA43F9">
        <w:rPr>
          <w:rFonts w:ascii="Arial" w:hAnsi="Arial" w:cs="Arial"/>
          <w:sz w:val="22"/>
          <w:szCs w:val="22"/>
          <w:lang w:val="en-IN"/>
        </w:rPr>
        <w:t> </w:t>
      </w:r>
      <w:r w:rsidRPr="00CA43F9">
        <w:rPr>
          <w:rFonts w:ascii="Arial" w:hAnsi="Arial" w:cs="Arial"/>
          <w:sz w:val="22"/>
          <w:szCs w:val="22"/>
          <w:lang w:val="en-IN"/>
        </w:rPr>
        <w:t xml:space="preserve"> have accomplished and where they have been in their lives. Success at this stage will lead to the virtue of wisdom and life, whilst failure results in</w:t>
      </w:r>
      <w:r w:rsidRPr="00CA43F9">
        <w:rPr>
          <w:rFonts w:ascii="Arial" w:hAnsi="Arial" w:cs="Arial"/>
          <w:sz w:val="22"/>
          <w:szCs w:val="22"/>
          <w:lang w:val="en-IN"/>
        </w:rPr>
        <w:t> </w:t>
      </w:r>
      <w:r w:rsidRPr="00CA43F9">
        <w:rPr>
          <w:rFonts w:ascii="Arial" w:hAnsi="Arial" w:cs="Arial"/>
          <w:sz w:val="22"/>
          <w:szCs w:val="22"/>
          <w:lang w:val="en-IN"/>
        </w:rPr>
        <w:t xml:space="preserve"> feelings of bitterness and despair.</w:t>
      </w:r>
    </w:p>
    <w:p w14:paraId="73E847E3" w14:textId="7DB84871"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This phase has strong implications</w:t>
      </w:r>
      <w:r w:rsidRPr="00CA43F9">
        <w:rPr>
          <w:rFonts w:ascii="Arial" w:hAnsi="Arial" w:cs="Arial"/>
          <w:sz w:val="22"/>
          <w:szCs w:val="22"/>
          <w:lang w:val="en-IN"/>
        </w:rPr>
        <w:t> </w:t>
      </w:r>
      <w:r w:rsidRPr="00CA43F9">
        <w:rPr>
          <w:rFonts w:ascii="Arial" w:hAnsi="Arial" w:cs="Arial"/>
          <w:sz w:val="22"/>
          <w:szCs w:val="22"/>
          <w:lang w:val="en-IN"/>
        </w:rPr>
        <w:t xml:space="preserve"> for the elderly in long-term dementia care hospitals. Dementia may lead to loss of personal memory, connectedness and self-reflection that can cause a</w:t>
      </w:r>
      <w:r w:rsidRPr="00CA43F9">
        <w:rPr>
          <w:rFonts w:ascii="Arial" w:hAnsi="Arial" w:cs="Arial"/>
          <w:sz w:val="22"/>
          <w:szCs w:val="22"/>
          <w:lang w:val="en-IN"/>
        </w:rPr>
        <w:t> </w:t>
      </w:r>
      <w:r w:rsidRPr="00CA43F9">
        <w:rPr>
          <w:rFonts w:ascii="Arial" w:hAnsi="Arial" w:cs="Arial"/>
          <w:sz w:val="22"/>
          <w:szCs w:val="22"/>
          <w:lang w:val="en-IN"/>
        </w:rPr>
        <w:t xml:space="preserve"> person to feel disoriented, frustrated and experience an undefined sense of identity. But Erikson posited that individuals </w:t>
      </w:r>
      <w:r w:rsidR="00E04108" w:rsidRPr="00CA43F9">
        <w:rPr>
          <w:rFonts w:ascii="Arial" w:hAnsi="Arial" w:cs="Arial"/>
          <w:sz w:val="22"/>
          <w:szCs w:val="22"/>
          <w:lang w:val="en-IN"/>
        </w:rPr>
        <w:t>could</w:t>
      </w:r>
      <w:r w:rsidRPr="00CA43F9">
        <w:rPr>
          <w:rFonts w:ascii="Arial" w:hAnsi="Arial" w:cs="Arial"/>
          <w:sz w:val="22"/>
          <w:szCs w:val="22"/>
          <w:lang w:val="en-IN"/>
        </w:rPr>
        <w:t xml:space="preserve"> find integrity even as their cognitive abilities falter,</w:t>
      </w:r>
      <w:r w:rsidRPr="00CA43F9">
        <w:rPr>
          <w:rFonts w:ascii="Arial" w:hAnsi="Arial" w:cs="Arial"/>
          <w:sz w:val="22"/>
          <w:szCs w:val="22"/>
          <w:lang w:val="en-IN"/>
        </w:rPr>
        <w:t> </w:t>
      </w:r>
      <w:r w:rsidRPr="00CA43F9">
        <w:rPr>
          <w:rFonts w:ascii="Arial" w:hAnsi="Arial" w:cs="Arial"/>
          <w:sz w:val="22"/>
          <w:szCs w:val="22"/>
          <w:lang w:val="en-IN"/>
        </w:rPr>
        <w:t xml:space="preserve"> when they are provided with emotional validation, respectful care and opportunities to reconnect with important parts of their personal history</w:t>
      </w:r>
      <w:r w:rsidR="00C02294" w:rsidRPr="00CA43F9">
        <w:rPr>
          <w:rFonts w:ascii="Arial" w:hAnsi="Arial" w:cs="Arial"/>
          <w:sz w:val="22"/>
          <w:szCs w:val="22"/>
          <w:lang w:val="en-IN"/>
        </w:rPr>
        <w:t xml:space="preserve"> </w:t>
      </w:r>
      <w:r w:rsidR="00C02294" w:rsidRPr="00CA43F9">
        <w:rPr>
          <w:rFonts w:ascii="Arial" w:hAnsi="Arial" w:cs="Arial"/>
          <w:sz w:val="22"/>
          <w:szCs w:val="22"/>
        </w:rPr>
        <w:t>(Sekowski, 2022)</w:t>
      </w:r>
      <w:r w:rsidRPr="00CA43F9">
        <w:rPr>
          <w:rFonts w:ascii="Arial" w:hAnsi="Arial" w:cs="Arial"/>
          <w:sz w:val="22"/>
          <w:szCs w:val="22"/>
          <w:lang w:val="en-IN"/>
        </w:rPr>
        <w:t>.</w:t>
      </w:r>
    </w:p>
    <w:p w14:paraId="311AB811" w14:textId="77777777"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Erikson’s theory has implications for health and social insurers, as it supports dignity, identity and life satisfaction in</w:t>
      </w:r>
      <w:r w:rsidRPr="00CA43F9">
        <w:rPr>
          <w:rFonts w:ascii="Arial" w:hAnsi="Arial" w:cs="Arial"/>
          <w:sz w:val="22"/>
          <w:szCs w:val="22"/>
          <w:lang w:val="en-IN"/>
        </w:rPr>
        <w:t> </w:t>
      </w:r>
      <w:r w:rsidRPr="00CA43F9">
        <w:rPr>
          <w:rFonts w:ascii="Arial" w:hAnsi="Arial" w:cs="Arial"/>
          <w:sz w:val="22"/>
          <w:szCs w:val="22"/>
          <w:lang w:val="en-IN"/>
        </w:rPr>
        <w:t xml:space="preserve"> old age. Interventions such as reminiscence therapy, life story work and person-centred communication can mitigate feelings of hopelessness and enhance psychological</w:t>
      </w:r>
      <w:r w:rsidRPr="00CA43F9">
        <w:rPr>
          <w:rFonts w:ascii="Arial" w:hAnsi="Arial" w:cs="Arial"/>
          <w:sz w:val="22"/>
          <w:szCs w:val="22"/>
          <w:lang w:val="en-IN"/>
        </w:rPr>
        <w:t> </w:t>
      </w:r>
      <w:r w:rsidRPr="00CA43F9">
        <w:rPr>
          <w:rFonts w:ascii="Arial" w:hAnsi="Arial" w:cs="Arial"/>
          <w:sz w:val="22"/>
          <w:szCs w:val="22"/>
          <w:lang w:val="en-IN"/>
        </w:rPr>
        <w:t xml:space="preserve"> well-being even in the context of cognitive decline.</w:t>
      </w:r>
    </w:p>
    <w:p w14:paraId="5AB60F3F" w14:textId="4D92763F" w:rsidR="006237C3" w:rsidRPr="00CA43F9" w:rsidRDefault="00000000" w:rsidP="008F1379">
      <w:pPr>
        <w:pStyle w:val="Heading2"/>
        <w:spacing w:line="360" w:lineRule="auto"/>
        <w:jc w:val="both"/>
        <w:rPr>
          <w:rFonts w:ascii="Arial" w:hAnsi="Arial" w:cs="Arial"/>
          <w:sz w:val="22"/>
          <w:szCs w:val="22"/>
        </w:rPr>
      </w:pPr>
      <w:bookmarkStart w:id="3" w:name="_Toc216616879"/>
      <w:r w:rsidRPr="00CA43F9">
        <w:rPr>
          <w:rFonts w:ascii="Arial" w:hAnsi="Arial" w:cs="Arial"/>
          <w:sz w:val="22"/>
          <w:szCs w:val="22"/>
        </w:rPr>
        <w:t>2.2 Bowlby’s Attachment Theory</w:t>
      </w:r>
      <w:bookmarkEnd w:id="3"/>
    </w:p>
    <w:p w14:paraId="031B4E67" w14:textId="09C3854B"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There is Bowlby's Attachment Theory (1969), which highlights that humans have an innate desire to bond and form intimate</w:t>
      </w:r>
      <w:r w:rsidRPr="00CA43F9">
        <w:rPr>
          <w:rFonts w:ascii="Arial" w:hAnsi="Arial" w:cs="Arial"/>
          <w:sz w:val="22"/>
          <w:szCs w:val="22"/>
          <w:lang w:val="en-IN"/>
        </w:rPr>
        <w:t> </w:t>
      </w:r>
      <w:r w:rsidRPr="00CA43F9">
        <w:rPr>
          <w:rFonts w:ascii="Arial" w:hAnsi="Arial" w:cs="Arial"/>
          <w:sz w:val="22"/>
          <w:szCs w:val="22"/>
          <w:lang w:val="en-IN"/>
        </w:rPr>
        <w:t xml:space="preserve"> emotional connections with one another. Bowlby suggested that attachment is</w:t>
      </w:r>
      <w:r w:rsidRPr="00CA43F9">
        <w:rPr>
          <w:rFonts w:ascii="Arial" w:hAnsi="Arial" w:cs="Arial"/>
          <w:sz w:val="22"/>
          <w:szCs w:val="22"/>
          <w:lang w:val="en-IN"/>
        </w:rPr>
        <w:t> </w:t>
      </w:r>
      <w:r w:rsidRPr="00CA43F9">
        <w:rPr>
          <w:rFonts w:ascii="Arial" w:hAnsi="Arial" w:cs="Arial"/>
          <w:sz w:val="22"/>
          <w:szCs w:val="22"/>
          <w:lang w:val="en-IN"/>
        </w:rPr>
        <w:t xml:space="preserve"> an underlying, biologically based mechanism providing the survival function of maintaining proximity to a caregiver or attachment figure, especially during moments of danger and defencelessness. Even though the theory was first formulated to account for early childhood relationships, newer research has demonstrated that</w:t>
      </w:r>
      <w:r w:rsidRPr="00CA43F9">
        <w:rPr>
          <w:rFonts w:ascii="Arial" w:hAnsi="Arial" w:cs="Arial"/>
          <w:sz w:val="22"/>
          <w:szCs w:val="22"/>
          <w:lang w:val="en-IN"/>
        </w:rPr>
        <w:t> </w:t>
      </w:r>
      <w:r w:rsidRPr="00CA43F9">
        <w:rPr>
          <w:rFonts w:ascii="Arial" w:hAnsi="Arial" w:cs="Arial"/>
          <w:sz w:val="22"/>
          <w:szCs w:val="22"/>
          <w:lang w:val="en-IN"/>
        </w:rPr>
        <w:t xml:space="preserve"> attachment needs continue throughout the life course</w:t>
      </w:r>
      <w:r w:rsidR="0004482D" w:rsidRPr="00CA43F9">
        <w:rPr>
          <w:rFonts w:ascii="Arial" w:hAnsi="Arial" w:cs="Arial"/>
          <w:sz w:val="22"/>
          <w:szCs w:val="22"/>
          <w:lang w:val="en-IN"/>
        </w:rPr>
        <w:t xml:space="preserve"> </w:t>
      </w:r>
      <w:r w:rsidR="0004482D" w:rsidRPr="00CA43F9">
        <w:rPr>
          <w:rFonts w:ascii="Arial" w:hAnsi="Arial" w:cs="Arial"/>
          <w:sz w:val="22"/>
          <w:szCs w:val="22"/>
        </w:rPr>
        <w:t>(Thompson, Simpson and Berlin, 2022)</w:t>
      </w:r>
      <w:r w:rsidRPr="00CA43F9">
        <w:rPr>
          <w:rFonts w:ascii="Arial" w:hAnsi="Arial" w:cs="Arial"/>
          <w:sz w:val="22"/>
          <w:szCs w:val="22"/>
          <w:lang w:val="en-IN"/>
        </w:rPr>
        <w:t>.</w:t>
      </w:r>
    </w:p>
    <w:p w14:paraId="499B8242" w14:textId="77777777"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Central</w:t>
      </w:r>
      <w:r w:rsidRPr="00CA43F9">
        <w:rPr>
          <w:rFonts w:ascii="Arial" w:hAnsi="Arial" w:cs="Arial"/>
          <w:sz w:val="22"/>
          <w:szCs w:val="22"/>
          <w:lang w:val="en-IN"/>
        </w:rPr>
        <w:t> </w:t>
      </w:r>
      <w:r w:rsidRPr="00CA43F9">
        <w:rPr>
          <w:rFonts w:ascii="Arial" w:hAnsi="Arial" w:cs="Arial"/>
          <w:sz w:val="22"/>
          <w:szCs w:val="22"/>
          <w:lang w:val="en-IN"/>
        </w:rPr>
        <w:t xml:space="preserve"> to attachment theory is the development of internal working models, mental representations of self and others constructed from early attachment experiences. They shape the way</w:t>
      </w:r>
      <w:r w:rsidRPr="00CA43F9">
        <w:rPr>
          <w:rFonts w:ascii="Arial" w:hAnsi="Arial" w:cs="Arial"/>
          <w:sz w:val="22"/>
          <w:szCs w:val="22"/>
          <w:lang w:val="en-IN"/>
        </w:rPr>
        <w:t> </w:t>
      </w:r>
      <w:r w:rsidRPr="00CA43F9">
        <w:rPr>
          <w:rFonts w:ascii="Arial" w:hAnsi="Arial" w:cs="Arial"/>
          <w:sz w:val="22"/>
          <w:szCs w:val="22"/>
          <w:lang w:val="en-IN"/>
        </w:rPr>
        <w:t xml:space="preserve"> people understand relationships, feelings and support. In adulthood and old age, attachment needs may resurface more strongly at a time of sickness, dependency</w:t>
      </w:r>
      <w:r w:rsidRPr="00CA43F9">
        <w:rPr>
          <w:rFonts w:ascii="Arial" w:hAnsi="Arial" w:cs="Arial"/>
          <w:sz w:val="22"/>
          <w:szCs w:val="22"/>
          <w:lang w:val="en-IN"/>
        </w:rPr>
        <w:t> </w:t>
      </w:r>
      <w:r w:rsidRPr="00CA43F9">
        <w:rPr>
          <w:rFonts w:ascii="Arial" w:hAnsi="Arial" w:cs="Arial"/>
          <w:sz w:val="22"/>
          <w:szCs w:val="22"/>
          <w:lang w:val="en-IN"/>
        </w:rPr>
        <w:t>, or bereavement.</w:t>
      </w:r>
    </w:p>
    <w:p w14:paraId="6DE10AB3" w14:textId="6D00A480"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Among</w:t>
      </w:r>
      <w:r w:rsidRPr="00CA43F9">
        <w:rPr>
          <w:rFonts w:ascii="Arial" w:hAnsi="Arial" w:cs="Arial"/>
          <w:sz w:val="22"/>
          <w:szCs w:val="22"/>
          <w:lang w:val="en-IN"/>
        </w:rPr>
        <w:t> </w:t>
      </w:r>
      <w:r w:rsidRPr="00CA43F9">
        <w:rPr>
          <w:rFonts w:ascii="Arial" w:hAnsi="Arial" w:cs="Arial"/>
          <w:sz w:val="22"/>
          <w:szCs w:val="22"/>
          <w:lang w:val="en-IN"/>
        </w:rPr>
        <w:t xml:space="preserve"> older adults, dementia may increase attachment behaviours because it raises the level of confusion and fear, which lowers caution. People living in care homes who are</w:t>
      </w:r>
      <w:r w:rsidRPr="00CA43F9">
        <w:rPr>
          <w:rFonts w:ascii="Arial" w:hAnsi="Arial" w:cs="Arial"/>
          <w:sz w:val="22"/>
          <w:szCs w:val="22"/>
          <w:lang w:val="en-IN"/>
        </w:rPr>
        <w:t> </w:t>
      </w:r>
      <w:r w:rsidRPr="00CA43F9">
        <w:rPr>
          <w:rFonts w:ascii="Arial" w:hAnsi="Arial" w:cs="Arial"/>
          <w:sz w:val="22"/>
          <w:szCs w:val="22"/>
          <w:lang w:val="en-IN"/>
        </w:rPr>
        <w:t xml:space="preserve"> parted from their familiar staff may request reassurance; become agitated at separation from those they trust, and exhibit agitation, withdrawal or resistance to care. Attachment theory supports </w:t>
      </w:r>
      <w:r w:rsidRPr="00CA43F9">
        <w:rPr>
          <w:rFonts w:ascii="Arial" w:hAnsi="Arial" w:cs="Arial"/>
          <w:sz w:val="22"/>
          <w:szCs w:val="22"/>
          <w:lang w:val="en-IN"/>
        </w:rPr>
        <w:lastRenderedPageBreak/>
        <w:t>professional empathic understanding that such behaviours are not calculated but are forms of emotional communication</w:t>
      </w:r>
      <w:r w:rsidRPr="00CA43F9">
        <w:rPr>
          <w:rFonts w:ascii="Arial" w:hAnsi="Arial" w:cs="Arial"/>
          <w:sz w:val="22"/>
          <w:szCs w:val="22"/>
          <w:lang w:val="en-IN"/>
        </w:rPr>
        <w:t> </w:t>
      </w:r>
      <w:r w:rsidRPr="00CA43F9">
        <w:rPr>
          <w:rFonts w:ascii="Arial" w:hAnsi="Arial" w:cs="Arial"/>
          <w:sz w:val="22"/>
          <w:szCs w:val="22"/>
          <w:lang w:val="en-IN"/>
        </w:rPr>
        <w:t xml:space="preserve"> and unmet attachment needs</w:t>
      </w:r>
      <w:r w:rsidR="00E34881" w:rsidRPr="00CA43F9">
        <w:rPr>
          <w:rFonts w:ascii="Arial" w:hAnsi="Arial" w:cs="Arial"/>
          <w:sz w:val="22"/>
          <w:szCs w:val="22"/>
          <w:lang w:val="en-IN"/>
        </w:rPr>
        <w:t xml:space="preserve"> </w:t>
      </w:r>
      <w:r w:rsidR="00E34881" w:rsidRPr="00CA43F9">
        <w:rPr>
          <w:rFonts w:ascii="Arial" w:hAnsi="Arial" w:cs="Arial"/>
          <w:sz w:val="22"/>
          <w:szCs w:val="22"/>
        </w:rPr>
        <w:t>(Granqvist, 2021)</w:t>
      </w:r>
      <w:r w:rsidRPr="00CA43F9">
        <w:rPr>
          <w:rFonts w:ascii="Arial" w:hAnsi="Arial" w:cs="Arial"/>
          <w:sz w:val="22"/>
          <w:szCs w:val="22"/>
          <w:lang w:val="en-IN"/>
        </w:rPr>
        <w:t>.</w:t>
      </w:r>
    </w:p>
    <w:p w14:paraId="6D645502" w14:textId="53D3D94C" w:rsidR="00EF0656"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In dementia care homes, care</w:t>
      </w:r>
      <w:r w:rsidRPr="00CA43F9">
        <w:rPr>
          <w:rFonts w:ascii="Arial" w:hAnsi="Arial" w:cs="Arial"/>
          <w:sz w:val="22"/>
          <w:szCs w:val="22"/>
          <w:lang w:val="en-IN"/>
        </w:rPr>
        <w:t> </w:t>
      </w:r>
      <w:r w:rsidRPr="00CA43F9">
        <w:rPr>
          <w:rFonts w:ascii="Arial" w:hAnsi="Arial" w:cs="Arial"/>
          <w:sz w:val="22"/>
          <w:szCs w:val="22"/>
          <w:lang w:val="en-IN"/>
        </w:rPr>
        <w:t xml:space="preserve"> staff frequently become secondary attachment figures, offering protection and emotional safety. Attachment-led interventions such as stable parenting, predictable environments, and</w:t>
      </w:r>
      <w:r w:rsidRPr="00CA43F9">
        <w:rPr>
          <w:rFonts w:ascii="Arial" w:hAnsi="Arial" w:cs="Arial"/>
          <w:sz w:val="22"/>
          <w:szCs w:val="22"/>
          <w:lang w:val="en-IN"/>
        </w:rPr>
        <w:t> </w:t>
      </w:r>
      <w:r w:rsidRPr="00CA43F9">
        <w:rPr>
          <w:rFonts w:ascii="Arial" w:hAnsi="Arial" w:cs="Arial"/>
          <w:sz w:val="22"/>
          <w:szCs w:val="22"/>
          <w:lang w:val="en-IN"/>
        </w:rPr>
        <w:t xml:space="preserve"> responsiveness-focused relationships can effectively reduce anxiety and challenging behaviours amongst residents. Bowlby's theory, hence, offers an important</w:t>
      </w:r>
      <w:r w:rsidRPr="00CA43F9">
        <w:rPr>
          <w:rFonts w:ascii="Arial" w:hAnsi="Arial" w:cs="Arial"/>
          <w:sz w:val="22"/>
          <w:szCs w:val="22"/>
          <w:lang w:val="en-IN"/>
        </w:rPr>
        <w:t> </w:t>
      </w:r>
      <w:r w:rsidRPr="00CA43F9">
        <w:rPr>
          <w:rFonts w:ascii="Arial" w:hAnsi="Arial" w:cs="Arial"/>
          <w:sz w:val="22"/>
          <w:szCs w:val="22"/>
          <w:lang w:val="en-IN"/>
        </w:rPr>
        <w:t xml:space="preserve"> model for emotional regulation and behaviour in older people (&gt; 65 years) with dementia</w:t>
      </w:r>
      <w:r w:rsidR="00E43654" w:rsidRPr="00CA43F9">
        <w:rPr>
          <w:rFonts w:ascii="Arial" w:hAnsi="Arial" w:cs="Arial"/>
          <w:sz w:val="22"/>
          <w:szCs w:val="22"/>
          <w:lang w:val="en-IN"/>
        </w:rPr>
        <w:t xml:space="preserve"> </w:t>
      </w:r>
      <w:r w:rsidR="00E43654" w:rsidRPr="00CA43F9">
        <w:rPr>
          <w:rFonts w:ascii="Arial" w:hAnsi="Arial" w:cs="Arial"/>
          <w:sz w:val="22"/>
          <w:szCs w:val="22"/>
        </w:rPr>
        <w:t>(Stroebe, 2021)</w:t>
      </w:r>
      <w:r w:rsidRPr="00CA43F9">
        <w:rPr>
          <w:rFonts w:ascii="Arial" w:hAnsi="Arial" w:cs="Arial"/>
          <w:sz w:val="22"/>
          <w:szCs w:val="22"/>
          <w:lang w:val="en-IN"/>
        </w:rPr>
        <w:t>.</w:t>
      </w:r>
    </w:p>
    <w:p w14:paraId="7A591349" w14:textId="47876156" w:rsidR="006237C3" w:rsidRPr="00CA43F9" w:rsidRDefault="00000000" w:rsidP="008F1379">
      <w:pPr>
        <w:pStyle w:val="Heading1"/>
        <w:spacing w:line="360" w:lineRule="auto"/>
        <w:jc w:val="both"/>
        <w:rPr>
          <w:rFonts w:ascii="Arial" w:hAnsi="Arial" w:cs="Arial"/>
          <w:sz w:val="22"/>
          <w:szCs w:val="22"/>
        </w:rPr>
      </w:pPr>
      <w:bookmarkStart w:id="4" w:name="_Toc216616880"/>
      <w:r w:rsidRPr="00CA43F9">
        <w:rPr>
          <w:rFonts w:ascii="Arial" w:hAnsi="Arial" w:cs="Arial"/>
          <w:sz w:val="22"/>
          <w:szCs w:val="22"/>
        </w:rPr>
        <w:t>3. Strengths and Limitations of the Theories</w:t>
      </w:r>
      <w:bookmarkEnd w:id="4"/>
    </w:p>
    <w:p w14:paraId="160C68CC" w14:textId="408914E5" w:rsidR="002B572C" w:rsidRPr="00CA43F9" w:rsidRDefault="00000000" w:rsidP="008F1379">
      <w:pPr>
        <w:spacing w:line="360" w:lineRule="auto"/>
        <w:jc w:val="both"/>
        <w:rPr>
          <w:rFonts w:ascii="Arial" w:hAnsi="Arial" w:cs="Arial"/>
          <w:b/>
          <w:bCs/>
          <w:sz w:val="22"/>
          <w:szCs w:val="22"/>
        </w:rPr>
      </w:pPr>
      <w:r w:rsidRPr="00CA43F9">
        <w:rPr>
          <w:rFonts w:ascii="Arial" w:hAnsi="Arial" w:cs="Arial"/>
          <w:b/>
          <w:bCs/>
          <w:sz w:val="22"/>
          <w:szCs w:val="22"/>
        </w:rPr>
        <w:t xml:space="preserve">Strength </w:t>
      </w:r>
    </w:p>
    <w:p w14:paraId="2B6606B9" w14:textId="5B1EEB22" w:rsidR="002B572C"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Erikson’s model is inclusive of the lifespan, and</w:t>
      </w:r>
      <w:r w:rsidRPr="00CA43F9">
        <w:rPr>
          <w:rFonts w:ascii="Arial" w:hAnsi="Arial" w:cs="Arial"/>
          <w:sz w:val="22"/>
          <w:szCs w:val="22"/>
          <w:lang w:val="en-IN"/>
        </w:rPr>
        <w:t> </w:t>
      </w:r>
      <w:r w:rsidRPr="00CA43F9">
        <w:rPr>
          <w:rFonts w:ascii="Arial" w:hAnsi="Arial" w:cs="Arial"/>
          <w:sz w:val="22"/>
          <w:szCs w:val="22"/>
          <w:lang w:val="en-IN"/>
        </w:rPr>
        <w:t xml:space="preserve"> thus particularly appropriate for examining psychological development in old age. It's about respect and dignity, meaning and well-being, </w:t>
      </w:r>
      <w:r w:rsidR="001300A5" w:rsidRPr="00CA43F9">
        <w:rPr>
          <w:rFonts w:ascii="Arial" w:hAnsi="Arial" w:cs="Arial"/>
          <w:sz w:val="22"/>
          <w:szCs w:val="22"/>
          <w:lang w:val="en-IN"/>
        </w:rPr>
        <w:t>all</w:t>
      </w:r>
      <w:r w:rsidRPr="00CA43F9">
        <w:rPr>
          <w:rFonts w:ascii="Arial" w:hAnsi="Arial" w:cs="Arial"/>
          <w:sz w:val="22"/>
          <w:szCs w:val="22"/>
          <w:lang w:val="en-IN"/>
        </w:rPr>
        <w:t> </w:t>
      </w:r>
      <w:r w:rsidRPr="00CA43F9">
        <w:rPr>
          <w:rFonts w:ascii="Arial" w:hAnsi="Arial" w:cs="Arial"/>
          <w:sz w:val="22"/>
          <w:szCs w:val="22"/>
          <w:lang w:val="en-IN"/>
        </w:rPr>
        <w:t xml:space="preserve"> of which chime with person-centred care in dementia</w:t>
      </w:r>
      <w:r w:rsidR="009618B5" w:rsidRPr="00CA43F9">
        <w:rPr>
          <w:rFonts w:ascii="Arial" w:hAnsi="Arial" w:cs="Arial"/>
          <w:sz w:val="22"/>
          <w:szCs w:val="22"/>
          <w:lang w:val="en-IN"/>
        </w:rPr>
        <w:t xml:space="preserve"> </w:t>
      </w:r>
      <w:r w:rsidR="009618B5" w:rsidRPr="00CA43F9">
        <w:rPr>
          <w:rFonts w:ascii="Arial" w:hAnsi="Arial" w:cs="Arial"/>
          <w:sz w:val="22"/>
          <w:szCs w:val="22"/>
        </w:rPr>
        <w:t xml:space="preserve">(Rorije </w:t>
      </w:r>
      <w:r w:rsidR="009618B5" w:rsidRPr="00CA43F9">
        <w:rPr>
          <w:rFonts w:ascii="Arial" w:hAnsi="Arial" w:cs="Arial"/>
          <w:i/>
          <w:iCs/>
          <w:sz w:val="22"/>
          <w:szCs w:val="22"/>
        </w:rPr>
        <w:t>et al.</w:t>
      </w:r>
      <w:r w:rsidR="009618B5" w:rsidRPr="00CA43F9">
        <w:rPr>
          <w:rFonts w:ascii="Arial" w:hAnsi="Arial" w:cs="Arial"/>
          <w:sz w:val="22"/>
          <w:szCs w:val="22"/>
        </w:rPr>
        <w:t>, 2023)</w:t>
      </w:r>
      <w:r w:rsidRPr="00CA43F9">
        <w:rPr>
          <w:rFonts w:ascii="Arial" w:hAnsi="Arial" w:cs="Arial"/>
          <w:sz w:val="22"/>
          <w:szCs w:val="22"/>
          <w:lang w:val="en-IN"/>
        </w:rPr>
        <w:t>.</w:t>
      </w:r>
    </w:p>
    <w:p w14:paraId="041CA255" w14:textId="4DDF828B" w:rsidR="002B572C"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Bowlby's theory of</w:t>
      </w:r>
      <w:r w:rsidRPr="00CA43F9">
        <w:rPr>
          <w:rFonts w:ascii="Arial" w:hAnsi="Arial" w:cs="Arial"/>
          <w:sz w:val="22"/>
          <w:szCs w:val="22"/>
          <w:lang w:val="en-IN"/>
        </w:rPr>
        <w:t> </w:t>
      </w:r>
      <w:r w:rsidRPr="00CA43F9">
        <w:rPr>
          <w:rFonts w:ascii="Arial" w:hAnsi="Arial" w:cs="Arial"/>
          <w:sz w:val="22"/>
          <w:szCs w:val="22"/>
          <w:lang w:val="en-IN"/>
        </w:rPr>
        <w:t xml:space="preserve"> attachment is based on good evidence and does present detailed ideas about emotional distress, dependency, etc. It enables practitioners to interpret behaviour </w:t>
      </w:r>
      <w:r w:rsidR="001300A5" w:rsidRPr="00CA43F9">
        <w:rPr>
          <w:rFonts w:ascii="Arial" w:hAnsi="Arial" w:cs="Arial"/>
          <w:sz w:val="22"/>
          <w:szCs w:val="22"/>
          <w:lang w:val="en-IN"/>
        </w:rPr>
        <w:t xml:space="preserve">such as </w:t>
      </w:r>
      <w:r w:rsidRPr="00CA43F9">
        <w:rPr>
          <w:rFonts w:ascii="Arial" w:hAnsi="Arial" w:cs="Arial"/>
          <w:sz w:val="22"/>
          <w:szCs w:val="22"/>
          <w:lang w:val="en-IN"/>
        </w:rPr>
        <w:t>agitation or withdrawal as emotional communication</w:t>
      </w:r>
      <w:r w:rsidR="00C91238" w:rsidRPr="00CA43F9">
        <w:rPr>
          <w:rFonts w:ascii="Arial" w:hAnsi="Arial" w:cs="Arial"/>
          <w:sz w:val="22"/>
          <w:szCs w:val="22"/>
          <w:lang w:val="en-IN"/>
        </w:rPr>
        <w:t xml:space="preserve">, </w:t>
      </w:r>
      <w:r w:rsidRPr="00CA43F9">
        <w:rPr>
          <w:rFonts w:ascii="Arial" w:hAnsi="Arial" w:cs="Arial"/>
          <w:sz w:val="22"/>
          <w:szCs w:val="22"/>
          <w:lang w:val="en-IN"/>
        </w:rPr>
        <w:t>enhancing empathy and care</w:t>
      </w:r>
      <w:r w:rsidRPr="00CA43F9">
        <w:rPr>
          <w:rFonts w:ascii="Arial" w:hAnsi="Arial" w:cs="Arial"/>
          <w:sz w:val="22"/>
          <w:szCs w:val="22"/>
          <w:lang w:val="en-IN"/>
        </w:rPr>
        <w:t> </w:t>
      </w:r>
      <w:r w:rsidRPr="00CA43F9">
        <w:rPr>
          <w:rFonts w:ascii="Arial" w:hAnsi="Arial" w:cs="Arial"/>
          <w:sz w:val="22"/>
          <w:szCs w:val="22"/>
          <w:lang w:val="en-IN"/>
        </w:rPr>
        <w:t xml:space="preserve"> response</w:t>
      </w:r>
      <w:r w:rsidR="00607739" w:rsidRPr="00CA43F9">
        <w:rPr>
          <w:rFonts w:ascii="Arial" w:hAnsi="Arial" w:cs="Arial"/>
          <w:sz w:val="22"/>
          <w:szCs w:val="22"/>
          <w:lang w:val="en-IN"/>
        </w:rPr>
        <w:t xml:space="preserve"> </w:t>
      </w:r>
      <w:r w:rsidR="00607739" w:rsidRPr="00CA43F9">
        <w:rPr>
          <w:rFonts w:ascii="Arial" w:hAnsi="Arial" w:cs="Arial"/>
          <w:sz w:val="22"/>
          <w:szCs w:val="22"/>
        </w:rPr>
        <w:t>(Fitzgerald, 2021)</w:t>
      </w:r>
      <w:r w:rsidRPr="00CA43F9">
        <w:rPr>
          <w:rFonts w:ascii="Arial" w:hAnsi="Arial" w:cs="Arial"/>
          <w:sz w:val="22"/>
          <w:szCs w:val="22"/>
          <w:lang w:val="en-IN"/>
        </w:rPr>
        <w:t>.</w:t>
      </w:r>
    </w:p>
    <w:p w14:paraId="46C679C7" w14:textId="41B29765" w:rsidR="00B30B3E" w:rsidRPr="00CA43F9" w:rsidRDefault="00000000" w:rsidP="008F1379">
      <w:pPr>
        <w:spacing w:line="360" w:lineRule="auto"/>
        <w:jc w:val="both"/>
        <w:rPr>
          <w:rFonts w:ascii="Arial" w:hAnsi="Arial" w:cs="Arial"/>
          <w:b/>
          <w:bCs/>
          <w:sz w:val="22"/>
          <w:szCs w:val="22"/>
          <w:lang w:val="en-IN"/>
        </w:rPr>
      </w:pPr>
      <w:r w:rsidRPr="00CA43F9">
        <w:rPr>
          <w:rFonts w:ascii="Arial" w:hAnsi="Arial" w:cs="Arial"/>
          <w:b/>
          <w:bCs/>
          <w:sz w:val="22"/>
          <w:szCs w:val="22"/>
          <w:lang w:val="en-IN"/>
        </w:rPr>
        <w:t>Limitation</w:t>
      </w:r>
    </w:p>
    <w:p w14:paraId="598C3B8E" w14:textId="49780407" w:rsidR="002B572C"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Erikson’s model may oversimplify the process of ageing, since not everyone can consciously come to</w:t>
      </w:r>
      <w:r w:rsidRPr="00CA43F9">
        <w:rPr>
          <w:rFonts w:ascii="Arial" w:hAnsi="Arial" w:cs="Arial"/>
          <w:sz w:val="22"/>
          <w:szCs w:val="22"/>
          <w:lang w:val="en-IN"/>
        </w:rPr>
        <w:t> </w:t>
      </w:r>
      <w:r w:rsidRPr="00CA43F9">
        <w:rPr>
          <w:rFonts w:ascii="Arial" w:hAnsi="Arial" w:cs="Arial"/>
          <w:sz w:val="22"/>
          <w:szCs w:val="22"/>
          <w:lang w:val="en-IN"/>
        </w:rPr>
        <w:t xml:space="preserve"> terms with their life history </w:t>
      </w:r>
      <w:r w:rsidR="001300A5" w:rsidRPr="00CA43F9">
        <w:rPr>
          <w:rFonts w:ascii="Arial" w:hAnsi="Arial" w:cs="Arial"/>
          <w:sz w:val="22"/>
          <w:szCs w:val="22"/>
          <w:lang w:val="en-IN"/>
        </w:rPr>
        <w:t>because of</w:t>
      </w:r>
      <w:r w:rsidRPr="00CA43F9">
        <w:rPr>
          <w:rFonts w:ascii="Arial" w:hAnsi="Arial" w:cs="Arial"/>
          <w:sz w:val="22"/>
          <w:szCs w:val="22"/>
          <w:lang w:val="en-IN"/>
        </w:rPr>
        <w:t xml:space="preserve"> cognitive impairment. Some criticism of Bowlby's approach is that he does not take enough account of the role of culture and society, yet places too much emphasis on</w:t>
      </w:r>
      <w:r w:rsidRPr="00CA43F9">
        <w:rPr>
          <w:rFonts w:ascii="Arial" w:hAnsi="Arial" w:cs="Arial"/>
          <w:sz w:val="22"/>
          <w:szCs w:val="22"/>
          <w:lang w:val="en-IN"/>
        </w:rPr>
        <w:t> </w:t>
      </w:r>
      <w:r w:rsidRPr="00CA43F9">
        <w:rPr>
          <w:rFonts w:ascii="Arial" w:hAnsi="Arial" w:cs="Arial"/>
          <w:sz w:val="22"/>
          <w:szCs w:val="22"/>
          <w:lang w:val="en-IN"/>
        </w:rPr>
        <w:t xml:space="preserve"> early relationships</w:t>
      </w:r>
      <w:r w:rsidR="00060D30" w:rsidRPr="00CA43F9">
        <w:rPr>
          <w:rFonts w:ascii="Arial" w:hAnsi="Arial" w:cs="Arial"/>
          <w:sz w:val="22"/>
          <w:szCs w:val="22"/>
          <w:lang w:val="en-IN"/>
        </w:rPr>
        <w:t xml:space="preserve"> </w:t>
      </w:r>
      <w:r w:rsidR="00060D30" w:rsidRPr="00CA43F9">
        <w:rPr>
          <w:rFonts w:ascii="Arial" w:hAnsi="Arial" w:cs="Arial"/>
          <w:sz w:val="22"/>
          <w:szCs w:val="22"/>
        </w:rPr>
        <w:t>(Sosteric and Ratkovic, 2022)</w:t>
      </w:r>
      <w:r w:rsidRPr="00CA43F9">
        <w:rPr>
          <w:rFonts w:ascii="Arial" w:hAnsi="Arial" w:cs="Arial"/>
          <w:sz w:val="22"/>
          <w:szCs w:val="22"/>
          <w:lang w:val="en-IN"/>
        </w:rPr>
        <w:t>.</w:t>
      </w:r>
    </w:p>
    <w:p w14:paraId="2E571E03" w14:textId="587028DB" w:rsidR="002B572C" w:rsidRPr="00CA43F9" w:rsidRDefault="00000000" w:rsidP="008F1379">
      <w:pPr>
        <w:spacing w:line="360" w:lineRule="auto"/>
        <w:jc w:val="both"/>
        <w:rPr>
          <w:rFonts w:ascii="Arial" w:hAnsi="Arial" w:cs="Arial"/>
          <w:sz w:val="22"/>
          <w:szCs w:val="22"/>
        </w:rPr>
      </w:pPr>
      <w:r w:rsidRPr="00CA43F9">
        <w:rPr>
          <w:rFonts w:ascii="Arial" w:hAnsi="Arial" w:cs="Arial"/>
          <w:sz w:val="22"/>
          <w:szCs w:val="22"/>
        </w:rPr>
        <w:t xml:space="preserve">Despite these key </w:t>
      </w:r>
      <w:r w:rsidR="001300A5" w:rsidRPr="00CA43F9">
        <w:rPr>
          <w:rFonts w:ascii="Arial" w:hAnsi="Arial" w:cs="Arial"/>
          <w:sz w:val="22"/>
          <w:szCs w:val="22"/>
        </w:rPr>
        <w:t>issues</w:t>
      </w:r>
      <w:r w:rsidRPr="00CA43F9">
        <w:rPr>
          <w:rFonts w:ascii="Arial" w:hAnsi="Arial" w:cs="Arial"/>
          <w:sz w:val="22"/>
          <w:szCs w:val="22"/>
        </w:rPr>
        <w:t xml:space="preserve">, the </w:t>
      </w:r>
      <w:r w:rsidR="001300A5" w:rsidRPr="00CA43F9">
        <w:rPr>
          <w:rFonts w:ascii="Arial" w:hAnsi="Arial" w:cs="Arial"/>
          <w:sz w:val="22"/>
          <w:szCs w:val="22"/>
        </w:rPr>
        <w:t>theories</w:t>
      </w:r>
      <w:r w:rsidRPr="00CA43F9">
        <w:rPr>
          <w:rFonts w:ascii="Arial" w:hAnsi="Arial" w:cs="Arial"/>
          <w:sz w:val="22"/>
          <w:szCs w:val="22"/>
        </w:rPr>
        <w:t xml:space="preserve"> remain highly </w:t>
      </w:r>
      <w:r w:rsidR="001300A5" w:rsidRPr="00CA43F9">
        <w:rPr>
          <w:rFonts w:ascii="Arial" w:hAnsi="Arial" w:cs="Arial"/>
          <w:sz w:val="22"/>
          <w:szCs w:val="22"/>
        </w:rPr>
        <w:t>helpful</w:t>
      </w:r>
      <w:r w:rsidRPr="00CA43F9">
        <w:rPr>
          <w:rFonts w:ascii="Arial" w:hAnsi="Arial" w:cs="Arial"/>
          <w:sz w:val="22"/>
          <w:szCs w:val="22"/>
        </w:rPr>
        <w:t xml:space="preserve"> when properly applied flexibly and in combination within health and social care settings. </w:t>
      </w:r>
    </w:p>
    <w:p w14:paraId="21F2DBA8" w14:textId="0D5733E9" w:rsidR="006237C3" w:rsidRPr="00CA43F9" w:rsidRDefault="00000000" w:rsidP="008F1379">
      <w:pPr>
        <w:pStyle w:val="Heading1"/>
        <w:spacing w:line="360" w:lineRule="auto"/>
        <w:jc w:val="both"/>
        <w:rPr>
          <w:rFonts w:ascii="Arial" w:hAnsi="Arial" w:cs="Arial"/>
          <w:sz w:val="22"/>
          <w:szCs w:val="22"/>
        </w:rPr>
      </w:pPr>
      <w:bookmarkStart w:id="5" w:name="_Toc216616881"/>
      <w:r w:rsidRPr="00CA43F9">
        <w:rPr>
          <w:rFonts w:ascii="Arial" w:hAnsi="Arial" w:cs="Arial"/>
          <w:sz w:val="22"/>
          <w:szCs w:val="22"/>
        </w:rPr>
        <w:t>4. Nature and Nurture in Psychological Development</w:t>
      </w:r>
      <w:bookmarkEnd w:id="5"/>
    </w:p>
    <w:p w14:paraId="265FCB9E" w14:textId="2B716E14" w:rsidR="00C91238"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Nature is represented by biological factors, like genetics, damage to the brain and neurological degeneration; nurture translates</w:t>
      </w:r>
      <w:r w:rsidRPr="00CA43F9">
        <w:rPr>
          <w:rFonts w:ascii="Arial" w:hAnsi="Arial" w:cs="Arial"/>
          <w:sz w:val="22"/>
          <w:szCs w:val="22"/>
          <w:lang w:val="en-IN"/>
        </w:rPr>
        <w:t> </w:t>
      </w:r>
      <w:r w:rsidRPr="00CA43F9">
        <w:rPr>
          <w:rFonts w:ascii="Arial" w:hAnsi="Arial" w:cs="Arial"/>
          <w:sz w:val="22"/>
          <w:szCs w:val="22"/>
          <w:lang w:val="en-IN"/>
        </w:rPr>
        <w:t xml:space="preserve"> as environmental factors, such as relationships, for example, the quality of care received in early </w:t>
      </w:r>
      <w:r w:rsidR="004D046E" w:rsidRPr="00CA43F9">
        <w:rPr>
          <w:rFonts w:ascii="Arial" w:hAnsi="Arial" w:cs="Arial"/>
          <w:sz w:val="22"/>
          <w:szCs w:val="22"/>
          <w:lang w:val="en-IN"/>
        </w:rPr>
        <w:t>life, social</w:t>
      </w:r>
      <w:r w:rsidRPr="00CA43F9">
        <w:rPr>
          <w:rFonts w:ascii="Arial" w:hAnsi="Arial" w:cs="Arial"/>
          <w:sz w:val="22"/>
          <w:szCs w:val="22"/>
          <w:lang w:val="en-IN"/>
        </w:rPr>
        <w:t xml:space="preserve"> engagement and experiences.</w:t>
      </w:r>
    </w:p>
    <w:p w14:paraId="441328F1" w14:textId="3D83769B" w:rsidR="00C91238"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 xml:space="preserve">In older adulthood, dementia reflects a strong biological impact </w:t>
      </w:r>
      <w:r w:rsidR="004D046E" w:rsidRPr="00CA43F9">
        <w:rPr>
          <w:rFonts w:ascii="Arial" w:hAnsi="Arial" w:cs="Arial"/>
          <w:sz w:val="22"/>
          <w:szCs w:val="22"/>
          <w:lang w:val="en-IN"/>
        </w:rPr>
        <w:t>affecting</w:t>
      </w:r>
      <w:r w:rsidRPr="00CA43F9">
        <w:rPr>
          <w:rFonts w:ascii="Arial" w:hAnsi="Arial" w:cs="Arial"/>
          <w:sz w:val="22"/>
          <w:szCs w:val="22"/>
          <w:lang w:val="en-IN"/>
        </w:rPr>
        <w:t xml:space="preserve"> memory, emotional regulation and cognition. However, </w:t>
      </w:r>
      <w:r w:rsidR="004D046E" w:rsidRPr="00CA43F9">
        <w:rPr>
          <w:rFonts w:ascii="Arial" w:hAnsi="Arial" w:cs="Arial"/>
          <w:sz w:val="22"/>
          <w:szCs w:val="22"/>
          <w:lang w:val="en-IN"/>
        </w:rPr>
        <w:t>environmental</w:t>
      </w:r>
      <w:r w:rsidRPr="00CA43F9">
        <w:rPr>
          <w:rFonts w:ascii="Arial" w:hAnsi="Arial" w:cs="Arial"/>
          <w:sz w:val="22"/>
          <w:szCs w:val="22"/>
          <w:lang w:val="en-IN"/>
        </w:rPr>
        <w:t xml:space="preserve"> factors such as staff behaviour, routines, </w:t>
      </w:r>
      <w:r w:rsidRPr="00CA43F9">
        <w:rPr>
          <w:rFonts w:ascii="Arial" w:hAnsi="Arial" w:cs="Arial"/>
          <w:sz w:val="22"/>
          <w:szCs w:val="22"/>
          <w:lang w:val="en-IN"/>
        </w:rPr>
        <w:lastRenderedPageBreak/>
        <w:t xml:space="preserve">communication styles and social engagement </w:t>
      </w:r>
      <w:r w:rsidR="004D046E" w:rsidRPr="00CA43F9">
        <w:rPr>
          <w:rFonts w:ascii="Arial" w:hAnsi="Arial" w:cs="Arial"/>
          <w:sz w:val="22"/>
          <w:szCs w:val="22"/>
          <w:lang w:val="en-IN"/>
        </w:rPr>
        <w:t>significantly</w:t>
      </w:r>
      <w:r w:rsidRPr="00CA43F9">
        <w:rPr>
          <w:rFonts w:ascii="Arial" w:hAnsi="Arial" w:cs="Arial"/>
          <w:sz w:val="22"/>
          <w:szCs w:val="22"/>
          <w:lang w:val="en-IN"/>
        </w:rPr>
        <w:t xml:space="preserve"> shape how symptoms are experienced and controlled</w:t>
      </w:r>
      <w:r w:rsidR="002E3222" w:rsidRPr="00CA43F9">
        <w:rPr>
          <w:rFonts w:ascii="Arial" w:hAnsi="Arial" w:cs="Arial"/>
          <w:sz w:val="22"/>
          <w:szCs w:val="22"/>
          <w:lang w:val="en-IN"/>
        </w:rPr>
        <w:t xml:space="preserve"> </w:t>
      </w:r>
      <w:r w:rsidR="002E3222" w:rsidRPr="00CA43F9">
        <w:rPr>
          <w:rFonts w:ascii="Arial" w:hAnsi="Arial" w:cs="Arial"/>
          <w:sz w:val="22"/>
          <w:szCs w:val="22"/>
        </w:rPr>
        <w:t>(Khasawneh, 2021)</w:t>
      </w:r>
      <w:r w:rsidRPr="00CA43F9">
        <w:rPr>
          <w:rFonts w:ascii="Arial" w:hAnsi="Arial" w:cs="Arial"/>
          <w:sz w:val="22"/>
          <w:szCs w:val="22"/>
          <w:lang w:val="en-IN"/>
        </w:rPr>
        <w:t>.</w:t>
      </w:r>
    </w:p>
    <w:p w14:paraId="2E167666" w14:textId="49819EB3" w:rsidR="00C91238"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Erikson’s approach includes both nature and nurture, acknowledging biological dimensions of ageing,</w:t>
      </w:r>
      <w:r w:rsidRPr="00CA43F9">
        <w:rPr>
          <w:rFonts w:ascii="Arial" w:hAnsi="Arial" w:cs="Arial"/>
          <w:sz w:val="22"/>
          <w:szCs w:val="22"/>
          <w:lang w:val="en-IN"/>
        </w:rPr>
        <w:t> </w:t>
      </w:r>
      <w:r w:rsidRPr="00CA43F9">
        <w:rPr>
          <w:rFonts w:ascii="Arial" w:hAnsi="Arial" w:cs="Arial"/>
          <w:sz w:val="22"/>
          <w:szCs w:val="22"/>
          <w:lang w:val="en-IN"/>
        </w:rPr>
        <w:t xml:space="preserve"> but factoring in social connection as contributing to the attainment of integrity. Bowlby's model emphasises the biological underpinning</w:t>
      </w:r>
      <w:r w:rsidRPr="00CA43F9">
        <w:rPr>
          <w:rFonts w:ascii="Arial" w:hAnsi="Arial" w:cs="Arial"/>
          <w:sz w:val="22"/>
          <w:szCs w:val="22"/>
          <w:lang w:val="en-IN"/>
        </w:rPr>
        <w:t> </w:t>
      </w:r>
      <w:r w:rsidRPr="00CA43F9">
        <w:rPr>
          <w:rFonts w:ascii="Arial" w:hAnsi="Arial" w:cs="Arial"/>
          <w:sz w:val="22"/>
          <w:szCs w:val="22"/>
          <w:lang w:val="en-IN"/>
        </w:rPr>
        <w:t xml:space="preserve"> of attachment but also underscores the importance of responsive caregiving environments</w:t>
      </w:r>
      <w:r w:rsidR="00E81D92" w:rsidRPr="00CA43F9">
        <w:rPr>
          <w:rFonts w:ascii="Arial" w:hAnsi="Arial" w:cs="Arial"/>
          <w:sz w:val="22"/>
          <w:szCs w:val="22"/>
          <w:lang w:val="en-IN"/>
        </w:rPr>
        <w:t xml:space="preserve"> </w:t>
      </w:r>
      <w:r w:rsidR="00E81D92" w:rsidRPr="00CA43F9">
        <w:rPr>
          <w:rFonts w:ascii="Arial" w:hAnsi="Arial" w:cs="Arial"/>
          <w:sz w:val="22"/>
          <w:szCs w:val="22"/>
        </w:rPr>
        <w:t>(Bremont, 2025)</w:t>
      </w:r>
      <w:r w:rsidRPr="00CA43F9">
        <w:rPr>
          <w:rFonts w:ascii="Arial" w:hAnsi="Arial" w:cs="Arial"/>
          <w:sz w:val="22"/>
          <w:szCs w:val="22"/>
          <w:lang w:val="en-IN"/>
        </w:rPr>
        <w:t>.</w:t>
      </w:r>
    </w:p>
    <w:p w14:paraId="2EC90085" w14:textId="2FD31C6A" w:rsidR="00C91238"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It gives old people's</w:t>
      </w:r>
      <w:r w:rsidRPr="00CA43F9">
        <w:rPr>
          <w:rFonts w:ascii="Arial" w:hAnsi="Arial" w:cs="Arial"/>
          <w:sz w:val="22"/>
          <w:szCs w:val="22"/>
          <w:lang w:val="en-IN"/>
        </w:rPr>
        <w:t> </w:t>
      </w:r>
      <w:r w:rsidRPr="00CA43F9">
        <w:rPr>
          <w:rFonts w:ascii="Arial" w:hAnsi="Arial" w:cs="Arial"/>
          <w:sz w:val="22"/>
          <w:szCs w:val="22"/>
          <w:lang w:val="en-IN"/>
        </w:rPr>
        <w:t xml:space="preserve"> care workers a better understanding of nature and nurture so they can provide more effective support to older people, realising that whilst there is no cure for dementia, the environment has potential for alleviating distress</w:t>
      </w:r>
      <w:r w:rsidR="001E68F5" w:rsidRPr="00CA43F9">
        <w:rPr>
          <w:rFonts w:ascii="Arial" w:hAnsi="Arial" w:cs="Arial"/>
          <w:sz w:val="22"/>
          <w:szCs w:val="22"/>
          <w:lang w:val="en-IN"/>
        </w:rPr>
        <w:t xml:space="preserve">, supporting wellbeing and enhancing quality of life even in the individual with various </w:t>
      </w:r>
      <w:r w:rsidR="00EC68A2" w:rsidRPr="00CA43F9">
        <w:rPr>
          <w:rFonts w:ascii="Arial" w:hAnsi="Arial" w:cs="Arial"/>
          <w:sz w:val="22"/>
          <w:szCs w:val="22"/>
          <w:lang w:val="en-IN"/>
        </w:rPr>
        <w:t>mental</w:t>
      </w:r>
      <w:r w:rsidR="001E68F5" w:rsidRPr="00CA43F9">
        <w:rPr>
          <w:rFonts w:ascii="Arial" w:hAnsi="Arial" w:cs="Arial"/>
          <w:sz w:val="22"/>
          <w:szCs w:val="22"/>
          <w:lang w:val="en-IN"/>
        </w:rPr>
        <w:t xml:space="preserve"> health concerns</w:t>
      </w:r>
      <w:r w:rsidR="00046019" w:rsidRPr="00CA43F9">
        <w:rPr>
          <w:rFonts w:ascii="Arial" w:hAnsi="Arial" w:cs="Arial"/>
          <w:sz w:val="22"/>
          <w:szCs w:val="22"/>
          <w:lang w:val="en-IN"/>
        </w:rPr>
        <w:t xml:space="preserve"> </w:t>
      </w:r>
      <w:r w:rsidR="00046019" w:rsidRPr="00CA43F9">
        <w:rPr>
          <w:rFonts w:ascii="Arial" w:hAnsi="Arial" w:cs="Arial"/>
          <w:sz w:val="22"/>
          <w:szCs w:val="22"/>
        </w:rPr>
        <w:t xml:space="preserve">(Robledo </w:t>
      </w:r>
      <w:r w:rsidR="00046019" w:rsidRPr="00CA43F9">
        <w:rPr>
          <w:rFonts w:ascii="Arial" w:hAnsi="Arial" w:cs="Arial"/>
          <w:i/>
          <w:iCs/>
          <w:sz w:val="22"/>
          <w:szCs w:val="22"/>
        </w:rPr>
        <w:t>et al.</w:t>
      </w:r>
      <w:r w:rsidR="00046019" w:rsidRPr="00CA43F9">
        <w:rPr>
          <w:rFonts w:ascii="Arial" w:hAnsi="Arial" w:cs="Arial"/>
          <w:sz w:val="22"/>
          <w:szCs w:val="22"/>
        </w:rPr>
        <w:t>, 2022)</w:t>
      </w:r>
      <w:r w:rsidR="001E68F5" w:rsidRPr="00CA43F9">
        <w:rPr>
          <w:rFonts w:ascii="Arial" w:hAnsi="Arial" w:cs="Arial"/>
          <w:sz w:val="22"/>
          <w:szCs w:val="22"/>
          <w:lang w:val="en-IN"/>
        </w:rPr>
        <w:t xml:space="preserve">. </w:t>
      </w:r>
    </w:p>
    <w:p w14:paraId="225710C4" w14:textId="77777777" w:rsidR="006237C3" w:rsidRPr="00CA43F9" w:rsidRDefault="00000000" w:rsidP="008F1379">
      <w:pPr>
        <w:pStyle w:val="Heading1"/>
        <w:spacing w:line="360" w:lineRule="auto"/>
        <w:jc w:val="both"/>
        <w:rPr>
          <w:rFonts w:ascii="Arial" w:hAnsi="Arial" w:cs="Arial"/>
          <w:sz w:val="22"/>
          <w:szCs w:val="22"/>
          <w:lang w:val="en-IN"/>
        </w:rPr>
      </w:pPr>
      <w:bookmarkStart w:id="6" w:name="_Toc216616882"/>
      <w:r w:rsidRPr="00CA43F9">
        <w:rPr>
          <w:rFonts w:ascii="Arial" w:hAnsi="Arial" w:cs="Arial"/>
          <w:sz w:val="22"/>
          <w:szCs w:val="22"/>
          <w:lang w:val="en-IN"/>
        </w:rPr>
        <w:t>5. Application of Theory in a Dementia Care Home</w:t>
      </w:r>
      <w:bookmarkEnd w:id="6"/>
    </w:p>
    <w:p w14:paraId="012AEDC6" w14:textId="77777777" w:rsidR="006237C3" w:rsidRPr="00CA43F9" w:rsidRDefault="00000000" w:rsidP="008F1379">
      <w:pPr>
        <w:pStyle w:val="Heading2"/>
        <w:spacing w:line="360" w:lineRule="auto"/>
        <w:jc w:val="both"/>
        <w:rPr>
          <w:rFonts w:ascii="Arial" w:hAnsi="Arial" w:cs="Arial"/>
          <w:sz w:val="22"/>
          <w:szCs w:val="22"/>
          <w:lang w:val="en-IN"/>
        </w:rPr>
      </w:pPr>
      <w:bookmarkStart w:id="7" w:name="_Toc216616883"/>
      <w:r w:rsidRPr="00CA43F9">
        <w:rPr>
          <w:rFonts w:ascii="Arial" w:hAnsi="Arial" w:cs="Arial"/>
          <w:sz w:val="22"/>
          <w:szCs w:val="22"/>
          <w:lang w:val="en-IN"/>
        </w:rPr>
        <w:t>5.1 Applying Erikson’s Theory</w:t>
      </w:r>
      <w:bookmarkEnd w:id="7"/>
    </w:p>
    <w:p w14:paraId="6DD11767" w14:textId="77777777" w:rsidR="00337B90"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Erikson's theory can be applied through interventions that support identity, dignity and precise emotional wellbeing.</w:t>
      </w:r>
    </w:p>
    <w:p w14:paraId="097BC814" w14:textId="77777777" w:rsidR="00337B90"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Practical examples include:</w:t>
      </w:r>
    </w:p>
    <w:p w14:paraId="6CB74BE7" w14:textId="77777777" w:rsidR="00337B90" w:rsidRPr="00CA43F9" w:rsidRDefault="00000000" w:rsidP="008F1379">
      <w:pPr>
        <w:pStyle w:val="ListParagraph"/>
        <w:numPr>
          <w:ilvl w:val="0"/>
          <w:numId w:val="1"/>
        </w:numPr>
        <w:spacing w:line="360" w:lineRule="auto"/>
        <w:jc w:val="both"/>
        <w:rPr>
          <w:rFonts w:ascii="Arial" w:hAnsi="Arial" w:cs="Arial"/>
          <w:sz w:val="22"/>
          <w:szCs w:val="22"/>
          <w:lang w:val="en-IN"/>
        </w:rPr>
      </w:pPr>
      <w:r w:rsidRPr="00CA43F9">
        <w:rPr>
          <w:rFonts w:ascii="Arial" w:hAnsi="Arial" w:cs="Arial"/>
          <w:sz w:val="22"/>
          <w:szCs w:val="22"/>
          <w:lang w:val="en-IN"/>
        </w:rPr>
        <w:t xml:space="preserve">Reminiscence therapy utilising images, music and life stories. </w:t>
      </w:r>
    </w:p>
    <w:p w14:paraId="4EE7D64D" w14:textId="77777777" w:rsidR="00337B90" w:rsidRPr="00CA43F9" w:rsidRDefault="00000000" w:rsidP="008F1379">
      <w:pPr>
        <w:pStyle w:val="ListParagraph"/>
        <w:numPr>
          <w:ilvl w:val="0"/>
          <w:numId w:val="1"/>
        </w:numPr>
        <w:spacing w:line="360" w:lineRule="auto"/>
        <w:jc w:val="both"/>
        <w:rPr>
          <w:rFonts w:ascii="Arial" w:hAnsi="Arial" w:cs="Arial"/>
          <w:sz w:val="22"/>
          <w:szCs w:val="22"/>
          <w:lang w:val="en-IN"/>
        </w:rPr>
      </w:pPr>
      <w:r w:rsidRPr="00CA43F9">
        <w:rPr>
          <w:rFonts w:ascii="Arial" w:hAnsi="Arial" w:cs="Arial"/>
          <w:sz w:val="22"/>
          <w:szCs w:val="22"/>
          <w:lang w:val="en-IN"/>
        </w:rPr>
        <w:t>Life history work based on past roles and interests</w:t>
      </w:r>
    </w:p>
    <w:p w14:paraId="2F152BB4" w14:textId="77777777" w:rsidR="00337B90" w:rsidRPr="00CA43F9" w:rsidRDefault="00000000" w:rsidP="008F1379">
      <w:pPr>
        <w:pStyle w:val="ListParagraph"/>
        <w:numPr>
          <w:ilvl w:val="0"/>
          <w:numId w:val="1"/>
        </w:numPr>
        <w:spacing w:line="360" w:lineRule="auto"/>
        <w:jc w:val="both"/>
        <w:rPr>
          <w:rFonts w:ascii="Arial" w:hAnsi="Arial" w:cs="Arial"/>
          <w:sz w:val="22"/>
          <w:szCs w:val="22"/>
          <w:lang w:val="en-IN"/>
        </w:rPr>
      </w:pPr>
      <w:r w:rsidRPr="00CA43F9">
        <w:rPr>
          <w:rFonts w:ascii="Arial" w:hAnsi="Arial" w:cs="Arial"/>
          <w:sz w:val="22"/>
          <w:szCs w:val="22"/>
          <w:lang w:val="en-IN"/>
        </w:rPr>
        <w:t>Respectful communication that reinforces autonomy and values</w:t>
      </w:r>
    </w:p>
    <w:p w14:paraId="5A3A6929" w14:textId="77777777" w:rsidR="00337B90"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These key aspects and approaches support residents in accomplishing a sense of integrity and decrease depression and despair.</w:t>
      </w:r>
    </w:p>
    <w:p w14:paraId="6A476B5C" w14:textId="6CB2F80B" w:rsidR="006237C3" w:rsidRPr="00CA43F9" w:rsidRDefault="00000000" w:rsidP="008F1379">
      <w:pPr>
        <w:pStyle w:val="Heading2"/>
        <w:spacing w:line="360" w:lineRule="auto"/>
        <w:jc w:val="both"/>
        <w:rPr>
          <w:rFonts w:ascii="Arial" w:hAnsi="Arial" w:cs="Arial"/>
          <w:sz w:val="22"/>
          <w:szCs w:val="22"/>
        </w:rPr>
      </w:pPr>
      <w:bookmarkStart w:id="8" w:name="_Toc216616884"/>
      <w:r w:rsidRPr="00CA43F9">
        <w:rPr>
          <w:rFonts w:ascii="Arial" w:hAnsi="Arial" w:cs="Arial"/>
          <w:sz w:val="22"/>
          <w:szCs w:val="22"/>
        </w:rPr>
        <w:t>5.2 Applying Attachment Theory</w:t>
      </w:r>
      <w:bookmarkEnd w:id="8"/>
    </w:p>
    <w:p w14:paraId="6A0C91F2" w14:textId="110E4874" w:rsidR="007244B3" w:rsidRPr="00CA43F9" w:rsidRDefault="00000000" w:rsidP="008F1379">
      <w:pPr>
        <w:spacing w:line="360" w:lineRule="auto"/>
        <w:jc w:val="both"/>
        <w:rPr>
          <w:rFonts w:ascii="Arial" w:hAnsi="Arial" w:cs="Arial"/>
          <w:sz w:val="22"/>
          <w:szCs w:val="22"/>
        </w:rPr>
      </w:pPr>
      <w:r w:rsidRPr="00CA43F9">
        <w:rPr>
          <w:rFonts w:ascii="Arial" w:hAnsi="Arial" w:cs="Arial"/>
          <w:sz w:val="22"/>
          <w:szCs w:val="22"/>
        </w:rPr>
        <w:t>Attachment theory can be properly implemented based on the identification and determination of staff as proper emotional aspect attachment figures</w:t>
      </w:r>
      <w:r w:rsidR="00504BEB" w:rsidRPr="00CA43F9">
        <w:rPr>
          <w:rFonts w:ascii="Arial" w:hAnsi="Arial" w:cs="Arial"/>
          <w:sz w:val="22"/>
          <w:szCs w:val="22"/>
        </w:rPr>
        <w:t xml:space="preserve"> (van der Horst, van Rosmalen and van der Veer, 2025)</w:t>
      </w:r>
      <w:r w:rsidRPr="00CA43F9">
        <w:rPr>
          <w:rFonts w:ascii="Arial" w:hAnsi="Arial" w:cs="Arial"/>
          <w:sz w:val="22"/>
          <w:szCs w:val="22"/>
        </w:rPr>
        <w:t xml:space="preserve">. </w:t>
      </w:r>
    </w:p>
    <w:p w14:paraId="1033F1F5" w14:textId="6672B54C" w:rsidR="007244B3" w:rsidRPr="00CA43F9" w:rsidRDefault="00000000" w:rsidP="008F1379">
      <w:pPr>
        <w:spacing w:line="360" w:lineRule="auto"/>
        <w:jc w:val="both"/>
        <w:rPr>
          <w:rFonts w:ascii="Arial" w:hAnsi="Arial" w:cs="Arial"/>
          <w:sz w:val="22"/>
          <w:szCs w:val="22"/>
        </w:rPr>
      </w:pPr>
      <w:r w:rsidRPr="00CA43F9">
        <w:rPr>
          <w:rFonts w:ascii="Arial" w:hAnsi="Arial" w:cs="Arial"/>
          <w:sz w:val="22"/>
          <w:szCs w:val="22"/>
        </w:rPr>
        <w:t xml:space="preserve">Practical strategies which </w:t>
      </w:r>
      <w:r w:rsidR="00717056" w:rsidRPr="00CA43F9">
        <w:rPr>
          <w:rFonts w:ascii="Arial" w:hAnsi="Arial" w:cs="Arial"/>
          <w:sz w:val="22"/>
          <w:szCs w:val="22"/>
        </w:rPr>
        <w:t>consist</w:t>
      </w:r>
      <w:r w:rsidRPr="00CA43F9">
        <w:rPr>
          <w:rFonts w:ascii="Arial" w:hAnsi="Arial" w:cs="Arial"/>
          <w:sz w:val="22"/>
          <w:szCs w:val="22"/>
        </w:rPr>
        <w:t xml:space="preserve"> of:</w:t>
      </w:r>
    </w:p>
    <w:p w14:paraId="5C346E45" w14:textId="7E85EE1A" w:rsidR="007244B3" w:rsidRPr="00CA43F9" w:rsidRDefault="00000000" w:rsidP="008F1379">
      <w:pPr>
        <w:pStyle w:val="ListParagraph"/>
        <w:numPr>
          <w:ilvl w:val="0"/>
          <w:numId w:val="2"/>
        </w:numPr>
        <w:spacing w:line="360" w:lineRule="auto"/>
        <w:jc w:val="both"/>
        <w:rPr>
          <w:rFonts w:ascii="Arial" w:hAnsi="Arial" w:cs="Arial"/>
          <w:sz w:val="22"/>
          <w:szCs w:val="22"/>
        </w:rPr>
      </w:pPr>
      <w:r w:rsidRPr="00CA43F9">
        <w:rPr>
          <w:rFonts w:ascii="Arial" w:hAnsi="Arial" w:cs="Arial"/>
          <w:sz w:val="22"/>
          <w:szCs w:val="22"/>
        </w:rPr>
        <w:t xml:space="preserve">A key worker system which </w:t>
      </w:r>
      <w:r w:rsidR="00717056" w:rsidRPr="00CA43F9">
        <w:rPr>
          <w:rFonts w:ascii="Arial" w:hAnsi="Arial" w:cs="Arial"/>
          <w:sz w:val="22"/>
          <w:szCs w:val="22"/>
        </w:rPr>
        <w:t>helps</w:t>
      </w:r>
      <w:r w:rsidRPr="00CA43F9">
        <w:rPr>
          <w:rFonts w:ascii="Arial" w:hAnsi="Arial" w:cs="Arial"/>
          <w:sz w:val="22"/>
          <w:szCs w:val="22"/>
        </w:rPr>
        <w:t xml:space="preserve"> </w:t>
      </w:r>
      <w:r w:rsidR="00717056" w:rsidRPr="00CA43F9">
        <w:rPr>
          <w:rFonts w:ascii="Arial" w:hAnsi="Arial" w:cs="Arial"/>
          <w:sz w:val="22"/>
          <w:szCs w:val="22"/>
        </w:rPr>
        <w:t>to</w:t>
      </w:r>
      <w:r w:rsidRPr="00CA43F9">
        <w:rPr>
          <w:rFonts w:ascii="Arial" w:hAnsi="Arial" w:cs="Arial"/>
          <w:sz w:val="22"/>
          <w:szCs w:val="22"/>
        </w:rPr>
        <w:t xml:space="preserve"> provide consistency. </w:t>
      </w:r>
    </w:p>
    <w:p w14:paraId="3A08595E" w14:textId="23758C6D" w:rsidR="00717056" w:rsidRPr="00CA43F9" w:rsidRDefault="00000000" w:rsidP="008F1379">
      <w:pPr>
        <w:pStyle w:val="ListParagraph"/>
        <w:numPr>
          <w:ilvl w:val="0"/>
          <w:numId w:val="2"/>
        </w:numPr>
        <w:spacing w:line="360" w:lineRule="auto"/>
        <w:jc w:val="both"/>
        <w:rPr>
          <w:rFonts w:ascii="Arial" w:hAnsi="Arial" w:cs="Arial"/>
          <w:sz w:val="22"/>
          <w:szCs w:val="22"/>
        </w:rPr>
      </w:pPr>
      <w:r w:rsidRPr="00CA43F9">
        <w:rPr>
          <w:rFonts w:ascii="Arial" w:hAnsi="Arial" w:cs="Arial"/>
          <w:sz w:val="22"/>
          <w:szCs w:val="22"/>
        </w:rPr>
        <w:t>Predictable routines to decrease anxiety</w:t>
      </w:r>
    </w:p>
    <w:p w14:paraId="61C6C22E" w14:textId="20CC64A5" w:rsidR="00717056" w:rsidRPr="00CA43F9" w:rsidRDefault="00000000" w:rsidP="008F1379">
      <w:pPr>
        <w:pStyle w:val="ListParagraph"/>
        <w:numPr>
          <w:ilvl w:val="0"/>
          <w:numId w:val="2"/>
        </w:numPr>
        <w:spacing w:line="360" w:lineRule="auto"/>
        <w:jc w:val="both"/>
        <w:rPr>
          <w:rFonts w:ascii="Arial" w:hAnsi="Arial" w:cs="Arial"/>
          <w:sz w:val="22"/>
          <w:szCs w:val="22"/>
        </w:rPr>
      </w:pPr>
      <w:r w:rsidRPr="00CA43F9">
        <w:rPr>
          <w:rFonts w:ascii="Arial" w:hAnsi="Arial" w:cs="Arial"/>
          <w:sz w:val="22"/>
          <w:szCs w:val="22"/>
        </w:rPr>
        <w:t>Emotion-focused care validates feelings instead of correcting memories</w:t>
      </w:r>
    </w:p>
    <w:p w14:paraId="47FB5A00" w14:textId="27AF289B" w:rsidR="00717056" w:rsidRPr="00CA43F9" w:rsidRDefault="00000000" w:rsidP="008F1379">
      <w:pPr>
        <w:pStyle w:val="ListParagraph"/>
        <w:numPr>
          <w:ilvl w:val="0"/>
          <w:numId w:val="2"/>
        </w:numPr>
        <w:spacing w:line="360" w:lineRule="auto"/>
        <w:jc w:val="both"/>
        <w:rPr>
          <w:rFonts w:ascii="Arial" w:hAnsi="Arial" w:cs="Arial"/>
          <w:sz w:val="22"/>
          <w:szCs w:val="22"/>
        </w:rPr>
      </w:pPr>
      <w:r w:rsidRPr="00CA43F9">
        <w:rPr>
          <w:rFonts w:ascii="Arial" w:hAnsi="Arial" w:cs="Arial"/>
          <w:sz w:val="22"/>
          <w:szCs w:val="22"/>
        </w:rPr>
        <w:t>Familiar objects to provide a key aspect of comfort</w:t>
      </w:r>
    </w:p>
    <w:p w14:paraId="1E886547" w14:textId="1D6C23F3" w:rsidR="00717056" w:rsidRPr="00CA43F9" w:rsidRDefault="00000000" w:rsidP="008F1379">
      <w:pPr>
        <w:spacing w:line="360" w:lineRule="auto"/>
        <w:jc w:val="both"/>
        <w:rPr>
          <w:rFonts w:ascii="Arial" w:hAnsi="Arial" w:cs="Arial"/>
          <w:sz w:val="22"/>
          <w:szCs w:val="22"/>
        </w:rPr>
      </w:pPr>
      <w:r w:rsidRPr="00CA43F9">
        <w:rPr>
          <w:rFonts w:ascii="Arial" w:hAnsi="Arial" w:cs="Arial"/>
          <w:sz w:val="22"/>
          <w:szCs w:val="22"/>
        </w:rPr>
        <w:lastRenderedPageBreak/>
        <w:t xml:space="preserve">These strategies decrease the agitation and </w:t>
      </w:r>
      <w:r w:rsidR="008F1379" w:rsidRPr="00CA43F9">
        <w:rPr>
          <w:rFonts w:ascii="Arial" w:hAnsi="Arial" w:cs="Arial"/>
          <w:sz w:val="22"/>
          <w:szCs w:val="22"/>
        </w:rPr>
        <w:t>behavioural</w:t>
      </w:r>
      <w:r w:rsidRPr="00CA43F9">
        <w:rPr>
          <w:rFonts w:ascii="Arial" w:hAnsi="Arial" w:cs="Arial"/>
          <w:sz w:val="22"/>
          <w:szCs w:val="22"/>
        </w:rPr>
        <w:t xml:space="preserve"> distress by meeting the core emotional requirement. </w:t>
      </w:r>
    </w:p>
    <w:p w14:paraId="6833B53E" w14:textId="77777777" w:rsidR="004D046E"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The challenges include turnover of staff and pressure to get</w:t>
      </w:r>
      <w:r w:rsidRPr="00CA43F9">
        <w:rPr>
          <w:rFonts w:ascii="Arial" w:hAnsi="Arial" w:cs="Arial"/>
          <w:sz w:val="22"/>
          <w:szCs w:val="22"/>
          <w:lang w:val="en-IN"/>
        </w:rPr>
        <w:t> </w:t>
      </w:r>
      <w:r w:rsidRPr="00CA43F9">
        <w:rPr>
          <w:rFonts w:ascii="Arial" w:hAnsi="Arial" w:cs="Arial"/>
          <w:sz w:val="22"/>
          <w:szCs w:val="22"/>
          <w:lang w:val="en-IN"/>
        </w:rPr>
        <w:t xml:space="preserve"> work done. Barriers are a lack of training in attachment-informed care and the support offered</w:t>
      </w:r>
      <w:r w:rsidRPr="00CA43F9">
        <w:rPr>
          <w:rFonts w:ascii="Arial" w:hAnsi="Arial" w:cs="Arial"/>
          <w:sz w:val="22"/>
          <w:szCs w:val="22"/>
          <w:lang w:val="en-IN"/>
        </w:rPr>
        <w:t> </w:t>
      </w:r>
      <w:r w:rsidRPr="00CA43F9">
        <w:rPr>
          <w:rFonts w:ascii="Arial" w:hAnsi="Arial" w:cs="Arial"/>
          <w:sz w:val="22"/>
          <w:szCs w:val="22"/>
          <w:lang w:val="en-IN"/>
        </w:rPr>
        <w:t xml:space="preserve"> by the organisation.</w:t>
      </w:r>
    </w:p>
    <w:p w14:paraId="736E6D7A" w14:textId="38FCCF0C" w:rsidR="006237C3" w:rsidRPr="00CA43F9" w:rsidRDefault="00000000" w:rsidP="008F1379">
      <w:pPr>
        <w:pStyle w:val="Heading1"/>
        <w:spacing w:line="360" w:lineRule="auto"/>
        <w:jc w:val="both"/>
        <w:rPr>
          <w:rFonts w:ascii="Arial" w:hAnsi="Arial" w:cs="Arial"/>
          <w:sz w:val="22"/>
          <w:szCs w:val="22"/>
        </w:rPr>
      </w:pPr>
      <w:bookmarkStart w:id="9" w:name="_Toc216616885"/>
      <w:r w:rsidRPr="00CA43F9">
        <w:rPr>
          <w:rFonts w:ascii="Arial" w:hAnsi="Arial" w:cs="Arial"/>
          <w:sz w:val="22"/>
          <w:szCs w:val="22"/>
        </w:rPr>
        <w:t>6. Conclusion</w:t>
      </w:r>
      <w:bookmarkEnd w:id="9"/>
    </w:p>
    <w:p w14:paraId="44502B1A" w14:textId="0D1C454C" w:rsidR="008F1379" w:rsidRPr="00CA43F9" w:rsidRDefault="00000000" w:rsidP="008F1379">
      <w:pPr>
        <w:spacing w:line="360" w:lineRule="auto"/>
        <w:jc w:val="both"/>
        <w:rPr>
          <w:rFonts w:ascii="Arial" w:hAnsi="Arial" w:cs="Arial"/>
          <w:sz w:val="22"/>
          <w:szCs w:val="22"/>
          <w:lang w:val="en-IN"/>
        </w:rPr>
      </w:pPr>
      <w:r w:rsidRPr="00CA43F9">
        <w:rPr>
          <w:rFonts w:ascii="Arial" w:hAnsi="Arial" w:cs="Arial"/>
          <w:sz w:val="22"/>
          <w:szCs w:val="22"/>
          <w:lang w:val="en-IN"/>
        </w:rPr>
        <w:t>Psychological theories offer crucial resources for grasping and assisting the</w:t>
      </w:r>
      <w:r w:rsidRPr="00CA43F9">
        <w:rPr>
          <w:rFonts w:ascii="Arial" w:hAnsi="Arial" w:cs="Arial"/>
          <w:sz w:val="22"/>
          <w:szCs w:val="22"/>
          <w:lang w:val="en-IN"/>
        </w:rPr>
        <w:t> </w:t>
      </w:r>
      <w:r w:rsidRPr="00CA43F9">
        <w:rPr>
          <w:rFonts w:ascii="Arial" w:hAnsi="Arial" w:cs="Arial"/>
          <w:sz w:val="22"/>
          <w:szCs w:val="22"/>
          <w:lang w:val="en-IN"/>
        </w:rPr>
        <w:t xml:space="preserve"> elderly suffering from dementia. Erikson's Psychosocial Theory focuses on the impact of dignity, identity and meaning throughout old age</w:t>
      </w:r>
      <w:r w:rsidRPr="00CA43F9">
        <w:rPr>
          <w:rFonts w:ascii="Arial" w:hAnsi="Arial" w:cs="Arial"/>
          <w:sz w:val="22"/>
          <w:szCs w:val="22"/>
          <w:lang w:val="en-IN"/>
        </w:rPr>
        <w:t> </w:t>
      </w:r>
      <w:r w:rsidRPr="00CA43F9">
        <w:rPr>
          <w:rFonts w:ascii="Arial" w:hAnsi="Arial" w:cs="Arial"/>
          <w:sz w:val="22"/>
          <w:szCs w:val="22"/>
          <w:lang w:val="en-IN"/>
        </w:rPr>
        <w:t xml:space="preserve">, and Bowlby's Attachment Theory describes emotional dependency and distress in people experiencing </w:t>
      </w:r>
      <w:r w:rsidR="007244B3" w:rsidRPr="00CA43F9">
        <w:rPr>
          <w:rFonts w:ascii="Arial" w:hAnsi="Arial" w:cs="Arial"/>
          <w:sz w:val="22"/>
          <w:szCs w:val="22"/>
          <w:lang w:val="en-IN"/>
        </w:rPr>
        <w:t>age-specific</w:t>
      </w:r>
      <w:r w:rsidRPr="00CA43F9">
        <w:rPr>
          <w:rFonts w:ascii="Arial" w:hAnsi="Arial" w:cs="Arial"/>
          <w:sz w:val="22"/>
          <w:szCs w:val="22"/>
          <w:lang w:val="en-IN"/>
        </w:rPr>
        <w:t xml:space="preserve"> vulnerability</w:t>
      </w:r>
      <w:r w:rsidR="007646A7" w:rsidRPr="00CA43F9">
        <w:rPr>
          <w:rFonts w:ascii="Arial" w:hAnsi="Arial" w:cs="Arial"/>
          <w:sz w:val="22"/>
          <w:szCs w:val="22"/>
          <w:lang w:val="en-IN"/>
        </w:rPr>
        <w:t xml:space="preserve"> </w:t>
      </w:r>
      <w:r w:rsidR="007646A7" w:rsidRPr="00CA43F9">
        <w:rPr>
          <w:rFonts w:ascii="Arial" w:hAnsi="Arial" w:cs="Arial"/>
          <w:sz w:val="22"/>
          <w:szCs w:val="22"/>
        </w:rPr>
        <w:t>(Twohig, Lyne and McNicholas, 2024)</w:t>
      </w:r>
      <w:r w:rsidRPr="00CA43F9">
        <w:rPr>
          <w:rFonts w:ascii="Arial" w:hAnsi="Arial" w:cs="Arial"/>
          <w:sz w:val="22"/>
          <w:szCs w:val="22"/>
          <w:lang w:val="en-IN"/>
        </w:rPr>
        <w:t>. When considered alongside biological and</w:t>
      </w:r>
      <w:r w:rsidRPr="00CA43F9">
        <w:rPr>
          <w:rFonts w:ascii="Arial" w:hAnsi="Arial" w:cs="Arial"/>
          <w:sz w:val="22"/>
          <w:szCs w:val="22"/>
          <w:lang w:val="en-IN"/>
        </w:rPr>
        <w:t> </w:t>
      </w:r>
      <w:r w:rsidRPr="00CA43F9">
        <w:rPr>
          <w:rFonts w:ascii="Arial" w:hAnsi="Arial" w:cs="Arial"/>
          <w:sz w:val="22"/>
          <w:szCs w:val="22"/>
          <w:lang w:val="en-IN"/>
        </w:rPr>
        <w:t xml:space="preserve"> environmental contributors, it supports compassionate, effective person-centred care. By enabling health and social care professionals to use psychological theory, they are sufficiently more supported in their endeavours of attending to the complex</w:t>
      </w:r>
      <w:r w:rsidRPr="00CA43F9">
        <w:rPr>
          <w:rFonts w:ascii="Arial" w:hAnsi="Arial" w:cs="Arial"/>
          <w:sz w:val="22"/>
          <w:szCs w:val="22"/>
          <w:lang w:val="en-IN"/>
        </w:rPr>
        <w:t> </w:t>
      </w:r>
      <w:r w:rsidRPr="00CA43F9">
        <w:rPr>
          <w:rFonts w:ascii="Arial" w:hAnsi="Arial" w:cs="Arial"/>
          <w:sz w:val="22"/>
          <w:szCs w:val="22"/>
          <w:lang w:val="en-IN"/>
        </w:rPr>
        <w:t xml:space="preserve"> emotional and mental health needs of older people living in residential dementia care.</w:t>
      </w:r>
    </w:p>
    <w:p w14:paraId="14761524" w14:textId="77777777" w:rsidR="008F1379" w:rsidRDefault="00000000">
      <w:pPr>
        <w:rPr>
          <w:rFonts w:ascii="Times New Roman" w:hAnsi="Times New Roman" w:cs="Times New Roman"/>
          <w:lang w:val="en-IN"/>
        </w:rPr>
      </w:pPr>
      <w:r>
        <w:rPr>
          <w:rFonts w:ascii="Times New Roman" w:hAnsi="Times New Roman" w:cs="Times New Roman"/>
          <w:lang w:val="en-IN"/>
        </w:rPr>
        <w:br w:type="page"/>
      </w:r>
    </w:p>
    <w:p w14:paraId="7F61960B" w14:textId="1A226B33" w:rsidR="004D046E" w:rsidRPr="00EE671B" w:rsidRDefault="00000000" w:rsidP="002F69B9">
      <w:pPr>
        <w:pStyle w:val="Heading1"/>
        <w:spacing w:line="360" w:lineRule="auto"/>
        <w:jc w:val="both"/>
        <w:rPr>
          <w:rFonts w:ascii="Times New Roman" w:hAnsi="Times New Roman" w:cs="Times New Roman"/>
          <w:sz w:val="24"/>
          <w:szCs w:val="24"/>
          <w:lang w:val="en-IN"/>
        </w:rPr>
      </w:pPr>
      <w:bookmarkStart w:id="10" w:name="_Toc216616886"/>
      <w:r>
        <w:rPr>
          <w:rFonts w:ascii="Times New Roman" w:hAnsi="Times New Roman" w:cs="Times New Roman"/>
          <w:sz w:val="24"/>
          <w:szCs w:val="24"/>
          <w:lang w:val="en-IN"/>
        </w:rPr>
        <w:lastRenderedPageBreak/>
        <w:t xml:space="preserve">7. </w:t>
      </w:r>
      <w:r w:rsidR="008F1379" w:rsidRPr="00EE671B">
        <w:rPr>
          <w:rFonts w:ascii="Times New Roman" w:hAnsi="Times New Roman" w:cs="Times New Roman"/>
          <w:sz w:val="24"/>
          <w:szCs w:val="24"/>
          <w:lang w:val="en-IN"/>
        </w:rPr>
        <w:t>References</w:t>
      </w:r>
      <w:bookmarkEnd w:id="10"/>
    </w:p>
    <w:p w14:paraId="2A57644C" w14:textId="77777777" w:rsidR="00C407C4" w:rsidRPr="004D046E" w:rsidRDefault="00000000" w:rsidP="002F69B9">
      <w:pPr>
        <w:spacing w:line="360" w:lineRule="auto"/>
        <w:jc w:val="both"/>
        <w:rPr>
          <w:rFonts w:ascii="Times New Roman" w:hAnsi="Times New Roman" w:cs="Times New Roman"/>
          <w:lang w:val="en-IN"/>
        </w:rPr>
      </w:pPr>
      <w:r w:rsidRPr="00C407C4">
        <w:rPr>
          <w:rFonts w:ascii="Times New Roman" w:hAnsi="Times New Roman" w:cs="Times New Roman"/>
        </w:rPr>
        <w:t>Bremont, L. (2025). Tolkien and Attachment Theory: A Theory to Bind Them All?. </w:t>
      </w:r>
      <w:r w:rsidRPr="00C407C4">
        <w:rPr>
          <w:rFonts w:ascii="Times New Roman" w:hAnsi="Times New Roman" w:cs="Times New Roman"/>
          <w:i/>
          <w:iCs/>
        </w:rPr>
        <w:t>Journal of Tolkien Research</w:t>
      </w:r>
      <w:r w:rsidRPr="00C407C4">
        <w:rPr>
          <w:rFonts w:ascii="Times New Roman" w:hAnsi="Times New Roman" w:cs="Times New Roman"/>
        </w:rPr>
        <w:t>, </w:t>
      </w:r>
      <w:r w:rsidRPr="00C407C4">
        <w:rPr>
          <w:rFonts w:ascii="Times New Roman" w:hAnsi="Times New Roman" w:cs="Times New Roman"/>
          <w:i/>
          <w:iCs/>
        </w:rPr>
        <w:t>21</w:t>
      </w:r>
      <w:r w:rsidRPr="00C407C4">
        <w:rPr>
          <w:rFonts w:ascii="Times New Roman" w:hAnsi="Times New Roman" w:cs="Times New Roman"/>
        </w:rPr>
        <w:t>(2), 4.</w:t>
      </w:r>
    </w:p>
    <w:p w14:paraId="75AF85D5"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Fitzgerald, M. (2021). Criticism of Bowlby's theory of adaptedness. </w:t>
      </w:r>
      <w:r w:rsidRPr="00C407C4">
        <w:rPr>
          <w:rFonts w:ascii="Times New Roman" w:hAnsi="Times New Roman" w:cs="Times New Roman"/>
          <w:i/>
          <w:iCs/>
        </w:rPr>
        <w:t>The British Journal of Psychiatry</w:t>
      </w:r>
      <w:r w:rsidRPr="00C407C4">
        <w:rPr>
          <w:rFonts w:ascii="Times New Roman" w:hAnsi="Times New Roman" w:cs="Times New Roman"/>
        </w:rPr>
        <w:t>, </w:t>
      </w:r>
      <w:r w:rsidRPr="00C407C4">
        <w:rPr>
          <w:rFonts w:ascii="Times New Roman" w:hAnsi="Times New Roman" w:cs="Times New Roman"/>
          <w:i/>
          <w:iCs/>
        </w:rPr>
        <w:t>218</w:t>
      </w:r>
      <w:r w:rsidRPr="00C407C4">
        <w:rPr>
          <w:rFonts w:ascii="Times New Roman" w:hAnsi="Times New Roman" w:cs="Times New Roman"/>
        </w:rPr>
        <w:t>(2), 119-119.</w:t>
      </w:r>
    </w:p>
    <w:p w14:paraId="69AE2E7E"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Granqvist, P. (2021). Attachment, culture, and gene-culture co-evolution: expanding the evolutionary toolbox of attachment theory. </w:t>
      </w:r>
      <w:r w:rsidRPr="00C407C4">
        <w:rPr>
          <w:rFonts w:ascii="Times New Roman" w:hAnsi="Times New Roman" w:cs="Times New Roman"/>
          <w:i/>
          <w:iCs/>
        </w:rPr>
        <w:t>Attachment &amp; Human Development</w:t>
      </w:r>
      <w:r w:rsidRPr="00C407C4">
        <w:rPr>
          <w:rFonts w:ascii="Times New Roman" w:hAnsi="Times New Roman" w:cs="Times New Roman"/>
        </w:rPr>
        <w:t>, </w:t>
      </w:r>
      <w:r w:rsidRPr="00C407C4">
        <w:rPr>
          <w:rFonts w:ascii="Times New Roman" w:hAnsi="Times New Roman" w:cs="Times New Roman"/>
          <w:i/>
          <w:iCs/>
        </w:rPr>
        <w:t>23</w:t>
      </w:r>
      <w:r w:rsidRPr="00C407C4">
        <w:rPr>
          <w:rFonts w:ascii="Times New Roman" w:hAnsi="Times New Roman" w:cs="Times New Roman"/>
        </w:rPr>
        <w:t>(1), 90-113.</w:t>
      </w:r>
    </w:p>
    <w:p w14:paraId="5A3A8A30"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Khasawneh, M. A. S. (2021). The effectiveness of a training program based on Erikson’s theory in developing independence skills among students with learning disabilities in Jordan. </w:t>
      </w:r>
      <w:r w:rsidRPr="00C407C4">
        <w:rPr>
          <w:rFonts w:ascii="Times New Roman" w:hAnsi="Times New Roman" w:cs="Times New Roman"/>
          <w:i/>
          <w:iCs/>
        </w:rPr>
        <w:t>Science and Education</w:t>
      </w:r>
      <w:r w:rsidRPr="00C407C4">
        <w:rPr>
          <w:rFonts w:ascii="Times New Roman" w:hAnsi="Times New Roman" w:cs="Times New Roman"/>
        </w:rPr>
        <w:t>, </w:t>
      </w:r>
      <w:r w:rsidRPr="00C407C4">
        <w:rPr>
          <w:rFonts w:ascii="Times New Roman" w:hAnsi="Times New Roman" w:cs="Times New Roman"/>
          <w:i/>
          <w:iCs/>
        </w:rPr>
        <w:t>2</w:t>
      </w:r>
      <w:r w:rsidRPr="00C407C4">
        <w:rPr>
          <w:rFonts w:ascii="Times New Roman" w:hAnsi="Times New Roman" w:cs="Times New Roman"/>
        </w:rPr>
        <w:t>(8), 457-471.</w:t>
      </w:r>
    </w:p>
    <w:p w14:paraId="12D43B4B"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Khasawneh, M. A. S. K. (2021). The effectiveness of a training program based on Erikson's theory in developing initiation skills among students with learning disabilities in Jordan. </w:t>
      </w:r>
      <w:r w:rsidRPr="00C407C4">
        <w:rPr>
          <w:rFonts w:ascii="Times New Roman" w:hAnsi="Times New Roman" w:cs="Times New Roman"/>
          <w:i/>
          <w:iCs/>
        </w:rPr>
        <w:t>International Journal of Multidisciplinary Research and Growth Evaluation</w:t>
      </w:r>
      <w:r w:rsidRPr="00C407C4">
        <w:rPr>
          <w:rFonts w:ascii="Times New Roman" w:hAnsi="Times New Roman" w:cs="Times New Roman"/>
        </w:rPr>
        <w:t>, </w:t>
      </w:r>
      <w:r w:rsidRPr="00C407C4">
        <w:rPr>
          <w:rFonts w:ascii="Times New Roman" w:hAnsi="Times New Roman" w:cs="Times New Roman"/>
          <w:i/>
          <w:iCs/>
        </w:rPr>
        <w:t>2</w:t>
      </w:r>
      <w:r w:rsidRPr="00C407C4">
        <w:rPr>
          <w:rFonts w:ascii="Times New Roman" w:hAnsi="Times New Roman" w:cs="Times New Roman"/>
        </w:rPr>
        <w:t>(4).</w:t>
      </w:r>
    </w:p>
    <w:p w14:paraId="72F35647"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Orenstein, G. A., &amp; Lewis, L. (2022). Erikson's stages of psychosocial development. In </w:t>
      </w:r>
      <w:r w:rsidRPr="00C407C4">
        <w:rPr>
          <w:rFonts w:ascii="Times New Roman" w:hAnsi="Times New Roman" w:cs="Times New Roman"/>
          <w:i/>
          <w:iCs/>
        </w:rPr>
        <w:t>StatPearls [Internet]</w:t>
      </w:r>
      <w:r w:rsidRPr="00C407C4">
        <w:rPr>
          <w:rFonts w:ascii="Times New Roman" w:hAnsi="Times New Roman" w:cs="Times New Roman"/>
        </w:rPr>
        <w:t>. StatPearls Publishing.</w:t>
      </w:r>
    </w:p>
    <w:p w14:paraId="7C41DE2C"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Robledo, J. P., Cross, I., Boada-Bayona, L., &amp; Demogeot, N. (2022). Back to basics: A re-evaluation of the relevance of imprinting in the genesis of Bowlby’s attachment theory. </w:t>
      </w:r>
      <w:r w:rsidRPr="00C407C4">
        <w:rPr>
          <w:rFonts w:ascii="Times New Roman" w:hAnsi="Times New Roman" w:cs="Times New Roman"/>
          <w:i/>
          <w:iCs/>
        </w:rPr>
        <w:t>Frontiers in Psychology</w:t>
      </w:r>
      <w:r w:rsidRPr="00C407C4">
        <w:rPr>
          <w:rFonts w:ascii="Times New Roman" w:hAnsi="Times New Roman" w:cs="Times New Roman"/>
        </w:rPr>
        <w:t>, </w:t>
      </w:r>
      <w:r w:rsidRPr="00C407C4">
        <w:rPr>
          <w:rFonts w:ascii="Times New Roman" w:hAnsi="Times New Roman" w:cs="Times New Roman"/>
          <w:i/>
          <w:iCs/>
        </w:rPr>
        <w:t>13</w:t>
      </w:r>
      <w:r w:rsidRPr="00C407C4">
        <w:rPr>
          <w:rFonts w:ascii="Times New Roman" w:hAnsi="Times New Roman" w:cs="Times New Roman"/>
        </w:rPr>
        <w:t>, 1033746.</w:t>
      </w:r>
    </w:p>
    <w:p w14:paraId="05F52BE8"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Rorije, M., Damen, S., Janssen, M. J., &amp; Minnaert, A. (2023, October). Applying Erikson’s theory of psychosocial development to understand autonomy development in children and youths with deafblindness: a systematic literature review. In </w:t>
      </w:r>
      <w:r w:rsidRPr="00C407C4">
        <w:rPr>
          <w:rFonts w:ascii="Times New Roman" w:hAnsi="Times New Roman" w:cs="Times New Roman"/>
          <w:i/>
          <w:iCs/>
        </w:rPr>
        <w:t>Frontiers in Education</w:t>
      </w:r>
      <w:r w:rsidRPr="00C407C4">
        <w:rPr>
          <w:rFonts w:ascii="Times New Roman" w:hAnsi="Times New Roman" w:cs="Times New Roman"/>
        </w:rPr>
        <w:t> (Vol. 8, p. 1228905). Frontiers Media SA.</w:t>
      </w:r>
    </w:p>
    <w:p w14:paraId="29A228BE"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Samsanovich, A. (2021). Theory and diversity: A descriptive study of Erikson’s psychosocial development stages.</w:t>
      </w:r>
    </w:p>
    <w:p w14:paraId="4D01C31C"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Sekowski, M. (2022). Attitude toward death from the perspective of Erik Erikson’s theory of psychosocial ego development: An unused potential. </w:t>
      </w:r>
      <w:r w:rsidRPr="00C407C4">
        <w:rPr>
          <w:rFonts w:ascii="Times New Roman" w:hAnsi="Times New Roman" w:cs="Times New Roman"/>
          <w:i/>
          <w:iCs/>
        </w:rPr>
        <w:t>OMEGA-Journal of Death and Dying</w:t>
      </w:r>
      <w:r w:rsidRPr="00C407C4">
        <w:rPr>
          <w:rFonts w:ascii="Times New Roman" w:hAnsi="Times New Roman" w:cs="Times New Roman"/>
        </w:rPr>
        <w:t>, </w:t>
      </w:r>
      <w:r w:rsidRPr="00C407C4">
        <w:rPr>
          <w:rFonts w:ascii="Times New Roman" w:hAnsi="Times New Roman" w:cs="Times New Roman"/>
          <w:i/>
          <w:iCs/>
        </w:rPr>
        <w:t>84</w:t>
      </w:r>
      <w:r w:rsidRPr="00C407C4">
        <w:rPr>
          <w:rFonts w:ascii="Times New Roman" w:hAnsi="Times New Roman" w:cs="Times New Roman"/>
        </w:rPr>
        <w:t>(3), 935-957.</w:t>
      </w:r>
    </w:p>
    <w:p w14:paraId="57A6EAF4"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lastRenderedPageBreak/>
        <w:t>Sosteric, M., &amp; Ratkovic, G. (2022). Theoretical research: It takes a village: Advancing attachment theory and recovering the roots of human health with the circle of seven essential needs. </w:t>
      </w:r>
      <w:r w:rsidRPr="00C407C4">
        <w:rPr>
          <w:rFonts w:ascii="Times New Roman" w:hAnsi="Times New Roman" w:cs="Times New Roman"/>
          <w:i/>
          <w:iCs/>
        </w:rPr>
        <w:t>Aotearoa New Zealand Social Work</w:t>
      </w:r>
      <w:r w:rsidRPr="00C407C4">
        <w:rPr>
          <w:rFonts w:ascii="Times New Roman" w:hAnsi="Times New Roman" w:cs="Times New Roman"/>
        </w:rPr>
        <w:t>, </w:t>
      </w:r>
      <w:r w:rsidRPr="00C407C4">
        <w:rPr>
          <w:rFonts w:ascii="Times New Roman" w:hAnsi="Times New Roman" w:cs="Times New Roman"/>
          <w:i/>
          <w:iCs/>
        </w:rPr>
        <w:t>34</w:t>
      </w:r>
      <w:r w:rsidRPr="00C407C4">
        <w:rPr>
          <w:rFonts w:ascii="Times New Roman" w:hAnsi="Times New Roman" w:cs="Times New Roman"/>
        </w:rPr>
        <w:t>(1), 113-127.</w:t>
      </w:r>
    </w:p>
    <w:p w14:paraId="39906E0E"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Stroebe, M. (2021). The study of security and separation: An unexpected forerunner of attachment theory?. </w:t>
      </w:r>
      <w:r w:rsidRPr="00C407C4">
        <w:rPr>
          <w:rFonts w:ascii="Times New Roman" w:hAnsi="Times New Roman" w:cs="Times New Roman"/>
          <w:i/>
          <w:iCs/>
        </w:rPr>
        <w:t>OMEGA-Journal of Death and Dying</w:t>
      </w:r>
      <w:r w:rsidRPr="00C407C4">
        <w:rPr>
          <w:rFonts w:ascii="Times New Roman" w:hAnsi="Times New Roman" w:cs="Times New Roman"/>
        </w:rPr>
        <w:t>, </w:t>
      </w:r>
      <w:r w:rsidRPr="00C407C4">
        <w:rPr>
          <w:rFonts w:ascii="Times New Roman" w:hAnsi="Times New Roman" w:cs="Times New Roman"/>
          <w:i/>
          <w:iCs/>
        </w:rPr>
        <w:t>84</w:t>
      </w:r>
      <w:r w:rsidRPr="00C407C4">
        <w:rPr>
          <w:rFonts w:ascii="Times New Roman" w:hAnsi="Times New Roman" w:cs="Times New Roman"/>
        </w:rPr>
        <w:t>(1), 146-156.</w:t>
      </w:r>
    </w:p>
    <w:p w14:paraId="74DAD9A3"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Sun, X., &amp; Sun, T. (2021, October). Research on lifelong education based on Erikson’s psychosocial development theory. In </w:t>
      </w:r>
      <w:r w:rsidRPr="00C407C4">
        <w:rPr>
          <w:rFonts w:ascii="Times New Roman" w:hAnsi="Times New Roman" w:cs="Times New Roman"/>
          <w:i/>
          <w:iCs/>
        </w:rPr>
        <w:t>2021, the 6th International Conference on Modern Management and Education Technology (MMET 2021)</w:t>
      </w:r>
      <w:r w:rsidRPr="00C407C4">
        <w:rPr>
          <w:rFonts w:ascii="Times New Roman" w:hAnsi="Times New Roman" w:cs="Times New Roman"/>
        </w:rPr>
        <w:t> (pp. 267-270). Atlantis Press.</w:t>
      </w:r>
    </w:p>
    <w:p w14:paraId="0ADC3828"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Thompson, R. A., Simpson, J. A., &amp; Berlin, L. J. (2022). Taking perspective on attachment theory and research: Nine fundamental questions. </w:t>
      </w:r>
      <w:r w:rsidRPr="00C407C4">
        <w:rPr>
          <w:rFonts w:ascii="Times New Roman" w:hAnsi="Times New Roman" w:cs="Times New Roman"/>
          <w:i/>
          <w:iCs/>
        </w:rPr>
        <w:t>Attachment &amp; human development</w:t>
      </w:r>
      <w:r w:rsidRPr="00C407C4">
        <w:rPr>
          <w:rFonts w:ascii="Times New Roman" w:hAnsi="Times New Roman" w:cs="Times New Roman"/>
        </w:rPr>
        <w:t>, </w:t>
      </w:r>
      <w:r w:rsidRPr="00C407C4">
        <w:rPr>
          <w:rFonts w:ascii="Times New Roman" w:hAnsi="Times New Roman" w:cs="Times New Roman"/>
          <w:i/>
          <w:iCs/>
        </w:rPr>
        <w:t>24</w:t>
      </w:r>
      <w:r w:rsidRPr="00C407C4">
        <w:rPr>
          <w:rFonts w:ascii="Times New Roman" w:hAnsi="Times New Roman" w:cs="Times New Roman"/>
        </w:rPr>
        <w:t>(5), 543-560.</w:t>
      </w:r>
    </w:p>
    <w:p w14:paraId="3D630669" w14:textId="77777777" w:rsidR="00C407C4" w:rsidRPr="00C407C4" w:rsidRDefault="00000000" w:rsidP="002F69B9">
      <w:pPr>
        <w:spacing w:line="360" w:lineRule="auto"/>
        <w:jc w:val="both"/>
        <w:rPr>
          <w:rFonts w:ascii="Times New Roman" w:hAnsi="Times New Roman" w:cs="Times New Roman"/>
        </w:rPr>
      </w:pPr>
      <w:r w:rsidRPr="00C407C4">
        <w:rPr>
          <w:rFonts w:ascii="Times New Roman" w:hAnsi="Times New Roman" w:cs="Times New Roman"/>
        </w:rPr>
        <w:t>Twohig, A., Lyne, J., &amp; McNicholas, F. (2024). Attachment theory: survival, trauma, and war through the eyes of Bowlby. </w:t>
      </w:r>
      <w:r w:rsidRPr="00C407C4">
        <w:rPr>
          <w:rFonts w:ascii="Times New Roman" w:hAnsi="Times New Roman" w:cs="Times New Roman"/>
          <w:i/>
          <w:iCs/>
        </w:rPr>
        <w:t>Irish journal of psychological medicine</w:t>
      </w:r>
      <w:r w:rsidRPr="00C407C4">
        <w:rPr>
          <w:rFonts w:ascii="Times New Roman" w:hAnsi="Times New Roman" w:cs="Times New Roman"/>
        </w:rPr>
        <w:t>, </w:t>
      </w:r>
      <w:r w:rsidRPr="00C407C4">
        <w:rPr>
          <w:rFonts w:ascii="Times New Roman" w:hAnsi="Times New Roman" w:cs="Times New Roman"/>
          <w:i/>
          <w:iCs/>
        </w:rPr>
        <w:t>41</w:t>
      </w:r>
      <w:r w:rsidRPr="00C407C4">
        <w:rPr>
          <w:rFonts w:ascii="Times New Roman" w:hAnsi="Times New Roman" w:cs="Times New Roman"/>
        </w:rPr>
        <w:t>(3), 273-275.</w:t>
      </w:r>
    </w:p>
    <w:p w14:paraId="2F6D57F4" w14:textId="59795083" w:rsidR="00DC7B5D" w:rsidRPr="004D046E" w:rsidRDefault="00000000" w:rsidP="002F69B9">
      <w:pPr>
        <w:spacing w:line="360" w:lineRule="auto"/>
        <w:jc w:val="both"/>
      </w:pPr>
      <w:r w:rsidRPr="00C407C4">
        <w:rPr>
          <w:rFonts w:ascii="Times New Roman" w:hAnsi="Times New Roman" w:cs="Times New Roman"/>
        </w:rPr>
        <w:t xml:space="preserve">Van der Horst, F. C., van Rosmalen, L., &amp; van der Veer, R. (2025). The American contribution to attachment theory: John Bowlby's WHO trip to the USA in 1950 and the development of his ideas on separation and attachment. </w:t>
      </w:r>
      <w:r w:rsidRPr="00C407C4">
        <w:rPr>
          <w:rFonts w:ascii="Times New Roman" w:hAnsi="Times New Roman" w:cs="Times New Roman"/>
          <w:i/>
          <w:iCs/>
        </w:rPr>
        <w:t>Attachment &amp; Human Development</w:t>
      </w:r>
      <w:r w:rsidRPr="00C407C4">
        <w:rPr>
          <w:rFonts w:ascii="Times New Roman" w:hAnsi="Times New Roman" w:cs="Times New Roman"/>
        </w:rPr>
        <w:t>, </w:t>
      </w:r>
      <w:r w:rsidRPr="00C407C4">
        <w:rPr>
          <w:rFonts w:ascii="Times New Roman" w:hAnsi="Times New Roman" w:cs="Times New Roman"/>
          <w:i/>
          <w:iCs/>
        </w:rPr>
        <w:t>27</w:t>
      </w:r>
      <w:r w:rsidRPr="00C407C4">
        <w:rPr>
          <w:rFonts w:ascii="Times New Roman" w:hAnsi="Times New Roman" w:cs="Times New Roman"/>
        </w:rPr>
        <w:t>(5), 662-683.</w:t>
      </w:r>
    </w:p>
    <w:sectPr w:rsidR="00DC7B5D" w:rsidRPr="004D046E" w:rsidSect="00E0410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468F4"/>
    <w:multiLevelType w:val="hybridMultilevel"/>
    <w:tmpl w:val="70E8FACE"/>
    <w:lvl w:ilvl="0" w:tplc="7C48356C">
      <w:start w:val="1"/>
      <w:numFmt w:val="bullet"/>
      <w:lvlText w:val=""/>
      <w:lvlJc w:val="left"/>
      <w:pPr>
        <w:ind w:left="720" w:hanging="360"/>
      </w:pPr>
      <w:rPr>
        <w:rFonts w:ascii="Symbol" w:hAnsi="Symbol" w:hint="default"/>
      </w:rPr>
    </w:lvl>
    <w:lvl w:ilvl="1" w:tplc="F044EEA8" w:tentative="1">
      <w:start w:val="1"/>
      <w:numFmt w:val="bullet"/>
      <w:lvlText w:val="o"/>
      <w:lvlJc w:val="left"/>
      <w:pPr>
        <w:ind w:left="1440" w:hanging="360"/>
      </w:pPr>
      <w:rPr>
        <w:rFonts w:ascii="Courier New" w:hAnsi="Courier New" w:cs="Courier New" w:hint="default"/>
      </w:rPr>
    </w:lvl>
    <w:lvl w:ilvl="2" w:tplc="5914E3EE" w:tentative="1">
      <w:start w:val="1"/>
      <w:numFmt w:val="bullet"/>
      <w:lvlText w:val=""/>
      <w:lvlJc w:val="left"/>
      <w:pPr>
        <w:ind w:left="2160" w:hanging="360"/>
      </w:pPr>
      <w:rPr>
        <w:rFonts w:ascii="Wingdings" w:hAnsi="Wingdings" w:hint="default"/>
      </w:rPr>
    </w:lvl>
    <w:lvl w:ilvl="3" w:tplc="DBBE90E6" w:tentative="1">
      <w:start w:val="1"/>
      <w:numFmt w:val="bullet"/>
      <w:lvlText w:val=""/>
      <w:lvlJc w:val="left"/>
      <w:pPr>
        <w:ind w:left="2880" w:hanging="360"/>
      </w:pPr>
      <w:rPr>
        <w:rFonts w:ascii="Symbol" w:hAnsi="Symbol" w:hint="default"/>
      </w:rPr>
    </w:lvl>
    <w:lvl w:ilvl="4" w:tplc="71927764" w:tentative="1">
      <w:start w:val="1"/>
      <w:numFmt w:val="bullet"/>
      <w:lvlText w:val="o"/>
      <w:lvlJc w:val="left"/>
      <w:pPr>
        <w:ind w:left="3600" w:hanging="360"/>
      </w:pPr>
      <w:rPr>
        <w:rFonts w:ascii="Courier New" w:hAnsi="Courier New" w:cs="Courier New" w:hint="default"/>
      </w:rPr>
    </w:lvl>
    <w:lvl w:ilvl="5" w:tplc="9F1A4B0C" w:tentative="1">
      <w:start w:val="1"/>
      <w:numFmt w:val="bullet"/>
      <w:lvlText w:val=""/>
      <w:lvlJc w:val="left"/>
      <w:pPr>
        <w:ind w:left="4320" w:hanging="360"/>
      </w:pPr>
      <w:rPr>
        <w:rFonts w:ascii="Wingdings" w:hAnsi="Wingdings" w:hint="default"/>
      </w:rPr>
    </w:lvl>
    <w:lvl w:ilvl="6" w:tplc="6B2E40E0" w:tentative="1">
      <w:start w:val="1"/>
      <w:numFmt w:val="bullet"/>
      <w:lvlText w:val=""/>
      <w:lvlJc w:val="left"/>
      <w:pPr>
        <w:ind w:left="5040" w:hanging="360"/>
      </w:pPr>
      <w:rPr>
        <w:rFonts w:ascii="Symbol" w:hAnsi="Symbol" w:hint="default"/>
      </w:rPr>
    </w:lvl>
    <w:lvl w:ilvl="7" w:tplc="637A9CEA" w:tentative="1">
      <w:start w:val="1"/>
      <w:numFmt w:val="bullet"/>
      <w:lvlText w:val="o"/>
      <w:lvlJc w:val="left"/>
      <w:pPr>
        <w:ind w:left="5760" w:hanging="360"/>
      </w:pPr>
      <w:rPr>
        <w:rFonts w:ascii="Courier New" w:hAnsi="Courier New" w:cs="Courier New" w:hint="default"/>
      </w:rPr>
    </w:lvl>
    <w:lvl w:ilvl="8" w:tplc="4B9ADCBA" w:tentative="1">
      <w:start w:val="1"/>
      <w:numFmt w:val="bullet"/>
      <w:lvlText w:val=""/>
      <w:lvlJc w:val="left"/>
      <w:pPr>
        <w:ind w:left="6480" w:hanging="360"/>
      </w:pPr>
      <w:rPr>
        <w:rFonts w:ascii="Wingdings" w:hAnsi="Wingdings" w:hint="default"/>
      </w:rPr>
    </w:lvl>
  </w:abstractNum>
  <w:abstractNum w:abstractNumId="1" w15:restartNumberingAfterBreak="0">
    <w:nsid w:val="3F7C2885"/>
    <w:multiLevelType w:val="hybridMultilevel"/>
    <w:tmpl w:val="4BB85166"/>
    <w:lvl w:ilvl="0" w:tplc="A20AF5B2">
      <w:start w:val="1"/>
      <w:numFmt w:val="bullet"/>
      <w:lvlText w:val=""/>
      <w:lvlJc w:val="left"/>
      <w:pPr>
        <w:ind w:left="720" w:hanging="360"/>
      </w:pPr>
      <w:rPr>
        <w:rFonts w:ascii="Symbol" w:hAnsi="Symbol" w:hint="default"/>
      </w:rPr>
    </w:lvl>
    <w:lvl w:ilvl="1" w:tplc="71FE8C64" w:tentative="1">
      <w:start w:val="1"/>
      <w:numFmt w:val="bullet"/>
      <w:lvlText w:val="o"/>
      <w:lvlJc w:val="left"/>
      <w:pPr>
        <w:ind w:left="1440" w:hanging="360"/>
      </w:pPr>
      <w:rPr>
        <w:rFonts w:ascii="Courier New" w:hAnsi="Courier New" w:cs="Courier New" w:hint="default"/>
      </w:rPr>
    </w:lvl>
    <w:lvl w:ilvl="2" w:tplc="74E63114" w:tentative="1">
      <w:start w:val="1"/>
      <w:numFmt w:val="bullet"/>
      <w:lvlText w:val=""/>
      <w:lvlJc w:val="left"/>
      <w:pPr>
        <w:ind w:left="2160" w:hanging="360"/>
      </w:pPr>
      <w:rPr>
        <w:rFonts w:ascii="Wingdings" w:hAnsi="Wingdings" w:hint="default"/>
      </w:rPr>
    </w:lvl>
    <w:lvl w:ilvl="3" w:tplc="5D66A8AE" w:tentative="1">
      <w:start w:val="1"/>
      <w:numFmt w:val="bullet"/>
      <w:lvlText w:val=""/>
      <w:lvlJc w:val="left"/>
      <w:pPr>
        <w:ind w:left="2880" w:hanging="360"/>
      </w:pPr>
      <w:rPr>
        <w:rFonts w:ascii="Symbol" w:hAnsi="Symbol" w:hint="default"/>
      </w:rPr>
    </w:lvl>
    <w:lvl w:ilvl="4" w:tplc="8C4E2B0C" w:tentative="1">
      <w:start w:val="1"/>
      <w:numFmt w:val="bullet"/>
      <w:lvlText w:val="o"/>
      <w:lvlJc w:val="left"/>
      <w:pPr>
        <w:ind w:left="3600" w:hanging="360"/>
      </w:pPr>
      <w:rPr>
        <w:rFonts w:ascii="Courier New" w:hAnsi="Courier New" w:cs="Courier New" w:hint="default"/>
      </w:rPr>
    </w:lvl>
    <w:lvl w:ilvl="5" w:tplc="D2DCBEEC" w:tentative="1">
      <w:start w:val="1"/>
      <w:numFmt w:val="bullet"/>
      <w:lvlText w:val=""/>
      <w:lvlJc w:val="left"/>
      <w:pPr>
        <w:ind w:left="4320" w:hanging="360"/>
      </w:pPr>
      <w:rPr>
        <w:rFonts w:ascii="Wingdings" w:hAnsi="Wingdings" w:hint="default"/>
      </w:rPr>
    </w:lvl>
    <w:lvl w:ilvl="6" w:tplc="1A4C3718" w:tentative="1">
      <w:start w:val="1"/>
      <w:numFmt w:val="bullet"/>
      <w:lvlText w:val=""/>
      <w:lvlJc w:val="left"/>
      <w:pPr>
        <w:ind w:left="5040" w:hanging="360"/>
      </w:pPr>
      <w:rPr>
        <w:rFonts w:ascii="Symbol" w:hAnsi="Symbol" w:hint="default"/>
      </w:rPr>
    </w:lvl>
    <w:lvl w:ilvl="7" w:tplc="144E4FAA" w:tentative="1">
      <w:start w:val="1"/>
      <w:numFmt w:val="bullet"/>
      <w:lvlText w:val="o"/>
      <w:lvlJc w:val="left"/>
      <w:pPr>
        <w:ind w:left="5760" w:hanging="360"/>
      </w:pPr>
      <w:rPr>
        <w:rFonts w:ascii="Courier New" w:hAnsi="Courier New" w:cs="Courier New" w:hint="default"/>
      </w:rPr>
    </w:lvl>
    <w:lvl w:ilvl="8" w:tplc="9D3EBDEC" w:tentative="1">
      <w:start w:val="1"/>
      <w:numFmt w:val="bullet"/>
      <w:lvlText w:val=""/>
      <w:lvlJc w:val="left"/>
      <w:pPr>
        <w:ind w:left="6480" w:hanging="360"/>
      </w:pPr>
      <w:rPr>
        <w:rFonts w:ascii="Wingdings" w:hAnsi="Wingdings" w:hint="default"/>
      </w:rPr>
    </w:lvl>
  </w:abstractNum>
  <w:num w:numId="1" w16cid:durableId="853765324">
    <w:abstractNumId w:val="0"/>
  </w:num>
  <w:num w:numId="2" w16cid:durableId="603928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7C3"/>
    <w:rsid w:val="00000A33"/>
    <w:rsid w:val="0004482D"/>
    <w:rsid w:val="00046019"/>
    <w:rsid w:val="00060D30"/>
    <w:rsid w:val="000829CC"/>
    <w:rsid w:val="001300A5"/>
    <w:rsid w:val="001756F3"/>
    <w:rsid w:val="0018091D"/>
    <w:rsid w:val="001B7C63"/>
    <w:rsid w:val="001E68F5"/>
    <w:rsid w:val="002441D8"/>
    <w:rsid w:val="002B572C"/>
    <w:rsid w:val="002E3222"/>
    <w:rsid w:val="002F69B9"/>
    <w:rsid w:val="00337B90"/>
    <w:rsid w:val="00344709"/>
    <w:rsid w:val="0045093D"/>
    <w:rsid w:val="00466713"/>
    <w:rsid w:val="004B59BC"/>
    <w:rsid w:val="004B7B06"/>
    <w:rsid w:val="004D046E"/>
    <w:rsid w:val="004F2287"/>
    <w:rsid w:val="00504BEB"/>
    <w:rsid w:val="005F59F3"/>
    <w:rsid w:val="00607739"/>
    <w:rsid w:val="00615A6A"/>
    <w:rsid w:val="006237C3"/>
    <w:rsid w:val="0066109C"/>
    <w:rsid w:val="0067041E"/>
    <w:rsid w:val="00717056"/>
    <w:rsid w:val="007244B3"/>
    <w:rsid w:val="007646A7"/>
    <w:rsid w:val="007840F2"/>
    <w:rsid w:val="007B76A0"/>
    <w:rsid w:val="00853811"/>
    <w:rsid w:val="00863BD5"/>
    <w:rsid w:val="008B0F3D"/>
    <w:rsid w:val="008B3A1A"/>
    <w:rsid w:val="008F1379"/>
    <w:rsid w:val="0095220F"/>
    <w:rsid w:val="009618B5"/>
    <w:rsid w:val="00967893"/>
    <w:rsid w:val="00972DEF"/>
    <w:rsid w:val="00B30B3E"/>
    <w:rsid w:val="00C02294"/>
    <w:rsid w:val="00C407C4"/>
    <w:rsid w:val="00C53D88"/>
    <w:rsid w:val="00C75C76"/>
    <w:rsid w:val="00C91238"/>
    <w:rsid w:val="00CA43F9"/>
    <w:rsid w:val="00CB44E4"/>
    <w:rsid w:val="00CB4F9E"/>
    <w:rsid w:val="00DC7B5D"/>
    <w:rsid w:val="00DF1ABC"/>
    <w:rsid w:val="00E04108"/>
    <w:rsid w:val="00E34881"/>
    <w:rsid w:val="00E43654"/>
    <w:rsid w:val="00E81D92"/>
    <w:rsid w:val="00EC68A2"/>
    <w:rsid w:val="00EE671B"/>
    <w:rsid w:val="00EF0656"/>
    <w:rsid w:val="00F70A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890D102"/>
  <w15:chartTrackingRefBased/>
  <w15:docId w15:val="{3BF269A6-50F7-424C-9874-8B858AA81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23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3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3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7C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6237C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6237C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6237C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237C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237C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237C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237C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237C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23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7C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23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7C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237C3"/>
    <w:pPr>
      <w:spacing w:before="160"/>
      <w:jc w:val="center"/>
    </w:pPr>
    <w:rPr>
      <w:i/>
      <w:iCs/>
      <w:color w:val="404040" w:themeColor="text1" w:themeTint="BF"/>
    </w:rPr>
  </w:style>
  <w:style w:type="character" w:customStyle="1" w:styleId="QuoteChar">
    <w:name w:val="Quote Char"/>
    <w:basedOn w:val="DefaultParagraphFont"/>
    <w:link w:val="Quote"/>
    <w:uiPriority w:val="29"/>
    <w:rsid w:val="006237C3"/>
    <w:rPr>
      <w:i/>
      <w:iCs/>
      <w:color w:val="404040" w:themeColor="text1" w:themeTint="BF"/>
      <w:lang w:val="en-GB"/>
    </w:rPr>
  </w:style>
  <w:style w:type="paragraph" w:styleId="ListParagraph">
    <w:name w:val="List Paragraph"/>
    <w:basedOn w:val="Normal"/>
    <w:uiPriority w:val="34"/>
    <w:qFormat/>
    <w:rsid w:val="006237C3"/>
    <w:pPr>
      <w:ind w:left="720"/>
      <w:contextualSpacing/>
    </w:pPr>
  </w:style>
  <w:style w:type="character" w:styleId="IntenseEmphasis">
    <w:name w:val="Intense Emphasis"/>
    <w:basedOn w:val="DefaultParagraphFont"/>
    <w:uiPriority w:val="21"/>
    <w:qFormat/>
    <w:rsid w:val="006237C3"/>
    <w:rPr>
      <w:i/>
      <w:iCs/>
      <w:color w:val="0F4761" w:themeColor="accent1" w:themeShade="BF"/>
    </w:rPr>
  </w:style>
  <w:style w:type="paragraph" w:styleId="IntenseQuote">
    <w:name w:val="Intense Quote"/>
    <w:basedOn w:val="Normal"/>
    <w:next w:val="Normal"/>
    <w:link w:val="IntenseQuoteChar"/>
    <w:uiPriority w:val="30"/>
    <w:qFormat/>
    <w:rsid w:val="00623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7C3"/>
    <w:rPr>
      <w:i/>
      <w:iCs/>
      <w:color w:val="0F4761" w:themeColor="accent1" w:themeShade="BF"/>
      <w:lang w:val="en-GB"/>
    </w:rPr>
  </w:style>
  <w:style w:type="character" w:styleId="IntenseReference">
    <w:name w:val="Intense Reference"/>
    <w:basedOn w:val="DefaultParagraphFont"/>
    <w:uiPriority w:val="32"/>
    <w:qFormat/>
    <w:rsid w:val="006237C3"/>
    <w:rPr>
      <w:b/>
      <w:bCs/>
      <w:smallCaps/>
      <w:color w:val="0F4761" w:themeColor="accent1" w:themeShade="BF"/>
      <w:spacing w:val="5"/>
    </w:rPr>
  </w:style>
  <w:style w:type="paragraph" w:styleId="TOCHeading">
    <w:name w:val="TOC Heading"/>
    <w:basedOn w:val="Heading1"/>
    <w:next w:val="Normal"/>
    <w:uiPriority w:val="39"/>
    <w:unhideWhenUsed/>
    <w:qFormat/>
    <w:rsid w:val="00F70A3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70A34"/>
    <w:pPr>
      <w:spacing w:after="100"/>
    </w:pPr>
  </w:style>
  <w:style w:type="paragraph" w:styleId="TOC2">
    <w:name w:val="toc 2"/>
    <w:basedOn w:val="Normal"/>
    <w:next w:val="Normal"/>
    <w:autoRedefine/>
    <w:uiPriority w:val="39"/>
    <w:unhideWhenUsed/>
    <w:rsid w:val="00F70A34"/>
    <w:pPr>
      <w:spacing w:after="100"/>
      <w:ind w:left="240"/>
    </w:pPr>
  </w:style>
  <w:style w:type="character" w:styleId="Hyperlink">
    <w:name w:val="Hyperlink"/>
    <w:basedOn w:val="DefaultParagraphFont"/>
    <w:uiPriority w:val="99"/>
    <w:unhideWhenUsed/>
    <w:rsid w:val="00F70A3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2657A-E1D9-4725-992E-5FDE03911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2252</Words>
  <Characters>12842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Nishith Singh</dc:creator>
  <cp:lastModifiedBy>jkadesanya@hotmail.com</cp:lastModifiedBy>
  <cp:revision>2</cp:revision>
  <dcterms:created xsi:type="dcterms:W3CDTF">2025-12-18T22:22:00Z</dcterms:created>
  <dcterms:modified xsi:type="dcterms:W3CDTF">2025-12-18T22:22:00Z</dcterms:modified>
</cp:coreProperties>
</file>