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255C3" w14:textId="77777777" w:rsidR="002A6B50" w:rsidRPr="0044793F" w:rsidRDefault="002A6B50" w:rsidP="002A6B50">
      <w:pPr>
        <w:rPr>
          <w:rFonts w:ascii="Arial" w:hAnsi="Arial" w:cs="Arial"/>
        </w:rPr>
      </w:pPr>
      <w:r w:rsidRPr="0044793F">
        <w:rPr>
          <w:rFonts w:ascii="Arial" w:hAnsi="Arial" w:cs="Arial"/>
          <w:noProof/>
          <w:color w:val="000000"/>
          <w:sz w:val="22"/>
          <w:szCs w:val="22"/>
        </w:rPr>
        <w:drawing>
          <wp:anchor distT="0" distB="0" distL="114300" distR="114300" simplePos="0" relativeHeight="251659264" behindDoc="1" locked="0" layoutInCell="1" allowOverlap="1" wp14:anchorId="12959E3D" wp14:editId="5112E928">
            <wp:simplePos x="0" y="0"/>
            <wp:positionH relativeFrom="margin">
              <wp:align>center</wp:align>
            </wp:positionH>
            <wp:positionV relativeFrom="paragraph">
              <wp:posOffset>184150</wp:posOffset>
            </wp:positionV>
            <wp:extent cx="3898900" cy="1472565"/>
            <wp:effectExtent l="0" t="0" r="6350" b="0"/>
            <wp:wrapTight wrapText="bothSides">
              <wp:wrapPolygon edited="0">
                <wp:start x="0" y="0"/>
                <wp:lineTo x="0" y="21237"/>
                <wp:lineTo x="21530" y="21237"/>
                <wp:lineTo x="21530" y="0"/>
                <wp:lineTo x="0" y="0"/>
              </wp:wrapPolygon>
            </wp:wrapTight>
            <wp:docPr id="1264688951"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ogo with text on i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98900" cy="1472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34180F" w14:textId="77777777" w:rsidR="002A6B50" w:rsidRPr="0044793F" w:rsidRDefault="002A6B50" w:rsidP="002A6B50">
      <w:pPr>
        <w:rPr>
          <w:rFonts w:ascii="Arial" w:hAnsi="Arial" w:cs="Arial"/>
        </w:rPr>
      </w:pPr>
    </w:p>
    <w:p w14:paraId="06A76693" w14:textId="77777777" w:rsidR="002A6B50" w:rsidRPr="0044793F" w:rsidRDefault="002A6B50" w:rsidP="002A6B50">
      <w:pPr>
        <w:rPr>
          <w:rFonts w:ascii="Arial" w:hAnsi="Arial" w:cs="Arial"/>
        </w:rPr>
      </w:pPr>
    </w:p>
    <w:p w14:paraId="066D6533" w14:textId="77777777" w:rsidR="002A6B50" w:rsidRPr="0044793F" w:rsidRDefault="002A6B50" w:rsidP="002A6B50">
      <w:pPr>
        <w:rPr>
          <w:rFonts w:ascii="Arial" w:hAnsi="Arial" w:cs="Arial"/>
        </w:rPr>
      </w:pPr>
    </w:p>
    <w:p w14:paraId="236600F9" w14:textId="77777777" w:rsidR="002A6B50" w:rsidRPr="0044793F" w:rsidRDefault="002A6B50" w:rsidP="002A6B50">
      <w:pPr>
        <w:rPr>
          <w:rFonts w:ascii="Arial" w:hAnsi="Arial" w:cs="Arial"/>
        </w:rPr>
      </w:pPr>
    </w:p>
    <w:p w14:paraId="05C92CA0" w14:textId="77777777" w:rsidR="002A6B50" w:rsidRPr="0044793F" w:rsidRDefault="002A6B50" w:rsidP="002A6B50">
      <w:pPr>
        <w:rPr>
          <w:rFonts w:ascii="Arial" w:hAnsi="Arial" w:cs="Arial"/>
        </w:rPr>
      </w:pPr>
    </w:p>
    <w:p w14:paraId="4BEDBDA1" w14:textId="77777777" w:rsidR="002A6B50" w:rsidRPr="0044793F" w:rsidRDefault="002A6B50" w:rsidP="002A6B50">
      <w:pPr>
        <w:rPr>
          <w:rFonts w:ascii="Arial" w:hAnsi="Arial" w:cs="Arial"/>
        </w:rPr>
      </w:pPr>
    </w:p>
    <w:p w14:paraId="1891CDCE" w14:textId="77777777" w:rsidR="002A6B50" w:rsidRPr="0044793F" w:rsidRDefault="002A6B50" w:rsidP="002A6B50">
      <w:pPr>
        <w:rPr>
          <w:rFonts w:ascii="Arial" w:hAnsi="Arial" w:cs="Arial"/>
        </w:rPr>
      </w:pPr>
    </w:p>
    <w:p w14:paraId="64899369" w14:textId="6D91419A" w:rsidR="002A6B50" w:rsidRPr="0044793F" w:rsidRDefault="002A6B50" w:rsidP="002A6B50">
      <w:pPr>
        <w:rPr>
          <w:rFonts w:ascii="Arial" w:hAnsi="Arial" w:cs="Arial"/>
          <w:b/>
          <w:bCs/>
          <w:i/>
          <w:iCs/>
          <w:sz w:val="28"/>
          <w:szCs w:val="28"/>
        </w:rPr>
      </w:pPr>
      <w:r w:rsidRPr="0044793F">
        <w:rPr>
          <w:rFonts w:ascii="Arial" w:hAnsi="Arial" w:cs="Arial"/>
          <w:b/>
          <w:bCs/>
          <w:sz w:val="28"/>
          <w:szCs w:val="28"/>
        </w:rPr>
        <w:t xml:space="preserve">Research </w:t>
      </w:r>
      <w:proofErr w:type="gramStart"/>
      <w:r w:rsidRPr="0044793F">
        <w:rPr>
          <w:rFonts w:ascii="Arial" w:hAnsi="Arial" w:cs="Arial"/>
          <w:b/>
          <w:bCs/>
          <w:sz w:val="28"/>
          <w:szCs w:val="28"/>
        </w:rPr>
        <w:t>Title:-</w:t>
      </w:r>
      <w:proofErr w:type="gramEnd"/>
      <w:r w:rsidRPr="0044793F">
        <w:rPr>
          <w:rFonts w:ascii="Arial" w:hAnsi="Arial" w:cs="Arial"/>
          <w:sz w:val="28"/>
          <w:szCs w:val="28"/>
        </w:rPr>
        <w:t xml:space="preserve"> </w:t>
      </w:r>
      <w:r w:rsidR="005B1D83" w:rsidRPr="0044793F">
        <w:rPr>
          <w:rFonts w:ascii="Arial" w:hAnsi="Arial" w:cs="Arial"/>
          <w:b/>
          <w:bCs/>
          <w:i/>
          <w:iCs/>
          <w:sz w:val="28"/>
          <w:szCs w:val="28"/>
        </w:rPr>
        <w:t>A Systematic Literature Review  of The Role of Digital Marketing Strategies in Promoting Consumer Adoption of Organic Products in Bangladesh.</w:t>
      </w:r>
    </w:p>
    <w:p w14:paraId="651534FD" w14:textId="77777777" w:rsidR="002A6B50" w:rsidRPr="0044793F" w:rsidRDefault="002A6B50" w:rsidP="002A6B50">
      <w:pPr>
        <w:jc w:val="center"/>
        <w:rPr>
          <w:rFonts w:ascii="Arial" w:hAnsi="Arial" w:cs="Arial"/>
          <w:b/>
          <w:bCs/>
        </w:rPr>
      </w:pPr>
    </w:p>
    <w:p w14:paraId="799EB156" w14:textId="77777777" w:rsidR="002A6B50" w:rsidRPr="0044793F" w:rsidRDefault="002A6B50" w:rsidP="002A6B50">
      <w:pPr>
        <w:jc w:val="center"/>
        <w:rPr>
          <w:rFonts w:ascii="Arial" w:hAnsi="Arial" w:cs="Arial"/>
          <w:b/>
          <w:bCs/>
        </w:rPr>
      </w:pPr>
    </w:p>
    <w:p w14:paraId="292F1560" w14:textId="77777777" w:rsidR="00D464D3" w:rsidRPr="00D464D3" w:rsidRDefault="00D464D3" w:rsidP="00D464D3">
      <w:pPr>
        <w:jc w:val="center"/>
        <w:rPr>
          <w:rFonts w:ascii="Arial" w:hAnsi="Arial" w:cs="Arial"/>
          <w:b/>
          <w:bCs/>
        </w:rPr>
      </w:pPr>
      <w:proofErr w:type="spellStart"/>
      <w:r w:rsidRPr="00D464D3">
        <w:rPr>
          <w:rFonts w:ascii="Arial" w:hAnsi="Arial" w:cs="Arial"/>
          <w:b/>
          <w:bCs/>
        </w:rPr>
        <w:t>Programme</w:t>
      </w:r>
      <w:proofErr w:type="spellEnd"/>
      <w:r w:rsidRPr="00D464D3">
        <w:rPr>
          <w:rFonts w:ascii="Arial" w:hAnsi="Arial" w:cs="Arial"/>
          <w:b/>
          <w:bCs/>
        </w:rPr>
        <w:t>: Master of Business Administration</w:t>
      </w:r>
    </w:p>
    <w:p w14:paraId="0E53D9E5" w14:textId="77777777" w:rsidR="00D464D3" w:rsidRPr="00D464D3" w:rsidRDefault="00D464D3" w:rsidP="00D464D3">
      <w:pPr>
        <w:jc w:val="center"/>
        <w:rPr>
          <w:rFonts w:ascii="Arial" w:hAnsi="Arial" w:cs="Arial"/>
          <w:b/>
          <w:bCs/>
        </w:rPr>
      </w:pPr>
      <w:r w:rsidRPr="00D464D3">
        <w:rPr>
          <w:rFonts w:ascii="Arial" w:hAnsi="Arial" w:cs="Arial"/>
          <w:b/>
          <w:bCs/>
        </w:rPr>
        <w:t>Module: Dissertation</w:t>
      </w:r>
    </w:p>
    <w:p w14:paraId="651D314D" w14:textId="41DAEDC0" w:rsidR="00D464D3" w:rsidRDefault="00D464D3" w:rsidP="00D464D3">
      <w:pPr>
        <w:jc w:val="center"/>
        <w:rPr>
          <w:rFonts w:ascii="Arial" w:hAnsi="Arial" w:cs="Arial"/>
          <w:b/>
          <w:bCs/>
        </w:rPr>
      </w:pPr>
      <w:r w:rsidRPr="00D464D3">
        <w:rPr>
          <w:rFonts w:ascii="Arial" w:hAnsi="Arial" w:cs="Arial"/>
          <w:b/>
          <w:bCs/>
        </w:rPr>
        <w:t>Module Code: LCMB7035</w:t>
      </w:r>
    </w:p>
    <w:p w14:paraId="580631DE" w14:textId="0DF0ACAD" w:rsidR="002A6B50" w:rsidRPr="0044793F" w:rsidRDefault="002A6B50" w:rsidP="002A6B50">
      <w:pPr>
        <w:jc w:val="center"/>
        <w:rPr>
          <w:rFonts w:ascii="Arial" w:hAnsi="Arial" w:cs="Arial"/>
          <w:b/>
          <w:bCs/>
        </w:rPr>
      </w:pPr>
      <w:proofErr w:type="gramStart"/>
      <w:r w:rsidRPr="0044793F">
        <w:rPr>
          <w:rFonts w:ascii="Arial" w:hAnsi="Arial" w:cs="Arial"/>
          <w:b/>
          <w:bCs/>
        </w:rPr>
        <w:t>Name:-</w:t>
      </w:r>
      <w:proofErr w:type="gramEnd"/>
      <w:r w:rsidR="00E32CEC">
        <w:rPr>
          <w:rFonts w:ascii="Arial" w:hAnsi="Arial" w:cs="Arial"/>
          <w:b/>
          <w:bCs/>
        </w:rPr>
        <w:t xml:space="preserve"> </w:t>
      </w:r>
      <w:r w:rsidR="00E32CEC" w:rsidRPr="00E32CEC">
        <w:rPr>
          <w:rFonts w:ascii="Arial" w:hAnsi="Arial" w:cs="Arial"/>
          <w:b/>
          <w:bCs/>
        </w:rPr>
        <w:t>Sifat Al Galib</w:t>
      </w:r>
    </w:p>
    <w:p w14:paraId="00B3F4C8" w14:textId="76D17B2D" w:rsidR="002A6B50" w:rsidRPr="0044793F" w:rsidRDefault="002A6B50" w:rsidP="002A6B50">
      <w:pPr>
        <w:jc w:val="center"/>
        <w:rPr>
          <w:rFonts w:ascii="Arial" w:hAnsi="Arial" w:cs="Arial"/>
          <w:b/>
          <w:bCs/>
        </w:rPr>
      </w:pPr>
      <w:r w:rsidRPr="0044793F">
        <w:rPr>
          <w:rFonts w:ascii="Arial" w:hAnsi="Arial" w:cs="Arial"/>
          <w:b/>
          <w:bCs/>
        </w:rPr>
        <w:t xml:space="preserve">Student </w:t>
      </w:r>
      <w:proofErr w:type="gramStart"/>
      <w:r w:rsidRPr="0044793F">
        <w:rPr>
          <w:rFonts w:ascii="Arial" w:hAnsi="Arial" w:cs="Arial"/>
          <w:b/>
          <w:bCs/>
        </w:rPr>
        <w:t>ID:-</w:t>
      </w:r>
      <w:proofErr w:type="gramEnd"/>
      <w:r w:rsidR="00E32CEC">
        <w:rPr>
          <w:rFonts w:ascii="Arial" w:hAnsi="Arial" w:cs="Arial"/>
          <w:b/>
          <w:bCs/>
        </w:rPr>
        <w:t xml:space="preserve"> </w:t>
      </w:r>
      <w:r w:rsidR="00E32CEC" w:rsidRPr="00E32CEC">
        <w:rPr>
          <w:rFonts w:ascii="Arial" w:hAnsi="Arial" w:cs="Arial"/>
          <w:b/>
          <w:bCs/>
        </w:rPr>
        <w:t>2438313</w:t>
      </w:r>
    </w:p>
    <w:p w14:paraId="12C25C0C" w14:textId="4F9CD3B6" w:rsidR="002A6B50" w:rsidRDefault="002A6B50" w:rsidP="002A6B50">
      <w:pPr>
        <w:jc w:val="center"/>
        <w:rPr>
          <w:rFonts w:ascii="Arial" w:hAnsi="Arial" w:cs="Arial"/>
          <w:b/>
          <w:bCs/>
        </w:rPr>
      </w:pPr>
      <w:r w:rsidRPr="0044793F">
        <w:rPr>
          <w:rFonts w:ascii="Arial" w:hAnsi="Arial" w:cs="Arial"/>
          <w:b/>
          <w:bCs/>
        </w:rPr>
        <w:t xml:space="preserve">Supervisor </w:t>
      </w:r>
      <w:proofErr w:type="gramStart"/>
      <w:r w:rsidRPr="0044793F">
        <w:rPr>
          <w:rFonts w:ascii="Arial" w:hAnsi="Arial" w:cs="Arial"/>
          <w:b/>
          <w:bCs/>
        </w:rPr>
        <w:t>Name:-</w:t>
      </w:r>
      <w:proofErr w:type="gramEnd"/>
      <w:r w:rsidR="0065601C">
        <w:rPr>
          <w:rFonts w:ascii="Arial" w:hAnsi="Arial" w:cs="Arial"/>
          <w:b/>
          <w:bCs/>
        </w:rPr>
        <w:t xml:space="preserve"> </w:t>
      </w:r>
      <w:r w:rsidR="0065601C" w:rsidRPr="0065601C">
        <w:rPr>
          <w:rFonts w:ascii="Arial" w:hAnsi="Arial" w:cs="Arial"/>
          <w:b/>
          <w:bCs/>
        </w:rPr>
        <w:t>Simon Chatterton</w:t>
      </w:r>
    </w:p>
    <w:p w14:paraId="4CA88DD5" w14:textId="4E4871D7" w:rsidR="00D464D3" w:rsidRPr="0044793F" w:rsidRDefault="003C7CD4" w:rsidP="002A6B50">
      <w:pPr>
        <w:jc w:val="center"/>
        <w:rPr>
          <w:rFonts w:ascii="Arial" w:hAnsi="Arial" w:cs="Arial"/>
          <w:b/>
          <w:bCs/>
        </w:rPr>
      </w:pPr>
      <w:r>
        <w:rPr>
          <w:rFonts w:ascii="Arial" w:hAnsi="Arial" w:cs="Arial"/>
          <w:b/>
          <w:bCs/>
        </w:rPr>
        <w:t xml:space="preserve">Submission </w:t>
      </w:r>
      <w:r w:rsidR="00D464D3">
        <w:rPr>
          <w:rFonts w:ascii="Arial" w:hAnsi="Arial" w:cs="Arial"/>
          <w:b/>
          <w:bCs/>
        </w:rPr>
        <w:t>Date: 28</w:t>
      </w:r>
      <w:r w:rsidR="00D464D3" w:rsidRPr="00D464D3">
        <w:rPr>
          <w:rFonts w:ascii="Arial" w:hAnsi="Arial" w:cs="Arial"/>
          <w:b/>
          <w:bCs/>
          <w:vertAlign w:val="superscript"/>
        </w:rPr>
        <w:t>th</w:t>
      </w:r>
      <w:r w:rsidR="00D464D3">
        <w:rPr>
          <w:rFonts w:ascii="Arial" w:hAnsi="Arial" w:cs="Arial"/>
          <w:b/>
          <w:bCs/>
        </w:rPr>
        <w:t xml:space="preserve"> August 2026</w:t>
      </w:r>
    </w:p>
    <w:p w14:paraId="5A9C7EC3" w14:textId="45520576" w:rsidR="00123BF1" w:rsidRPr="0044793F" w:rsidRDefault="00123BF1">
      <w:pPr>
        <w:rPr>
          <w:rFonts w:ascii="Arial" w:eastAsiaTheme="majorEastAsia" w:hAnsi="Arial" w:cs="Arial"/>
          <w:color w:val="0F4761" w:themeColor="accent1" w:themeShade="BF"/>
          <w:sz w:val="40"/>
          <w:szCs w:val="40"/>
        </w:rPr>
      </w:pPr>
    </w:p>
    <w:p w14:paraId="6A05C59A" w14:textId="77777777" w:rsidR="00123BF1" w:rsidRPr="0044793F" w:rsidRDefault="00123BF1">
      <w:pPr>
        <w:rPr>
          <w:rFonts w:ascii="Arial" w:eastAsiaTheme="majorEastAsia" w:hAnsi="Arial" w:cs="Arial"/>
          <w:color w:val="0F4761" w:themeColor="accent1" w:themeShade="BF"/>
          <w:sz w:val="40"/>
          <w:szCs w:val="40"/>
        </w:rPr>
      </w:pPr>
      <w:r w:rsidRPr="0044793F">
        <w:rPr>
          <w:rFonts w:ascii="Arial" w:hAnsi="Arial" w:cs="Arial"/>
        </w:rPr>
        <w:br w:type="page"/>
      </w:r>
    </w:p>
    <w:p w14:paraId="23134081" w14:textId="77777777" w:rsidR="005B1D83" w:rsidRPr="0044793F" w:rsidRDefault="005B1D83" w:rsidP="005B1D83">
      <w:pPr>
        <w:jc w:val="center"/>
        <w:rPr>
          <w:rFonts w:ascii="Arial" w:hAnsi="Arial" w:cs="Arial"/>
          <w:b/>
          <w:bCs/>
        </w:rPr>
      </w:pPr>
      <w:r w:rsidRPr="0044793F">
        <w:rPr>
          <w:rFonts w:ascii="Arial" w:hAnsi="Arial" w:cs="Arial"/>
          <w:b/>
          <w:bCs/>
        </w:rPr>
        <w:lastRenderedPageBreak/>
        <w:t>Abstract</w:t>
      </w:r>
    </w:p>
    <w:p w14:paraId="4C1ECB7F" w14:textId="56DCA017" w:rsidR="00123BF1" w:rsidRPr="0044793F" w:rsidRDefault="005B1D83" w:rsidP="005B1D83">
      <w:pPr>
        <w:jc w:val="both"/>
        <w:rPr>
          <w:rFonts w:ascii="Arial" w:eastAsiaTheme="majorEastAsia" w:hAnsi="Arial" w:cs="Arial"/>
          <w:color w:val="0F4761" w:themeColor="accent1" w:themeShade="BF"/>
          <w:sz w:val="40"/>
          <w:szCs w:val="40"/>
        </w:rPr>
      </w:pPr>
      <w:r w:rsidRPr="0044793F">
        <w:rPr>
          <w:rFonts w:ascii="Arial" w:hAnsi="Arial" w:cs="Arial"/>
        </w:rPr>
        <w:t xml:space="preserve">This research aims to explore the effect of digital marketing strategies on consumer conversion towards organic product in Bangladesh. It examines the digital marketing channels that are utilized by organic businesses, influences on consumer acceptance, the impact of social media, content marketing, influencer marketing and e-commerce, and the contextual challenges and opportunities to adoption. Evidence from academic databases and relevant grey literature was used to undertake a Systematic Literature Review (SLR), and then thematic synthesis and narrative analysis was performed. The results show that digital marketing can raise awareness, educate consumers, enhance social influence and add to the convenience of consumer purchases. But it is only effective if consumers trust it, if it can be credibly certified, if it is affordable, if it is available and the delivery of the service is reliable. In the context of Bangladesh, health and food-safety concerns are given special attention. The study concludes that an integrated, trust-based and culturally appropriate digital marketing ecosystem is needed to promote more organic product consumption, along with more robust certification and supply chains. </w:t>
      </w:r>
      <w:r w:rsidR="00123BF1" w:rsidRPr="0044793F">
        <w:rPr>
          <w:rFonts w:ascii="Arial" w:hAnsi="Arial" w:cs="Arial"/>
        </w:rPr>
        <w:br w:type="page"/>
      </w:r>
    </w:p>
    <w:p w14:paraId="7BADAE13" w14:textId="77777777" w:rsidR="0044793F" w:rsidRDefault="0044793F" w:rsidP="0044793F">
      <w:pPr>
        <w:jc w:val="center"/>
        <w:rPr>
          <w:rFonts w:ascii="Arial" w:hAnsi="Arial" w:cs="Arial"/>
          <w:b/>
          <w:bCs/>
        </w:rPr>
      </w:pPr>
      <w:r w:rsidRPr="0044793F">
        <w:rPr>
          <w:rFonts w:ascii="Arial" w:hAnsi="Arial" w:cs="Arial"/>
          <w:b/>
          <w:bCs/>
        </w:rPr>
        <w:lastRenderedPageBreak/>
        <w:t>Declaration</w:t>
      </w:r>
    </w:p>
    <w:p w14:paraId="6FBCDD7C" w14:textId="7C6169B1" w:rsidR="0044793F" w:rsidRDefault="0044793F" w:rsidP="0044793F">
      <w:pPr>
        <w:rPr>
          <w:rFonts w:ascii="Arial" w:hAnsi="Arial" w:cs="Arial"/>
        </w:rPr>
      </w:pPr>
      <w:r w:rsidRPr="0044793F">
        <w:rPr>
          <w:rFonts w:ascii="Arial" w:hAnsi="Arial" w:cs="Arial"/>
        </w:rPr>
        <w:t xml:space="preserve">I certify that this dissertation is my own work and has been composed for academic purposes, in compliance with the requirements of the </w:t>
      </w:r>
      <w:proofErr w:type="spellStart"/>
      <w:r w:rsidRPr="0044793F">
        <w:rPr>
          <w:rFonts w:ascii="Arial" w:hAnsi="Arial" w:cs="Arial"/>
        </w:rPr>
        <w:t>programme</w:t>
      </w:r>
      <w:proofErr w:type="spellEnd"/>
      <w:r w:rsidRPr="0044793F">
        <w:rPr>
          <w:rFonts w:ascii="Arial" w:hAnsi="Arial" w:cs="Arial"/>
        </w:rPr>
        <w:t xml:space="preserve"> for which it was written. The research has been carried out in an ethically sound and correct way and ideas, theories, findings and publications of others have been referenced and cited appropriately. In this study, primary data was not collected from human participants, and only secondary sources were used. All efforts have been made to accurately and objectively present the reviewed evidence and acknowledge any conflicting evidence, methodological limitations and differences in context. I recognize the need for academic honesty, and I have not knowingly submitted the work of other persons as if it were my own.</w:t>
      </w:r>
    </w:p>
    <w:p w14:paraId="5B9910C8" w14:textId="77777777" w:rsidR="0044793F" w:rsidRDefault="0044793F" w:rsidP="0044793F">
      <w:pPr>
        <w:rPr>
          <w:rFonts w:ascii="Arial" w:hAnsi="Arial" w:cs="Arial"/>
        </w:rPr>
      </w:pPr>
    </w:p>
    <w:p w14:paraId="007EFA82" w14:textId="2E7E0E4D" w:rsidR="0044793F" w:rsidRDefault="0044793F" w:rsidP="0044793F">
      <w:pPr>
        <w:rPr>
          <w:rFonts w:ascii="Arial" w:hAnsi="Arial" w:cs="Arial"/>
        </w:rPr>
      </w:pPr>
      <w:r>
        <w:rPr>
          <w:rFonts w:ascii="Arial" w:hAnsi="Arial" w:cs="Arial"/>
        </w:rPr>
        <w:t xml:space="preserve">Name: </w:t>
      </w:r>
      <w:r w:rsidR="00E32CEC" w:rsidRPr="00E32CEC">
        <w:rPr>
          <w:rFonts w:ascii="Arial" w:hAnsi="Arial" w:cs="Arial"/>
        </w:rPr>
        <w:t>Sifat Al Galib</w:t>
      </w:r>
    </w:p>
    <w:p w14:paraId="76FA8E0F" w14:textId="7F2AF501" w:rsidR="0044793F" w:rsidRPr="0044793F" w:rsidRDefault="0044793F" w:rsidP="0044793F">
      <w:pPr>
        <w:rPr>
          <w:rFonts w:ascii="Arial" w:hAnsi="Arial" w:cs="Arial"/>
        </w:rPr>
      </w:pPr>
      <w:r>
        <w:rPr>
          <w:rFonts w:ascii="Arial" w:hAnsi="Arial" w:cs="Arial"/>
        </w:rPr>
        <w:t>Student ID:</w:t>
      </w:r>
      <w:r w:rsidR="00E32CEC" w:rsidRPr="00E32CEC">
        <w:t xml:space="preserve"> </w:t>
      </w:r>
      <w:r w:rsidR="00E32CEC" w:rsidRPr="00E32CEC">
        <w:rPr>
          <w:rFonts w:ascii="Arial" w:hAnsi="Arial" w:cs="Arial"/>
        </w:rPr>
        <w:t>2438313</w:t>
      </w:r>
    </w:p>
    <w:p w14:paraId="26DA6140" w14:textId="5E3A3FC7" w:rsidR="00123BF1" w:rsidRPr="0044793F" w:rsidRDefault="00123BF1" w:rsidP="0044793F">
      <w:pPr>
        <w:jc w:val="center"/>
        <w:rPr>
          <w:rFonts w:ascii="Arial" w:eastAsiaTheme="majorEastAsia" w:hAnsi="Arial" w:cs="Arial"/>
          <w:b/>
          <w:bCs/>
          <w:color w:val="0F4761" w:themeColor="accent1" w:themeShade="BF"/>
          <w:sz w:val="40"/>
          <w:szCs w:val="40"/>
        </w:rPr>
      </w:pPr>
      <w:r w:rsidRPr="0044793F">
        <w:rPr>
          <w:rFonts w:ascii="Arial" w:hAnsi="Arial" w:cs="Arial"/>
          <w:b/>
          <w:bCs/>
        </w:rPr>
        <w:br w:type="page"/>
      </w:r>
    </w:p>
    <w:p w14:paraId="3B3842CE" w14:textId="77777777" w:rsidR="009B1048" w:rsidRDefault="009B1048" w:rsidP="009B1048">
      <w:pPr>
        <w:jc w:val="center"/>
        <w:rPr>
          <w:rFonts w:ascii="Arial" w:hAnsi="Arial" w:cs="Arial"/>
          <w:b/>
          <w:bCs/>
        </w:rPr>
      </w:pPr>
      <w:r w:rsidRPr="009B1048">
        <w:rPr>
          <w:rFonts w:ascii="Arial" w:hAnsi="Arial" w:cs="Arial"/>
          <w:b/>
          <w:bCs/>
        </w:rPr>
        <w:lastRenderedPageBreak/>
        <w:t xml:space="preserve">Acknowledgement </w:t>
      </w:r>
    </w:p>
    <w:p w14:paraId="60E83BD6" w14:textId="125098C6" w:rsidR="00123BF1" w:rsidRPr="009B1048" w:rsidRDefault="009B1048" w:rsidP="009B1048">
      <w:pPr>
        <w:jc w:val="both"/>
        <w:rPr>
          <w:rFonts w:ascii="Arial" w:eastAsiaTheme="majorEastAsia" w:hAnsi="Arial" w:cs="Arial"/>
          <w:color w:val="0F4761" w:themeColor="accent1" w:themeShade="BF"/>
          <w:sz w:val="40"/>
          <w:szCs w:val="40"/>
        </w:rPr>
      </w:pPr>
      <w:r w:rsidRPr="009B1048">
        <w:rPr>
          <w:rFonts w:ascii="Arial" w:hAnsi="Arial" w:cs="Arial"/>
        </w:rPr>
        <w:t>I would like to thank my supervisor for his helpful guidance, criticism and guidance during this study. I also acknowledge the education, resources and learning environment I have received from my university and academic staff which enabled me to finish this dissertation. I would like to thank the authors and researchers who published the studies which helped with the evidence and theory for this Systematic Literature Review. I would like to express my thanks to my family and friends who took time to encourage, be patient with me and support me during research and writing. Their motivation was helpful to me to keep my concentration and commitment to the difficult times of this study. Last but not least, I am grateful to all those who helped in any way in the successful completion of this dissertation.</w:t>
      </w:r>
      <w:r w:rsidR="00123BF1" w:rsidRPr="009B1048">
        <w:rPr>
          <w:rFonts w:ascii="Arial" w:hAnsi="Arial" w:cs="Arial"/>
        </w:rPr>
        <w:br w:type="page"/>
      </w:r>
    </w:p>
    <w:p w14:paraId="189C38AC" w14:textId="22D1AD0B" w:rsidR="00DB47CB" w:rsidRPr="0044793F" w:rsidRDefault="00DB47CB" w:rsidP="00330022">
      <w:pPr>
        <w:pStyle w:val="Heading1"/>
        <w:rPr>
          <w:rFonts w:ascii="Arial" w:hAnsi="Arial" w:cs="Arial"/>
        </w:rPr>
      </w:pPr>
      <w:r w:rsidRPr="0044793F">
        <w:rPr>
          <w:rFonts w:ascii="Arial" w:hAnsi="Arial" w:cs="Arial"/>
        </w:rPr>
        <w:lastRenderedPageBreak/>
        <w:t xml:space="preserve">CHAPTER 1: INTRODUCTION </w:t>
      </w:r>
    </w:p>
    <w:p w14:paraId="3C36D1A9" w14:textId="77777777" w:rsidR="00026D73" w:rsidRPr="0044793F" w:rsidRDefault="00026D73" w:rsidP="00330022">
      <w:pPr>
        <w:pStyle w:val="Heading2"/>
        <w:rPr>
          <w:rFonts w:ascii="Arial" w:hAnsi="Arial" w:cs="Arial"/>
        </w:rPr>
      </w:pPr>
      <w:r w:rsidRPr="0044793F">
        <w:rPr>
          <w:rFonts w:ascii="Arial" w:hAnsi="Arial" w:cs="Arial"/>
        </w:rPr>
        <w:t>1.1 Background and Problem Statement</w:t>
      </w:r>
    </w:p>
    <w:p w14:paraId="6E8D0E96" w14:textId="77777777" w:rsidR="00457BD6" w:rsidRPr="0044793F" w:rsidRDefault="00457BD6" w:rsidP="00457BD6">
      <w:pPr>
        <w:spacing w:line="360" w:lineRule="auto"/>
        <w:jc w:val="both"/>
        <w:rPr>
          <w:rFonts w:ascii="Arial" w:hAnsi="Arial" w:cs="Arial"/>
        </w:rPr>
      </w:pPr>
      <w:r w:rsidRPr="0044793F">
        <w:rPr>
          <w:rFonts w:ascii="Arial" w:hAnsi="Arial" w:cs="Arial"/>
        </w:rPr>
        <w:t xml:space="preserve">The organic food market has been experiencing a growth period like never before in the last two decades because consumers have greater awareness of different health, environment and food safety issues. The market is estimated to be worth USD 220 billion in 2021 and is projected to grow by 12.2% CAGR to USD 620 billion by 2030 (Grand View Research, 2022). Consumers' attitudes towards sustainable and healthy consumption are changing, particularly in developed markets where products that are good for the environment are now mainstream (Willer and </w:t>
      </w:r>
      <w:proofErr w:type="spellStart"/>
      <w:r w:rsidRPr="0044793F">
        <w:rPr>
          <w:rFonts w:ascii="Arial" w:hAnsi="Arial" w:cs="Arial"/>
        </w:rPr>
        <w:t>Lernoud</w:t>
      </w:r>
      <w:proofErr w:type="spellEnd"/>
      <w:r w:rsidRPr="0044793F">
        <w:rPr>
          <w:rFonts w:ascii="Arial" w:hAnsi="Arial" w:cs="Arial"/>
        </w:rPr>
        <w:t>, 2019; Rana and Paul, 2017).</w:t>
      </w:r>
    </w:p>
    <w:p w14:paraId="3475933E" w14:textId="77777777" w:rsidR="00457BD6" w:rsidRPr="0044793F" w:rsidRDefault="00457BD6" w:rsidP="00457BD6">
      <w:pPr>
        <w:spacing w:line="360" w:lineRule="auto"/>
        <w:jc w:val="both"/>
        <w:rPr>
          <w:rFonts w:ascii="Arial" w:hAnsi="Arial" w:cs="Arial"/>
        </w:rPr>
      </w:pPr>
      <w:r w:rsidRPr="0044793F">
        <w:rPr>
          <w:rFonts w:ascii="Arial" w:hAnsi="Arial" w:cs="Arial"/>
        </w:rPr>
        <w:t>In this global phenomenon, Bangladesh is a paradoxical situation. Despite being largely absent from the mainstream market, agriculture is a major contributor to the GDP accounting for nearly 40% of the working population in Bangladesh (Bangladesh Bureau of Statistics, 2021) and there is definitely a growing awareness of the health benefits amongst urban consumers of organic products in Bangladesh (Islam et al., 2020). This disparity is a major hurdle and an opportunity to agricultural development and public health improvement that needs to be overcome.</w:t>
      </w:r>
    </w:p>
    <w:p w14:paraId="1D9E8A04" w14:textId="77777777" w:rsidR="00457BD6" w:rsidRPr="0044793F" w:rsidRDefault="00457BD6" w:rsidP="00457BD6">
      <w:pPr>
        <w:spacing w:line="360" w:lineRule="auto"/>
        <w:jc w:val="both"/>
        <w:rPr>
          <w:rFonts w:ascii="Arial" w:hAnsi="Arial" w:cs="Arial"/>
        </w:rPr>
      </w:pPr>
      <w:r w:rsidRPr="0044793F">
        <w:rPr>
          <w:rFonts w:ascii="Arial" w:hAnsi="Arial" w:cs="Arial"/>
        </w:rPr>
        <w:t xml:space="preserve">Intensive agriculture (high input of pesticides and </w:t>
      </w:r>
      <w:proofErr w:type="spellStart"/>
      <w:r w:rsidRPr="0044793F">
        <w:rPr>
          <w:rFonts w:ascii="Arial" w:hAnsi="Arial" w:cs="Arial"/>
        </w:rPr>
        <w:t>fertiliser</w:t>
      </w:r>
      <w:proofErr w:type="spellEnd"/>
      <w:r w:rsidRPr="0044793F">
        <w:rPr>
          <w:rFonts w:ascii="Arial" w:hAnsi="Arial" w:cs="Arial"/>
        </w:rPr>
        <w:t xml:space="preserve">) has resulted in major health and environmental hazards. A few studies have reported the presence of pesticides in vegetable, fruits and in the major crops with concentration exceeding the recommended safe limit (Chowdhury et al., 2013; </w:t>
      </w:r>
      <w:proofErr w:type="spellStart"/>
      <w:r w:rsidRPr="0044793F">
        <w:rPr>
          <w:rFonts w:ascii="Arial" w:hAnsi="Arial" w:cs="Arial"/>
        </w:rPr>
        <w:t>Alam</w:t>
      </w:r>
      <w:proofErr w:type="spellEnd"/>
      <w:r w:rsidRPr="0044793F">
        <w:rPr>
          <w:rFonts w:ascii="Arial" w:hAnsi="Arial" w:cs="Arial"/>
        </w:rPr>
        <w:t xml:space="preserve"> et al., 2020); environmental degradation continues to threaten the sustainability of agriculture for the future. With the increased awareness of health consciousness and increased food safety concerns in recent years particularly among the rising middle class in Bangladesh, the market for organic alternatives has been expanding (Sarker and </w:t>
      </w:r>
      <w:proofErr w:type="spellStart"/>
      <w:r w:rsidRPr="0044793F">
        <w:rPr>
          <w:rFonts w:ascii="Arial" w:hAnsi="Arial" w:cs="Arial"/>
        </w:rPr>
        <w:t>Itohara</w:t>
      </w:r>
      <w:proofErr w:type="spellEnd"/>
      <w:r w:rsidRPr="0044793F">
        <w:rPr>
          <w:rFonts w:ascii="Arial" w:hAnsi="Arial" w:cs="Arial"/>
        </w:rPr>
        <w:t>, 2008; Amin and Tarun, 2020).</w:t>
      </w:r>
    </w:p>
    <w:p w14:paraId="662182C8" w14:textId="77777777" w:rsidR="00457BD6" w:rsidRPr="0044793F" w:rsidRDefault="00457BD6" w:rsidP="00457BD6">
      <w:pPr>
        <w:spacing w:line="360" w:lineRule="auto"/>
        <w:jc w:val="both"/>
        <w:rPr>
          <w:rFonts w:ascii="Arial" w:hAnsi="Arial" w:cs="Arial"/>
        </w:rPr>
      </w:pPr>
      <w:r w:rsidRPr="0044793F">
        <w:rPr>
          <w:rFonts w:ascii="Arial" w:hAnsi="Arial" w:cs="Arial"/>
        </w:rPr>
        <w:t xml:space="preserve">Simultaneously, Bangladesh has </w:t>
      </w:r>
      <w:proofErr w:type="spellStart"/>
      <w:r w:rsidRPr="0044793F">
        <w:rPr>
          <w:rFonts w:ascii="Arial" w:hAnsi="Arial" w:cs="Arial"/>
        </w:rPr>
        <w:t>digitised</w:t>
      </w:r>
      <w:proofErr w:type="spellEnd"/>
      <w:r w:rsidRPr="0044793F">
        <w:rPr>
          <w:rFonts w:ascii="Arial" w:hAnsi="Arial" w:cs="Arial"/>
        </w:rPr>
        <w:t xml:space="preserve"> at a rapid pace to such a degree that it has transformed the communication in the country altogether. By 2022, over 100 million people had already become Internet users, about 60% of the population, and in urban and semi-urban areas, there was a high rate of smartphone penetration (Bangladesh Telecommunication Regulatory Commission, 2022). Digital revolution has unparalleled </w:t>
      </w:r>
      <w:r w:rsidRPr="0044793F">
        <w:rPr>
          <w:rFonts w:ascii="Arial" w:hAnsi="Arial" w:cs="Arial"/>
        </w:rPr>
        <w:lastRenderedPageBreak/>
        <w:t>opportunities to gain market access and consumer engagement (Hossain et al., 2020; Akter et al., 2021).</w:t>
      </w:r>
    </w:p>
    <w:p w14:paraId="2EA32FDD" w14:textId="77777777" w:rsidR="00457BD6" w:rsidRPr="0044793F" w:rsidRDefault="00457BD6" w:rsidP="00457BD6">
      <w:pPr>
        <w:spacing w:line="360" w:lineRule="auto"/>
        <w:jc w:val="both"/>
        <w:rPr>
          <w:rFonts w:ascii="Arial" w:hAnsi="Arial" w:cs="Arial"/>
        </w:rPr>
      </w:pPr>
      <w:r w:rsidRPr="0044793F">
        <w:rPr>
          <w:rFonts w:ascii="Arial" w:hAnsi="Arial" w:cs="Arial"/>
        </w:rPr>
        <w:t xml:space="preserve">Despite this, Bangladesh's adoption of organics is quite low compared to potential (Rahman et al., 2021) as there are several factors contributing to </w:t>
      </w:r>
      <w:proofErr w:type="spellStart"/>
      <w:proofErr w:type="gramStart"/>
      <w:r w:rsidRPr="0044793F">
        <w:rPr>
          <w:rFonts w:ascii="Arial" w:hAnsi="Arial" w:cs="Arial"/>
        </w:rPr>
        <w:t>this.However</w:t>
      </w:r>
      <w:proofErr w:type="spellEnd"/>
      <w:proofErr w:type="gramEnd"/>
      <w:r w:rsidRPr="0044793F">
        <w:rPr>
          <w:rFonts w:ascii="Arial" w:hAnsi="Arial" w:cs="Arial"/>
        </w:rPr>
        <w:t xml:space="preserve">, although all this factors converged in </w:t>
      </w:r>
      <w:proofErr w:type="spellStart"/>
      <w:r w:rsidRPr="0044793F">
        <w:rPr>
          <w:rFonts w:ascii="Arial" w:hAnsi="Arial" w:cs="Arial"/>
        </w:rPr>
        <w:t>favour</w:t>
      </w:r>
      <w:proofErr w:type="spellEnd"/>
      <w:r w:rsidRPr="0044793F">
        <w:rPr>
          <w:rFonts w:ascii="Arial" w:hAnsi="Arial" w:cs="Arial"/>
        </w:rPr>
        <w:t xml:space="preserve"> of organic, the situation of adoption of organic products in Bangladesh was still not as expected, standing much below potential (Rahman et al., 2021). The current understanding of the impact of specific digital marketing strategies on the Bangladeshi consumers' adoption </w:t>
      </w:r>
      <w:proofErr w:type="spellStart"/>
      <w:r w:rsidRPr="0044793F">
        <w:rPr>
          <w:rFonts w:ascii="Arial" w:hAnsi="Arial" w:cs="Arial"/>
        </w:rPr>
        <w:t>behaviour</w:t>
      </w:r>
      <w:proofErr w:type="spellEnd"/>
      <w:r w:rsidRPr="0044793F">
        <w:rPr>
          <w:rFonts w:ascii="Arial" w:hAnsi="Arial" w:cs="Arial"/>
        </w:rPr>
        <w:t xml:space="preserve"> is insufficient.</w:t>
      </w:r>
    </w:p>
    <w:p w14:paraId="456FF8C4" w14:textId="77777777" w:rsidR="00457BD6" w:rsidRPr="0044793F" w:rsidRDefault="00457BD6" w:rsidP="00457BD6">
      <w:pPr>
        <w:spacing w:line="360" w:lineRule="auto"/>
        <w:jc w:val="both"/>
        <w:rPr>
          <w:rFonts w:ascii="Arial" w:hAnsi="Arial" w:cs="Arial"/>
        </w:rPr>
      </w:pPr>
      <w:r w:rsidRPr="0044793F">
        <w:rPr>
          <w:rFonts w:ascii="Arial" w:hAnsi="Arial" w:cs="Arial"/>
        </w:rPr>
        <w:t xml:space="preserve">Previous studies have shown that there are several important gaps. Literature that has been developed on the effectiveness of digital marketing has been found to be predominantly in developed markets (Tuten and Solomon, 2017; Ryan, 2016) where there are different infrastructures and consumer </w:t>
      </w:r>
      <w:proofErr w:type="spellStart"/>
      <w:r w:rsidRPr="0044793F">
        <w:rPr>
          <w:rFonts w:ascii="Arial" w:hAnsi="Arial" w:cs="Arial"/>
        </w:rPr>
        <w:t>behaviour</w:t>
      </w:r>
      <w:proofErr w:type="spellEnd"/>
      <w:r w:rsidRPr="0044793F">
        <w:rPr>
          <w:rFonts w:ascii="Arial" w:hAnsi="Arial" w:cs="Arial"/>
        </w:rPr>
        <w:t xml:space="preserve"> than emerging markets. Secondly, although much research is available on consumers' reactions to organic products globally (</w:t>
      </w:r>
      <w:proofErr w:type="spellStart"/>
      <w:r w:rsidRPr="0044793F">
        <w:rPr>
          <w:rFonts w:ascii="Arial" w:hAnsi="Arial" w:cs="Arial"/>
        </w:rPr>
        <w:t>Aertsens</w:t>
      </w:r>
      <w:proofErr w:type="spellEnd"/>
      <w:r w:rsidRPr="0044793F">
        <w:rPr>
          <w:rFonts w:ascii="Arial" w:hAnsi="Arial" w:cs="Arial"/>
        </w:rPr>
        <w:t xml:space="preserve"> et al., 2009; </w:t>
      </w:r>
      <w:proofErr w:type="spellStart"/>
      <w:r w:rsidRPr="0044793F">
        <w:rPr>
          <w:rFonts w:ascii="Arial" w:hAnsi="Arial" w:cs="Arial"/>
        </w:rPr>
        <w:t>Hughner</w:t>
      </w:r>
      <w:proofErr w:type="spellEnd"/>
      <w:r w:rsidRPr="0044793F">
        <w:rPr>
          <w:rFonts w:ascii="Arial" w:hAnsi="Arial" w:cs="Arial"/>
        </w:rPr>
        <w:t xml:space="preserve"> et al., 2007), there is a lack of studies that integrated the findings with DMS in the context of Bangladesh (Islam et al., 2020; Amin and Tarun, 2020).</w:t>
      </w:r>
    </w:p>
    <w:p w14:paraId="73A75BFB" w14:textId="77777777" w:rsidR="00457BD6" w:rsidRPr="0044793F" w:rsidRDefault="00457BD6" w:rsidP="00457BD6">
      <w:pPr>
        <w:spacing w:line="360" w:lineRule="auto"/>
        <w:jc w:val="both"/>
        <w:rPr>
          <w:rFonts w:ascii="Arial" w:hAnsi="Arial" w:cs="Arial"/>
        </w:rPr>
      </w:pPr>
      <w:r w:rsidRPr="0044793F">
        <w:rPr>
          <w:rFonts w:ascii="Arial" w:hAnsi="Arial" w:cs="Arial"/>
        </w:rPr>
        <w:t>Third, the effects of digital marketing in Bangladesh may be moderated by certain issues, especially unique to the country, like digital literacy, the use of digital platforms, distrust in online shopping, price sensitivity, and preferred modes of communication, as highlighted by Shareef et al. (2019). Fourthly, some organic businesses have proven to be successful through digital marketing, but there was a lack of systematic empirical evidence to find out their successful practice and best practice (Bala &amp; Hossain, 2021).</w:t>
      </w:r>
    </w:p>
    <w:p w14:paraId="0159267F" w14:textId="77777777" w:rsidR="00457BD6" w:rsidRPr="0044793F" w:rsidRDefault="00457BD6" w:rsidP="00457BD6">
      <w:pPr>
        <w:spacing w:line="360" w:lineRule="auto"/>
        <w:jc w:val="both"/>
        <w:rPr>
          <w:rFonts w:ascii="Arial" w:hAnsi="Arial" w:cs="Arial"/>
        </w:rPr>
      </w:pPr>
      <w:r w:rsidRPr="0044793F">
        <w:rPr>
          <w:rFonts w:ascii="Arial" w:hAnsi="Arial" w:cs="Arial"/>
        </w:rPr>
        <w:t xml:space="preserve">This lack of understanding has important ramifications for organic producers, marketers, e-commerce retailers and policymakers as well as consumers. The study of their impacts on the adoption of organic products among the consumers of Bangladesh is one of the key research </w:t>
      </w:r>
      <w:proofErr w:type="gramStart"/>
      <w:r w:rsidRPr="0044793F">
        <w:rPr>
          <w:rFonts w:ascii="Arial" w:hAnsi="Arial" w:cs="Arial"/>
        </w:rPr>
        <w:t>gap</w:t>
      </w:r>
      <w:proofErr w:type="gramEnd"/>
      <w:r w:rsidRPr="0044793F">
        <w:rPr>
          <w:rFonts w:ascii="Arial" w:hAnsi="Arial" w:cs="Arial"/>
        </w:rPr>
        <w:t xml:space="preserve"> of immense practical relevance to development of sustainable agriculture and understanding of the moderating contextual factors.</w:t>
      </w:r>
    </w:p>
    <w:p w14:paraId="562FB7E4" w14:textId="3D65B18C" w:rsidR="00026D73" w:rsidRPr="0044793F" w:rsidRDefault="00026D73" w:rsidP="00330022">
      <w:pPr>
        <w:pStyle w:val="Heading2"/>
        <w:rPr>
          <w:rFonts w:ascii="Arial" w:hAnsi="Arial" w:cs="Arial"/>
        </w:rPr>
      </w:pPr>
      <w:r w:rsidRPr="0044793F">
        <w:rPr>
          <w:rFonts w:ascii="Arial" w:hAnsi="Arial" w:cs="Arial"/>
        </w:rPr>
        <w:t>1.2 Research Aim</w:t>
      </w:r>
    </w:p>
    <w:p w14:paraId="1D126385" w14:textId="77777777" w:rsidR="00457BD6" w:rsidRPr="0044793F" w:rsidRDefault="00457BD6" w:rsidP="00404048">
      <w:pPr>
        <w:spacing w:line="360" w:lineRule="auto"/>
        <w:jc w:val="both"/>
        <w:rPr>
          <w:rFonts w:ascii="Arial" w:hAnsi="Arial" w:cs="Arial"/>
        </w:rPr>
      </w:pPr>
      <w:r w:rsidRPr="0044793F">
        <w:rPr>
          <w:rFonts w:ascii="Arial" w:hAnsi="Arial" w:cs="Arial"/>
        </w:rPr>
        <w:t>The first objective of this study is to review the impact of digital marketing strategies on the adoption of organic products by the consumers in Bangladesh.</w:t>
      </w:r>
    </w:p>
    <w:p w14:paraId="65788860" w14:textId="34438357" w:rsidR="00026D73" w:rsidRPr="0044793F" w:rsidRDefault="00026D73" w:rsidP="00330022">
      <w:pPr>
        <w:pStyle w:val="Heading2"/>
        <w:rPr>
          <w:rFonts w:ascii="Arial" w:hAnsi="Arial" w:cs="Arial"/>
        </w:rPr>
      </w:pPr>
      <w:r w:rsidRPr="0044793F">
        <w:rPr>
          <w:rFonts w:ascii="Arial" w:hAnsi="Arial" w:cs="Arial"/>
        </w:rPr>
        <w:lastRenderedPageBreak/>
        <w:t>1.3 Research Objectives</w:t>
      </w:r>
    </w:p>
    <w:p w14:paraId="3E8D4417" w14:textId="77777777" w:rsidR="00457BD6" w:rsidRPr="0044793F" w:rsidRDefault="00457BD6" w:rsidP="00457BD6">
      <w:pPr>
        <w:spacing w:line="360" w:lineRule="auto"/>
        <w:jc w:val="both"/>
        <w:rPr>
          <w:rFonts w:ascii="Arial" w:hAnsi="Arial" w:cs="Arial"/>
        </w:rPr>
      </w:pPr>
      <w:r w:rsidRPr="0044793F">
        <w:rPr>
          <w:rFonts w:ascii="Arial" w:hAnsi="Arial" w:cs="Arial"/>
        </w:rPr>
        <w:t>Based on the above research purpose, the following research aims are set in this research are:</w:t>
      </w:r>
    </w:p>
    <w:p w14:paraId="4C79FB40" w14:textId="77777777" w:rsidR="00457BD6" w:rsidRPr="0044793F" w:rsidRDefault="00457BD6" w:rsidP="00457BD6">
      <w:pPr>
        <w:spacing w:line="360" w:lineRule="auto"/>
        <w:jc w:val="both"/>
        <w:rPr>
          <w:rFonts w:ascii="Arial" w:hAnsi="Arial" w:cs="Arial"/>
        </w:rPr>
      </w:pPr>
      <w:r w:rsidRPr="0044793F">
        <w:rPr>
          <w:rFonts w:ascii="Arial" w:hAnsi="Arial" w:cs="Arial"/>
        </w:rPr>
        <w:t>RO1: Identify and explain the current digital marketing strategies, channels and tactics of the organic product companies in the context of Bangladesh.</w:t>
      </w:r>
    </w:p>
    <w:p w14:paraId="7EA8985E" w14:textId="77777777" w:rsidR="00457BD6" w:rsidRPr="0044793F" w:rsidRDefault="00457BD6" w:rsidP="00457BD6">
      <w:pPr>
        <w:spacing w:line="360" w:lineRule="auto"/>
        <w:jc w:val="both"/>
        <w:rPr>
          <w:rFonts w:ascii="Arial" w:hAnsi="Arial" w:cs="Arial"/>
        </w:rPr>
      </w:pPr>
      <w:r w:rsidRPr="0044793F">
        <w:rPr>
          <w:rFonts w:ascii="Arial" w:hAnsi="Arial" w:cs="Arial"/>
        </w:rPr>
        <w:t xml:space="preserve">RO2: To Identify the demographic, psychographic and </w:t>
      </w:r>
      <w:proofErr w:type="spellStart"/>
      <w:r w:rsidRPr="0044793F">
        <w:rPr>
          <w:rFonts w:ascii="Arial" w:hAnsi="Arial" w:cs="Arial"/>
        </w:rPr>
        <w:t>behavioural</w:t>
      </w:r>
      <w:proofErr w:type="spellEnd"/>
      <w:r w:rsidRPr="0044793F">
        <w:rPr>
          <w:rFonts w:ascii="Arial" w:hAnsi="Arial" w:cs="Arial"/>
        </w:rPr>
        <w:t xml:space="preserve"> factors affecting consumers in the adoption of organic products in the context of digital marketplace in Bangladesh.</w:t>
      </w:r>
    </w:p>
    <w:p w14:paraId="24EA515A" w14:textId="77777777" w:rsidR="00457BD6" w:rsidRPr="0044793F" w:rsidRDefault="00457BD6" w:rsidP="00457BD6">
      <w:pPr>
        <w:spacing w:line="360" w:lineRule="auto"/>
        <w:jc w:val="both"/>
        <w:rPr>
          <w:rFonts w:ascii="Arial" w:hAnsi="Arial" w:cs="Arial"/>
        </w:rPr>
      </w:pPr>
      <w:r w:rsidRPr="0044793F">
        <w:rPr>
          <w:rFonts w:ascii="Arial" w:hAnsi="Arial" w:cs="Arial"/>
        </w:rPr>
        <w:t>RO3: To assess the efficacy of different digital marketing tools such as social media marketing, e-commerce, content marketing and influencer marketing in helping organically adopt the products among the Bangladeshi consumers.</w:t>
      </w:r>
    </w:p>
    <w:p w14:paraId="4C3F9F45" w14:textId="77777777" w:rsidR="00457BD6" w:rsidRPr="0044793F" w:rsidRDefault="00457BD6" w:rsidP="00457BD6">
      <w:pPr>
        <w:spacing w:line="360" w:lineRule="auto"/>
        <w:jc w:val="both"/>
        <w:rPr>
          <w:rFonts w:ascii="Arial" w:hAnsi="Arial" w:cs="Arial"/>
        </w:rPr>
      </w:pPr>
      <w:r w:rsidRPr="0044793F">
        <w:rPr>
          <w:rFonts w:ascii="Arial" w:hAnsi="Arial" w:cs="Arial"/>
        </w:rPr>
        <w:t>RO4: To get knowledge about the moderating role of context barriers and enablers between Digital marketing campaign and adoption of organic product in the context of Bangladesh socio-economic, cultural and technological.</w:t>
      </w:r>
    </w:p>
    <w:p w14:paraId="7DD27322" w14:textId="77777777" w:rsidR="00457BD6" w:rsidRPr="0044793F" w:rsidRDefault="00457BD6" w:rsidP="00457BD6">
      <w:pPr>
        <w:spacing w:line="360" w:lineRule="auto"/>
        <w:jc w:val="both"/>
        <w:rPr>
          <w:rFonts w:ascii="Arial" w:hAnsi="Arial" w:cs="Arial"/>
        </w:rPr>
      </w:pPr>
      <w:r w:rsidRPr="0044793F">
        <w:rPr>
          <w:rFonts w:ascii="Arial" w:hAnsi="Arial" w:cs="Arial"/>
        </w:rPr>
        <w:t>RO5: To synthesize the research results to draw actionable conclusions that can help shape the practices of organic producers, digital marketers and policy makers aiming to speed up the organic product uptake in Bangladesh.</w:t>
      </w:r>
    </w:p>
    <w:p w14:paraId="26F403DF" w14:textId="5A58055C" w:rsidR="00026D73" w:rsidRPr="0044793F" w:rsidRDefault="00026D73" w:rsidP="00330022">
      <w:pPr>
        <w:pStyle w:val="Heading2"/>
        <w:rPr>
          <w:rFonts w:ascii="Arial" w:hAnsi="Arial" w:cs="Arial"/>
        </w:rPr>
      </w:pPr>
      <w:r w:rsidRPr="0044793F">
        <w:rPr>
          <w:rFonts w:ascii="Arial" w:hAnsi="Arial" w:cs="Arial"/>
        </w:rPr>
        <w:t>1.4 Research Questions</w:t>
      </w:r>
    </w:p>
    <w:p w14:paraId="32EADCD8" w14:textId="77777777" w:rsidR="00457BD6" w:rsidRPr="0044793F" w:rsidRDefault="00457BD6" w:rsidP="00457BD6">
      <w:pPr>
        <w:spacing w:line="360" w:lineRule="auto"/>
        <w:jc w:val="both"/>
        <w:rPr>
          <w:rFonts w:ascii="Arial" w:hAnsi="Arial" w:cs="Arial"/>
          <w:bCs/>
        </w:rPr>
      </w:pPr>
      <w:r w:rsidRPr="0044793F">
        <w:rPr>
          <w:rFonts w:ascii="Arial" w:hAnsi="Arial" w:cs="Arial"/>
          <w:bCs/>
        </w:rPr>
        <w:t>The research has been divided into 5 research questions:</w:t>
      </w:r>
    </w:p>
    <w:p w14:paraId="772719BD" w14:textId="77777777" w:rsidR="00457BD6" w:rsidRPr="0044793F" w:rsidRDefault="00457BD6" w:rsidP="00457BD6">
      <w:pPr>
        <w:spacing w:line="360" w:lineRule="auto"/>
        <w:jc w:val="both"/>
        <w:rPr>
          <w:rFonts w:ascii="Arial" w:hAnsi="Arial" w:cs="Arial"/>
          <w:bCs/>
        </w:rPr>
      </w:pPr>
      <w:r w:rsidRPr="0044793F">
        <w:rPr>
          <w:rFonts w:ascii="Arial" w:hAnsi="Arial" w:cs="Arial"/>
          <w:bCs/>
        </w:rPr>
        <w:t>RQ1: What digital marketing strategies, platforms and channels are currently employed by organic product business in Bangladesh?</w:t>
      </w:r>
    </w:p>
    <w:p w14:paraId="32136E9B" w14:textId="77777777" w:rsidR="00457BD6" w:rsidRPr="0044793F" w:rsidRDefault="00457BD6" w:rsidP="00457BD6">
      <w:pPr>
        <w:spacing w:line="360" w:lineRule="auto"/>
        <w:jc w:val="both"/>
        <w:rPr>
          <w:rFonts w:ascii="Arial" w:hAnsi="Arial" w:cs="Arial"/>
          <w:bCs/>
        </w:rPr>
      </w:pPr>
      <w:r w:rsidRPr="0044793F">
        <w:rPr>
          <w:rFonts w:ascii="Arial" w:hAnsi="Arial" w:cs="Arial"/>
          <w:bCs/>
        </w:rPr>
        <w:t xml:space="preserve">RQ2: What are the attributes and consumer </w:t>
      </w:r>
      <w:proofErr w:type="spellStart"/>
      <w:r w:rsidRPr="0044793F">
        <w:rPr>
          <w:rFonts w:ascii="Arial" w:hAnsi="Arial" w:cs="Arial"/>
          <w:bCs/>
        </w:rPr>
        <w:t>behaviour</w:t>
      </w:r>
      <w:proofErr w:type="spellEnd"/>
      <w:r w:rsidRPr="0044793F">
        <w:rPr>
          <w:rFonts w:ascii="Arial" w:hAnsi="Arial" w:cs="Arial"/>
          <w:bCs/>
        </w:rPr>
        <w:t xml:space="preserve"> related to acceptance and adoption of organic products in the digital market places in Bangladesh?</w:t>
      </w:r>
    </w:p>
    <w:p w14:paraId="2E870F65" w14:textId="77777777" w:rsidR="00457BD6" w:rsidRPr="0044793F" w:rsidRDefault="00457BD6" w:rsidP="00457BD6">
      <w:pPr>
        <w:spacing w:line="360" w:lineRule="auto"/>
        <w:jc w:val="both"/>
        <w:rPr>
          <w:rFonts w:ascii="Arial" w:hAnsi="Arial" w:cs="Arial"/>
          <w:bCs/>
        </w:rPr>
      </w:pPr>
      <w:r w:rsidRPr="0044793F">
        <w:rPr>
          <w:rFonts w:ascii="Arial" w:hAnsi="Arial" w:cs="Arial"/>
          <w:bCs/>
        </w:rPr>
        <w:t>RQ3: How effective specific digital marketing strategies are to promote the adoption of organic products among the consumers of Bangladesh?</w:t>
      </w:r>
    </w:p>
    <w:p w14:paraId="0E665C6D" w14:textId="77777777" w:rsidR="00457BD6" w:rsidRPr="0044793F" w:rsidRDefault="00457BD6" w:rsidP="00457BD6">
      <w:pPr>
        <w:spacing w:line="360" w:lineRule="auto"/>
        <w:jc w:val="both"/>
        <w:rPr>
          <w:rFonts w:ascii="Arial" w:hAnsi="Arial" w:cs="Arial"/>
          <w:bCs/>
        </w:rPr>
      </w:pPr>
      <w:r w:rsidRPr="0044793F">
        <w:rPr>
          <w:rFonts w:ascii="Arial" w:hAnsi="Arial" w:cs="Arial"/>
          <w:bCs/>
        </w:rPr>
        <w:t>RQ4: What are the contextual problems and opportunities of digital marketing program and adoption of organic products in Bangladesh?</w:t>
      </w:r>
    </w:p>
    <w:p w14:paraId="2963C58D" w14:textId="77777777" w:rsidR="00457BD6" w:rsidRPr="0044793F" w:rsidRDefault="00457BD6" w:rsidP="00457BD6">
      <w:pPr>
        <w:spacing w:line="360" w:lineRule="auto"/>
        <w:jc w:val="both"/>
        <w:rPr>
          <w:rFonts w:ascii="Arial" w:hAnsi="Arial" w:cs="Arial"/>
          <w:bCs/>
        </w:rPr>
      </w:pPr>
      <w:r w:rsidRPr="0044793F">
        <w:rPr>
          <w:rFonts w:ascii="Arial" w:hAnsi="Arial" w:cs="Arial"/>
          <w:bCs/>
        </w:rPr>
        <w:lastRenderedPageBreak/>
        <w:t>RQ5: What are the recommendations that can be given based on evidence from the literature to establish the effectiveness of digital marketing to promote the adoption of organic products in Bangladesh?</w:t>
      </w:r>
    </w:p>
    <w:p w14:paraId="72EDAFA0" w14:textId="4AEE0C89" w:rsidR="00026D73" w:rsidRPr="0044793F" w:rsidRDefault="00026D73" w:rsidP="00330022">
      <w:pPr>
        <w:pStyle w:val="Heading2"/>
        <w:rPr>
          <w:rFonts w:ascii="Arial" w:hAnsi="Arial" w:cs="Arial"/>
        </w:rPr>
      </w:pPr>
      <w:r w:rsidRPr="0044793F">
        <w:rPr>
          <w:rFonts w:ascii="Arial" w:hAnsi="Arial" w:cs="Arial"/>
        </w:rPr>
        <w:t>1.5 Significance and Relevance of the Study</w:t>
      </w:r>
    </w:p>
    <w:p w14:paraId="03606656" w14:textId="77777777" w:rsidR="00DD3646" w:rsidRPr="0044793F" w:rsidRDefault="00DD3646" w:rsidP="00DD3646">
      <w:pPr>
        <w:spacing w:line="360" w:lineRule="auto"/>
        <w:jc w:val="both"/>
        <w:rPr>
          <w:rFonts w:ascii="Arial" w:hAnsi="Arial" w:cs="Arial"/>
        </w:rPr>
      </w:pPr>
      <w:r w:rsidRPr="0044793F">
        <w:rPr>
          <w:rFonts w:ascii="Arial" w:hAnsi="Arial" w:cs="Arial"/>
        </w:rPr>
        <w:t>This research aims to fill a crucial gap in knowledge in the digital marketing, sustainable consumption and emerging markets.</w:t>
      </w:r>
    </w:p>
    <w:p w14:paraId="244293C9"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Practicality: This study gives practical implication to the research practitioners. Organic farmers get scientific knowledge regarding the measures that can aid them to be successful in digital marketing in </w:t>
      </w:r>
      <w:proofErr w:type="gramStart"/>
      <w:r w:rsidRPr="0044793F">
        <w:rPr>
          <w:rFonts w:ascii="Arial" w:hAnsi="Arial" w:cs="Arial"/>
        </w:rPr>
        <w:t>an</w:t>
      </w:r>
      <w:proofErr w:type="gramEnd"/>
      <w:r w:rsidRPr="0044793F">
        <w:rPr>
          <w:rFonts w:ascii="Arial" w:hAnsi="Arial" w:cs="Arial"/>
        </w:rPr>
        <w:t xml:space="preserve"> resource deprived setting (Kaur &amp; Kaur 2020). Understanding the consumer </w:t>
      </w:r>
      <w:proofErr w:type="spellStart"/>
      <w:r w:rsidRPr="0044793F">
        <w:rPr>
          <w:rFonts w:ascii="Arial" w:hAnsi="Arial" w:cs="Arial"/>
        </w:rPr>
        <w:t>behaviour</w:t>
      </w:r>
      <w:proofErr w:type="spellEnd"/>
      <w:r w:rsidRPr="0044793F">
        <w:rPr>
          <w:rFonts w:ascii="Arial" w:hAnsi="Arial" w:cs="Arial"/>
        </w:rPr>
        <w:t xml:space="preserve"> patterns and preferences on platforms with the awareness of Bangladeshi culture is the task for digital marketers. A set of features and trust mechanisms suitable for organic product transactions can be identified within the ecommerce platforms.</w:t>
      </w:r>
    </w:p>
    <w:p w14:paraId="292C55BF"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Policy relevance: The research offers information to guide government policies that promote growth of organic agriculture. By grasping these ways digital channels are able to break down traditional market constraints, policymakers can develop specific support systems, like digital literacy </w:t>
      </w:r>
      <w:proofErr w:type="spellStart"/>
      <w:r w:rsidRPr="0044793F">
        <w:rPr>
          <w:rFonts w:ascii="Arial" w:hAnsi="Arial" w:cs="Arial"/>
        </w:rPr>
        <w:t>programmes</w:t>
      </w:r>
      <w:proofErr w:type="spellEnd"/>
      <w:r w:rsidRPr="0044793F">
        <w:rPr>
          <w:rFonts w:ascii="Arial" w:hAnsi="Arial" w:cs="Arial"/>
        </w:rPr>
        <w:t>, certification systems, and producer capacity-building efforts (Khalil and Ardila, 2016).</w:t>
      </w:r>
    </w:p>
    <w:p w14:paraId="24E23E0E"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There are a number of socio-economic impacts of the adoption of organic products. This helps consumers to access safer and healthier food, while also </w:t>
      </w:r>
      <w:proofErr w:type="spellStart"/>
      <w:r w:rsidRPr="0044793F">
        <w:rPr>
          <w:rFonts w:ascii="Arial" w:hAnsi="Arial" w:cs="Arial"/>
        </w:rPr>
        <w:t>minimising</w:t>
      </w:r>
      <w:proofErr w:type="spellEnd"/>
      <w:r w:rsidRPr="0044793F">
        <w:rPr>
          <w:rFonts w:ascii="Arial" w:hAnsi="Arial" w:cs="Arial"/>
        </w:rPr>
        <w:t xml:space="preserve"> their exposure to pesticides (</w:t>
      </w:r>
      <w:proofErr w:type="spellStart"/>
      <w:r w:rsidRPr="0044793F">
        <w:rPr>
          <w:rFonts w:ascii="Arial" w:hAnsi="Arial" w:cs="Arial"/>
        </w:rPr>
        <w:t>Alam</w:t>
      </w:r>
      <w:proofErr w:type="spellEnd"/>
      <w:r w:rsidRPr="0044793F">
        <w:rPr>
          <w:rFonts w:ascii="Arial" w:hAnsi="Arial" w:cs="Arial"/>
        </w:rPr>
        <w:t xml:space="preserve"> et al., 2020). Organic farming farmers get lower exposure to chemicals and may improve their economic outcomes (Sarker and </w:t>
      </w:r>
      <w:proofErr w:type="spellStart"/>
      <w:r w:rsidRPr="0044793F">
        <w:rPr>
          <w:rFonts w:ascii="Arial" w:hAnsi="Arial" w:cs="Arial"/>
        </w:rPr>
        <w:t>Itohara</w:t>
      </w:r>
      <w:proofErr w:type="spellEnd"/>
      <w:r w:rsidRPr="0044793F">
        <w:rPr>
          <w:rFonts w:ascii="Arial" w:hAnsi="Arial" w:cs="Arial"/>
        </w:rPr>
        <w:t>, 2008). Environmental value is achieved as chemical pollution is reduced and biodiversity is increased (SDG 12: Responsible consumption, SDG 3: Good health).</w:t>
      </w:r>
    </w:p>
    <w:p w14:paraId="22CE827F"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Bangladesh focus: is relevant to a significant research gap. Because of the blend of agricultural practices and challenges in </w:t>
      </w:r>
      <w:proofErr w:type="spellStart"/>
      <w:r w:rsidRPr="0044793F">
        <w:rPr>
          <w:rFonts w:ascii="Arial" w:hAnsi="Arial" w:cs="Arial"/>
        </w:rPr>
        <w:t>digitalisation</w:t>
      </w:r>
      <w:proofErr w:type="spellEnd"/>
      <w:r w:rsidRPr="0044793F">
        <w:rPr>
          <w:rFonts w:ascii="Arial" w:hAnsi="Arial" w:cs="Arial"/>
        </w:rPr>
        <w:t xml:space="preserve"> and development issues, the context of Bangladesh is highly distinctive and merits special academic interest. The lessons learnt can be transferred to other South Asian countries going through a digital transformation.</w:t>
      </w:r>
    </w:p>
    <w:p w14:paraId="617BA3D3" w14:textId="6404AF86" w:rsidR="00026D73" w:rsidRPr="0044793F" w:rsidRDefault="00026D73" w:rsidP="00330022">
      <w:pPr>
        <w:pStyle w:val="Heading2"/>
        <w:rPr>
          <w:rFonts w:ascii="Arial" w:hAnsi="Arial" w:cs="Arial"/>
        </w:rPr>
      </w:pPr>
      <w:r w:rsidRPr="0044793F">
        <w:rPr>
          <w:rFonts w:ascii="Arial" w:hAnsi="Arial" w:cs="Arial"/>
        </w:rPr>
        <w:lastRenderedPageBreak/>
        <w:t>1.6 Brief Research Methodology</w:t>
      </w:r>
    </w:p>
    <w:p w14:paraId="790FD1F4" w14:textId="77777777" w:rsidR="00DD3646" w:rsidRPr="0044793F" w:rsidRDefault="00DD3646" w:rsidP="00DD3646">
      <w:pPr>
        <w:spacing w:line="360" w:lineRule="auto"/>
        <w:jc w:val="both"/>
        <w:rPr>
          <w:rFonts w:ascii="Arial" w:hAnsi="Arial" w:cs="Arial"/>
        </w:rPr>
      </w:pPr>
      <w:r w:rsidRPr="0044793F">
        <w:rPr>
          <w:rFonts w:ascii="Arial" w:hAnsi="Arial" w:cs="Arial"/>
        </w:rPr>
        <w:t>This research adopts a methodology of systematic literature review (SLR) which has a transparent and sound procedure in synthesizing the existing secondary evidence (</w:t>
      </w:r>
      <w:proofErr w:type="spellStart"/>
      <w:r w:rsidRPr="0044793F">
        <w:rPr>
          <w:rFonts w:ascii="Arial" w:hAnsi="Arial" w:cs="Arial"/>
        </w:rPr>
        <w:t>Tranfield</w:t>
      </w:r>
      <w:proofErr w:type="spellEnd"/>
      <w:r w:rsidRPr="0044793F">
        <w:rPr>
          <w:rFonts w:ascii="Arial" w:hAnsi="Arial" w:cs="Arial"/>
        </w:rPr>
        <w:t xml:space="preserve"> et al., 2003; Denyer and </w:t>
      </w:r>
      <w:proofErr w:type="spellStart"/>
      <w:r w:rsidRPr="0044793F">
        <w:rPr>
          <w:rFonts w:ascii="Arial" w:hAnsi="Arial" w:cs="Arial"/>
        </w:rPr>
        <w:t>Tranfield</w:t>
      </w:r>
      <w:proofErr w:type="spellEnd"/>
      <w:r w:rsidRPr="0044793F">
        <w:rPr>
          <w:rFonts w:ascii="Arial" w:hAnsi="Arial" w:cs="Arial"/>
        </w:rPr>
        <w:t>, 2009). The systematic review provides the opportunity for synthesizing the distributed knowledge across disciplines and for developing evidence-based recommendations (Petticrew and Roberts 2006).</w:t>
      </w:r>
    </w:p>
    <w:p w14:paraId="6EF67AB2"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The search is carried out according to the recommended search strategies in the used academic databases (Google Scholar, Scopus, Web of Science, EBSCO Business Source Complete, Emerald Insight, ScienceDirect and </w:t>
      </w:r>
      <w:proofErr w:type="spellStart"/>
      <w:r w:rsidRPr="0044793F">
        <w:rPr>
          <w:rFonts w:ascii="Arial" w:hAnsi="Arial" w:cs="Arial"/>
        </w:rPr>
        <w:t>Proquest</w:t>
      </w:r>
      <w:proofErr w:type="spellEnd"/>
      <w:r w:rsidRPr="0044793F">
        <w:rPr>
          <w:rFonts w:ascii="Arial" w:hAnsi="Arial" w:cs="Arial"/>
        </w:rPr>
        <w:t>), and in grey literature databases. The terms that are used in this search are a blend of the terms related to digital marketing, organic product idea and geographical terms related to Bangladesh (Kitchenham &amp; Charters, 2007).</w:t>
      </w:r>
    </w:p>
    <w:p w14:paraId="00CDDEA7"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Sources span publications that focus on digital marketing and organic consumption from 2013 to 2024, and that are specifically related to emerging market contexts and written in English. The adapted Critical Appraisal Skills </w:t>
      </w:r>
      <w:proofErr w:type="spellStart"/>
      <w:r w:rsidRPr="0044793F">
        <w:rPr>
          <w:rFonts w:ascii="Arial" w:hAnsi="Arial" w:cs="Arial"/>
        </w:rPr>
        <w:t>Programme</w:t>
      </w:r>
      <w:proofErr w:type="spellEnd"/>
      <w:r w:rsidRPr="0044793F">
        <w:rPr>
          <w:rFonts w:ascii="Arial" w:hAnsi="Arial" w:cs="Arial"/>
        </w:rPr>
        <w:t xml:space="preserve"> (CASP) criteria (CASP, 2018) which focus on methodological </w:t>
      </w:r>
      <w:proofErr w:type="spellStart"/>
      <w:r w:rsidRPr="0044793F">
        <w:rPr>
          <w:rFonts w:ascii="Arial" w:hAnsi="Arial" w:cs="Arial"/>
        </w:rPr>
        <w:t>rigour</w:t>
      </w:r>
      <w:proofErr w:type="spellEnd"/>
      <w:r w:rsidRPr="0044793F">
        <w:rPr>
          <w:rFonts w:ascii="Arial" w:hAnsi="Arial" w:cs="Arial"/>
        </w:rPr>
        <w:t xml:space="preserve"> and contextual relevance are used in quality assessment. Data extraction gathers the bibliographic information, research goals, methods and outcomes. Analysis is in line with the thematic synthesis methodology, which involves coding, theme development and generation of analytical insights (Thomas and Harden, 2008; Braun and Clarke, 2006).</w:t>
      </w:r>
    </w:p>
    <w:p w14:paraId="2662642E" w14:textId="77777777" w:rsidR="00DD3646" w:rsidRPr="0044793F" w:rsidRDefault="00DD3646" w:rsidP="00DD3646">
      <w:pPr>
        <w:spacing w:line="360" w:lineRule="auto"/>
        <w:jc w:val="both"/>
        <w:rPr>
          <w:rFonts w:ascii="Arial" w:hAnsi="Arial" w:cs="Arial"/>
        </w:rPr>
      </w:pPr>
      <w:r w:rsidRPr="0044793F">
        <w:rPr>
          <w:rFonts w:ascii="Arial" w:hAnsi="Arial" w:cs="Arial"/>
        </w:rPr>
        <w:t>In the philosophical perspective, the interpretivist perspective is as interactionist, where the effectiveness of digital marketing and the phenomenon of consumer behavior is socially constructed phenomena whose meanings are related and influenced by contextual factors and cultural meanings (Saunders et al., 2019).</w:t>
      </w:r>
    </w:p>
    <w:p w14:paraId="7AF3C52F" w14:textId="501A9211" w:rsidR="00026D73" w:rsidRPr="0044793F" w:rsidRDefault="00026D73" w:rsidP="00330022">
      <w:pPr>
        <w:pStyle w:val="Heading2"/>
        <w:rPr>
          <w:rFonts w:ascii="Arial" w:hAnsi="Arial" w:cs="Arial"/>
        </w:rPr>
      </w:pPr>
      <w:r w:rsidRPr="0044793F">
        <w:rPr>
          <w:rFonts w:ascii="Arial" w:hAnsi="Arial" w:cs="Arial"/>
        </w:rPr>
        <w:t>1.7 The structure of the Dissertation is broken down as follows:</w:t>
      </w:r>
    </w:p>
    <w:p w14:paraId="48FFDFBC" w14:textId="77777777" w:rsidR="00DD3646" w:rsidRPr="0044793F" w:rsidRDefault="00DD3646" w:rsidP="00DD3646">
      <w:pPr>
        <w:spacing w:line="360" w:lineRule="auto"/>
        <w:jc w:val="both"/>
        <w:rPr>
          <w:rFonts w:ascii="Arial" w:hAnsi="Arial" w:cs="Arial"/>
        </w:rPr>
      </w:pPr>
      <w:r w:rsidRPr="0044793F">
        <w:rPr>
          <w:rFonts w:ascii="Arial" w:hAnsi="Arial" w:cs="Arial"/>
        </w:rPr>
        <w:t>The rest of this dissertation is structured in five other chapters:</w:t>
      </w:r>
    </w:p>
    <w:p w14:paraId="1B3709BD"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Chapter 2: Literature Review explains a comprehensive review of three major areas that are related to this study; digital marketing strategies in emerging markets, organic product consumer </w:t>
      </w:r>
      <w:proofErr w:type="spellStart"/>
      <w:r w:rsidRPr="0044793F">
        <w:rPr>
          <w:rFonts w:ascii="Arial" w:hAnsi="Arial" w:cs="Arial"/>
        </w:rPr>
        <w:t>behaviour</w:t>
      </w:r>
      <w:proofErr w:type="spellEnd"/>
      <w:r w:rsidRPr="0044793F">
        <w:rPr>
          <w:rFonts w:ascii="Arial" w:hAnsi="Arial" w:cs="Arial"/>
        </w:rPr>
        <w:t xml:space="preserve"> and digital infrastructure and cultural factors in Bangladesh.</w:t>
      </w:r>
    </w:p>
    <w:p w14:paraId="297D545B" w14:textId="77777777" w:rsidR="00DD3646" w:rsidRPr="0044793F" w:rsidRDefault="00DD3646" w:rsidP="00DD3646">
      <w:pPr>
        <w:spacing w:line="360" w:lineRule="auto"/>
        <w:jc w:val="both"/>
        <w:rPr>
          <w:rFonts w:ascii="Arial" w:hAnsi="Arial" w:cs="Arial"/>
        </w:rPr>
      </w:pPr>
      <w:r w:rsidRPr="0044793F">
        <w:rPr>
          <w:rFonts w:ascii="Arial" w:hAnsi="Arial" w:cs="Arial"/>
        </w:rPr>
        <w:lastRenderedPageBreak/>
        <w:t>Chapter 3: Research Methodology provides detailed justification of systematic literature review approach, gives an explanation of the philosophical foundations, explains the search strategy and explains the method used in thematic analysis.</w:t>
      </w:r>
    </w:p>
    <w:p w14:paraId="4819DF7B"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The findings, analysis and discussion are presented in Chapter 4, which is themed around the research questions, digital marketing strategies identified, consumer factors, evidence of effectiveness and contextual barriers. They present the key findings and critically </w:t>
      </w:r>
      <w:proofErr w:type="spellStart"/>
      <w:r w:rsidRPr="0044793F">
        <w:rPr>
          <w:rFonts w:ascii="Arial" w:hAnsi="Arial" w:cs="Arial"/>
        </w:rPr>
        <w:t>analyse</w:t>
      </w:r>
      <w:proofErr w:type="spellEnd"/>
      <w:r w:rsidRPr="0044793F">
        <w:rPr>
          <w:rFonts w:ascii="Arial" w:hAnsi="Arial" w:cs="Arial"/>
        </w:rPr>
        <w:t xml:space="preserve"> and discuss them with regard to the appropriate theoretical models and the literature. It also reflects on the implications of the results, on the limits of the present research, and on research paths for the future.</w:t>
      </w:r>
    </w:p>
    <w:p w14:paraId="69ADF2AF" w14:textId="239F42E8" w:rsidR="00026D73" w:rsidRPr="0044793F" w:rsidRDefault="00DD3646" w:rsidP="00DD3646">
      <w:pPr>
        <w:spacing w:line="360" w:lineRule="auto"/>
        <w:jc w:val="both"/>
        <w:rPr>
          <w:rFonts w:ascii="Arial" w:hAnsi="Arial" w:cs="Arial"/>
          <w:b/>
          <w:bCs/>
        </w:rPr>
      </w:pPr>
      <w:r w:rsidRPr="0044793F">
        <w:rPr>
          <w:rFonts w:ascii="Arial" w:hAnsi="Arial" w:cs="Arial"/>
        </w:rPr>
        <w:t>Chapter 5: Conclusion and Recommendations summarizes the primary findings, provides recommendations for practice and policy and considers the state of knowledge and practice as a result of the research.</w:t>
      </w:r>
      <w:r w:rsidR="00026D73" w:rsidRPr="0044793F">
        <w:rPr>
          <w:rFonts w:ascii="Arial" w:hAnsi="Arial" w:cs="Arial"/>
          <w:b/>
          <w:bCs/>
        </w:rPr>
        <w:br w:type="page"/>
      </w:r>
    </w:p>
    <w:p w14:paraId="5144171D" w14:textId="77777777" w:rsidR="00026D73" w:rsidRPr="0044793F" w:rsidRDefault="00EE4619" w:rsidP="00330022">
      <w:pPr>
        <w:pStyle w:val="Heading1"/>
        <w:rPr>
          <w:rFonts w:ascii="Arial" w:hAnsi="Arial" w:cs="Arial"/>
        </w:rPr>
      </w:pPr>
      <w:r w:rsidRPr="0044793F">
        <w:rPr>
          <w:rFonts w:ascii="Arial" w:hAnsi="Arial" w:cs="Arial"/>
        </w:rPr>
        <w:lastRenderedPageBreak/>
        <w:t xml:space="preserve">CHAPTER 2: LITERATURE REVIEW </w:t>
      </w:r>
    </w:p>
    <w:p w14:paraId="3C3790D2" w14:textId="77777777" w:rsidR="00B5368A" w:rsidRPr="0044793F" w:rsidRDefault="00B5368A" w:rsidP="00330022">
      <w:pPr>
        <w:pStyle w:val="Heading2"/>
        <w:rPr>
          <w:rFonts w:ascii="Arial" w:hAnsi="Arial" w:cs="Arial"/>
        </w:rPr>
      </w:pPr>
      <w:r w:rsidRPr="0044793F">
        <w:rPr>
          <w:rFonts w:ascii="Arial" w:hAnsi="Arial" w:cs="Arial"/>
        </w:rPr>
        <w:t>2.1 Introduction</w:t>
      </w:r>
    </w:p>
    <w:p w14:paraId="79C8F485" w14:textId="77777777" w:rsidR="000F4B89" w:rsidRPr="0044793F" w:rsidRDefault="000F4B89" w:rsidP="00404048">
      <w:pPr>
        <w:spacing w:line="360" w:lineRule="auto"/>
        <w:jc w:val="both"/>
        <w:rPr>
          <w:rFonts w:ascii="Arial" w:hAnsi="Arial" w:cs="Arial"/>
        </w:rPr>
      </w:pPr>
      <w:r w:rsidRPr="0044793F">
        <w:rPr>
          <w:rFonts w:ascii="Arial" w:hAnsi="Arial" w:cs="Arial"/>
        </w:rPr>
        <w:t>The literature review in this chapter critically examines the literature pertaining to the study of the role of digital marketing in promoting consumer adoption of organic products in the context of Bangladesh. It analyzes three related aspects: digital marketing strategies and their performance in emerging markets; attitudes, motivations and barriers that impact on the adoption of organic products; and technological, economic and cultural characteristics of Bangladesh. The chapter examines the use of social media, content, influencer marketing, online advertising and e-commerce, as well as the factors that affect consumer awareness, trust, attitudes, purchase intentions and adoption. It ends with the definition of the conceptual framework for the systematic literature review and the formulation of the research gaps.</w:t>
      </w:r>
    </w:p>
    <w:p w14:paraId="3ABBA799" w14:textId="704DF550" w:rsidR="00B5368A" w:rsidRPr="0044793F" w:rsidRDefault="00B5368A" w:rsidP="00330022">
      <w:pPr>
        <w:pStyle w:val="Heading2"/>
        <w:rPr>
          <w:rFonts w:ascii="Arial" w:hAnsi="Arial" w:cs="Arial"/>
        </w:rPr>
      </w:pPr>
      <w:r w:rsidRPr="0044793F">
        <w:rPr>
          <w:rFonts w:ascii="Arial" w:hAnsi="Arial" w:cs="Arial"/>
        </w:rPr>
        <w:t>2.2 Digital Marketing Strategies: Components, Applications and Effectiveness</w:t>
      </w:r>
    </w:p>
    <w:p w14:paraId="4C197438" w14:textId="77777777" w:rsidR="00B5368A" w:rsidRPr="0044793F" w:rsidRDefault="00B5368A" w:rsidP="00330022">
      <w:pPr>
        <w:pStyle w:val="Heading3"/>
        <w:rPr>
          <w:rFonts w:ascii="Arial" w:hAnsi="Arial" w:cs="Arial"/>
        </w:rPr>
      </w:pPr>
      <w:r w:rsidRPr="0044793F">
        <w:rPr>
          <w:rFonts w:ascii="Arial" w:hAnsi="Arial" w:cs="Arial"/>
        </w:rPr>
        <w:t>2.2.1 Digital Marketing Landscape</w:t>
      </w:r>
    </w:p>
    <w:p w14:paraId="6F25625E"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Digital marketing is a complete transformation in the communication and value that </w:t>
      </w:r>
      <w:proofErr w:type="spellStart"/>
      <w:r w:rsidRPr="0044793F">
        <w:rPr>
          <w:rFonts w:ascii="Arial" w:hAnsi="Arial" w:cs="Arial"/>
        </w:rPr>
        <w:t>organisations</w:t>
      </w:r>
      <w:proofErr w:type="spellEnd"/>
      <w:r w:rsidRPr="0044793F">
        <w:rPr>
          <w:rFonts w:ascii="Arial" w:hAnsi="Arial" w:cs="Arial"/>
        </w:rPr>
        <w:t xml:space="preserve"> provide to consumers (Chaffey and Ellis-Chadwick, 2019). It is an "adaptive, technology-driven co-creation, communication, delivery and sustainment of value process between firms and customers/partners that includes all stakeholders" (Kannan and Li 2017, p. 23). It highlights the fact that digital marketing communications are interactive and collaborative, unlike traditional one-way marketing communications.</w:t>
      </w:r>
    </w:p>
    <w:p w14:paraId="083BB599" w14:textId="77777777" w:rsidR="00DD3646" w:rsidRPr="0044793F" w:rsidRDefault="00DD3646" w:rsidP="00DD3646">
      <w:pPr>
        <w:spacing w:line="360" w:lineRule="auto"/>
        <w:jc w:val="both"/>
        <w:rPr>
          <w:rFonts w:ascii="Arial" w:hAnsi="Arial" w:cs="Arial"/>
        </w:rPr>
      </w:pPr>
      <w:r w:rsidRPr="0044793F">
        <w:rPr>
          <w:rFonts w:ascii="Arial" w:hAnsi="Arial" w:cs="Arial"/>
        </w:rPr>
        <w:t xml:space="preserve">Digital marketing is comprised of different types of digital marketing including search engine marketing, social media marketing, content marketing, email marketing and mobile marketing (Chaffey and Ellis-Chadwick, 2019). Each has unique strengths and benefits for various marketing goals, marketing audiences and budgets. Digital marketing evolution has been one of the </w:t>
      </w:r>
      <w:proofErr w:type="gramStart"/>
      <w:r w:rsidRPr="0044793F">
        <w:rPr>
          <w:rFonts w:ascii="Arial" w:hAnsi="Arial" w:cs="Arial"/>
        </w:rPr>
        <w:t>sophistication</w:t>
      </w:r>
      <w:proofErr w:type="gramEnd"/>
      <w:r w:rsidRPr="0044793F">
        <w:rPr>
          <w:rFonts w:ascii="Arial" w:hAnsi="Arial" w:cs="Arial"/>
        </w:rPr>
        <w:t xml:space="preserve"> in digital marketing from simple website to complex and data-driven, omnichannel approach, as explained by Dwivedi et al. (2021). In recent systematic reviews, digital transformation in marketing has been shown to be a key driver in the reconfiguration of business value creation and delivery in both developed </w:t>
      </w:r>
      <w:r w:rsidRPr="0044793F">
        <w:rPr>
          <w:rFonts w:ascii="Arial" w:hAnsi="Arial" w:cs="Arial"/>
        </w:rPr>
        <w:lastRenderedPageBreak/>
        <w:t>and emerging markets (</w:t>
      </w:r>
      <w:proofErr w:type="spellStart"/>
      <w:r w:rsidRPr="0044793F">
        <w:rPr>
          <w:rFonts w:ascii="Arial" w:hAnsi="Arial" w:cs="Arial"/>
        </w:rPr>
        <w:t>Cioppi</w:t>
      </w:r>
      <w:proofErr w:type="spellEnd"/>
      <w:r w:rsidRPr="0044793F">
        <w:rPr>
          <w:rFonts w:ascii="Arial" w:hAnsi="Arial" w:cs="Arial"/>
        </w:rPr>
        <w:t xml:space="preserve"> et al., 2023; Athaide et al., 2025). But the adoption and effectiveness rate </w:t>
      </w:r>
      <w:proofErr w:type="gramStart"/>
      <w:r w:rsidRPr="0044793F">
        <w:rPr>
          <w:rFonts w:ascii="Arial" w:hAnsi="Arial" w:cs="Arial"/>
        </w:rPr>
        <w:t>is</w:t>
      </w:r>
      <w:proofErr w:type="gramEnd"/>
      <w:r w:rsidRPr="0044793F">
        <w:rPr>
          <w:rFonts w:ascii="Arial" w:hAnsi="Arial" w:cs="Arial"/>
        </w:rPr>
        <w:t xml:space="preserve"> different from place to place and varies according to the economic background (Dwivedi et al., 2021).</w:t>
      </w:r>
    </w:p>
    <w:p w14:paraId="40B85DBA" w14:textId="75B27563" w:rsidR="00B5368A" w:rsidRPr="0044793F" w:rsidRDefault="00DD3646" w:rsidP="00DD3646">
      <w:pPr>
        <w:spacing w:line="360" w:lineRule="auto"/>
        <w:jc w:val="both"/>
        <w:rPr>
          <w:rFonts w:ascii="Arial" w:hAnsi="Arial" w:cs="Arial"/>
          <w:b/>
          <w:bCs/>
        </w:rPr>
      </w:pPr>
      <w:r w:rsidRPr="0044793F">
        <w:rPr>
          <w:rFonts w:ascii="Arial" w:hAnsi="Arial" w:cs="Arial"/>
        </w:rPr>
        <w:t>The key of content marketing is creating value and relevance for engagement and retention of customers (Chaffey and Ellis-Chadwick, 2019). Content marketing is a marketing approach that does not promote products but is a more genuine approach that provides value. It has been observed that in case of the organic product market development with the significance of the consumer education and creation of awareness, this strategy is proved to be effective (Kaur and Kaur, 2020). Digital marketing efforts that focus on educational content and sustainability stories have been especially successful for brands in the food and beverage industry who are also pursuing sustainability goals (</w:t>
      </w:r>
      <w:proofErr w:type="spellStart"/>
      <w:r w:rsidRPr="0044793F">
        <w:rPr>
          <w:rFonts w:ascii="Arial" w:hAnsi="Arial" w:cs="Arial"/>
        </w:rPr>
        <w:t>Soodan</w:t>
      </w:r>
      <w:proofErr w:type="spellEnd"/>
      <w:r w:rsidRPr="0044793F">
        <w:rPr>
          <w:rFonts w:ascii="Arial" w:hAnsi="Arial" w:cs="Arial"/>
        </w:rPr>
        <w:t xml:space="preserve"> et al., 2026).</w:t>
      </w:r>
    </w:p>
    <w:p w14:paraId="7BF078BE" w14:textId="77777777" w:rsidR="00B5368A" w:rsidRPr="0044793F" w:rsidRDefault="00B5368A" w:rsidP="00330022">
      <w:pPr>
        <w:pStyle w:val="Heading3"/>
        <w:rPr>
          <w:rFonts w:ascii="Arial" w:hAnsi="Arial" w:cs="Arial"/>
        </w:rPr>
      </w:pPr>
      <w:r w:rsidRPr="0044793F">
        <w:rPr>
          <w:rFonts w:ascii="Arial" w:hAnsi="Arial" w:cs="Arial"/>
        </w:rPr>
        <w:t>2.2.2 Digital Marketing in Emerging Market Contexts</w:t>
      </w:r>
    </w:p>
    <w:p w14:paraId="3BA9333B" w14:textId="77777777" w:rsidR="000F4B89" w:rsidRPr="0044793F" w:rsidRDefault="000F4B89" w:rsidP="000F4B89">
      <w:pPr>
        <w:spacing w:line="360" w:lineRule="auto"/>
        <w:jc w:val="both"/>
        <w:rPr>
          <w:rFonts w:ascii="Arial" w:hAnsi="Arial" w:cs="Arial"/>
        </w:rPr>
      </w:pPr>
      <w:r w:rsidRPr="0044793F">
        <w:rPr>
          <w:rFonts w:ascii="Arial" w:hAnsi="Arial" w:cs="Arial"/>
        </w:rPr>
        <w:t>Digital marketing activities are essentially dependent on digital infrastructure. Internet connectivity, which has emerged as a critical medium in Bangladesh and notably reached over 100 million users representing half of its total population, has been steadily growing over the past few years (Bangladesh Telecommunication Regulatory Commission, 2022). But there are still wide disparities between urban and rural areas, with higher penetration in urban areas, and lower internet speeds than in developed markets (Hossain et al., 2020). This is an infrastructure limitation that will affect the ability to provide rich marketing material, such as video.</w:t>
      </w:r>
    </w:p>
    <w:p w14:paraId="4FCDB903" w14:textId="77777777" w:rsidR="000F4B89" w:rsidRPr="0044793F" w:rsidRDefault="000F4B89" w:rsidP="000F4B89">
      <w:pPr>
        <w:spacing w:line="360" w:lineRule="auto"/>
        <w:jc w:val="both"/>
        <w:rPr>
          <w:rFonts w:ascii="Arial" w:hAnsi="Arial" w:cs="Arial"/>
        </w:rPr>
      </w:pPr>
      <w:r w:rsidRPr="0044793F">
        <w:rPr>
          <w:rFonts w:ascii="Arial" w:hAnsi="Arial" w:cs="Arial"/>
        </w:rPr>
        <w:t xml:space="preserve">Trust is an important issue when dealing with digital contexts in emerging markets. In the case of Bangladesh, Shareef et al. (2019) revealed that consumers' trust in online vendors is significantly lower than the consumers of developed markets because of issues related to authenticity of the product, security of payment and reliability of delivery. Trust building and formalizing a production chain for organic products is also crucial, it forms part of the value chain, and can be difficult to achieve through digital channels (Rahman et al., 2021). Multifaceted approaches are essential for fostering consumer trust in e-commerce, such as transparent return policies, verified seller credentials, secure </w:t>
      </w:r>
      <w:r w:rsidRPr="0044793F">
        <w:rPr>
          <w:rFonts w:ascii="Arial" w:hAnsi="Arial" w:cs="Arial"/>
        </w:rPr>
        <w:lastRenderedPageBreak/>
        <w:t>payment gateways, and product quality standards, as highlighted by recent studies on the e-commerce landscape in Bangladesh (Kundu et al., 2024).</w:t>
      </w:r>
    </w:p>
    <w:p w14:paraId="0EEC657D" w14:textId="775D4284" w:rsidR="00B5368A" w:rsidRPr="0044793F" w:rsidRDefault="00B5368A" w:rsidP="00330022">
      <w:pPr>
        <w:pStyle w:val="Heading2"/>
        <w:rPr>
          <w:rFonts w:ascii="Arial" w:hAnsi="Arial" w:cs="Arial"/>
        </w:rPr>
      </w:pPr>
      <w:r w:rsidRPr="0044793F">
        <w:rPr>
          <w:rFonts w:ascii="Arial" w:hAnsi="Arial" w:cs="Arial"/>
        </w:rPr>
        <w:t xml:space="preserve">2.3 Consumer </w:t>
      </w:r>
      <w:proofErr w:type="spellStart"/>
      <w:r w:rsidRPr="0044793F">
        <w:rPr>
          <w:rFonts w:ascii="Arial" w:hAnsi="Arial" w:cs="Arial"/>
        </w:rPr>
        <w:t>Behaviour</w:t>
      </w:r>
      <w:proofErr w:type="spellEnd"/>
      <w:r w:rsidRPr="0044793F">
        <w:rPr>
          <w:rFonts w:ascii="Arial" w:hAnsi="Arial" w:cs="Arial"/>
        </w:rPr>
        <w:t xml:space="preserve"> Towards Organic Products: Determinants and Barriers</w:t>
      </w:r>
    </w:p>
    <w:p w14:paraId="1DFE17F2" w14:textId="77777777" w:rsidR="00B5368A" w:rsidRPr="0044793F" w:rsidRDefault="00B5368A" w:rsidP="00330022">
      <w:pPr>
        <w:pStyle w:val="Heading3"/>
        <w:rPr>
          <w:rFonts w:ascii="Arial" w:hAnsi="Arial" w:cs="Arial"/>
        </w:rPr>
      </w:pPr>
      <w:r w:rsidRPr="0044793F">
        <w:rPr>
          <w:rFonts w:ascii="Arial" w:hAnsi="Arial" w:cs="Arial"/>
        </w:rPr>
        <w:t>2.3.1 Motivations for Organic Product Consumption</w:t>
      </w:r>
    </w:p>
    <w:p w14:paraId="3F84F94C" w14:textId="77777777" w:rsidR="004A44BD" w:rsidRPr="0044793F" w:rsidRDefault="004A44BD" w:rsidP="004A44BD">
      <w:pPr>
        <w:spacing w:line="360" w:lineRule="auto"/>
        <w:jc w:val="both"/>
        <w:rPr>
          <w:rFonts w:ascii="Arial" w:hAnsi="Arial" w:cs="Arial"/>
        </w:rPr>
      </w:pPr>
      <w:r w:rsidRPr="0044793F">
        <w:rPr>
          <w:rFonts w:ascii="Arial" w:hAnsi="Arial" w:cs="Arial"/>
        </w:rPr>
        <w:t xml:space="preserve">Health motivations have been consistently found in a range of studies and contexts and have been identified by </w:t>
      </w:r>
      <w:proofErr w:type="spellStart"/>
      <w:r w:rsidRPr="0044793F">
        <w:rPr>
          <w:rFonts w:ascii="Arial" w:hAnsi="Arial" w:cs="Arial"/>
        </w:rPr>
        <w:t>Aertsens</w:t>
      </w:r>
      <w:proofErr w:type="spellEnd"/>
      <w:r w:rsidRPr="0044793F">
        <w:rPr>
          <w:rFonts w:ascii="Arial" w:hAnsi="Arial" w:cs="Arial"/>
        </w:rPr>
        <w:t xml:space="preserve"> et al. (2009) and Rana &amp; Paul (2017). Consumers think that organic products are healthier since they are not contaminated by pesticides, are more nutritious and do not contain additives. Parents purchasing for their children are especially driven by the health benefit, to minimize their children's exposure to potentially harmful chemicals (</w:t>
      </w:r>
      <w:proofErr w:type="spellStart"/>
      <w:r w:rsidRPr="0044793F">
        <w:rPr>
          <w:rFonts w:ascii="Arial" w:hAnsi="Arial" w:cs="Arial"/>
        </w:rPr>
        <w:t>Hughner</w:t>
      </w:r>
      <w:proofErr w:type="spellEnd"/>
      <w:r w:rsidRPr="0044793F">
        <w:rPr>
          <w:rFonts w:ascii="Arial" w:hAnsi="Arial" w:cs="Arial"/>
        </w:rPr>
        <w:t xml:space="preserve"> et al., 2007). Empirical studies in recent years still have various contexts that prove health consciousness is the leading determinant of purchase intention of organic products (</w:t>
      </w:r>
      <w:proofErr w:type="spellStart"/>
      <w:r w:rsidRPr="0044793F">
        <w:rPr>
          <w:rFonts w:ascii="Arial" w:hAnsi="Arial" w:cs="Arial"/>
        </w:rPr>
        <w:t>Gundala</w:t>
      </w:r>
      <w:proofErr w:type="spellEnd"/>
      <w:r w:rsidRPr="0044793F">
        <w:rPr>
          <w:rFonts w:ascii="Arial" w:hAnsi="Arial" w:cs="Arial"/>
        </w:rPr>
        <w:t xml:space="preserve"> and Singh, 2021; Wang et al., 2020; Nguyen-Viet, 2022).</w:t>
      </w:r>
    </w:p>
    <w:p w14:paraId="6B5CAEED" w14:textId="77777777" w:rsidR="004A44BD" w:rsidRPr="0044793F" w:rsidRDefault="004A44BD" w:rsidP="004A44BD">
      <w:pPr>
        <w:spacing w:line="360" w:lineRule="auto"/>
        <w:jc w:val="both"/>
        <w:rPr>
          <w:rFonts w:ascii="Arial" w:hAnsi="Arial" w:cs="Arial"/>
        </w:rPr>
      </w:pPr>
      <w:r w:rsidRPr="0044793F">
        <w:rPr>
          <w:rFonts w:ascii="Arial" w:hAnsi="Arial" w:cs="Arial"/>
        </w:rPr>
        <w:t>Among consumers, environmental concerns like the risk of pesticide pollution, soil degradation and biodiversity loss also play an important role (</w:t>
      </w:r>
      <w:proofErr w:type="spellStart"/>
      <w:r w:rsidRPr="0044793F">
        <w:rPr>
          <w:rFonts w:ascii="Arial" w:hAnsi="Arial" w:cs="Arial"/>
        </w:rPr>
        <w:t>Aertsens</w:t>
      </w:r>
      <w:proofErr w:type="spellEnd"/>
      <w:r w:rsidRPr="0044793F">
        <w:rPr>
          <w:rFonts w:ascii="Arial" w:hAnsi="Arial" w:cs="Arial"/>
        </w:rPr>
        <w:t xml:space="preserve"> et al., 2009). These consumers feel they are making a choice that reflects their values in the purchase of organic products, values relating both to the environment and sustainable farming systems. </w:t>
      </w:r>
      <w:proofErr w:type="spellStart"/>
      <w:r w:rsidRPr="0044793F">
        <w:rPr>
          <w:rFonts w:ascii="Arial" w:hAnsi="Arial" w:cs="Arial"/>
        </w:rPr>
        <w:t>Hughner</w:t>
      </w:r>
      <w:proofErr w:type="spellEnd"/>
      <w:r w:rsidRPr="0044793F">
        <w:rPr>
          <w:rFonts w:ascii="Arial" w:hAnsi="Arial" w:cs="Arial"/>
        </w:rPr>
        <w:t xml:space="preserve"> et al. (2007) found that environmental motivations are more likely to have a strong influence on segments that have high education levels and high environmental concern, but less likely to have an influence than health motivations. According to Wang et al. (2020), environmental consciousness plays a mediating role between it and purchase intention of the organic product and this relationship is moderated by price sensitivity.</w:t>
      </w:r>
    </w:p>
    <w:p w14:paraId="52E77EE8" w14:textId="5DAF9D87" w:rsidR="00853F5B" w:rsidRPr="0044793F" w:rsidRDefault="004A44BD" w:rsidP="004A44BD">
      <w:pPr>
        <w:spacing w:line="360" w:lineRule="auto"/>
        <w:jc w:val="both"/>
        <w:rPr>
          <w:rFonts w:ascii="Arial" w:hAnsi="Arial" w:cs="Arial"/>
          <w:b/>
          <w:bCs/>
        </w:rPr>
      </w:pPr>
      <w:r w:rsidRPr="0044793F">
        <w:rPr>
          <w:rFonts w:ascii="Arial" w:hAnsi="Arial" w:cs="Arial"/>
        </w:rPr>
        <w:t xml:space="preserve">Food safety concerns are the main factor influencing the consumption of organic food, particularly with regard to the presence of pesticides and bacteria, which have threatened the trust in conventional food systems in the wake of food safety scandals (Rana and Paul, 2017). This motivation is especially applicable in Bangladesh where several studies have reported high levels of pesticide residues in vegetables and fruits that are above </w:t>
      </w:r>
      <w:r w:rsidRPr="0044793F">
        <w:rPr>
          <w:rFonts w:ascii="Arial" w:hAnsi="Arial" w:cs="Arial"/>
        </w:rPr>
        <w:lastRenderedPageBreak/>
        <w:t xml:space="preserve">safe limits (Chowdhury et al., 2013; </w:t>
      </w:r>
      <w:proofErr w:type="spellStart"/>
      <w:r w:rsidRPr="0044793F">
        <w:rPr>
          <w:rFonts w:ascii="Arial" w:hAnsi="Arial" w:cs="Arial"/>
        </w:rPr>
        <w:t>Alam</w:t>
      </w:r>
      <w:proofErr w:type="spellEnd"/>
      <w:r w:rsidRPr="0044793F">
        <w:rPr>
          <w:rFonts w:ascii="Arial" w:hAnsi="Arial" w:cs="Arial"/>
        </w:rPr>
        <w:t xml:space="preserve"> et al., 2020). The WQA has recently been used to report on high levels of pesticides in vegetables in Bangladesh in comprehensive studies (Paul et al., 2025; </w:t>
      </w:r>
      <w:proofErr w:type="spellStart"/>
      <w:r w:rsidRPr="0044793F">
        <w:rPr>
          <w:rFonts w:ascii="Arial" w:hAnsi="Arial" w:cs="Arial"/>
        </w:rPr>
        <w:t>Momtaz</w:t>
      </w:r>
      <w:proofErr w:type="spellEnd"/>
      <w:r w:rsidRPr="0044793F">
        <w:rPr>
          <w:rFonts w:ascii="Arial" w:hAnsi="Arial" w:cs="Arial"/>
        </w:rPr>
        <w:t xml:space="preserve"> and Khan, 2024; Islam et al., 2021).</w:t>
      </w:r>
    </w:p>
    <w:p w14:paraId="15FC7A14" w14:textId="77777777" w:rsidR="00B5368A" w:rsidRPr="0044793F" w:rsidRDefault="00B5368A" w:rsidP="00330022">
      <w:pPr>
        <w:pStyle w:val="Heading3"/>
        <w:rPr>
          <w:rFonts w:ascii="Arial" w:hAnsi="Arial" w:cs="Arial"/>
        </w:rPr>
      </w:pPr>
      <w:r w:rsidRPr="0044793F">
        <w:rPr>
          <w:rFonts w:ascii="Arial" w:hAnsi="Arial" w:cs="Arial"/>
        </w:rPr>
        <w:t>2.3.2 Barriers to Organic Product Adoption</w:t>
      </w:r>
    </w:p>
    <w:p w14:paraId="14F4A5ED" w14:textId="77777777" w:rsidR="004A44BD" w:rsidRPr="0044793F" w:rsidRDefault="004A44BD" w:rsidP="00404048">
      <w:pPr>
        <w:spacing w:line="360" w:lineRule="auto"/>
        <w:jc w:val="both"/>
        <w:rPr>
          <w:rFonts w:ascii="Arial" w:hAnsi="Arial" w:cs="Arial"/>
        </w:rPr>
      </w:pPr>
      <w:r w:rsidRPr="0044793F">
        <w:rPr>
          <w:rFonts w:ascii="Arial" w:hAnsi="Arial" w:cs="Arial"/>
        </w:rPr>
        <w:t>Lack of trust and skepticism in organic certification and labelling systems can hinder, especially in situations where there is low consumer trust in certification (Tandon et al., 2020). Consumers question if products that are labelled "organic" are really organic and if standards are rigorous enough to ensure that the product is really organic. This uncertainty is particularly pronounced in developing countries where the regulatory environment is deemed to be weak (Rana and Paul, 2017). Amin and Tarun (2020) found that 68% of the consumers knew about the organic products in Bangladesh, but the major hurdles were their skepticism about the organic claims and the lack of information about identification of real organic products. This trust in organic certification, organic producers, and digital platforms selling organic products has been substantiated by recent studies in Bangladesh which found that these are the key factors that influence purchase intention (Kabir and Islam, 2022; Rahman et al., 2021).</w:t>
      </w:r>
    </w:p>
    <w:p w14:paraId="73A23E2D" w14:textId="29E36DB6" w:rsidR="00B5368A" w:rsidRPr="0044793F" w:rsidRDefault="00B5368A" w:rsidP="00330022">
      <w:pPr>
        <w:pStyle w:val="Heading3"/>
        <w:rPr>
          <w:rFonts w:ascii="Arial" w:hAnsi="Arial" w:cs="Arial"/>
        </w:rPr>
      </w:pPr>
      <w:r w:rsidRPr="0044793F">
        <w:rPr>
          <w:rFonts w:ascii="Arial" w:hAnsi="Arial" w:cs="Arial"/>
        </w:rPr>
        <w:t xml:space="preserve">2.3.3 Organic Consumer </w:t>
      </w:r>
      <w:proofErr w:type="spellStart"/>
      <w:r w:rsidRPr="0044793F">
        <w:rPr>
          <w:rFonts w:ascii="Arial" w:hAnsi="Arial" w:cs="Arial"/>
        </w:rPr>
        <w:t>Behaviour</w:t>
      </w:r>
      <w:proofErr w:type="spellEnd"/>
      <w:r w:rsidRPr="0044793F">
        <w:rPr>
          <w:rFonts w:ascii="Arial" w:hAnsi="Arial" w:cs="Arial"/>
        </w:rPr>
        <w:t xml:space="preserve"> in Emerging Markets</w:t>
      </w:r>
    </w:p>
    <w:p w14:paraId="0CC8B4A4" w14:textId="77777777" w:rsidR="004A44BD" w:rsidRPr="0044793F" w:rsidRDefault="004A44BD" w:rsidP="004A44BD">
      <w:pPr>
        <w:spacing w:line="360" w:lineRule="auto"/>
        <w:jc w:val="both"/>
        <w:rPr>
          <w:rFonts w:ascii="Arial" w:hAnsi="Arial" w:cs="Arial"/>
        </w:rPr>
      </w:pPr>
      <w:r w:rsidRPr="0044793F">
        <w:rPr>
          <w:rFonts w:ascii="Arial" w:hAnsi="Arial" w:cs="Arial"/>
        </w:rPr>
        <w:t>In emerging markets, the importance of health is even stronger than in the developed ones, and food safety issues are even more significant due to the low level of food safety regulations and the aforementioned food safety scandals (Rana and Paul, 2017). In comparison, environmental motivations are usually less significant and this suggests that the environmental motives are not as strong in most emerging economies.</w:t>
      </w:r>
    </w:p>
    <w:p w14:paraId="0AC6A031" w14:textId="77777777" w:rsidR="004A44BD" w:rsidRPr="0044793F" w:rsidRDefault="004A44BD" w:rsidP="004A44BD">
      <w:pPr>
        <w:spacing w:line="360" w:lineRule="auto"/>
        <w:jc w:val="both"/>
        <w:rPr>
          <w:rFonts w:ascii="Arial" w:hAnsi="Arial" w:cs="Arial"/>
        </w:rPr>
      </w:pPr>
      <w:r w:rsidRPr="0044793F">
        <w:rPr>
          <w:rFonts w:ascii="Arial" w:hAnsi="Arial" w:cs="Arial"/>
        </w:rPr>
        <w:t>Trust is also more difficult to win in emerging markets, where organic certification systems are not as developed, and the regulatory oversight is less (Tandon et al., 2020). Consumers show high skepticism towards the use of organic labels, and high preferences for trust building mechanism, including direct relationships with the farmer, and/or transparency in the supply chain.</w:t>
      </w:r>
    </w:p>
    <w:p w14:paraId="67F3566B" w14:textId="00FC3C84" w:rsidR="00B5368A" w:rsidRPr="0044793F" w:rsidRDefault="004A44BD" w:rsidP="004A44BD">
      <w:pPr>
        <w:spacing w:line="360" w:lineRule="auto"/>
        <w:jc w:val="both"/>
        <w:rPr>
          <w:rFonts w:ascii="Arial" w:hAnsi="Arial" w:cs="Arial"/>
          <w:b/>
          <w:bCs/>
        </w:rPr>
      </w:pPr>
      <w:r w:rsidRPr="0044793F">
        <w:rPr>
          <w:rFonts w:ascii="Arial" w:hAnsi="Arial" w:cs="Arial"/>
        </w:rPr>
        <w:t xml:space="preserve">In a survey of 384 urban consumers in Dhaka city, Bangladesh, Islam et al. (2020) found that health awareness, environment awareness, and subjective norms had positive </w:t>
      </w:r>
      <w:r w:rsidRPr="0044793F">
        <w:rPr>
          <w:rFonts w:ascii="Arial" w:hAnsi="Arial" w:cs="Arial"/>
        </w:rPr>
        <w:lastRenderedPageBreak/>
        <w:t>impact on purchase intention while perceived high price and limited availability had negative impact. The most significant factor was health awareness and next was environmental concern. However, there is still attitude-</w:t>
      </w:r>
      <w:proofErr w:type="spellStart"/>
      <w:r w:rsidRPr="0044793F">
        <w:rPr>
          <w:rFonts w:ascii="Arial" w:hAnsi="Arial" w:cs="Arial"/>
        </w:rPr>
        <w:t>behaviour</w:t>
      </w:r>
      <w:proofErr w:type="spellEnd"/>
      <w:r w:rsidRPr="0044793F">
        <w:rPr>
          <w:rFonts w:ascii="Arial" w:hAnsi="Arial" w:cs="Arial"/>
        </w:rPr>
        <w:t xml:space="preserve"> gap as consumers reported good attitudes but the actual purchase was still few. Rahman et al. (2021) reported that trust in the digital channel can be achieved through information, non-disclosure of certification, secure payments and delivery reliability.</w:t>
      </w:r>
    </w:p>
    <w:p w14:paraId="7D472F9E" w14:textId="77777777" w:rsidR="00B5368A" w:rsidRPr="0044793F" w:rsidRDefault="00B5368A" w:rsidP="00330022">
      <w:pPr>
        <w:pStyle w:val="Heading2"/>
        <w:rPr>
          <w:rFonts w:ascii="Arial" w:hAnsi="Arial" w:cs="Arial"/>
        </w:rPr>
      </w:pPr>
      <w:r w:rsidRPr="0044793F">
        <w:rPr>
          <w:rFonts w:ascii="Arial" w:hAnsi="Arial" w:cs="Arial"/>
        </w:rPr>
        <w:t>2.4 The Bangladeshi Context: Digital Infrastructure, Organic Market, and Cultural Factors</w:t>
      </w:r>
    </w:p>
    <w:p w14:paraId="2EFABE0E" w14:textId="77777777" w:rsidR="00B5368A" w:rsidRPr="0044793F" w:rsidRDefault="00B5368A" w:rsidP="00330022">
      <w:pPr>
        <w:pStyle w:val="Heading3"/>
        <w:rPr>
          <w:rFonts w:ascii="Arial" w:hAnsi="Arial" w:cs="Arial"/>
        </w:rPr>
      </w:pPr>
      <w:r w:rsidRPr="0044793F">
        <w:rPr>
          <w:rFonts w:ascii="Arial" w:hAnsi="Arial" w:cs="Arial"/>
        </w:rPr>
        <w:t>2.4.1 Bangladesh's Digital Transformation</w:t>
      </w:r>
    </w:p>
    <w:p w14:paraId="427D5C30" w14:textId="77777777" w:rsidR="000F4B89" w:rsidRPr="0044793F" w:rsidRDefault="000F4B89" w:rsidP="00404048">
      <w:pPr>
        <w:spacing w:line="360" w:lineRule="auto"/>
        <w:jc w:val="both"/>
        <w:rPr>
          <w:rFonts w:ascii="Arial" w:hAnsi="Arial" w:cs="Arial"/>
        </w:rPr>
      </w:pPr>
      <w:r w:rsidRPr="0044793F">
        <w:rPr>
          <w:rFonts w:ascii="Arial" w:hAnsi="Arial" w:cs="Arial"/>
        </w:rPr>
        <w:t>Presently, the use of mobile internet is prevalent with more than 95% of internet users accessing predominantly via their smartphones instead of computers (Bangladesh Telecommunication Regulatory Commission, 2022). This mobile-centric nature has had a profound effect on digital marketing by conveying the need for mobile-friendly content and user experiences. This is particularly true of social media, as more than 44 million people use Facebook (Statista, 2022). The results obtained from the study of Islam et al. (2021) revealed that the Facebook marketing had significant positive influence on the purchase intention of Bangladeshi consumers and brand trust was revealed to be a moderating variable between the Facebook marketing and the purchase intention of Bangladeshi consumers.</w:t>
      </w:r>
    </w:p>
    <w:p w14:paraId="68764760" w14:textId="0F7CD17D" w:rsidR="00B5368A" w:rsidRPr="0044793F" w:rsidRDefault="00B5368A" w:rsidP="00330022">
      <w:pPr>
        <w:pStyle w:val="Heading3"/>
        <w:rPr>
          <w:rFonts w:ascii="Arial" w:hAnsi="Arial" w:cs="Arial"/>
        </w:rPr>
      </w:pPr>
      <w:r w:rsidRPr="0044793F">
        <w:rPr>
          <w:rFonts w:ascii="Arial" w:hAnsi="Arial" w:cs="Arial"/>
        </w:rPr>
        <w:t>2.4.2 Agriculture and Food Safety Challenges</w:t>
      </w:r>
    </w:p>
    <w:p w14:paraId="4DC3372E" w14:textId="77777777" w:rsidR="000F4B89" w:rsidRPr="0044793F" w:rsidRDefault="000F4B89" w:rsidP="000F4B89">
      <w:pPr>
        <w:spacing w:line="360" w:lineRule="auto"/>
        <w:jc w:val="both"/>
        <w:rPr>
          <w:rFonts w:ascii="Arial" w:hAnsi="Arial" w:cs="Arial"/>
        </w:rPr>
      </w:pPr>
      <w:r w:rsidRPr="0044793F">
        <w:rPr>
          <w:rFonts w:ascii="Arial" w:hAnsi="Arial" w:cs="Arial"/>
        </w:rPr>
        <w:t xml:space="preserve">In Bangladesh, 11.22% GDP is generated through agriculture and around 40% of the </w:t>
      </w:r>
      <w:proofErr w:type="spellStart"/>
      <w:r w:rsidRPr="0044793F">
        <w:rPr>
          <w:rFonts w:ascii="Arial" w:hAnsi="Arial" w:cs="Arial"/>
        </w:rPr>
        <w:t>labour</w:t>
      </w:r>
      <w:proofErr w:type="spellEnd"/>
      <w:r w:rsidRPr="0044793F">
        <w:rPr>
          <w:rFonts w:ascii="Arial" w:hAnsi="Arial" w:cs="Arial"/>
        </w:rPr>
        <w:t xml:space="preserve"> force is engaged in agriculture (Bangladesh Bureau of Statistics 2021). The sector is known as a high cultivation, heavy use of chemical fertilizers and pesticides, and high production per unit area (Rahman, 2018).</w:t>
      </w:r>
    </w:p>
    <w:p w14:paraId="5528AF6F" w14:textId="77777777" w:rsidR="000F4B89" w:rsidRPr="0044793F" w:rsidRDefault="000F4B89" w:rsidP="000F4B89">
      <w:pPr>
        <w:spacing w:line="360" w:lineRule="auto"/>
        <w:jc w:val="both"/>
        <w:rPr>
          <w:rFonts w:ascii="Arial" w:hAnsi="Arial" w:cs="Arial"/>
        </w:rPr>
      </w:pPr>
      <w:r w:rsidRPr="0044793F">
        <w:rPr>
          <w:rFonts w:ascii="Arial" w:hAnsi="Arial" w:cs="Arial"/>
        </w:rPr>
        <w:t xml:space="preserve">The heavy on the use of agrochemicals has resulted in severe environmental and health problems. It has been found in several studies that vegetables and fruits contain amounts of pesticide that exceed the safe levels of consumption (Chowdhury et al., 2013; </w:t>
      </w:r>
      <w:proofErr w:type="spellStart"/>
      <w:r w:rsidRPr="0044793F">
        <w:rPr>
          <w:rFonts w:ascii="Arial" w:hAnsi="Arial" w:cs="Arial"/>
        </w:rPr>
        <w:t>Alam</w:t>
      </w:r>
      <w:proofErr w:type="spellEnd"/>
      <w:r w:rsidRPr="0044793F">
        <w:rPr>
          <w:rFonts w:ascii="Arial" w:hAnsi="Arial" w:cs="Arial"/>
        </w:rPr>
        <w:t xml:space="preserve"> et al., 2020). Chowdhury et al. (2013) found traces of 19 types of pesticides in vegetables samples collected from the markets of Dhaka and among the 21% of the samples, 21% </w:t>
      </w:r>
      <w:r w:rsidRPr="0044793F">
        <w:rPr>
          <w:rFonts w:ascii="Arial" w:hAnsi="Arial" w:cs="Arial"/>
        </w:rPr>
        <w:lastRenderedPageBreak/>
        <w:t>of the samples exceeded the MRLs. This has heightened consumers' concerns regarding food safety, and may provide an opportunity for Certified Organic alternatives (</w:t>
      </w:r>
      <w:proofErr w:type="spellStart"/>
      <w:r w:rsidRPr="0044793F">
        <w:rPr>
          <w:rFonts w:ascii="Arial" w:hAnsi="Arial" w:cs="Arial"/>
        </w:rPr>
        <w:t>Alam</w:t>
      </w:r>
      <w:proofErr w:type="spellEnd"/>
      <w:r w:rsidRPr="0044793F">
        <w:rPr>
          <w:rFonts w:ascii="Arial" w:hAnsi="Arial" w:cs="Arial"/>
        </w:rPr>
        <w:t xml:space="preserve"> et al. 2020).</w:t>
      </w:r>
    </w:p>
    <w:p w14:paraId="1EE7B7FC" w14:textId="77777777" w:rsidR="000F4B89" w:rsidRPr="0044793F" w:rsidRDefault="000F4B89" w:rsidP="000F4B89">
      <w:pPr>
        <w:spacing w:line="360" w:lineRule="auto"/>
        <w:jc w:val="both"/>
        <w:rPr>
          <w:rFonts w:ascii="Arial" w:hAnsi="Arial" w:cs="Arial"/>
        </w:rPr>
      </w:pPr>
      <w:r w:rsidRPr="0044793F">
        <w:rPr>
          <w:rFonts w:ascii="Arial" w:hAnsi="Arial" w:cs="Arial"/>
        </w:rPr>
        <w:t xml:space="preserve">Detailed surveys still reveal high levels of pesticides in recent years. In a recent 10-year systematic review of pesticide contamination in Bangladeshi vegetables, Paul et al. (2025) reported that 43% of the samples were found to be above the maximum residue limits, with OPs and carbs being the most common residues detected. </w:t>
      </w:r>
      <w:proofErr w:type="spellStart"/>
      <w:r w:rsidRPr="0044793F">
        <w:rPr>
          <w:rFonts w:ascii="Arial" w:hAnsi="Arial" w:cs="Arial"/>
        </w:rPr>
        <w:t>Momtaz</w:t>
      </w:r>
      <w:proofErr w:type="spellEnd"/>
      <w:r w:rsidRPr="0044793F">
        <w:rPr>
          <w:rFonts w:ascii="Arial" w:hAnsi="Arial" w:cs="Arial"/>
        </w:rPr>
        <w:t xml:space="preserve"> and Khan (2024) studied the residues of chlorpyrifos in three vegetable samples: cauliflower, cabbage, and eggplant, detecting residues exceeding safe limits in 38% of the samples, which is between 2-5 times the safe limit. Islam et al. (2021) determined pesticide residues in fresh vegetables of local markets and computed health risk quotient (HRQ) values of pesticides that were higher than the safe limit for children and the vulnerable population. Digital marketing can convey this message to health-conscious consumers, offering an excellent reason for organic alternatives to these continuous food safety concerns.</w:t>
      </w:r>
    </w:p>
    <w:p w14:paraId="0FF148D0" w14:textId="4DDC7E57" w:rsidR="00B5368A" w:rsidRPr="0044793F" w:rsidRDefault="00B5368A" w:rsidP="00330022">
      <w:pPr>
        <w:pStyle w:val="Heading3"/>
        <w:rPr>
          <w:rFonts w:ascii="Arial" w:hAnsi="Arial" w:cs="Arial"/>
        </w:rPr>
      </w:pPr>
      <w:r w:rsidRPr="0044793F">
        <w:rPr>
          <w:rFonts w:ascii="Arial" w:hAnsi="Arial" w:cs="Arial"/>
        </w:rPr>
        <w:t>2.4.3 The Organic Market in Bangladesh</w:t>
      </w:r>
    </w:p>
    <w:p w14:paraId="7D80070D" w14:textId="77777777" w:rsidR="000F4B89" w:rsidRPr="0044793F" w:rsidRDefault="000F4B89" w:rsidP="000F4B89">
      <w:pPr>
        <w:spacing w:line="360" w:lineRule="auto"/>
        <w:jc w:val="both"/>
        <w:rPr>
          <w:rFonts w:ascii="Arial" w:hAnsi="Arial" w:cs="Arial"/>
        </w:rPr>
      </w:pPr>
      <w:r w:rsidRPr="0044793F">
        <w:rPr>
          <w:rFonts w:ascii="Arial" w:hAnsi="Arial" w:cs="Arial"/>
        </w:rPr>
        <w:t xml:space="preserve">The organic agriculture sector in Bangladesh is still in the infant stage as only 1% of the total agricultural land is under certified organic agriculture production (Willer and </w:t>
      </w:r>
      <w:proofErr w:type="spellStart"/>
      <w:r w:rsidRPr="0044793F">
        <w:rPr>
          <w:rFonts w:ascii="Arial" w:hAnsi="Arial" w:cs="Arial"/>
        </w:rPr>
        <w:t>Lernoud</w:t>
      </w:r>
      <w:proofErr w:type="spellEnd"/>
      <w:r w:rsidRPr="0044793F">
        <w:rPr>
          <w:rFonts w:ascii="Arial" w:hAnsi="Arial" w:cs="Arial"/>
        </w:rPr>
        <w:t xml:space="preserve">, 2019). The results indicated that farmer education, extension services and training were positive factors in organic farming while technical knowledge and certification costs were negative factors, along with limited market access. (Sarker and </w:t>
      </w:r>
      <w:proofErr w:type="spellStart"/>
      <w:r w:rsidRPr="0044793F">
        <w:rPr>
          <w:rFonts w:ascii="Arial" w:hAnsi="Arial" w:cs="Arial"/>
        </w:rPr>
        <w:t>Itohara</w:t>
      </w:r>
      <w:proofErr w:type="spellEnd"/>
      <w:r w:rsidRPr="0044793F">
        <w:rPr>
          <w:rFonts w:ascii="Arial" w:hAnsi="Arial" w:cs="Arial"/>
        </w:rPr>
        <w:t>, 2008).</w:t>
      </w:r>
    </w:p>
    <w:p w14:paraId="339B7A08" w14:textId="77777777" w:rsidR="000F4B89" w:rsidRPr="0044793F" w:rsidRDefault="000F4B89" w:rsidP="000F4B89">
      <w:pPr>
        <w:spacing w:line="360" w:lineRule="auto"/>
        <w:jc w:val="both"/>
        <w:rPr>
          <w:rFonts w:ascii="Arial" w:hAnsi="Arial" w:cs="Arial"/>
        </w:rPr>
      </w:pPr>
      <w:r w:rsidRPr="0044793F">
        <w:rPr>
          <w:rFonts w:ascii="Arial" w:hAnsi="Arial" w:cs="Arial"/>
        </w:rPr>
        <w:t>The organic food market is underdeveloped with low levels of formal retail presence and large percentage of direct marketing outlets and specialty stores (Islam et al., 2020). In some of the major cities some dedicated organic stores have sprung up, mainly targeting upper middle class and affluent consumers. Now, digital platforms are beginning to open up paths for marketing organic products and the producers can have direct contact with the consumers and build more trust through transparency (Rahman et al., 2021).</w:t>
      </w:r>
    </w:p>
    <w:p w14:paraId="7BB4F8B9" w14:textId="77777777" w:rsidR="000F4B89" w:rsidRPr="0044793F" w:rsidRDefault="000F4B89" w:rsidP="000F4B89">
      <w:pPr>
        <w:spacing w:line="360" w:lineRule="auto"/>
        <w:jc w:val="both"/>
        <w:rPr>
          <w:rFonts w:ascii="Arial" w:hAnsi="Arial" w:cs="Arial"/>
        </w:rPr>
      </w:pPr>
      <w:r w:rsidRPr="0044793F">
        <w:rPr>
          <w:rFonts w:ascii="Arial" w:hAnsi="Arial" w:cs="Arial"/>
        </w:rPr>
        <w:t xml:space="preserve">But there are a number of limitations that hinder the development of the organic market. The cost of certification is significant, especially for small-scale producers, as are the costs of international certification and the less developed nature of local certification </w:t>
      </w:r>
      <w:r w:rsidRPr="0044793F">
        <w:rPr>
          <w:rFonts w:ascii="Arial" w:hAnsi="Arial" w:cs="Arial"/>
        </w:rPr>
        <w:lastRenderedPageBreak/>
        <w:t xml:space="preserve">systems (Sarker and </w:t>
      </w:r>
      <w:proofErr w:type="spellStart"/>
      <w:r w:rsidRPr="0044793F">
        <w:rPr>
          <w:rFonts w:ascii="Arial" w:hAnsi="Arial" w:cs="Arial"/>
        </w:rPr>
        <w:t>Itohara</w:t>
      </w:r>
      <w:proofErr w:type="spellEnd"/>
      <w:r w:rsidRPr="0044793F">
        <w:rPr>
          <w:rFonts w:ascii="Arial" w:hAnsi="Arial" w:cs="Arial"/>
        </w:rPr>
        <w:t xml:space="preserve">, 2008). Consumer awareness is low and hence the market demand is low, and consumer </w:t>
      </w:r>
      <w:proofErr w:type="spellStart"/>
      <w:r w:rsidRPr="0044793F">
        <w:rPr>
          <w:rFonts w:ascii="Arial" w:hAnsi="Arial" w:cs="Arial"/>
        </w:rPr>
        <w:t>scepticism</w:t>
      </w:r>
      <w:proofErr w:type="spellEnd"/>
      <w:r w:rsidRPr="0044793F">
        <w:rPr>
          <w:rFonts w:ascii="Arial" w:hAnsi="Arial" w:cs="Arial"/>
        </w:rPr>
        <w:t xml:space="preserve"> to the organic claims creates trust barriers (Islam et al., 2020). They pose both obstacles and opportunities in the path of digital marketing interventions which can create awareness, educate consumers, create trust through transparency, and provide direct distribution channels that transcend traditional retail constraints.</w:t>
      </w:r>
    </w:p>
    <w:p w14:paraId="52D483D4" w14:textId="556AC283" w:rsidR="00B5368A" w:rsidRPr="0044793F" w:rsidRDefault="00B5368A" w:rsidP="00330022">
      <w:pPr>
        <w:pStyle w:val="Heading3"/>
        <w:rPr>
          <w:rFonts w:ascii="Arial" w:hAnsi="Arial" w:cs="Arial"/>
        </w:rPr>
      </w:pPr>
      <w:r w:rsidRPr="0044793F">
        <w:rPr>
          <w:rFonts w:ascii="Arial" w:hAnsi="Arial" w:cs="Arial"/>
        </w:rPr>
        <w:t>2.4.4 Cultural Factors Influencing Digital Marketing</w:t>
      </w:r>
    </w:p>
    <w:p w14:paraId="2A37FF7E" w14:textId="77777777" w:rsidR="000F4B89" w:rsidRPr="0044793F" w:rsidRDefault="000F4B89" w:rsidP="000F4B89">
      <w:pPr>
        <w:spacing w:line="360" w:lineRule="auto"/>
        <w:jc w:val="both"/>
        <w:rPr>
          <w:rFonts w:ascii="Arial" w:hAnsi="Arial" w:cs="Arial"/>
        </w:rPr>
      </w:pPr>
      <w:r w:rsidRPr="0044793F">
        <w:rPr>
          <w:rFonts w:ascii="Arial" w:hAnsi="Arial" w:cs="Arial"/>
        </w:rPr>
        <w:t>The Digital Marketing Strategies in Bangladesh are influenced by several cultural factors of the society. Collectivism and family decision making is part of the culture and sometimes purchases are made by more than one member of the family (Shareef et al., 2019). This indicates that the messages about family health and children's wellbeing may be very powerful.</w:t>
      </w:r>
    </w:p>
    <w:p w14:paraId="41515ADE" w14:textId="1C3F9D22" w:rsidR="000F4B89" w:rsidRPr="0044793F" w:rsidRDefault="000F4B89" w:rsidP="000F4B89">
      <w:pPr>
        <w:spacing w:line="360" w:lineRule="auto"/>
        <w:jc w:val="both"/>
        <w:rPr>
          <w:rFonts w:ascii="Arial" w:hAnsi="Arial" w:cs="Arial"/>
        </w:rPr>
      </w:pPr>
      <w:r w:rsidRPr="0044793F">
        <w:rPr>
          <w:rFonts w:ascii="Arial" w:hAnsi="Arial" w:cs="Arial"/>
        </w:rPr>
        <w:t>In Bangladeshi business, trust and personal relationships are of major significance as consumers tend to do business with known and trusted sellers (Rahman et al., 2021). It offers opportunities and challenges for digital marketing, including the potential to influence with trusted people influencers and engage in community building.</w:t>
      </w:r>
    </w:p>
    <w:p w14:paraId="612E1287" w14:textId="77777777" w:rsidR="000F4B89" w:rsidRPr="0044793F" w:rsidRDefault="000F4B89" w:rsidP="000F4B89">
      <w:pPr>
        <w:spacing w:line="360" w:lineRule="auto"/>
        <w:jc w:val="both"/>
        <w:rPr>
          <w:rFonts w:ascii="Arial" w:hAnsi="Arial" w:cs="Arial"/>
        </w:rPr>
      </w:pPr>
      <w:r w:rsidRPr="0044793F">
        <w:rPr>
          <w:rFonts w:ascii="Arial" w:hAnsi="Arial" w:cs="Arial"/>
        </w:rPr>
        <w:t>Social influence has a significant impact on consumption behavior; the behavior of reference groups influences consumer behavior, and social norms (Islam et al., 2021) influence consumer behavior. This suggests that the social tactics that have proven to be effective for creating social acceptability of organic consumption are testimonials, user reviews, and influencers' endorsements. Moreover, religious aspects such as purity and wholesomeness (Shareef et al., 2019) can influence the perception and receptivity of digital marketing messages of organic products. Studies conducted recently demonstrate that religious consciousness positively impacts the intention to use mobile organic food delivery applications in Bangladesh; hence, messages that are congruent to religious values of purity and wholesome food consumption can prove beneficial in improving the effectiveness of digital marketing (PMC Bangladesh study, 2023).</w:t>
      </w:r>
    </w:p>
    <w:p w14:paraId="61B70074" w14:textId="4FF4109C" w:rsidR="00B5368A" w:rsidRPr="0044793F" w:rsidRDefault="00B5368A" w:rsidP="00330022">
      <w:pPr>
        <w:pStyle w:val="Heading2"/>
        <w:rPr>
          <w:rFonts w:ascii="Arial" w:hAnsi="Arial" w:cs="Arial"/>
        </w:rPr>
      </w:pPr>
      <w:r w:rsidRPr="0044793F">
        <w:rPr>
          <w:rFonts w:ascii="Arial" w:hAnsi="Arial" w:cs="Arial"/>
        </w:rPr>
        <w:lastRenderedPageBreak/>
        <w:t>2.5 Conceptual Framework</w:t>
      </w:r>
    </w:p>
    <w:p w14:paraId="44993E9A" w14:textId="77777777" w:rsidR="009963CA" w:rsidRPr="0044793F" w:rsidRDefault="009963CA" w:rsidP="00404048">
      <w:pPr>
        <w:spacing w:line="360" w:lineRule="auto"/>
        <w:jc w:val="both"/>
        <w:rPr>
          <w:rFonts w:ascii="Arial" w:hAnsi="Arial" w:cs="Arial"/>
          <w:b/>
          <w:bCs/>
        </w:rPr>
      </w:pPr>
      <w:r w:rsidRPr="0044793F">
        <w:rPr>
          <w:rFonts w:ascii="Arial" w:hAnsi="Arial" w:cs="Arial"/>
          <w:noProof/>
        </w:rPr>
        <w:drawing>
          <wp:inline distT="0" distB="0" distL="0" distR="0" wp14:anchorId="11871959" wp14:editId="019021CE">
            <wp:extent cx="5943600" cy="3241675"/>
            <wp:effectExtent l="0" t="0" r="0" b="0"/>
            <wp:docPr id="117502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02235" name="Picture 117502235"/>
                    <pic:cNvPicPr/>
                  </pic:nvPicPr>
                  <pic:blipFill>
                    <a:blip r:embed="rId8">
                      <a:extLst>
                        <a:ext uri="{28A0092B-C50C-407E-A947-70E740481C1C}">
                          <a14:useLocalDpi xmlns:a14="http://schemas.microsoft.com/office/drawing/2010/main" val="0"/>
                        </a:ext>
                      </a:extLst>
                    </a:blip>
                    <a:stretch>
                      <a:fillRect/>
                    </a:stretch>
                  </pic:blipFill>
                  <pic:spPr>
                    <a:xfrm>
                      <a:off x="0" y="0"/>
                      <a:ext cx="5943600" cy="3241675"/>
                    </a:xfrm>
                    <a:prstGeom prst="rect">
                      <a:avLst/>
                    </a:prstGeom>
                  </pic:spPr>
                </pic:pic>
              </a:graphicData>
            </a:graphic>
          </wp:inline>
        </w:drawing>
      </w:r>
    </w:p>
    <w:p w14:paraId="46037954" w14:textId="77777777" w:rsidR="009963CA" w:rsidRPr="0044793F" w:rsidRDefault="009963CA" w:rsidP="00404048">
      <w:pPr>
        <w:spacing w:line="360" w:lineRule="auto"/>
        <w:jc w:val="both"/>
        <w:rPr>
          <w:rFonts w:ascii="Arial" w:hAnsi="Arial" w:cs="Arial"/>
          <w:b/>
          <w:bCs/>
        </w:rPr>
      </w:pPr>
    </w:p>
    <w:p w14:paraId="0E526E20" w14:textId="77777777" w:rsidR="00B5368A" w:rsidRPr="0044793F" w:rsidRDefault="00B5368A" w:rsidP="00330022">
      <w:pPr>
        <w:pStyle w:val="Heading2"/>
        <w:rPr>
          <w:rFonts w:ascii="Arial" w:hAnsi="Arial" w:cs="Arial"/>
        </w:rPr>
      </w:pPr>
      <w:r w:rsidRPr="0044793F">
        <w:rPr>
          <w:rFonts w:ascii="Arial" w:hAnsi="Arial" w:cs="Arial"/>
        </w:rPr>
        <w:t>2.6 Conclusion of Chapter</w:t>
      </w:r>
    </w:p>
    <w:p w14:paraId="356DB588" w14:textId="64AB8AB9" w:rsidR="00B5368A" w:rsidRPr="0044793F" w:rsidRDefault="000F4B89" w:rsidP="00404048">
      <w:pPr>
        <w:spacing w:line="360" w:lineRule="auto"/>
        <w:jc w:val="both"/>
        <w:rPr>
          <w:rFonts w:ascii="Arial" w:hAnsi="Arial" w:cs="Arial"/>
          <w:b/>
          <w:bCs/>
        </w:rPr>
      </w:pPr>
      <w:r w:rsidRPr="0044793F">
        <w:rPr>
          <w:rFonts w:ascii="Arial" w:hAnsi="Arial" w:cs="Arial"/>
        </w:rPr>
        <w:t>After conducting a thorough literature review of 50+ high quality academic studies, this study identified several gaps in the literature which are addressed in this study.</w:t>
      </w:r>
    </w:p>
    <w:p w14:paraId="4CD9F61A" w14:textId="77777777" w:rsidR="00EC1826" w:rsidRPr="0044793F" w:rsidRDefault="00EC1826" w:rsidP="00404048">
      <w:pPr>
        <w:spacing w:line="360" w:lineRule="auto"/>
        <w:jc w:val="both"/>
        <w:rPr>
          <w:rFonts w:ascii="Arial" w:hAnsi="Arial" w:cs="Arial"/>
        </w:rPr>
      </w:pPr>
    </w:p>
    <w:p w14:paraId="60C31929" w14:textId="77777777" w:rsidR="00EC1826" w:rsidRPr="0044793F" w:rsidRDefault="00EC1826" w:rsidP="00404048">
      <w:pPr>
        <w:spacing w:line="360" w:lineRule="auto"/>
        <w:rPr>
          <w:rFonts w:ascii="Arial" w:hAnsi="Arial" w:cs="Arial"/>
        </w:rPr>
      </w:pPr>
      <w:r w:rsidRPr="0044793F">
        <w:rPr>
          <w:rFonts w:ascii="Arial" w:hAnsi="Arial" w:cs="Arial"/>
        </w:rPr>
        <w:br w:type="page"/>
      </w:r>
    </w:p>
    <w:p w14:paraId="37A9324E" w14:textId="77777777" w:rsidR="00045287" w:rsidRPr="0044793F" w:rsidRDefault="00045287" w:rsidP="00330022">
      <w:pPr>
        <w:pStyle w:val="Heading1"/>
        <w:rPr>
          <w:rFonts w:ascii="Arial" w:hAnsi="Arial" w:cs="Arial"/>
        </w:rPr>
      </w:pPr>
      <w:r w:rsidRPr="0044793F">
        <w:rPr>
          <w:rFonts w:ascii="Arial" w:hAnsi="Arial" w:cs="Arial"/>
        </w:rPr>
        <w:lastRenderedPageBreak/>
        <w:t>CHAPTER 3: RESEARCH METHODOLOGY</w:t>
      </w:r>
    </w:p>
    <w:p w14:paraId="70FBB033" w14:textId="77777777" w:rsidR="007556ED" w:rsidRPr="0044793F" w:rsidRDefault="007556ED" w:rsidP="00330022">
      <w:pPr>
        <w:pStyle w:val="Heading2"/>
        <w:rPr>
          <w:rFonts w:ascii="Arial" w:hAnsi="Arial" w:cs="Arial"/>
        </w:rPr>
      </w:pPr>
      <w:r w:rsidRPr="0044793F">
        <w:rPr>
          <w:rFonts w:ascii="Arial" w:hAnsi="Arial" w:cs="Arial"/>
        </w:rPr>
        <w:t>3.1 Introduction</w:t>
      </w:r>
    </w:p>
    <w:p w14:paraId="7D2A3B29" w14:textId="31C05A59" w:rsidR="00330022" w:rsidRPr="0044793F" w:rsidRDefault="00330022" w:rsidP="00404048">
      <w:pPr>
        <w:spacing w:line="360" w:lineRule="auto"/>
        <w:rPr>
          <w:rFonts w:ascii="Arial" w:hAnsi="Arial" w:cs="Arial"/>
        </w:rPr>
      </w:pPr>
      <w:r w:rsidRPr="0044793F">
        <w:rPr>
          <w:rFonts w:ascii="Arial" w:hAnsi="Arial" w:cs="Arial"/>
        </w:rPr>
        <w:t xml:space="preserve">The methodology used to investigate the effect of digital marketing strategies on organic product adoption in Bangladesh is explained in this chapter. It lays the philosophical foundations, research design, analysis of research, literature search, selection, quality appraisal, data extraction, limitations, and ethical protection for the systematic literature review (SLR). It is important that the methodological transparency and </w:t>
      </w:r>
      <w:proofErr w:type="spellStart"/>
      <w:r w:rsidRPr="0044793F">
        <w:rPr>
          <w:rFonts w:ascii="Arial" w:hAnsi="Arial" w:cs="Arial"/>
        </w:rPr>
        <w:t>rigour</w:t>
      </w:r>
      <w:proofErr w:type="spellEnd"/>
      <w:r w:rsidRPr="0044793F">
        <w:rPr>
          <w:rFonts w:ascii="Arial" w:hAnsi="Arial" w:cs="Arial"/>
        </w:rPr>
        <w:t xml:space="preserve"> are present as a review based on secondary evidence should provide evidence that the conclusions are based on a systematic and defensible process and not on selective reading (Saunders et al., 2019). The methodology is the bridge that connects the research questions, evidence and conclusions, therefore, the credibility of the overall study (Creswell and Creswell, 2018). The study explores five related research questions related to digital marketing strategies, consumer </w:t>
      </w:r>
      <w:proofErr w:type="spellStart"/>
      <w:r w:rsidRPr="0044793F">
        <w:rPr>
          <w:rFonts w:ascii="Arial" w:hAnsi="Arial" w:cs="Arial"/>
        </w:rPr>
        <w:t>behaviour</w:t>
      </w:r>
      <w:proofErr w:type="spellEnd"/>
      <w:r w:rsidRPr="0044793F">
        <w:rPr>
          <w:rFonts w:ascii="Arial" w:hAnsi="Arial" w:cs="Arial"/>
        </w:rPr>
        <w:t xml:space="preserve">, digital marketing strategy effectiveness, contextual factors and the recommendations of the stakeholders. An SLR is suitable as the evidence is dispersed in digital marketing, consumer </w:t>
      </w:r>
      <w:proofErr w:type="spellStart"/>
      <w:r w:rsidRPr="0044793F">
        <w:rPr>
          <w:rFonts w:ascii="Arial" w:hAnsi="Arial" w:cs="Arial"/>
        </w:rPr>
        <w:t>behaviour</w:t>
      </w:r>
      <w:proofErr w:type="spellEnd"/>
      <w:r w:rsidRPr="0044793F">
        <w:rPr>
          <w:rFonts w:ascii="Arial" w:hAnsi="Arial" w:cs="Arial"/>
        </w:rPr>
        <w:t xml:space="preserve">, sustainable consumption, emerging-market studies, ecommerce and food safety. Systematic review methods involve explicit procedures for identification, selection, appraisal and synthesis, which help to </w:t>
      </w:r>
      <w:proofErr w:type="spellStart"/>
      <w:r w:rsidRPr="0044793F">
        <w:rPr>
          <w:rFonts w:ascii="Arial" w:hAnsi="Arial" w:cs="Arial"/>
        </w:rPr>
        <w:t>minimise</w:t>
      </w:r>
      <w:proofErr w:type="spellEnd"/>
      <w:r w:rsidRPr="0044793F">
        <w:rPr>
          <w:rFonts w:ascii="Arial" w:hAnsi="Arial" w:cs="Arial"/>
        </w:rPr>
        <w:t xml:space="preserve"> the risks related to unsystematic literature selection (Petticrew and Roberts, 2006; Kitchenham and Charters, 2007). The review aims to therefore move from the wide range of evidence gathered in Chapter 2 to coherent and contextually appropriate findings.</w:t>
      </w:r>
    </w:p>
    <w:p w14:paraId="02A39AE1" w14:textId="77777777" w:rsidR="007556ED" w:rsidRPr="0044793F" w:rsidRDefault="007556ED" w:rsidP="00330022">
      <w:pPr>
        <w:pStyle w:val="Heading2"/>
        <w:rPr>
          <w:rFonts w:ascii="Arial" w:hAnsi="Arial" w:cs="Arial"/>
        </w:rPr>
      </w:pPr>
      <w:r w:rsidRPr="0044793F">
        <w:rPr>
          <w:rFonts w:ascii="Arial" w:hAnsi="Arial" w:cs="Arial"/>
        </w:rPr>
        <w:t>3.2 Research Philosophies and Assumptions</w:t>
      </w:r>
    </w:p>
    <w:p w14:paraId="6D54861B" w14:textId="77777777" w:rsidR="000F4B89" w:rsidRPr="0044793F" w:rsidRDefault="000F4B89" w:rsidP="00404048">
      <w:pPr>
        <w:spacing w:line="360" w:lineRule="auto"/>
        <w:rPr>
          <w:rFonts w:ascii="Arial" w:hAnsi="Arial" w:cs="Arial"/>
        </w:rPr>
      </w:pPr>
      <w:r w:rsidRPr="0044793F">
        <w:rPr>
          <w:rFonts w:ascii="Arial" w:hAnsi="Arial" w:cs="Arial"/>
        </w:rPr>
        <w:t xml:space="preserve">Research philosophy refers to the underlying assumptions of knowledge, reality and values and forms the basis for research design and interpretation (Saunders et al., 2019). This study follows Crotty (1998) in taking a view that involves ontological, epistemological and axiological perspectives. </w:t>
      </w:r>
      <w:proofErr w:type="gramStart"/>
      <w:r w:rsidRPr="0044793F">
        <w:rPr>
          <w:rFonts w:ascii="Arial" w:hAnsi="Arial" w:cs="Arial"/>
        </w:rPr>
        <w:t>Overall</w:t>
      </w:r>
      <w:proofErr w:type="gramEnd"/>
      <w:r w:rsidRPr="0044793F">
        <w:rPr>
          <w:rFonts w:ascii="Arial" w:hAnsi="Arial" w:cs="Arial"/>
        </w:rPr>
        <w:t xml:space="preserve"> it's interpretivist, as the </w:t>
      </w:r>
      <w:proofErr w:type="spellStart"/>
      <w:r w:rsidRPr="0044793F">
        <w:rPr>
          <w:rFonts w:ascii="Arial" w:hAnsi="Arial" w:cs="Arial"/>
        </w:rPr>
        <w:t>behaviour</w:t>
      </w:r>
      <w:proofErr w:type="spellEnd"/>
      <w:r w:rsidRPr="0044793F">
        <w:rPr>
          <w:rFonts w:ascii="Arial" w:hAnsi="Arial" w:cs="Arial"/>
        </w:rPr>
        <w:t xml:space="preserve"> of the consumers and the effectiveness of the marketing are socially constructed and are therefore context dependent.</w:t>
      </w:r>
    </w:p>
    <w:p w14:paraId="1E282D9C" w14:textId="18C23413" w:rsidR="007556ED" w:rsidRPr="0044793F" w:rsidRDefault="007556ED" w:rsidP="00330022">
      <w:pPr>
        <w:pStyle w:val="Heading3"/>
        <w:rPr>
          <w:rFonts w:ascii="Arial" w:hAnsi="Arial" w:cs="Arial"/>
        </w:rPr>
      </w:pPr>
      <w:r w:rsidRPr="0044793F">
        <w:rPr>
          <w:rFonts w:ascii="Arial" w:hAnsi="Arial" w:cs="Arial"/>
        </w:rPr>
        <w:lastRenderedPageBreak/>
        <w:t>3.2.1 Ontological Position</w:t>
      </w:r>
    </w:p>
    <w:p w14:paraId="0DC3B75F" w14:textId="77777777" w:rsidR="009F34B2" w:rsidRPr="0044793F" w:rsidRDefault="009F34B2" w:rsidP="009F34B2">
      <w:pPr>
        <w:spacing w:line="360" w:lineRule="auto"/>
        <w:rPr>
          <w:rFonts w:ascii="Arial" w:hAnsi="Arial" w:cs="Arial"/>
        </w:rPr>
      </w:pPr>
      <w:r w:rsidRPr="0044793F">
        <w:rPr>
          <w:rFonts w:ascii="Arial" w:hAnsi="Arial" w:cs="Arial"/>
        </w:rPr>
        <w:t xml:space="preserve">The study uses the approach of a relativist ontology. This implies that the effectiveness of digital marketing and adoption of organic products is not a market-wide phenomenon, because its causes and effects are different in various markets. Rather, cultural norms, economic conditions, technological infrastructure, social structures and institutional arrangements (Bryman, 2016; Dwivedi et al., 2021) influence the meanings, attitudes and </w:t>
      </w:r>
      <w:proofErr w:type="spellStart"/>
      <w:r w:rsidRPr="0044793F">
        <w:rPr>
          <w:rFonts w:ascii="Arial" w:hAnsi="Arial" w:cs="Arial"/>
        </w:rPr>
        <w:t>behaviours</w:t>
      </w:r>
      <w:proofErr w:type="spellEnd"/>
      <w:r w:rsidRPr="0044793F">
        <w:rPr>
          <w:rFonts w:ascii="Arial" w:hAnsi="Arial" w:cs="Arial"/>
        </w:rPr>
        <w:t>. Thus, a strategy which is effective in an established market in the West is not necessarily going to be effective in Bangladesh.</w:t>
      </w:r>
    </w:p>
    <w:p w14:paraId="285E6E5C" w14:textId="77777777" w:rsidR="009F34B2" w:rsidRPr="0044793F" w:rsidRDefault="009F34B2" w:rsidP="009F34B2">
      <w:pPr>
        <w:spacing w:line="360" w:lineRule="auto"/>
        <w:rPr>
          <w:rFonts w:ascii="Arial" w:hAnsi="Arial" w:cs="Arial"/>
        </w:rPr>
      </w:pPr>
      <w:r w:rsidRPr="0044793F">
        <w:rPr>
          <w:rFonts w:ascii="Arial" w:hAnsi="Arial" w:cs="Arial"/>
        </w:rPr>
        <w:t xml:space="preserve">The contextual variation is demonstrated in the evidence found in Chapter 2. </w:t>
      </w:r>
      <w:proofErr w:type="spellStart"/>
      <w:r w:rsidRPr="0044793F">
        <w:rPr>
          <w:rFonts w:ascii="Arial" w:hAnsi="Arial" w:cs="Arial"/>
        </w:rPr>
        <w:t>Gundala</w:t>
      </w:r>
      <w:proofErr w:type="spellEnd"/>
      <w:r w:rsidRPr="0044793F">
        <w:rPr>
          <w:rFonts w:ascii="Arial" w:hAnsi="Arial" w:cs="Arial"/>
        </w:rPr>
        <w:t xml:space="preserve"> and Singh (2021) </w:t>
      </w:r>
      <w:proofErr w:type="spellStart"/>
      <w:r w:rsidRPr="0044793F">
        <w:rPr>
          <w:rFonts w:ascii="Arial" w:hAnsi="Arial" w:cs="Arial"/>
        </w:rPr>
        <w:t>analysed</w:t>
      </w:r>
      <w:proofErr w:type="spellEnd"/>
      <w:r w:rsidRPr="0044793F">
        <w:rPr>
          <w:rFonts w:ascii="Arial" w:hAnsi="Arial" w:cs="Arial"/>
        </w:rPr>
        <w:t xml:space="preserve"> the consumers in the United States and found that health benefits and environmental protection were important and found to be the strongest factor among the consumers of Bangladesh as reported by Kabir and Islam (2022) with the coefficient of β=0.42 and β=0.26 respectively. Similarly, Mustaqeem and Sarder (2024) also found that digital marketing is having a significant impact on businesses such as sales and customer reach among the Bangladeshi SMEs. These disparities help confirm the hypothesis of digital marketing operating based on contextualized processes instead of laws.</w:t>
      </w:r>
    </w:p>
    <w:p w14:paraId="028C13AC" w14:textId="77777777" w:rsidR="009F34B2" w:rsidRPr="0044793F" w:rsidRDefault="009F34B2" w:rsidP="009F34B2">
      <w:pPr>
        <w:spacing w:line="360" w:lineRule="auto"/>
        <w:rPr>
          <w:rFonts w:ascii="Arial" w:hAnsi="Arial" w:cs="Arial"/>
        </w:rPr>
      </w:pPr>
      <w:r w:rsidRPr="0044793F">
        <w:rPr>
          <w:rFonts w:ascii="Arial" w:hAnsi="Arial" w:cs="Arial"/>
        </w:rPr>
        <w:t>Contextual factors - which are relevant in the examination of Research Objective 4 - are especially relevant for the relativist position. There are unique technological, economic, cultural and regulatory settings in Bangladesh. These involve mobile first digital use, digital illiteracy, price sensitiveness, purchasing power limitations, collectivist decision making, religious and social values, certification shortcomings and food safety concerns (Shareef et al., 2019; Paul et al., 2025). Within a relativist ontology these conditions can then be considered as moderators of the effectiveness of marketing and not as background factors.</w:t>
      </w:r>
    </w:p>
    <w:p w14:paraId="495B7C54" w14:textId="6316F399" w:rsidR="007556ED" w:rsidRPr="0044793F" w:rsidRDefault="007556ED" w:rsidP="00330022">
      <w:pPr>
        <w:pStyle w:val="Heading3"/>
        <w:rPr>
          <w:rFonts w:ascii="Arial" w:hAnsi="Arial" w:cs="Arial"/>
        </w:rPr>
      </w:pPr>
      <w:r w:rsidRPr="0044793F">
        <w:rPr>
          <w:rFonts w:ascii="Arial" w:hAnsi="Arial" w:cs="Arial"/>
        </w:rPr>
        <w:t>3.2.2 Epistemological Position</w:t>
      </w:r>
    </w:p>
    <w:p w14:paraId="7BF2B8A7" w14:textId="77777777" w:rsidR="009F34B2" w:rsidRPr="0044793F" w:rsidRDefault="009F34B2" w:rsidP="009F34B2">
      <w:pPr>
        <w:spacing w:line="360" w:lineRule="auto"/>
        <w:rPr>
          <w:rFonts w:ascii="Arial" w:hAnsi="Arial" w:cs="Arial"/>
        </w:rPr>
      </w:pPr>
      <w:r w:rsidRPr="0044793F">
        <w:rPr>
          <w:rFonts w:ascii="Arial" w:hAnsi="Arial" w:cs="Arial"/>
        </w:rPr>
        <w:t xml:space="preserve">EPISTEMOLOGICAL PERSPECTIVE: </w:t>
      </w:r>
      <w:proofErr w:type="spellStart"/>
      <w:r w:rsidRPr="0044793F">
        <w:rPr>
          <w:rFonts w:ascii="Arial" w:hAnsi="Arial" w:cs="Arial"/>
        </w:rPr>
        <w:t>Interpretativist</w:t>
      </w:r>
      <w:proofErr w:type="spellEnd"/>
      <w:r w:rsidRPr="0044793F">
        <w:rPr>
          <w:rFonts w:ascii="Arial" w:hAnsi="Arial" w:cs="Arial"/>
        </w:rPr>
        <w:t xml:space="preserve">. Interpretivism see knowledge as a meaning and experience derived from social phenomena and that these meanings are located in specific social contexts (Saunders et al., 2019). This makes sense, since the study aims to gain an insight into the reasons behind choosing organic products, the </w:t>
      </w:r>
      <w:r w:rsidRPr="0044793F">
        <w:rPr>
          <w:rFonts w:ascii="Arial" w:hAnsi="Arial" w:cs="Arial"/>
        </w:rPr>
        <w:lastRenderedPageBreak/>
        <w:t>level of trust, health and environmental values and the meaning of the products and digital commerce.</w:t>
      </w:r>
    </w:p>
    <w:p w14:paraId="29A2E218" w14:textId="77777777" w:rsidR="009F34B2" w:rsidRPr="0044793F" w:rsidRDefault="009F34B2" w:rsidP="009F34B2">
      <w:pPr>
        <w:spacing w:line="360" w:lineRule="auto"/>
        <w:rPr>
          <w:rFonts w:ascii="Arial" w:hAnsi="Arial" w:cs="Arial"/>
        </w:rPr>
      </w:pPr>
      <w:r w:rsidRPr="0044793F">
        <w:rPr>
          <w:rFonts w:ascii="Arial" w:hAnsi="Arial" w:cs="Arial"/>
        </w:rPr>
        <w:t>There has been significant methodological variation, such as quantitative surveys and structural equation modelling (SEM) (Kabir and Islam, 2022; Zheng et al., 2021; Nguyen-Viet, 2022; Tamirat, 2023), qualitative thematic research, mixed methods studies, laboratory investigations and systematic reviews. The review does not simply aggregate the findings of the various types of evidence but rather it infers patterns or contingencies from across these various types of evidence. However, in some instances, health consciousness is found to have a consistent relationship with purchase intention for organics, yet the level of this relationship might differ based on context, measurement and the practical conditions within which consumers can make their purchase decisions based on their attitude (</w:t>
      </w:r>
      <w:proofErr w:type="spellStart"/>
      <w:r w:rsidRPr="0044793F">
        <w:rPr>
          <w:rFonts w:ascii="Arial" w:hAnsi="Arial" w:cs="Arial"/>
        </w:rPr>
        <w:t>Britwum</w:t>
      </w:r>
      <w:proofErr w:type="spellEnd"/>
      <w:r w:rsidRPr="0044793F">
        <w:rPr>
          <w:rFonts w:ascii="Arial" w:hAnsi="Arial" w:cs="Arial"/>
        </w:rPr>
        <w:t xml:space="preserve"> et al., 2022; Wang et al., 2020).</w:t>
      </w:r>
    </w:p>
    <w:p w14:paraId="74A51A74" w14:textId="77777777" w:rsidR="009F34B2" w:rsidRPr="0044793F" w:rsidRDefault="009F34B2" w:rsidP="009F34B2">
      <w:pPr>
        <w:spacing w:line="360" w:lineRule="auto"/>
        <w:rPr>
          <w:rFonts w:ascii="Arial" w:hAnsi="Arial" w:cs="Arial"/>
        </w:rPr>
      </w:pPr>
      <w:r w:rsidRPr="0044793F">
        <w:rPr>
          <w:rFonts w:ascii="Arial" w:hAnsi="Arial" w:cs="Arial"/>
        </w:rPr>
        <w:t xml:space="preserve">The researcher is therefore involved in the coding of evidence and comparison of studies and themes. This doesn't mean to say that they interpret it in an arbitrary way. Rather, the concept of interpretive judgement is limited by the explicit search procedures, quality appraisal and transparent coding and evidence-based synthesis (Braun and Clarke, 2006; Denyer and </w:t>
      </w:r>
      <w:proofErr w:type="spellStart"/>
      <w:r w:rsidRPr="0044793F">
        <w:rPr>
          <w:rFonts w:ascii="Arial" w:hAnsi="Arial" w:cs="Arial"/>
        </w:rPr>
        <w:t>Tranfield</w:t>
      </w:r>
      <w:proofErr w:type="spellEnd"/>
      <w:r w:rsidRPr="0044793F">
        <w:rPr>
          <w:rFonts w:ascii="Arial" w:hAnsi="Arial" w:cs="Arial"/>
        </w:rPr>
        <w:t>, 2009). The methodological design, therefore, is a blend of the interpretive sensitivity and systematic discipline.</w:t>
      </w:r>
    </w:p>
    <w:p w14:paraId="6D57CB1C" w14:textId="6E7AB600" w:rsidR="007556ED" w:rsidRPr="0044793F" w:rsidRDefault="007556ED" w:rsidP="00330022">
      <w:pPr>
        <w:pStyle w:val="Heading3"/>
        <w:rPr>
          <w:rFonts w:ascii="Arial" w:hAnsi="Arial" w:cs="Arial"/>
        </w:rPr>
      </w:pPr>
      <w:r w:rsidRPr="0044793F">
        <w:rPr>
          <w:rFonts w:ascii="Arial" w:hAnsi="Arial" w:cs="Arial"/>
        </w:rPr>
        <w:t>3.2.3 Axiological Position</w:t>
      </w:r>
    </w:p>
    <w:p w14:paraId="0FCF7B23" w14:textId="77777777" w:rsidR="009F34B2" w:rsidRPr="0044793F" w:rsidRDefault="009F34B2" w:rsidP="009F34B2">
      <w:pPr>
        <w:spacing w:line="360" w:lineRule="auto"/>
        <w:rPr>
          <w:rFonts w:ascii="Arial" w:hAnsi="Arial" w:cs="Arial"/>
        </w:rPr>
      </w:pPr>
      <w:r w:rsidRPr="0044793F">
        <w:rPr>
          <w:rFonts w:ascii="Arial" w:hAnsi="Arial" w:cs="Arial"/>
        </w:rPr>
        <w:t xml:space="preserve">Axiology is the theory of the role of values in research. This study acknowledges that this focus is reflective of an interest in sustainable consumption, public health and agricultural development, as discussed in Saunders et al (2019). The need for these concerns becomes all the more apparent when backed by the evidence of food safety. Paul et al. (2025) have reported that 43% of the sampled vegetables contained residues of chlorpyrifos above the maximum residue limits, and </w:t>
      </w:r>
      <w:proofErr w:type="spellStart"/>
      <w:r w:rsidRPr="0044793F">
        <w:rPr>
          <w:rFonts w:ascii="Arial" w:hAnsi="Arial" w:cs="Arial"/>
        </w:rPr>
        <w:t>Momtaz</w:t>
      </w:r>
      <w:proofErr w:type="spellEnd"/>
      <w:r w:rsidRPr="0044793F">
        <w:rPr>
          <w:rFonts w:ascii="Arial" w:hAnsi="Arial" w:cs="Arial"/>
        </w:rPr>
        <w:t xml:space="preserve"> and Khan (2024) have reported similar findings of a high proportion of samples containing residues of chlorpyrifos above safe levels. Health risks due to exposure to pesticides were also found by Islam et al. (2021).</w:t>
      </w:r>
    </w:p>
    <w:p w14:paraId="2A96AD63" w14:textId="77777777" w:rsidR="009F34B2" w:rsidRPr="0044793F" w:rsidRDefault="009F34B2" w:rsidP="009F34B2">
      <w:pPr>
        <w:spacing w:line="360" w:lineRule="auto"/>
        <w:rPr>
          <w:rFonts w:ascii="Arial" w:hAnsi="Arial" w:cs="Arial"/>
        </w:rPr>
      </w:pPr>
      <w:r w:rsidRPr="0044793F">
        <w:rPr>
          <w:rFonts w:ascii="Arial" w:hAnsi="Arial" w:cs="Arial"/>
        </w:rPr>
        <w:lastRenderedPageBreak/>
        <w:t xml:space="preserve">The research thus aims to create knowledge that can be beneficial for the organic producers, consumers, digital marketers, ecommerce platforms and policy makers. Cost effective digital solutions for producers, reliable information and trustworthy certification for consumers, solutions to overcome the online uncertainty for platforms, and evidence for sustainable agriculture and food safety for policy makers are needed. However, the research does not take anything for granted with regards to the organic and/or digital marketing. Transparency of values is coupled with critical appraisal, acknowledgement of conflicting evidence and acknowledgement of practical barriers (Denyer and </w:t>
      </w:r>
      <w:proofErr w:type="spellStart"/>
      <w:r w:rsidRPr="0044793F">
        <w:rPr>
          <w:rFonts w:ascii="Arial" w:hAnsi="Arial" w:cs="Arial"/>
        </w:rPr>
        <w:t>Tranfield</w:t>
      </w:r>
      <w:proofErr w:type="spellEnd"/>
      <w:r w:rsidRPr="0044793F">
        <w:rPr>
          <w:rFonts w:ascii="Arial" w:hAnsi="Arial" w:cs="Arial"/>
        </w:rPr>
        <w:t>, 2009).</w:t>
      </w:r>
    </w:p>
    <w:p w14:paraId="338C046B" w14:textId="78DF5397" w:rsidR="007556ED" w:rsidRPr="0044793F" w:rsidRDefault="007556ED" w:rsidP="00330022">
      <w:pPr>
        <w:pStyle w:val="Heading2"/>
        <w:rPr>
          <w:rFonts w:ascii="Arial" w:hAnsi="Arial" w:cs="Arial"/>
        </w:rPr>
      </w:pPr>
      <w:r w:rsidRPr="0044793F">
        <w:rPr>
          <w:rFonts w:ascii="Arial" w:hAnsi="Arial" w:cs="Arial"/>
        </w:rPr>
        <w:t>3.3 Research Design</w:t>
      </w:r>
    </w:p>
    <w:p w14:paraId="14BA9769" w14:textId="77777777" w:rsidR="009F34B2" w:rsidRPr="0044793F" w:rsidRDefault="009F34B2" w:rsidP="00404048">
      <w:pPr>
        <w:spacing w:line="360" w:lineRule="auto"/>
        <w:rPr>
          <w:rFonts w:ascii="Arial" w:hAnsi="Arial" w:cs="Arial"/>
        </w:rPr>
      </w:pPr>
      <w:r w:rsidRPr="0044793F">
        <w:rPr>
          <w:rFonts w:ascii="Arial" w:hAnsi="Arial" w:cs="Arial"/>
        </w:rPr>
        <w:t>The research design used is Systematic Literature Review. The SLR process is a way of combining previously published evidence in an explicit, transparent and reproducible manner (</w:t>
      </w:r>
      <w:proofErr w:type="spellStart"/>
      <w:r w:rsidRPr="0044793F">
        <w:rPr>
          <w:rFonts w:ascii="Arial" w:hAnsi="Arial" w:cs="Arial"/>
        </w:rPr>
        <w:t>Tranfield</w:t>
      </w:r>
      <w:proofErr w:type="spellEnd"/>
      <w:r w:rsidRPr="0044793F">
        <w:rPr>
          <w:rFonts w:ascii="Arial" w:hAnsi="Arial" w:cs="Arial"/>
        </w:rPr>
        <w:t xml:space="preserve"> et al., 2003; Denyer and </w:t>
      </w:r>
      <w:proofErr w:type="spellStart"/>
      <w:r w:rsidRPr="0044793F">
        <w:rPr>
          <w:rFonts w:ascii="Arial" w:hAnsi="Arial" w:cs="Arial"/>
        </w:rPr>
        <w:t>Tranfield</w:t>
      </w:r>
      <w:proofErr w:type="spellEnd"/>
      <w:r w:rsidRPr="0044793F">
        <w:rPr>
          <w:rFonts w:ascii="Arial" w:hAnsi="Arial" w:cs="Arial"/>
        </w:rPr>
        <w:t>, 2009). The objective of the study was to integrate knowledge, directly aligned with this design, which does not involve collecting a new primary dataset.</w:t>
      </w:r>
    </w:p>
    <w:p w14:paraId="107D2828" w14:textId="770BA4B4" w:rsidR="007556ED" w:rsidRPr="0044793F" w:rsidRDefault="007556ED" w:rsidP="00330022">
      <w:pPr>
        <w:pStyle w:val="Heading3"/>
        <w:rPr>
          <w:rFonts w:ascii="Arial" w:hAnsi="Arial" w:cs="Arial"/>
        </w:rPr>
      </w:pPr>
      <w:r w:rsidRPr="0044793F">
        <w:rPr>
          <w:rFonts w:ascii="Arial" w:hAnsi="Arial" w:cs="Arial"/>
        </w:rPr>
        <w:t>3.3.1 Rationale for Systematic Literature Review</w:t>
      </w:r>
    </w:p>
    <w:p w14:paraId="162675C2" w14:textId="77777777" w:rsidR="009F34B2" w:rsidRPr="0044793F" w:rsidRDefault="009F34B2" w:rsidP="009F34B2">
      <w:pPr>
        <w:spacing w:line="360" w:lineRule="auto"/>
        <w:rPr>
          <w:rFonts w:ascii="Arial" w:hAnsi="Arial" w:cs="Arial"/>
        </w:rPr>
      </w:pPr>
      <w:r w:rsidRPr="0044793F">
        <w:rPr>
          <w:rFonts w:ascii="Arial" w:hAnsi="Arial" w:cs="Arial"/>
        </w:rPr>
        <w:t xml:space="preserve">The first choice of using an SLR is the synthesizing nature of the research questions. Existing strategies, factors, effectiveness and influences on the context must be explored, not by conducting yet another survey. The Chapter 2 evidence base comprises over 90 sources, </w:t>
      </w:r>
      <w:proofErr w:type="spellStart"/>
      <w:r w:rsidRPr="0044793F">
        <w:rPr>
          <w:rFonts w:ascii="Arial" w:hAnsi="Arial" w:cs="Arial"/>
        </w:rPr>
        <w:t>organised</w:t>
      </w:r>
      <w:proofErr w:type="spellEnd"/>
      <w:r w:rsidRPr="0044793F">
        <w:rPr>
          <w:rFonts w:ascii="Arial" w:hAnsi="Arial" w:cs="Arial"/>
        </w:rPr>
        <w:t xml:space="preserve"> into the six thematic domains, and so represents a rich evidence base that needs to be structured for comparison (Kitchenham and Charters, 2007).</w:t>
      </w:r>
    </w:p>
    <w:p w14:paraId="5C805EDA" w14:textId="77777777" w:rsidR="009F34B2" w:rsidRPr="0044793F" w:rsidRDefault="009F34B2" w:rsidP="009F34B2">
      <w:pPr>
        <w:spacing w:line="360" w:lineRule="auto"/>
        <w:rPr>
          <w:rFonts w:ascii="Arial" w:hAnsi="Arial" w:cs="Arial"/>
        </w:rPr>
      </w:pPr>
      <w:r w:rsidRPr="0044793F">
        <w:rPr>
          <w:rFonts w:ascii="Arial" w:hAnsi="Arial" w:cs="Arial"/>
        </w:rPr>
        <w:t xml:space="preserve">Secondly, it's a multi-disciplinary topic. Digital marketing, consumer </w:t>
      </w:r>
      <w:proofErr w:type="spellStart"/>
      <w:r w:rsidRPr="0044793F">
        <w:rPr>
          <w:rFonts w:ascii="Arial" w:hAnsi="Arial" w:cs="Arial"/>
        </w:rPr>
        <w:t>behaviour</w:t>
      </w:r>
      <w:proofErr w:type="spellEnd"/>
      <w:r w:rsidRPr="0044793F">
        <w:rPr>
          <w:rFonts w:ascii="Arial" w:hAnsi="Arial" w:cs="Arial"/>
        </w:rPr>
        <w:t xml:space="preserve">, sustainable consumption, studies done on emerging markets, information systems, e-commerce and food safety and agricultural research are relevant sources of evidence (Kannan and Li, 2017; </w:t>
      </w:r>
      <w:proofErr w:type="spellStart"/>
      <w:r w:rsidRPr="0044793F">
        <w:rPr>
          <w:rFonts w:ascii="Arial" w:hAnsi="Arial" w:cs="Arial"/>
        </w:rPr>
        <w:t>Cioppi</w:t>
      </w:r>
      <w:proofErr w:type="spellEnd"/>
      <w:r w:rsidRPr="0044793F">
        <w:rPr>
          <w:rFonts w:ascii="Arial" w:hAnsi="Arial" w:cs="Arial"/>
        </w:rPr>
        <w:t xml:space="preserve"> et al., 2023; Rana and Paul, 2017). Synthesis across disciplines can identify relationships that are not apparent in the individual disciplines. For instance, the issue of food safety in agricultural research can be linked to the organic consumption research (Kabir and Islam, 2022) and the issue of trust in </w:t>
      </w:r>
      <w:r w:rsidRPr="0044793F">
        <w:rPr>
          <w:rFonts w:ascii="Arial" w:hAnsi="Arial" w:cs="Arial"/>
        </w:rPr>
        <w:lastRenderedPageBreak/>
        <w:t>agricultural studies can be linked to the consumer studies on e-commerce (Kundu et al., 2024).</w:t>
      </w:r>
    </w:p>
    <w:p w14:paraId="43C3C70F" w14:textId="77777777" w:rsidR="009F34B2" w:rsidRPr="0044793F" w:rsidRDefault="009F34B2" w:rsidP="009F34B2">
      <w:pPr>
        <w:spacing w:line="360" w:lineRule="auto"/>
        <w:rPr>
          <w:rFonts w:ascii="Arial" w:hAnsi="Arial" w:cs="Arial"/>
        </w:rPr>
      </w:pPr>
      <w:r w:rsidRPr="0044793F">
        <w:rPr>
          <w:rFonts w:ascii="Arial" w:hAnsi="Arial" w:cs="Arial"/>
        </w:rPr>
        <w:t xml:space="preserve">Thirdly, the available research that has attempted to combine the digital marketing and organic adoption in Bangladesh is scanty. The review thus ties three streams of evidence together – first on the effectiveness of digital marketing in Bangladesh and emerging markets, second on the nature of the organic consumer </w:t>
      </w:r>
      <w:proofErr w:type="spellStart"/>
      <w:r w:rsidRPr="0044793F">
        <w:rPr>
          <w:rFonts w:ascii="Arial" w:hAnsi="Arial" w:cs="Arial"/>
        </w:rPr>
        <w:t>behaviour</w:t>
      </w:r>
      <w:proofErr w:type="spellEnd"/>
      <w:r w:rsidRPr="0044793F">
        <w:rPr>
          <w:rFonts w:ascii="Arial" w:hAnsi="Arial" w:cs="Arial"/>
        </w:rPr>
        <w:t xml:space="preserve"> in Bangladesh and South Asia, third on digital infrastructure, e-commerce and food-safety environment in Bangladesh. The same kind of evidence is available for Vietnam, India, Iran and Egypt (Nguyen-Viet, 2022; Mai et al., 2023; </w:t>
      </w:r>
      <w:proofErr w:type="spellStart"/>
      <w:r w:rsidRPr="0044793F">
        <w:rPr>
          <w:rFonts w:ascii="Arial" w:hAnsi="Arial" w:cs="Arial"/>
        </w:rPr>
        <w:t>Bazhan</w:t>
      </w:r>
      <w:proofErr w:type="spellEnd"/>
      <w:r w:rsidRPr="0044793F">
        <w:rPr>
          <w:rFonts w:ascii="Arial" w:hAnsi="Arial" w:cs="Arial"/>
        </w:rPr>
        <w:t xml:space="preserve"> et al., 2024; </w:t>
      </w:r>
      <w:proofErr w:type="spellStart"/>
      <w:r w:rsidRPr="0044793F">
        <w:rPr>
          <w:rFonts w:ascii="Arial" w:hAnsi="Arial" w:cs="Arial"/>
        </w:rPr>
        <w:t>Elhaty</w:t>
      </w:r>
      <w:proofErr w:type="spellEnd"/>
      <w:r w:rsidRPr="0044793F">
        <w:rPr>
          <w:rFonts w:ascii="Arial" w:hAnsi="Arial" w:cs="Arial"/>
        </w:rPr>
        <w:t xml:space="preserve"> et al., 2022). Not taken for granted: transferability.</w:t>
      </w:r>
    </w:p>
    <w:p w14:paraId="3C86C69C" w14:textId="77777777" w:rsidR="009F34B2" w:rsidRPr="0044793F" w:rsidRDefault="009F34B2" w:rsidP="009F34B2">
      <w:pPr>
        <w:spacing w:line="360" w:lineRule="auto"/>
        <w:rPr>
          <w:rFonts w:ascii="Arial" w:hAnsi="Arial" w:cs="Arial"/>
        </w:rPr>
      </w:pPr>
      <w:r w:rsidRPr="0044793F">
        <w:rPr>
          <w:rFonts w:ascii="Arial" w:hAnsi="Arial" w:cs="Arial"/>
        </w:rPr>
        <w:t>Fourth, the method used in this research is SLR (subjective approach), which is compatible with the research philosophy that has been used, namely interpretivism and relativism. The focus is on uncovering patterns, relationships and boundary conditions—not on finding universal effect sizes. For instance, health consciousness can consistently be among the key determinants and its relative importance can vary by cultural and economic settings (</w:t>
      </w:r>
      <w:proofErr w:type="spellStart"/>
      <w:r w:rsidRPr="0044793F">
        <w:rPr>
          <w:rFonts w:ascii="Arial" w:hAnsi="Arial" w:cs="Arial"/>
        </w:rPr>
        <w:t>Britwum</w:t>
      </w:r>
      <w:proofErr w:type="spellEnd"/>
      <w:r w:rsidRPr="0044793F">
        <w:rPr>
          <w:rFonts w:ascii="Arial" w:hAnsi="Arial" w:cs="Arial"/>
        </w:rPr>
        <w:t xml:space="preserve"> et al., 2022; Kabir and Islam, 2022). Fifth, systematic synthesis gives a more solid ground for recommendations as conclusions can be triangulated from several studies rather than being based on the findings of a single study (</w:t>
      </w:r>
      <w:proofErr w:type="spellStart"/>
      <w:r w:rsidRPr="0044793F">
        <w:rPr>
          <w:rFonts w:ascii="Arial" w:hAnsi="Arial" w:cs="Arial"/>
        </w:rPr>
        <w:t>Tranfield</w:t>
      </w:r>
      <w:proofErr w:type="spellEnd"/>
      <w:r w:rsidRPr="0044793F">
        <w:rPr>
          <w:rFonts w:ascii="Arial" w:hAnsi="Arial" w:cs="Arial"/>
        </w:rPr>
        <w:t xml:space="preserve"> et al., 2003).</w:t>
      </w:r>
    </w:p>
    <w:p w14:paraId="449CCA16" w14:textId="63512F0C" w:rsidR="007556ED" w:rsidRPr="0044793F" w:rsidRDefault="007556ED" w:rsidP="00330022">
      <w:pPr>
        <w:pStyle w:val="Heading2"/>
        <w:rPr>
          <w:rFonts w:ascii="Arial" w:hAnsi="Arial" w:cs="Arial"/>
        </w:rPr>
      </w:pPr>
      <w:r w:rsidRPr="0044793F">
        <w:rPr>
          <w:rFonts w:ascii="Arial" w:hAnsi="Arial" w:cs="Arial"/>
        </w:rPr>
        <w:t>3.4 Research Approaches</w:t>
      </w:r>
    </w:p>
    <w:p w14:paraId="6C25FDF0" w14:textId="77777777" w:rsidR="00742DCD" w:rsidRPr="0044793F" w:rsidRDefault="00742DCD" w:rsidP="00404048">
      <w:pPr>
        <w:spacing w:line="360" w:lineRule="auto"/>
        <w:rPr>
          <w:rFonts w:ascii="Arial" w:hAnsi="Arial" w:cs="Arial"/>
        </w:rPr>
      </w:pPr>
      <w:r w:rsidRPr="0044793F">
        <w:rPr>
          <w:rFonts w:ascii="Arial" w:hAnsi="Arial" w:cs="Arial"/>
        </w:rPr>
        <w:t>Thematic synthesis with narrative configuration was used as the technique in the review. Thematic synthesis is systematic evidence synthesis procedures coupled with interpretive analysis and can be used to incorporate qualitative, quantitative and mixed evidence (Thomas and Harden, 2008).</w:t>
      </w:r>
    </w:p>
    <w:p w14:paraId="2BFB6598" w14:textId="59FD795E" w:rsidR="007556ED" w:rsidRPr="0044793F" w:rsidRDefault="007556ED" w:rsidP="00330022">
      <w:pPr>
        <w:pStyle w:val="Heading3"/>
        <w:rPr>
          <w:rFonts w:ascii="Arial" w:hAnsi="Arial" w:cs="Arial"/>
        </w:rPr>
      </w:pPr>
      <w:r w:rsidRPr="0044793F">
        <w:rPr>
          <w:rFonts w:ascii="Arial" w:hAnsi="Arial" w:cs="Arial"/>
        </w:rPr>
        <w:t>3.4.1 Thematic Synthesis</w:t>
      </w:r>
    </w:p>
    <w:p w14:paraId="0EBE0AAD" w14:textId="77777777" w:rsidR="00742DCD" w:rsidRPr="0044793F" w:rsidRDefault="00742DCD" w:rsidP="00742DCD">
      <w:pPr>
        <w:spacing w:line="360" w:lineRule="auto"/>
        <w:rPr>
          <w:rFonts w:ascii="Arial" w:hAnsi="Arial" w:cs="Arial"/>
        </w:rPr>
      </w:pPr>
      <w:r w:rsidRPr="0044793F">
        <w:rPr>
          <w:rFonts w:ascii="Arial" w:hAnsi="Arial" w:cs="Arial"/>
        </w:rPr>
        <w:t xml:space="preserve">There are three stages in thematic synthesis as described by Thomas and Harden (2008) namely: Coding the findings; Developing descriptive themes; Generating analytic themes. During the first phase, findings from each study included are coded that are relevant to the problem. For instance, Kabir and Islam (2022) offer codes related to the </w:t>
      </w:r>
      <w:r w:rsidRPr="0044793F">
        <w:rPr>
          <w:rFonts w:ascii="Arial" w:hAnsi="Arial" w:cs="Arial"/>
        </w:rPr>
        <w:lastRenderedPageBreak/>
        <w:t xml:space="preserve">level of health consciousness, trust, and price and availability; and </w:t>
      </w:r>
      <w:proofErr w:type="spellStart"/>
      <w:r w:rsidRPr="0044793F">
        <w:rPr>
          <w:rFonts w:ascii="Arial" w:hAnsi="Arial" w:cs="Arial"/>
        </w:rPr>
        <w:t>Momtaz</w:t>
      </w:r>
      <w:proofErr w:type="spellEnd"/>
      <w:r w:rsidRPr="0044793F">
        <w:rPr>
          <w:rFonts w:ascii="Arial" w:hAnsi="Arial" w:cs="Arial"/>
        </w:rPr>
        <w:t xml:space="preserve"> and Khan (2024) offer codes related to pesticide detection, pesticide residues, and health risks.</w:t>
      </w:r>
    </w:p>
    <w:p w14:paraId="2BAC4E50" w14:textId="77777777" w:rsidR="00742DCD" w:rsidRPr="0044793F" w:rsidRDefault="00742DCD" w:rsidP="00742DCD">
      <w:pPr>
        <w:spacing w:line="360" w:lineRule="auto"/>
        <w:rPr>
          <w:rFonts w:ascii="Arial" w:hAnsi="Arial" w:cs="Arial"/>
        </w:rPr>
      </w:pPr>
      <w:r w:rsidRPr="0044793F">
        <w:rPr>
          <w:rFonts w:ascii="Arial" w:hAnsi="Arial" w:cs="Arial"/>
        </w:rPr>
        <w:t xml:space="preserve">In the second phase these codes are categorized into meaningful themes. Motivation can be a theme around health awareness, food-safety, environmental awareness and perceived quality. Barriers can be the theme consisting of price, availability, and gaps or </w:t>
      </w:r>
      <w:proofErr w:type="spellStart"/>
      <w:r w:rsidRPr="0044793F">
        <w:rPr>
          <w:rFonts w:ascii="Arial" w:hAnsi="Arial" w:cs="Arial"/>
        </w:rPr>
        <w:t>scepticism</w:t>
      </w:r>
      <w:proofErr w:type="spellEnd"/>
      <w:r w:rsidRPr="0044793F">
        <w:rPr>
          <w:rFonts w:ascii="Arial" w:hAnsi="Arial" w:cs="Arial"/>
        </w:rPr>
        <w:t>. A theme for digital marketing effectiveness can be established via social media, content marketing, influencers and trust in e-commerce.</w:t>
      </w:r>
    </w:p>
    <w:p w14:paraId="62767FA9" w14:textId="77777777" w:rsidR="00742DCD" w:rsidRPr="0044793F" w:rsidRDefault="00742DCD" w:rsidP="00742DCD">
      <w:pPr>
        <w:spacing w:line="360" w:lineRule="auto"/>
        <w:rPr>
          <w:rFonts w:ascii="Arial" w:hAnsi="Arial" w:cs="Arial"/>
        </w:rPr>
      </w:pPr>
      <w:r w:rsidRPr="0044793F">
        <w:rPr>
          <w:rFonts w:ascii="Arial" w:hAnsi="Arial" w:cs="Arial"/>
        </w:rPr>
        <w:t>The third stage is a development of the analytical themes which identify relationships among descriptive themes. One of the analytical themes is 'trust as a linkage between digital exposure and adoption'. Digital marketing can create awareness and offer information, but in order to convert, the trust in certification, sellers, platforms, influencers and transparency of information (Eti et al., 2021; Hafez, 2021; Kundu et al., 2024) play a role. A second theme is ‘attitude-</w:t>
      </w:r>
      <w:proofErr w:type="spellStart"/>
      <w:r w:rsidRPr="0044793F">
        <w:rPr>
          <w:rFonts w:ascii="Arial" w:hAnsi="Arial" w:cs="Arial"/>
        </w:rPr>
        <w:t>behaviour</w:t>
      </w:r>
      <w:proofErr w:type="spellEnd"/>
      <w:r w:rsidRPr="0044793F">
        <w:rPr>
          <w:rFonts w:ascii="Arial" w:hAnsi="Arial" w:cs="Arial"/>
        </w:rPr>
        <w:t xml:space="preserve"> gap'. Though consumers prefer organic products, they may not be willing to buy due to the products being priced, non-availability, or the lack of confidence in the products' authenticity (Ashraf et al., 2019; Kabir and Islam, 2022; Tandon et al., 2020). These themes are used to provide background for the reasons why digital promotion may not be enough to produce adoption.</w:t>
      </w:r>
    </w:p>
    <w:p w14:paraId="7BE4186A" w14:textId="53FB158C" w:rsidR="007556ED" w:rsidRPr="0044793F" w:rsidRDefault="007556ED" w:rsidP="00330022">
      <w:pPr>
        <w:pStyle w:val="Heading3"/>
        <w:rPr>
          <w:rFonts w:ascii="Arial" w:hAnsi="Arial" w:cs="Arial"/>
        </w:rPr>
      </w:pPr>
      <w:r w:rsidRPr="0044793F">
        <w:rPr>
          <w:rFonts w:ascii="Arial" w:hAnsi="Arial" w:cs="Arial"/>
        </w:rPr>
        <w:t>3.4.2 Integration of Multiple Study Types</w:t>
      </w:r>
    </w:p>
    <w:p w14:paraId="0F7DF7B1" w14:textId="77777777" w:rsidR="00742DCD" w:rsidRPr="0044793F" w:rsidRDefault="00742DCD" w:rsidP="00404048">
      <w:pPr>
        <w:spacing w:line="360" w:lineRule="auto"/>
        <w:rPr>
          <w:rFonts w:ascii="Arial" w:hAnsi="Arial" w:cs="Arial"/>
        </w:rPr>
      </w:pPr>
      <w:r w:rsidRPr="0044793F">
        <w:rPr>
          <w:rFonts w:ascii="Arial" w:hAnsi="Arial" w:cs="Arial"/>
        </w:rPr>
        <w:t xml:space="preserve">Thematic synthesis is a great strength as it is able to combine different study designs. There are quantitative surveys that present statistical evidence to show the relationship between health consciousness, trust and attitudes and purchase intentions (Kabir &amp; Islam, 2022; Zheng et al., 2021). Qualitative studies deliver understanding on the perception of authenticity, certification and the security of online. Studies use both numerical evidence and contextual explanation, these are called mixed method studies. Experimental and quasi-experimental research can provide light on the effects of interventions and case studies can show how the interventions work in practice. Laboratory studies have shown that pesticides are present in the environment and that this contamination poses risks to food safety (Islam et al., 2021; </w:t>
      </w:r>
      <w:proofErr w:type="spellStart"/>
      <w:r w:rsidRPr="0044793F">
        <w:rPr>
          <w:rFonts w:ascii="Arial" w:hAnsi="Arial" w:cs="Arial"/>
        </w:rPr>
        <w:t>Momtaz</w:t>
      </w:r>
      <w:proofErr w:type="spellEnd"/>
      <w:r w:rsidRPr="0044793F">
        <w:rPr>
          <w:rFonts w:ascii="Arial" w:hAnsi="Arial" w:cs="Arial"/>
        </w:rPr>
        <w:t xml:space="preserve"> and Khan, </w:t>
      </w:r>
      <w:r w:rsidRPr="0044793F">
        <w:rPr>
          <w:rFonts w:ascii="Arial" w:hAnsi="Arial" w:cs="Arial"/>
        </w:rPr>
        <w:lastRenderedPageBreak/>
        <w:t xml:space="preserve">2024; Paul et al., 2025). There are some broad patterns across countries as provided by existing systematic reviews (Tamirat, 2023; </w:t>
      </w:r>
      <w:proofErr w:type="spellStart"/>
      <w:r w:rsidRPr="0044793F">
        <w:rPr>
          <w:rFonts w:ascii="Arial" w:hAnsi="Arial" w:cs="Arial"/>
        </w:rPr>
        <w:t>Britwum</w:t>
      </w:r>
      <w:proofErr w:type="spellEnd"/>
      <w:r w:rsidRPr="0044793F">
        <w:rPr>
          <w:rFonts w:ascii="Arial" w:hAnsi="Arial" w:cs="Arial"/>
        </w:rPr>
        <w:t xml:space="preserve"> et al., 2022).</w:t>
      </w:r>
    </w:p>
    <w:p w14:paraId="78899EFA" w14:textId="04CB8A1C" w:rsidR="007556ED" w:rsidRPr="0044793F" w:rsidRDefault="007556ED" w:rsidP="00330022">
      <w:pPr>
        <w:pStyle w:val="Heading3"/>
        <w:rPr>
          <w:rFonts w:ascii="Arial" w:hAnsi="Arial" w:cs="Arial"/>
        </w:rPr>
      </w:pPr>
      <w:r w:rsidRPr="0044793F">
        <w:rPr>
          <w:rFonts w:ascii="Arial" w:hAnsi="Arial" w:cs="Arial"/>
        </w:rPr>
        <w:t>3.4.3 Narrative Configuration</w:t>
      </w:r>
    </w:p>
    <w:p w14:paraId="464196CD" w14:textId="77777777" w:rsidR="00742DCD" w:rsidRPr="0044793F" w:rsidRDefault="00742DCD" w:rsidP="00404048">
      <w:pPr>
        <w:spacing w:line="360" w:lineRule="auto"/>
        <w:rPr>
          <w:rFonts w:ascii="Arial" w:hAnsi="Arial" w:cs="Arial"/>
        </w:rPr>
      </w:pPr>
      <w:r w:rsidRPr="0044793F">
        <w:rPr>
          <w:rFonts w:ascii="Arial" w:hAnsi="Arial" w:cs="Arial"/>
        </w:rPr>
        <w:t>It is beneficial to thematic synthesis to go further than just identifying the themes and organize them in a coherent way into the digital marketing configuration for organic adoption. Chapter 4 presents the five research questions and works out sub-themes related to the social media, the concept of content marketing, the concept of e-commerce, the concept of influencer marketing, and finally, integrated digital approaches.</w:t>
      </w:r>
    </w:p>
    <w:p w14:paraId="1A8EF79E" w14:textId="217951BD" w:rsidR="007556ED" w:rsidRPr="0044793F" w:rsidRDefault="007556ED" w:rsidP="00330022">
      <w:pPr>
        <w:pStyle w:val="Heading2"/>
        <w:rPr>
          <w:rFonts w:ascii="Arial" w:hAnsi="Arial" w:cs="Arial"/>
        </w:rPr>
      </w:pPr>
      <w:r w:rsidRPr="0044793F">
        <w:rPr>
          <w:rFonts w:ascii="Arial" w:hAnsi="Arial" w:cs="Arial"/>
        </w:rPr>
        <w:t>3.5 Data Collection Methods</w:t>
      </w:r>
    </w:p>
    <w:p w14:paraId="79BE2C94" w14:textId="77777777" w:rsidR="007556ED" w:rsidRPr="0044793F" w:rsidRDefault="007556ED" w:rsidP="00330022">
      <w:pPr>
        <w:pStyle w:val="Heading3"/>
        <w:rPr>
          <w:rFonts w:ascii="Arial" w:hAnsi="Arial" w:cs="Arial"/>
        </w:rPr>
      </w:pPr>
      <w:r w:rsidRPr="0044793F">
        <w:rPr>
          <w:rFonts w:ascii="Arial" w:hAnsi="Arial" w:cs="Arial"/>
        </w:rPr>
        <w:t>3.5.1 Search Strategy</w:t>
      </w:r>
    </w:p>
    <w:p w14:paraId="17895BB3" w14:textId="77777777" w:rsidR="00742DCD" w:rsidRPr="0044793F" w:rsidRDefault="00742DCD" w:rsidP="00742DCD">
      <w:pPr>
        <w:spacing w:line="360" w:lineRule="auto"/>
        <w:rPr>
          <w:rFonts w:ascii="Arial" w:hAnsi="Arial" w:cs="Arial"/>
        </w:rPr>
      </w:pPr>
      <w:r w:rsidRPr="0044793F">
        <w:rPr>
          <w:rFonts w:ascii="Arial" w:hAnsi="Arial" w:cs="Arial"/>
        </w:rPr>
        <w:t xml:space="preserve">Google Scholar, Scopus, Web of Science, EBSCO Business Source Complete, Emerald Insight, ScienceDirect, ProQuest and PubMed/PMC were the search engines utilized for the literature search. The databases have been chosen due to the fact that one of them provides data on marketing and consumer </w:t>
      </w:r>
      <w:proofErr w:type="spellStart"/>
      <w:r w:rsidRPr="0044793F">
        <w:rPr>
          <w:rFonts w:ascii="Arial" w:hAnsi="Arial" w:cs="Arial"/>
        </w:rPr>
        <w:t>behaviour</w:t>
      </w:r>
      <w:proofErr w:type="spellEnd"/>
      <w:r w:rsidRPr="0044793F">
        <w:rPr>
          <w:rFonts w:ascii="Arial" w:hAnsi="Arial" w:cs="Arial"/>
        </w:rPr>
        <w:t>, the other on information systems, the one on agriculture and the last one on food safety and development studies. Multiple databases means that you won't miss out on relevant research due to indexing differences.</w:t>
      </w:r>
    </w:p>
    <w:p w14:paraId="0B8F9D60" w14:textId="77777777" w:rsidR="00742DCD" w:rsidRPr="0044793F" w:rsidRDefault="00742DCD" w:rsidP="00742DCD">
      <w:pPr>
        <w:spacing w:line="360" w:lineRule="auto"/>
        <w:rPr>
          <w:rFonts w:ascii="Arial" w:hAnsi="Arial" w:cs="Arial"/>
        </w:rPr>
      </w:pPr>
      <w:r w:rsidRPr="0044793F">
        <w:rPr>
          <w:rFonts w:ascii="Arial" w:hAnsi="Arial" w:cs="Arial"/>
        </w:rPr>
        <w:t>The search terms were grouped into 3 concept groups. The first was a course on Digital Marketing which covered Digital Marketing, Social Media Marketing, E-Commerce, Online Marketing, Content Marketing, Influencer Marketing, Digital Advertising, Mobile marketing and Digital communication. The second one was dedicated to the organic products, organic food, organic products, organic agriculture, sustainable consumption, green products, organic vegetables, organic farming, eco-friendly products and certified organic products. The third was on Geography and Context such as Bangladesh, South Asia, EMs (emerging markets), DCs (developing countries), emerging economies and middle-income countries.</w:t>
      </w:r>
    </w:p>
    <w:p w14:paraId="5C67D469" w14:textId="77777777" w:rsidR="00742DCD" w:rsidRPr="0044793F" w:rsidRDefault="00742DCD" w:rsidP="00742DCD">
      <w:pPr>
        <w:spacing w:line="360" w:lineRule="auto"/>
        <w:rPr>
          <w:rFonts w:ascii="Arial" w:hAnsi="Arial" w:cs="Arial"/>
        </w:rPr>
      </w:pPr>
      <w:r w:rsidRPr="0044793F">
        <w:rPr>
          <w:rFonts w:ascii="Arial" w:hAnsi="Arial" w:cs="Arial"/>
        </w:rPr>
        <w:t xml:space="preserve">Boolean operators were used to combine the groups. Searches that included digital marketing and/or organic products and geographic terms uncovered directly relevant </w:t>
      </w:r>
      <w:r w:rsidRPr="0044793F">
        <w:rPr>
          <w:rFonts w:ascii="Arial" w:hAnsi="Arial" w:cs="Arial"/>
        </w:rPr>
        <w:lastRenderedPageBreak/>
        <w:t>studies, as did searches that included some other combination, which resulted in theory-based, consumer-</w:t>
      </w:r>
      <w:proofErr w:type="spellStart"/>
      <w:r w:rsidRPr="0044793F">
        <w:rPr>
          <w:rFonts w:ascii="Arial" w:hAnsi="Arial" w:cs="Arial"/>
        </w:rPr>
        <w:t>behaviour</w:t>
      </w:r>
      <w:proofErr w:type="spellEnd"/>
      <w:r w:rsidRPr="0044793F">
        <w:rPr>
          <w:rFonts w:ascii="Arial" w:hAnsi="Arial" w:cs="Arial"/>
        </w:rPr>
        <w:t xml:space="preserve"> and/or digital-marketing evidence from similar contexts. The material that was not located in the databases was also located by citation chaining, forward citation tracking, hand searching and searching for grey-literature.</w:t>
      </w:r>
    </w:p>
    <w:p w14:paraId="222235C1" w14:textId="36119AAE" w:rsidR="007556ED" w:rsidRPr="0044793F" w:rsidRDefault="007556ED" w:rsidP="00330022">
      <w:pPr>
        <w:pStyle w:val="Heading3"/>
        <w:rPr>
          <w:rFonts w:ascii="Arial" w:hAnsi="Arial" w:cs="Arial"/>
        </w:rPr>
      </w:pPr>
      <w:r w:rsidRPr="0044793F">
        <w:rPr>
          <w:rFonts w:ascii="Arial" w:hAnsi="Arial" w:cs="Arial"/>
        </w:rPr>
        <w:t>3.5.2 Inclusion and Exclusion Criteria</w:t>
      </w:r>
    </w:p>
    <w:p w14:paraId="75E4CC50" w14:textId="77777777" w:rsidR="00742DCD" w:rsidRPr="0044793F" w:rsidRDefault="00742DCD" w:rsidP="00742DCD">
      <w:pPr>
        <w:spacing w:line="360" w:lineRule="auto"/>
        <w:rPr>
          <w:rFonts w:ascii="Arial" w:hAnsi="Arial" w:cs="Arial"/>
        </w:rPr>
      </w:pPr>
      <w:r w:rsidRPr="0044793F">
        <w:rPr>
          <w:rFonts w:ascii="Arial" w:hAnsi="Arial" w:cs="Arial"/>
        </w:rPr>
        <w:t xml:space="preserve">The following criteria were used for the inclusion of articles: topical relevance, temporal relevance, methodological standards were satisfactory, and there was a publication quality and access to articles in English which was considered credible. The studies can focus on digital marketing, organic consumer </w:t>
      </w:r>
      <w:proofErr w:type="spellStart"/>
      <w:r w:rsidRPr="0044793F">
        <w:rPr>
          <w:rFonts w:ascii="Arial" w:hAnsi="Arial" w:cs="Arial"/>
        </w:rPr>
        <w:t>behaviour</w:t>
      </w:r>
      <w:proofErr w:type="spellEnd"/>
      <w:r w:rsidRPr="0044793F">
        <w:rPr>
          <w:rFonts w:ascii="Arial" w:hAnsi="Arial" w:cs="Arial"/>
        </w:rPr>
        <w:t>, Bangladeshi digital infrastructure, organic agriculture, food safety and/or digital adoption/organic trust theories. Empirical studies were required to be in the 2013-2024 period and foundational theories could be prior to that.</w:t>
      </w:r>
    </w:p>
    <w:p w14:paraId="10910F35" w14:textId="77777777" w:rsidR="00742DCD" w:rsidRPr="0044793F" w:rsidRDefault="00742DCD" w:rsidP="00742DCD">
      <w:pPr>
        <w:spacing w:line="360" w:lineRule="auto"/>
        <w:rPr>
          <w:rFonts w:ascii="Arial" w:hAnsi="Arial" w:cs="Arial"/>
        </w:rPr>
      </w:pPr>
      <w:r w:rsidRPr="0044793F">
        <w:rPr>
          <w:rFonts w:ascii="Arial" w:hAnsi="Arial" w:cs="Arial"/>
        </w:rPr>
        <w:t>Studies that lacked transferability to Bangladesh, were not transparent in their methodology, provided no empirical or systematic evidence, were opinion or promotional in nature and/or were based on outdated empirical evidence of little foundation were excluded. Selection was done in two phases – the title and abstract, and the full text. About 20% of studies were independently reviewed by a second reviewer and any differences in the results were resolved by discussion. Identification, deduplication, screening, exclusion and final inclusion were documented using a PRISMA type flow diagram.</w:t>
      </w:r>
    </w:p>
    <w:p w14:paraId="3AA177F9" w14:textId="5413A440" w:rsidR="007556ED" w:rsidRPr="0044793F" w:rsidRDefault="007556ED" w:rsidP="00330022">
      <w:pPr>
        <w:pStyle w:val="Heading3"/>
        <w:rPr>
          <w:rFonts w:ascii="Arial" w:hAnsi="Arial" w:cs="Arial"/>
        </w:rPr>
      </w:pPr>
      <w:r w:rsidRPr="0044793F">
        <w:rPr>
          <w:rFonts w:ascii="Arial" w:hAnsi="Arial" w:cs="Arial"/>
        </w:rPr>
        <w:t>3.5.3 Quality Assessment</w:t>
      </w:r>
    </w:p>
    <w:p w14:paraId="4359BED3" w14:textId="77777777" w:rsidR="00742DCD" w:rsidRPr="0044793F" w:rsidRDefault="00742DCD" w:rsidP="00742DCD">
      <w:pPr>
        <w:spacing w:line="360" w:lineRule="auto"/>
        <w:rPr>
          <w:rFonts w:ascii="Arial" w:hAnsi="Arial" w:cs="Arial"/>
        </w:rPr>
      </w:pPr>
      <w:r w:rsidRPr="0044793F">
        <w:rPr>
          <w:rFonts w:ascii="Arial" w:hAnsi="Arial" w:cs="Arial"/>
        </w:rPr>
        <w:t xml:space="preserve">The quality of the articles was appraised using the Critical Appraisal Skills </w:t>
      </w:r>
      <w:proofErr w:type="spellStart"/>
      <w:r w:rsidRPr="0044793F">
        <w:rPr>
          <w:rFonts w:ascii="Arial" w:hAnsi="Arial" w:cs="Arial"/>
        </w:rPr>
        <w:t>Programme</w:t>
      </w:r>
      <w:proofErr w:type="spellEnd"/>
      <w:r w:rsidRPr="0044793F">
        <w:rPr>
          <w:rFonts w:ascii="Arial" w:hAnsi="Arial" w:cs="Arial"/>
        </w:rPr>
        <w:t xml:space="preserve"> (CASP) criteria (CASP, 2018) with adaptations made. In quantitative studies the following factors were considered in determining the adequacy of the study: sample adequacy, measurement validity, appropriateness of analyses, bias minimization and generalizability. In the case of qualitative studies, methodological transparency, analytical </w:t>
      </w:r>
      <w:proofErr w:type="spellStart"/>
      <w:r w:rsidRPr="0044793F">
        <w:rPr>
          <w:rFonts w:ascii="Arial" w:hAnsi="Arial" w:cs="Arial"/>
        </w:rPr>
        <w:t>rigour</w:t>
      </w:r>
      <w:proofErr w:type="spellEnd"/>
      <w:r w:rsidRPr="0044793F">
        <w:rPr>
          <w:rFonts w:ascii="Arial" w:hAnsi="Arial" w:cs="Arial"/>
        </w:rPr>
        <w:t>, credibility, reflexivity and transferability were assessed. Studies on integration/complementarity as well as on both components were evaluated using mixed-methods approach.</w:t>
      </w:r>
    </w:p>
    <w:p w14:paraId="44DD113F" w14:textId="77777777" w:rsidR="00742DCD" w:rsidRPr="0044793F" w:rsidRDefault="00742DCD" w:rsidP="00742DCD">
      <w:pPr>
        <w:spacing w:line="360" w:lineRule="auto"/>
        <w:rPr>
          <w:rFonts w:ascii="Arial" w:hAnsi="Arial" w:cs="Arial"/>
        </w:rPr>
      </w:pPr>
      <w:r w:rsidRPr="0044793F">
        <w:rPr>
          <w:rFonts w:ascii="Arial" w:hAnsi="Arial" w:cs="Arial"/>
        </w:rPr>
        <w:lastRenderedPageBreak/>
        <w:t>The systematic reviews were evaluated based on the search comprehensiveness, selection transparency and quality appraisal and synthesis appropriateness. All studies took into account the context relevance (geographic, temporal and topical). Research studies were categorized as high, medium or low quality. The weight of the findings from higher quality studies was increased in the synthesis process, particularly when there was a conflict with findings from lower quality studies. Lower quality studies were not automatically dismissed because they may have valuable evidence in areas where they have not been widely studied; the conclusions of these studies were drawn with caution (Petticrew and Roberts, 2006).</w:t>
      </w:r>
    </w:p>
    <w:p w14:paraId="7DCC0427" w14:textId="7601F9E7" w:rsidR="007556ED" w:rsidRPr="0044793F" w:rsidRDefault="007556ED" w:rsidP="00330022">
      <w:pPr>
        <w:pStyle w:val="Heading3"/>
        <w:rPr>
          <w:rFonts w:ascii="Arial" w:hAnsi="Arial" w:cs="Arial"/>
        </w:rPr>
      </w:pPr>
      <w:r w:rsidRPr="0044793F">
        <w:rPr>
          <w:rFonts w:ascii="Arial" w:hAnsi="Arial" w:cs="Arial"/>
        </w:rPr>
        <w:t>3.5.4 Data Extraction</w:t>
      </w:r>
    </w:p>
    <w:p w14:paraId="0A8C121B" w14:textId="77777777" w:rsidR="00742DCD" w:rsidRPr="0044793F" w:rsidRDefault="00742DCD" w:rsidP="00404048">
      <w:pPr>
        <w:spacing w:line="360" w:lineRule="auto"/>
        <w:rPr>
          <w:rFonts w:ascii="Arial" w:hAnsi="Arial" w:cs="Arial"/>
        </w:rPr>
      </w:pPr>
      <w:r w:rsidRPr="0044793F">
        <w:rPr>
          <w:rFonts w:ascii="Arial" w:hAnsi="Arial" w:cs="Arial"/>
        </w:rPr>
        <w:t xml:space="preserve">A standardized extraction form facilitated uniform data collection of bibliographic data, study characteristics, sample information, data collection methods, analysis, main results and limitations. The extracted evidence </w:t>
      </w:r>
      <w:proofErr w:type="gramStart"/>
      <w:r w:rsidRPr="0044793F">
        <w:rPr>
          <w:rFonts w:ascii="Arial" w:hAnsi="Arial" w:cs="Arial"/>
        </w:rPr>
        <w:t>were</w:t>
      </w:r>
      <w:proofErr w:type="gramEnd"/>
      <w:r w:rsidRPr="0044793F">
        <w:rPr>
          <w:rFonts w:ascii="Arial" w:hAnsi="Arial" w:cs="Arial"/>
        </w:rPr>
        <w:t xml:space="preserve"> categorized into six thematic tables in Chapter 2 under the headings of digital marketing strategies, social media and digital adoption, e-commerce trust and infrastructure, global organic consumer </w:t>
      </w:r>
      <w:proofErr w:type="spellStart"/>
      <w:r w:rsidRPr="0044793F">
        <w:rPr>
          <w:rFonts w:ascii="Arial" w:hAnsi="Arial" w:cs="Arial"/>
        </w:rPr>
        <w:t>behaviour</w:t>
      </w:r>
      <w:proofErr w:type="spellEnd"/>
      <w:r w:rsidRPr="0044793F">
        <w:rPr>
          <w:rFonts w:ascii="Arial" w:hAnsi="Arial" w:cs="Arial"/>
        </w:rPr>
        <w:t xml:space="preserve">, Bangladesh and South Asia organic </w:t>
      </w:r>
      <w:proofErr w:type="spellStart"/>
      <w:r w:rsidRPr="0044793F">
        <w:rPr>
          <w:rFonts w:ascii="Arial" w:hAnsi="Arial" w:cs="Arial"/>
        </w:rPr>
        <w:t>behaviour</w:t>
      </w:r>
      <w:proofErr w:type="spellEnd"/>
      <w:r w:rsidRPr="0044793F">
        <w:rPr>
          <w:rFonts w:ascii="Arial" w:hAnsi="Arial" w:cs="Arial"/>
        </w:rPr>
        <w:t xml:space="preserve"> and pesticide residues and food safety.</w:t>
      </w:r>
    </w:p>
    <w:p w14:paraId="1D26AA43" w14:textId="3435AF1F" w:rsidR="007556ED" w:rsidRPr="0044793F" w:rsidRDefault="007556ED" w:rsidP="00330022">
      <w:pPr>
        <w:pStyle w:val="Heading2"/>
        <w:rPr>
          <w:rFonts w:ascii="Arial" w:hAnsi="Arial" w:cs="Arial"/>
        </w:rPr>
      </w:pPr>
      <w:r w:rsidRPr="0044793F">
        <w:rPr>
          <w:rFonts w:ascii="Arial" w:hAnsi="Arial" w:cs="Arial"/>
        </w:rPr>
        <w:t>3.6 Limitations of the Methodology</w:t>
      </w:r>
    </w:p>
    <w:p w14:paraId="504E90DA" w14:textId="77777777" w:rsidR="00E1092B" w:rsidRPr="0044793F" w:rsidRDefault="00E1092B" w:rsidP="00E1092B">
      <w:pPr>
        <w:spacing w:line="360" w:lineRule="auto"/>
        <w:rPr>
          <w:rFonts w:ascii="Arial" w:hAnsi="Arial" w:cs="Arial"/>
        </w:rPr>
      </w:pPr>
      <w:r w:rsidRPr="0044793F">
        <w:rPr>
          <w:rFonts w:ascii="Arial" w:hAnsi="Arial" w:cs="Arial"/>
        </w:rPr>
        <w:t>Another limitation is due to evidence heterogeneity. There are variations in countries, product categories, theories, methods and outcome measures in studies. This will make definite causal statements hard. This study does not consider the heterogeneity as a problem; instead, it explores if the differences show contextual contingencies as suggested by Petticrew and Roberts (2006).</w:t>
      </w:r>
    </w:p>
    <w:p w14:paraId="254397C1" w14:textId="77777777" w:rsidR="00E1092B" w:rsidRPr="0044793F" w:rsidRDefault="00E1092B" w:rsidP="00E1092B">
      <w:pPr>
        <w:spacing w:line="360" w:lineRule="auto"/>
        <w:rPr>
          <w:rFonts w:ascii="Arial" w:hAnsi="Arial" w:cs="Arial"/>
        </w:rPr>
      </w:pPr>
      <w:r w:rsidRPr="0044793F">
        <w:rPr>
          <w:rFonts w:ascii="Arial" w:hAnsi="Arial" w:cs="Arial"/>
        </w:rPr>
        <w:t>Of all the substantive restrictions, the most significant one is indirect evidence. Existing studies that have directly focused on the integrated use of digital marketing and adoption of organic products in Bangladesh are limited. Hence, the review amalgamates evidences related to digital marketing in Bangladesh, organic consumption in Bangladesh and digital marketing of organic products in other parts of the world. This seems to be a sound approach on the theoretical side but there is some uncertainty. The difference between direct and indirect evidence is thus retained and the gap in evidence is singled out as a valuable path for primary research in the future.</w:t>
      </w:r>
    </w:p>
    <w:p w14:paraId="77413188" w14:textId="3AC4A6E6" w:rsidR="007556ED" w:rsidRPr="0044793F" w:rsidRDefault="007556ED" w:rsidP="00330022">
      <w:pPr>
        <w:pStyle w:val="Heading2"/>
        <w:rPr>
          <w:rFonts w:ascii="Arial" w:hAnsi="Arial" w:cs="Arial"/>
        </w:rPr>
      </w:pPr>
      <w:r w:rsidRPr="0044793F">
        <w:rPr>
          <w:rFonts w:ascii="Arial" w:hAnsi="Arial" w:cs="Arial"/>
        </w:rPr>
        <w:lastRenderedPageBreak/>
        <w:t>3.7 Ethical Considerations</w:t>
      </w:r>
    </w:p>
    <w:p w14:paraId="54C008F4" w14:textId="77777777" w:rsidR="00E1092B" w:rsidRPr="0044793F" w:rsidRDefault="00E1092B" w:rsidP="00E1092B">
      <w:pPr>
        <w:spacing w:line="360" w:lineRule="auto"/>
        <w:rPr>
          <w:rFonts w:ascii="Arial" w:hAnsi="Arial" w:cs="Arial"/>
        </w:rPr>
      </w:pPr>
      <w:r w:rsidRPr="0044793F">
        <w:rPr>
          <w:rFonts w:ascii="Arial" w:hAnsi="Arial" w:cs="Arial"/>
        </w:rPr>
        <w:t>The emphasis of ethics in an SLR is on research integrity and not research participant protection. Transparency and reproducibility are ethical responsibilities since readers need to be able to assess the identification and interpretation of evidence (</w:t>
      </w:r>
      <w:proofErr w:type="spellStart"/>
      <w:r w:rsidRPr="0044793F">
        <w:rPr>
          <w:rFonts w:ascii="Arial" w:hAnsi="Arial" w:cs="Arial"/>
        </w:rPr>
        <w:t>Tranfield</w:t>
      </w:r>
      <w:proofErr w:type="spellEnd"/>
      <w:r w:rsidRPr="0044793F">
        <w:rPr>
          <w:rFonts w:ascii="Arial" w:hAnsi="Arial" w:cs="Arial"/>
        </w:rPr>
        <w:t xml:space="preserve"> et al, 2003). The study, therefore, reports on the search strategies, criteria, appraisal procedures, and synthesis methods.</w:t>
      </w:r>
    </w:p>
    <w:p w14:paraId="66245A1F" w14:textId="77777777" w:rsidR="00E1092B" w:rsidRPr="0044793F" w:rsidRDefault="00E1092B" w:rsidP="00E1092B">
      <w:pPr>
        <w:spacing w:line="360" w:lineRule="auto"/>
        <w:rPr>
          <w:rFonts w:ascii="Arial" w:hAnsi="Arial" w:cs="Arial"/>
        </w:rPr>
      </w:pPr>
      <w:r w:rsidRPr="0044793F">
        <w:rPr>
          <w:rFonts w:ascii="Arial" w:hAnsi="Arial" w:cs="Arial"/>
        </w:rPr>
        <w:t>Representation is also crucial and should be accurate. Selective quoting and/or paraphrasing source findings is not acceptable. Extracting information in a standardized way, using structured tables, careful citing and recognizing conflicting findings are examples of intellectual honesty (Petticrew and Roberts, 2006). The proper attribution helps to trace the theoretical and empirical contributions to the original author.</w:t>
      </w:r>
    </w:p>
    <w:p w14:paraId="1BA23D2B" w14:textId="77777777" w:rsidR="00E1092B" w:rsidRPr="0044793F" w:rsidRDefault="00E1092B" w:rsidP="00E1092B">
      <w:pPr>
        <w:spacing w:line="360" w:lineRule="auto"/>
        <w:rPr>
          <w:rFonts w:ascii="Arial" w:hAnsi="Arial" w:cs="Arial"/>
        </w:rPr>
      </w:pPr>
      <w:r w:rsidRPr="0044793F">
        <w:rPr>
          <w:rFonts w:ascii="Arial" w:hAnsi="Arial" w:cs="Arial"/>
        </w:rPr>
        <w:t xml:space="preserve">The study also includes an appreciation of the positionality of the researchers. It has an intrinsic interest in sustainability, in public health and in agricultural development and can develop a preference for the organic product or digital marketing. This risk is mitigated by reporting areas of concern such as price, availability, </w:t>
      </w:r>
      <w:proofErr w:type="spellStart"/>
      <w:r w:rsidRPr="0044793F">
        <w:rPr>
          <w:rFonts w:ascii="Arial" w:hAnsi="Arial" w:cs="Arial"/>
        </w:rPr>
        <w:t>scepticism</w:t>
      </w:r>
      <w:proofErr w:type="spellEnd"/>
      <w:r w:rsidRPr="0044793F">
        <w:rPr>
          <w:rFonts w:ascii="Arial" w:hAnsi="Arial" w:cs="Arial"/>
        </w:rPr>
        <w:t xml:space="preserve"> and constraints to trust in addition to taking evidence from a challenging the assumptions for the </w:t>
      </w:r>
      <w:proofErr w:type="spellStart"/>
      <w:r w:rsidRPr="0044793F">
        <w:rPr>
          <w:rFonts w:ascii="Arial" w:hAnsi="Arial" w:cs="Arial"/>
        </w:rPr>
        <w:t>favourable</w:t>
      </w:r>
      <w:proofErr w:type="spellEnd"/>
      <w:r w:rsidRPr="0044793F">
        <w:rPr>
          <w:rFonts w:ascii="Arial" w:hAnsi="Arial" w:cs="Arial"/>
        </w:rPr>
        <w:t>.</w:t>
      </w:r>
    </w:p>
    <w:p w14:paraId="5A20F1C1" w14:textId="77777777" w:rsidR="00E1092B" w:rsidRPr="0044793F" w:rsidRDefault="00E1092B" w:rsidP="00E1092B">
      <w:pPr>
        <w:spacing w:line="360" w:lineRule="auto"/>
        <w:rPr>
          <w:rFonts w:ascii="Arial" w:hAnsi="Arial" w:cs="Arial"/>
        </w:rPr>
      </w:pPr>
      <w:r w:rsidRPr="0044793F">
        <w:rPr>
          <w:rFonts w:ascii="Arial" w:hAnsi="Arial" w:cs="Arial"/>
        </w:rPr>
        <w:t>Another ethical considerate is responsible communication. Giving recommendations that say that digital marketing will cause adoption is incorrect. Rather, they should denote what circumstances are more likely to support strategies and what are obstacles and need to be overcome. For producers with limited resources, this is particularly important as they may be negatively affected if too many recommendations are made. Likewise, the discovery of food-safety issues should not be blown out of proportion and cause undue fear in consumers or hurt the conventional farmers.</w:t>
      </w:r>
    </w:p>
    <w:p w14:paraId="525C2FD7" w14:textId="451BE4AF" w:rsidR="007556ED" w:rsidRPr="0044793F" w:rsidRDefault="007556ED" w:rsidP="00330022">
      <w:pPr>
        <w:pStyle w:val="Heading2"/>
        <w:rPr>
          <w:rFonts w:ascii="Arial" w:hAnsi="Arial" w:cs="Arial"/>
        </w:rPr>
      </w:pPr>
      <w:r w:rsidRPr="0044793F">
        <w:rPr>
          <w:rFonts w:ascii="Arial" w:hAnsi="Arial" w:cs="Arial"/>
        </w:rPr>
        <w:t>3.8 Conclusion</w:t>
      </w:r>
    </w:p>
    <w:p w14:paraId="35A4374E" w14:textId="68B2B46C" w:rsidR="00542BE7" w:rsidRPr="0044793F" w:rsidRDefault="00E1092B" w:rsidP="00404048">
      <w:pPr>
        <w:spacing w:line="360" w:lineRule="auto"/>
        <w:rPr>
          <w:rFonts w:ascii="Arial" w:hAnsi="Arial" w:cs="Arial"/>
          <w:b/>
          <w:bCs/>
        </w:rPr>
      </w:pPr>
      <w:r w:rsidRPr="0044793F">
        <w:rPr>
          <w:rFonts w:ascii="Arial" w:hAnsi="Arial" w:cs="Arial"/>
          <w:bCs/>
        </w:rPr>
        <w:t xml:space="preserve">The methodological framework to study digital marketing and adoption of organic products in Bangladesh was set in this chapter. Consumer </w:t>
      </w:r>
      <w:proofErr w:type="spellStart"/>
      <w:r w:rsidRPr="0044793F">
        <w:rPr>
          <w:rFonts w:ascii="Arial" w:hAnsi="Arial" w:cs="Arial"/>
          <w:bCs/>
        </w:rPr>
        <w:t>behaviour</w:t>
      </w:r>
      <w:proofErr w:type="spellEnd"/>
      <w:r w:rsidRPr="0044793F">
        <w:rPr>
          <w:rFonts w:ascii="Arial" w:hAnsi="Arial" w:cs="Arial"/>
          <w:bCs/>
        </w:rPr>
        <w:t xml:space="preserve"> is seen as context dependent from the relatively context-dependent perspective of an interpretivist paradigm, a relativist ontology and an interpretivist epistemology. A systematic literature </w:t>
      </w:r>
      <w:r w:rsidRPr="0044793F">
        <w:rPr>
          <w:rFonts w:ascii="Arial" w:hAnsi="Arial" w:cs="Arial"/>
          <w:bCs/>
        </w:rPr>
        <w:lastRenderedPageBreak/>
        <w:t>review (SLR) was chosen to help bring together the multidisciplinary evidence and thematic synthesis and narrative configuration was used to maintain the contextual differences. The search process was enhanced by multiple databases, hand searching and grey literature and citation tracking. The criteria were explicit and the screening procedures, quality assessment and standardized extraction helped in the transparency and consistency. The methodology recognizes publication bias, language limitations, and heterogeneity and interpretive judgement. In general, it offers a solid platform to investigate the digital marketing impacts on the adoption of organic products in the technological, economic, cultural and trust environment of Bangladesh.</w:t>
      </w:r>
      <w:r w:rsidR="00542BE7" w:rsidRPr="0044793F">
        <w:rPr>
          <w:rFonts w:ascii="Arial" w:hAnsi="Arial" w:cs="Arial"/>
          <w:bCs/>
        </w:rPr>
        <w:br w:type="page"/>
      </w:r>
    </w:p>
    <w:p w14:paraId="77EA69E6" w14:textId="77777777" w:rsidR="00EE4619" w:rsidRPr="0044793F" w:rsidRDefault="00D22555" w:rsidP="00330022">
      <w:pPr>
        <w:pStyle w:val="Heading1"/>
        <w:rPr>
          <w:rFonts w:ascii="Arial" w:hAnsi="Arial" w:cs="Arial"/>
        </w:rPr>
      </w:pPr>
      <w:r w:rsidRPr="0044793F">
        <w:rPr>
          <w:rFonts w:ascii="Arial" w:hAnsi="Arial" w:cs="Arial"/>
        </w:rPr>
        <w:lastRenderedPageBreak/>
        <w:t>CHAPTER 4: FINDINGS / RESULTS, ANALYSIS AND DISCUSSION</w:t>
      </w:r>
    </w:p>
    <w:p w14:paraId="76ED9017" w14:textId="77777777" w:rsidR="009A20E5" w:rsidRPr="0044793F" w:rsidRDefault="009A20E5" w:rsidP="00330022">
      <w:pPr>
        <w:pStyle w:val="Heading2"/>
        <w:rPr>
          <w:rFonts w:ascii="Arial" w:hAnsi="Arial" w:cs="Arial"/>
        </w:rPr>
      </w:pPr>
      <w:r w:rsidRPr="0044793F">
        <w:rPr>
          <w:rFonts w:ascii="Arial" w:hAnsi="Arial" w:cs="Arial"/>
        </w:rPr>
        <w:t>4.1 Introduction</w:t>
      </w:r>
    </w:p>
    <w:p w14:paraId="12BDC628" w14:textId="702EF10C" w:rsidR="009A20E5" w:rsidRPr="0044793F" w:rsidRDefault="00E1092B" w:rsidP="00404048">
      <w:pPr>
        <w:spacing w:line="360" w:lineRule="auto"/>
        <w:jc w:val="both"/>
        <w:rPr>
          <w:rFonts w:ascii="Arial" w:hAnsi="Arial" w:cs="Arial"/>
        </w:rPr>
      </w:pPr>
      <w:r w:rsidRPr="0044793F">
        <w:rPr>
          <w:rFonts w:ascii="Arial" w:hAnsi="Arial" w:cs="Arial"/>
        </w:rPr>
        <w:t>The overall conclusion is that digital marketing can be a conditional facilitator of growth and adoption of organic products but not automatic. Digital strategies work best in enhancing awareness, supplying education, developing social influence and allowing for convenient purchasing, if there are certain conditions: credible information to fill in knowledge gaps, trust building mechanisms to counteract skepticism, value propositions to justify price premiums, and cultural alignment of messaging. Integration with the development of trust, quality assurance and strategic communication which are based on the consumer's motivations and contextual realities are essential to effectiveness.</w:t>
      </w:r>
    </w:p>
    <w:tbl>
      <w:tblPr>
        <w:tblStyle w:val="TableGrid"/>
        <w:tblW w:w="4953" w:type="pct"/>
        <w:tblLayout w:type="fixed"/>
        <w:tblLook w:val="04A0" w:firstRow="1" w:lastRow="0" w:firstColumn="1" w:lastColumn="0" w:noHBand="0" w:noVBand="1"/>
      </w:tblPr>
      <w:tblGrid>
        <w:gridCol w:w="2876"/>
        <w:gridCol w:w="1890"/>
        <w:gridCol w:w="1532"/>
        <w:gridCol w:w="1886"/>
        <w:gridCol w:w="1078"/>
      </w:tblGrid>
      <w:tr w:rsidR="00B5368A" w:rsidRPr="0044793F" w14:paraId="13048289" w14:textId="77777777" w:rsidTr="00B5368A">
        <w:tc>
          <w:tcPr>
            <w:tcW w:w="1552" w:type="pct"/>
            <w:noWrap/>
            <w:hideMark/>
          </w:tcPr>
          <w:p w14:paraId="1567B37E"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Author(s) &amp; Link</w:t>
            </w:r>
          </w:p>
        </w:tc>
        <w:tc>
          <w:tcPr>
            <w:tcW w:w="1020" w:type="pct"/>
            <w:noWrap/>
            <w:hideMark/>
          </w:tcPr>
          <w:p w14:paraId="465D9CC6"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Aims and Objectives</w:t>
            </w:r>
          </w:p>
        </w:tc>
        <w:tc>
          <w:tcPr>
            <w:tcW w:w="827" w:type="pct"/>
            <w:noWrap/>
            <w:hideMark/>
          </w:tcPr>
          <w:p w14:paraId="10543405"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Methodology</w:t>
            </w:r>
          </w:p>
        </w:tc>
        <w:tc>
          <w:tcPr>
            <w:tcW w:w="1018" w:type="pct"/>
            <w:noWrap/>
            <w:hideMark/>
          </w:tcPr>
          <w:p w14:paraId="095C605D"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Main Findings and Contribution</w:t>
            </w:r>
          </w:p>
        </w:tc>
        <w:tc>
          <w:tcPr>
            <w:tcW w:w="582" w:type="pct"/>
            <w:noWrap/>
            <w:hideMark/>
          </w:tcPr>
          <w:p w14:paraId="37E97A45"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Relevance to Study</w:t>
            </w:r>
          </w:p>
        </w:tc>
      </w:tr>
      <w:tr w:rsidR="00B5368A" w:rsidRPr="0044793F" w14:paraId="2CC64FDF" w14:textId="77777777" w:rsidTr="00B5368A">
        <w:tc>
          <w:tcPr>
            <w:tcW w:w="1552" w:type="pct"/>
            <w:hideMark/>
          </w:tcPr>
          <w:p w14:paraId="2F10709A" w14:textId="77777777" w:rsidR="00B5368A" w:rsidRPr="0044793F" w:rsidRDefault="00B5368A" w:rsidP="00404048">
            <w:pPr>
              <w:spacing w:after="160" w:line="360" w:lineRule="auto"/>
              <w:jc w:val="both"/>
              <w:rPr>
                <w:rFonts w:ascii="Arial" w:hAnsi="Arial" w:cs="Arial"/>
              </w:rPr>
            </w:pPr>
            <w:r w:rsidRPr="0044793F">
              <w:rPr>
                <w:rFonts w:ascii="Arial" w:hAnsi="Arial" w:cs="Arial"/>
              </w:rPr>
              <w:t>Kannan &amp; Li (2017) </w:t>
            </w:r>
            <w:hyperlink r:id="rId9" w:tgtFrame="_blank" w:history="1">
              <w:r w:rsidRPr="0044793F">
                <w:rPr>
                  <w:rStyle w:val="Hyperlink"/>
                  <w:rFonts w:ascii="Arial" w:hAnsi="Arial" w:cs="Arial"/>
                </w:rPr>
                <w:t>https://doi.org/10.1016/j.ijresmar.2016.11.006</w:t>
              </w:r>
            </w:hyperlink>
          </w:p>
        </w:tc>
        <w:tc>
          <w:tcPr>
            <w:tcW w:w="1020" w:type="pct"/>
            <w:hideMark/>
          </w:tcPr>
          <w:p w14:paraId="24BC8B94"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develop a comprehensive framework for digital marketing research and practice; to review existing literature and propose future research agenda</w:t>
            </w:r>
          </w:p>
        </w:tc>
        <w:tc>
          <w:tcPr>
            <w:tcW w:w="827" w:type="pct"/>
            <w:hideMark/>
          </w:tcPr>
          <w:p w14:paraId="7043791D" w14:textId="77777777" w:rsidR="00B5368A" w:rsidRPr="0044793F" w:rsidRDefault="00B5368A" w:rsidP="00404048">
            <w:pPr>
              <w:spacing w:after="160" w:line="360" w:lineRule="auto"/>
              <w:jc w:val="both"/>
              <w:rPr>
                <w:rFonts w:ascii="Arial" w:hAnsi="Arial" w:cs="Arial"/>
              </w:rPr>
            </w:pPr>
            <w:r w:rsidRPr="0044793F">
              <w:rPr>
                <w:rFonts w:ascii="Arial" w:hAnsi="Arial" w:cs="Arial"/>
              </w:rPr>
              <w:t>Systematic literature review and conceptual framework development</w:t>
            </w:r>
          </w:p>
        </w:tc>
        <w:tc>
          <w:tcPr>
            <w:tcW w:w="1018" w:type="pct"/>
            <w:hideMark/>
          </w:tcPr>
          <w:p w14:paraId="678A5142"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Defined digital marketing as adaptive, technology-driven value co-creation process; identified key dimensions: platforms, media, data/analytics; proposed research priorities in </w:t>
            </w:r>
            <w:r w:rsidRPr="0044793F">
              <w:rPr>
                <w:rFonts w:ascii="Arial" w:hAnsi="Arial" w:cs="Arial"/>
              </w:rPr>
              <w:lastRenderedPageBreak/>
              <w:t>personalization, privacy, mobile, and social media</w:t>
            </w:r>
          </w:p>
        </w:tc>
        <w:tc>
          <w:tcPr>
            <w:tcW w:w="582" w:type="pct"/>
            <w:hideMark/>
          </w:tcPr>
          <w:p w14:paraId="405C3767"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Provides foundational framework for understanding digital marketing components; establishes </w:t>
            </w:r>
            <w:r w:rsidRPr="0044793F">
              <w:rPr>
                <w:rFonts w:ascii="Arial" w:hAnsi="Arial" w:cs="Arial"/>
              </w:rPr>
              <w:lastRenderedPageBreak/>
              <w:t>theoretical basis for examining digital strategies in organic product context</w:t>
            </w:r>
          </w:p>
        </w:tc>
      </w:tr>
      <w:tr w:rsidR="00B5368A" w:rsidRPr="0044793F" w14:paraId="36856A60" w14:textId="77777777" w:rsidTr="00B5368A">
        <w:tc>
          <w:tcPr>
            <w:tcW w:w="1552" w:type="pct"/>
            <w:hideMark/>
          </w:tcPr>
          <w:p w14:paraId="4EF2F59A"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Tamirat (2023) </w:t>
            </w:r>
            <w:hyperlink r:id="rId10" w:tgtFrame="_blank" w:history="1">
              <w:r w:rsidRPr="0044793F">
                <w:rPr>
                  <w:rStyle w:val="Hyperlink"/>
                  <w:rFonts w:ascii="Arial" w:hAnsi="Arial" w:cs="Arial"/>
                </w:rPr>
                <w:t>https://doi.org/10.54663/2182-9306.2023.v11.n21.48-67</w:t>
              </w:r>
            </w:hyperlink>
          </w:p>
        </w:tc>
        <w:tc>
          <w:tcPr>
            <w:tcW w:w="1020" w:type="pct"/>
            <w:hideMark/>
          </w:tcPr>
          <w:p w14:paraId="59C4FBBF"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systematically review digital marketing features specific to developing and emerging economies during introductory phases</w:t>
            </w:r>
          </w:p>
        </w:tc>
        <w:tc>
          <w:tcPr>
            <w:tcW w:w="827" w:type="pct"/>
            <w:hideMark/>
          </w:tcPr>
          <w:p w14:paraId="74FAB051" w14:textId="77777777" w:rsidR="00B5368A" w:rsidRPr="0044793F" w:rsidRDefault="00B5368A" w:rsidP="00404048">
            <w:pPr>
              <w:spacing w:after="160" w:line="360" w:lineRule="auto"/>
              <w:jc w:val="both"/>
              <w:rPr>
                <w:rFonts w:ascii="Arial" w:hAnsi="Arial" w:cs="Arial"/>
              </w:rPr>
            </w:pPr>
            <w:r w:rsidRPr="0044793F">
              <w:rPr>
                <w:rFonts w:ascii="Arial" w:hAnsi="Arial" w:cs="Arial"/>
              </w:rPr>
              <w:t>Systematic literature review of 47 peer-reviewed articles published 2010-2022</w:t>
            </w:r>
          </w:p>
        </w:tc>
        <w:tc>
          <w:tcPr>
            <w:tcW w:w="1018" w:type="pct"/>
            <w:hideMark/>
          </w:tcPr>
          <w:p w14:paraId="504AFCC6" w14:textId="77777777" w:rsidR="00B5368A" w:rsidRPr="0044793F" w:rsidRDefault="00B5368A" w:rsidP="00404048">
            <w:pPr>
              <w:spacing w:after="160" w:line="360" w:lineRule="auto"/>
              <w:jc w:val="both"/>
              <w:rPr>
                <w:rFonts w:ascii="Arial" w:hAnsi="Arial" w:cs="Arial"/>
              </w:rPr>
            </w:pPr>
            <w:r w:rsidRPr="0044793F">
              <w:rPr>
                <w:rFonts w:ascii="Arial" w:hAnsi="Arial" w:cs="Arial"/>
              </w:rPr>
              <w:t>Identified five key introductory phase features: infrastructure limitations, trust deficits, mobile-first adoption, social media dominance, and payment system constraints; highlighted need for context-specific strategies</w:t>
            </w:r>
          </w:p>
        </w:tc>
        <w:tc>
          <w:tcPr>
            <w:tcW w:w="582" w:type="pct"/>
            <w:hideMark/>
          </w:tcPr>
          <w:p w14:paraId="67D020C1" w14:textId="77777777" w:rsidR="00B5368A" w:rsidRPr="0044793F" w:rsidRDefault="00B5368A" w:rsidP="00404048">
            <w:pPr>
              <w:spacing w:after="160" w:line="360" w:lineRule="auto"/>
              <w:jc w:val="both"/>
              <w:rPr>
                <w:rFonts w:ascii="Arial" w:hAnsi="Arial" w:cs="Arial"/>
              </w:rPr>
            </w:pPr>
            <w:r w:rsidRPr="0044793F">
              <w:rPr>
                <w:rFonts w:ascii="Arial" w:hAnsi="Arial" w:cs="Arial"/>
              </w:rPr>
              <w:t>Directly addresses emerging market digital marketing challenges relevant to Bangladesh; validates infrastr</w:t>
            </w:r>
            <w:r w:rsidRPr="0044793F">
              <w:rPr>
                <w:rFonts w:ascii="Arial" w:hAnsi="Arial" w:cs="Arial"/>
              </w:rPr>
              <w:lastRenderedPageBreak/>
              <w:t>ucture and trust barriers identified in research questions</w:t>
            </w:r>
          </w:p>
        </w:tc>
      </w:tr>
      <w:tr w:rsidR="00B5368A" w:rsidRPr="0044793F" w14:paraId="273C8643" w14:textId="77777777" w:rsidTr="00B5368A">
        <w:tc>
          <w:tcPr>
            <w:tcW w:w="1552" w:type="pct"/>
            <w:hideMark/>
          </w:tcPr>
          <w:p w14:paraId="374EABAF"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Mustaqeem &amp; Sarder (2024) </w:t>
            </w:r>
            <w:hyperlink r:id="rId11" w:tgtFrame="_blank" w:history="1">
              <w:r w:rsidRPr="0044793F">
                <w:rPr>
                  <w:rStyle w:val="Hyperlink"/>
                  <w:rFonts w:ascii="Arial" w:hAnsi="Arial" w:cs="Arial"/>
                </w:rPr>
                <w:t>https://www.rsisinternational.org/journals/ijrsi/digital-library/volume-11-issue-9/807-816.pdf</w:t>
              </w:r>
            </w:hyperlink>
          </w:p>
        </w:tc>
        <w:tc>
          <w:tcPr>
            <w:tcW w:w="1020" w:type="pct"/>
            <w:hideMark/>
          </w:tcPr>
          <w:p w14:paraId="601D2500"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examine the impact of digital marketing on SME business performance in Bangladesh</w:t>
            </w:r>
          </w:p>
        </w:tc>
        <w:tc>
          <w:tcPr>
            <w:tcW w:w="827" w:type="pct"/>
            <w:hideMark/>
          </w:tcPr>
          <w:p w14:paraId="59215554" w14:textId="77777777" w:rsidR="00B5368A" w:rsidRPr="0044793F" w:rsidRDefault="00B5368A" w:rsidP="00404048">
            <w:pPr>
              <w:spacing w:after="160" w:line="360" w:lineRule="auto"/>
              <w:jc w:val="both"/>
              <w:rPr>
                <w:rFonts w:ascii="Arial" w:hAnsi="Arial" w:cs="Arial"/>
              </w:rPr>
            </w:pPr>
            <w:r w:rsidRPr="0044793F">
              <w:rPr>
                <w:rFonts w:ascii="Arial" w:hAnsi="Arial" w:cs="Arial"/>
              </w:rPr>
              <w:t>Mixed-methods: survey of 250 SMEs in Bangladesh; regression analysis</w:t>
            </w:r>
          </w:p>
        </w:tc>
        <w:tc>
          <w:tcPr>
            <w:tcW w:w="1018" w:type="pct"/>
            <w:hideMark/>
          </w:tcPr>
          <w:p w14:paraId="6ED359AB" w14:textId="77777777" w:rsidR="00B5368A" w:rsidRPr="0044793F" w:rsidRDefault="00B5368A" w:rsidP="00404048">
            <w:pPr>
              <w:spacing w:after="160" w:line="360" w:lineRule="auto"/>
              <w:jc w:val="both"/>
              <w:rPr>
                <w:rFonts w:ascii="Arial" w:hAnsi="Arial" w:cs="Arial"/>
              </w:rPr>
            </w:pPr>
            <w:r w:rsidRPr="0044793F">
              <w:rPr>
                <w:rFonts w:ascii="Arial" w:hAnsi="Arial" w:cs="Arial"/>
              </w:rPr>
              <w:t>Digital marketing adoption significantly improved sales (47% increase), customer reach (63% expansion), and brand awareness (52% improvement); social media marketing most cost-effective for resource-constrained SMEs</w:t>
            </w:r>
          </w:p>
        </w:tc>
        <w:tc>
          <w:tcPr>
            <w:tcW w:w="582" w:type="pct"/>
            <w:hideMark/>
          </w:tcPr>
          <w:p w14:paraId="3D23F360" w14:textId="77777777" w:rsidR="00B5368A" w:rsidRPr="0044793F" w:rsidRDefault="00B5368A" w:rsidP="00404048">
            <w:pPr>
              <w:spacing w:after="160" w:line="360" w:lineRule="auto"/>
              <w:jc w:val="both"/>
              <w:rPr>
                <w:rFonts w:ascii="Arial" w:hAnsi="Arial" w:cs="Arial"/>
              </w:rPr>
            </w:pPr>
            <w:r w:rsidRPr="0044793F">
              <w:rPr>
                <w:rFonts w:ascii="Arial" w:hAnsi="Arial" w:cs="Arial"/>
              </w:rPr>
              <w:t>Provides Bangladesh-specific evidence of digital marketing effectiveness; demonstrates relevance for small-scale organic produc</w:t>
            </w:r>
            <w:r w:rsidRPr="0044793F">
              <w:rPr>
                <w:rFonts w:ascii="Arial" w:hAnsi="Arial" w:cs="Arial"/>
              </w:rPr>
              <w:lastRenderedPageBreak/>
              <w:t>ers with limited resources</w:t>
            </w:r>
          </w:p>
        </w:tc>
      </w:tr>
      <w:tr w:rsidR="00B5368A" w:rsidRPr="0044793F" w14:paraId="4697FA3D" w14:textId="77777777" w:rsidTr="00B5368A">
        <w:tc>
          <w:tcPr>
            <w:tcW w:w="1552" w:type="pct"/>
            <w:hideMark/>
          </w:tcPr>
          <w:p w14:paraId="57F790C1"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lastRenderedPageBreak/>
              <w:t>Herhausen</w:t>
            </w:r>
            <w:proofErr w:type="spellEnd"/>
            <w:r w:rsidRPr="0044793F">
              <w:rPr>
                <w:rFonts w:ascii="Arial" w:hAnsi="Arial" w:cs="Arial"/>
              </w:rPr>
              <w:t xml:space="preserve"> et al. (cited in Asia Pacific Journal) </w:t>
            </w:r>
            <w:hyperlink r:id="rId12" w:tgtFrame="_blank" w:history="1">
              <w:r w:rsidRPr="0044793F">
                <w:rPr>
                  <w:rStyle w:val="Hyperlink"/>
                  <w:rFonts w:ascii="Arial" w:hAnsi="Arial" w:cs="Arial"/>
                </w:rPr>
                <w:t>https://www.emerald.com/apjie/article/18/3/251/1214392</w:t>
              </w:r>
            </w:hyperlink>
          </w:p>
        </w:tc>
        <w:tc>
          <w:tcPr>
            <w:tcW w:w="1020" w:type="pct"/>
            <w:hideMark/>
          </w:tcPr>
          <w:p w14:paraId="4F7922D7"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investigate relationship between digital marketing capabilities and SME performance in emerging markets</w:t>
            </w:r>
          </w:p>
        </w:tc>
        <w:tc>
          <w:tcPr>
            <w:tcW w:w="827" w:type="pct"/>
            <w:hideMark/>
          </w:tcPr>
          <w:p w14:paraId="753A6D11"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survey of 312 SMEs across three emerging markets; structural equation modeling</w:t>
            </w:r>
          </w:p>
        </w:tc>
        <w:tc>
          <w:tcPr>
            <w:tcW w:w="1018" w:type="pct"/>
            <w:hideMark/>
          </w:tcPr>
          <w:p w14:paraId="5D7712A5" w14:textId="77777777" w:rsidR="00B5368A" w:rsidRPr="0044793F" w:rsidRDefault="00B5368A" w:rsidP="00404048">
            <w:pPr>
              <w:spacing w:after="160" w:line="360" w:lineRule="auto"/>
              <w:jc w:val="both"/>
              <w:rPr>
                <w:rFonts w:ascii="Arial" w:hAnsi="Arial" w:cs="Arial"/>
              </w:rPr>
            </w:pPr>
            <w:r w:rsidRPr="0044793F">
              <w:rPr>
                <w:rFonts w:ascii="Arial" w:hAnsi="Arial" w:cs="Arial"/>
              </w:rPr>
              <w:t>Digital marketing capabilities positively impact innovation performance (β=0.43) and market performance (β=0.38); effect moderated by market turbulence and competitive intensity</w:t>
            </w:r>
          </w:p>
        </w:tc>
        <w:tc>
          <w:tcPr>
            <w:tcW w:w="582" w:type="pct"/>
            <w:hideMark/>
          </w:tcPr>
          <w:p w14:paraId="3C132C51"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Establishes theoretical link between digital capabilities and business outcomes in emerging markets; supports investigation of digital strategies for organic market </w:t>
            </w:r>
            <w:r w:rsidRPr="0044793F">
              <w:rPr>
                <w:rFonts w:ascii="Arial" w:hAnsi="Arial" w:cs="Arial"/>
              </w:rPr>
              <w:lastRenderedPageBreak/>
              <w:t>development</w:t>
            </w:r>
          </w:p>
        </w:tc>
      </w:tr>
      <w:tr w:rsidR="00B5368A" w:rsidRPr="0044793F" w14:paraId="7B9361E4" w14:textId="77777777" w:rsidTr="00B5368A">
        <w:tc>
          <w:tcPr>
            <w:tcW w:w="1552" w:type="pct"/>
            <w:hideMark/>
          </w:tcPr>
          <w:p w14:paraId="4F67D5B1"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lastRenderedPageBreak/>
              <w:t>Cioppi</w:t>
            </w:r>
            <w:proofErr w:type="spellEnd"/>
            <w:r w:rsidRPr="0044793F">
              <w:rPr>
                <w:rFonts w:ascii="Arial" w:hAnsi="Arial" w:cs="Arial"/>
              </w:rPr>
              <w:t xml:space="preserve"> et al. (2023) </w:t>
            </w:r>
            <w:hyperlink r:id="rId13" w:tgtFrame="_blank" w:history="1">
              <w:r w:rsidRPr="0044793F">
                <w:rPr>
                  <w:rStyle w:val="Hyperlink"/>
                  <w:rFonts w:ascii="Arial" w:hAnsi="Arial" w:cs="Arial"/>
                </w:rPr>
                <w:t>https://doi.org/10.1007/s43039-023-00067-2</w:t>
              </w:r>
            </w:hyperlink>
          </w:p>
        </w:tc>
        <w:tc>
          <w:tcPr>
            <w:tcW w:w="1020" w:type="pct"/>
            <w:hideMark/>
          </w:tcPr>
          <w:p w14:paraId="5D7DD7D7"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conduct systematic and thematic review of digital transformation and marketing literature</w:t>
            </w:r>
          </w:p>
        </w:tc>
        <w:tc>
          <w:tcPr>
            <w:tcW w:w="827" w:type="pct"/>
            <w:hideMark/>
          </w:tcPr>
          <w:p w14:paraId="3FCE4C91" w14:textId="77777777" w:rsidR="00B5368A" w:rsidRPr="0044793F" w:rsidRDefault="00B5368A" w:rsidP="00404048">
            <w:pPr>
              <w:spacing w:after="160" w:line="360" w:lineRule="auto"/>
              <w:jc w:val="both"/>
              <w:rPr>
                <w:rFonts w:ascii="Arial" w:hAnsi="Arial" w:cs="Arial"/>
              </w:rPr>
            </w:pPr>
            <w:r w:rsidRPr="0044793F">
              <w:rPr>
                <w:rFonts w:ascii="Arial" w:hAnsi="Arial" w:cs="Arial"/>
              </w:rPr>
              <w:t>Systematic literature review of 134 articles; bibliometric and thematic analysis</w:t>
            </w:r>
          </w:p>
        </w:tc>
        <w:tc>
          <w:tcPr>
            <w:tcW w:w="1018" w:type="pct"/>
            <w:hideMark/>
          </w:tcPr>
          <w:p w14:paraId="685C1B02" w14:textId="77777777" w:rsidR="00B5368A" w:rsidRPr="0044793F" w:rsidRDefault="00B5368A" w:rsidP="00404048">
            <w:pPr>
              <w:spacing w:after="160" w:line="360" w:lineRule="auto"/>
              <w:jc w:val="both"/>
              <w:rPr>
                <w:rFonts w:ascii="Arial" w:hAnsi="Arial" w:cs="Arial"/>
              </w:rPr>
            </w:pPr>
            <w:r w:rsidRPr="0044793F">
              <w:rPr>
                <w:rFonts w:ascii="Arial" w:hAnsi="Arial" w:cs="Arial"/>
              </w:rPr>
              <w:t>Identified four research streams: customer experience, data analytics, organizational capabilities, and business model innovation; highlighted gap in emerging market applications</w:t>
            </w:r>
          </w:p>
        </w:tc>
        <w:tc>
          <w:tcPr>
            <w:tcW w:w="582" w:type="pct"/>
            <w:hideMark/>
          </w:tcPr>
          <w:p w14:paraId="30850EBE" w14:textId="77777777" w:rsidR="00B5368A" w:rsidRPr="0044793F" w:rsidRDefault="00B5368A" w:rsidP="00404048">
            <w:pPr>
              <w:spacing w:after="160" w:line="360" w:lineRule="auto"/>
              <w:jc w:val="both"/>
              <w:rPr>
                <w:rFonts w:ascii="Arial" w:hAnsi="Arial" w:cs="Arial"/>
              </w:rPr>
            </w:pPr>
            <w:r w:rsidRPr="0044793F">
              <w:rPr>
                <w:rFonts w:ascii="Arial" w:hAnsi="Arial" w:cs="Arial"/>
              </w:rPr>
              <w:t>Provides comprehensive overview of digital marketing evolution; identifies research gap in emerging market contexts that this study addresses</w:t>
            </w:r>
          </w:p>
        </w:tc>
      </w:tr>
      <w:tr w:rsidR="00B5368A" w:rsidRPr="0044793F" w14:paraId="6953EA55" w14:textId="77777777" w:rsidTr="00B5368A">
        <w:tc>
          <w:tcPr>
            <w:tcW w:w="1552" w:type="pct"/>
            <w:hideMark/>
          </w:tcPr>
          <w:p w14:paraId="601F63FC" w14:textId="77777777" w:rsidR="00B5368A" w:rsidRPr="0044793F" w:rsidRDefault="00B5368A" w:rsidP="00404048">
            <w:pPr>
              <w:spacing w:after="160" w:line="360" w:lineRule="auto"/>
              <w:jc w:val="both"/>
              <w:rPr>
                <w:rFonts w:ascii="Arial" w:hAnsi="Arial" w:cs="Arial"/>
              </w:rPr>
            </w:pPr>
            <w:r w:rsidRPr="0044793F">
              <w:rPr>
                <w:rFonts w:ascii="Arial" w:hAnsi="Arial" w:cs="Arial"/>
              </w:rPr>
              <w:t>Athaide et al. (2025) </w:t>
            </w:r>
            <w:hyperlink r:id="rId14" w:tgtFrame="_blank" w:history="1">
              <w:r w:rsidRPr="0044793F">
                <w:rPr>
                  <w:rStyle w:val="Hyperlink"/>
                  <w:rFonts w:ascii="Arial" w:hAnsi="Arial" w:cs="Arial"/>
                </w:rPr>
                <w:t>https://doi.org/10.1111/jpim.12741</w:t>
              </w:r>
            </w:hyperlink>
          </w:p>
        </w:tc>
        <w:tc>
          <w:tcPr>
            <w:tcW w:w="1020" w:type="pct"/>
            <w:hideMark/>
          </w:tcPr>
          <w:p w14:paraId="2F4B93A3"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systematically review marketing </w:t>
            </w:r>
            <w:r w:rsidRPr="0044793F">
              <w:rPr>
                <w:rFonts w:ascii="Arial" w:hAnsi="Arial" w:cs="Arial"/>
              </w:rPr>
              <w:lastRenderedPageBreak/>
              <w:t>innovations enabled by digital technologies and propose integrative framework</w:t>
            </w:r>
          </w:p>
        </w:tc>
        <w:tc>
          <w:tcPr>
            <w:tcW w:w="827" w:type="pct"/>
            <w:hideMark/>
          </w:tcPr>
          <w:p w14:paraId="016BACEF"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Systematic review of 156 studies (2010-</w:t>
            </w:r>
            <w:r w:rsidRPr="0044793F">
              <w:rPr>
                <w:rFonts w:ascii="Arial" w:hAnsi="Arial" w:cs="Arial"/>
              </w:rPr>
              <w:lastRenderedPageBreak/>
              <w:t>2023); framework synthesis</w:t>
            </w:r>
          </w:p>
        </w:tc>
        <w:tc>
          <w:tcPr>
            <w:tcW w:w="1018" w:type="pct"/>
            <w:hideMark/>
          </w:tcPr>
          <w:p w14:paraId="1AD602B3"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Proposed three-dimensional framework: </w:t>
            </w:r>
            <w:r w:rsidRPr="0044793F">
              <w:rPr>
                <w:rFonts w:ascii="Arial" w:hAnsi="Arial" w:cs="Arial"/>
              </w:rPr>
              <w:lastRenderedPageBreak/>
              <w:t>innovation types (product, service, business model), digital enablers (AI, IoT, blockchain), and contextual factors; innovation adoption faster in emerging markets but implementation challenges greater</w:t>
            </w:r>
          </w:p>
        </w:tc>
        <w:tc>
          <w:tcPr>
            <w:tcW w:w="582" w:type="pct"/>
            <w:hideMark/>
          </w:tcPr>
          <w:p w14:paraId="1F325782"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Establishes connection </w:t>
            </w:r>
            <w:r w:rsidRPr="0044793F">
              <w:rPr>
                <w:rFonts w:ascii="Arial" w:hAnsi="Arial" w:cs="Arial"/>
              </w:rPr>
              <w:lastRenderedPageBreak/>
              <w:t>between digital innovation and market development; relevant for understanding how digital strategies enable organic product innovation and market expansion</w:t>
            </w:r>
          </w:p>
        </w:tc>
      </w:tr>
      <w:tr w:rsidR="00B5368A" w:rsidRPr="0044793F" w14:paraId="102ADC4D" w14:textId="77777777" w:rsidTr="00B5368A">
        <w:tc>
          <w:tcPr>
            <w:tcW w:w="1552" w:type="pct"/>
            <w:hideMark/>
          </w:tcPr>
          <w:p w14:paraId="5351A7BD"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ScienceDirect study (2024) </w:t>
            </w:r>
            <w:hyperlink r:id="rId15" w:tgtFrame="_blank" w:history="1">
              <w:r w:rsidRPr="0044793F">
                <w:rPr>
                  <w:rStyle w:val="Hyperlink"/>
                  <w:rFonts w:ascii="Arial" w:hAnsi="Arial" w:cs="Arial"/>
                </w:rPr>
                <w:t>https://www.sciencedirect.com/science/article/pii/S2199853124002087</w:t>
              </w:r>
            </w:hyperlink>
          </w:p>
        </w:tc>
        <w:tc>
          <w:tcPr>
            <w:tcW w:w="1020" w:type="pct"/>
            <w:hideMark/>
          </w:tcPr>
          <w:p w14:paraId="7E9CF28B"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examine digital marketing practices in community-based enterprises </w:t>
            </w:r>
            <w:r w:rsidRPr="0044793F">
              <w:rPr>
                <w:rFonts w:ascii="Arial" w:hAnsi="Arial" w:cs="Arial"/>
              </w:rPr>
              <w:lastRenderedPageBreak/>
              <w:t>through systematic review</w:t>
            </w:r>
          </w:p>
        </w:tc>
        <w:tc>
          <w:tcPr>
            <w:tcW w:w="827" w:type="pct"/>
            <w:hideMark/>
          </w:tcPr>
          <w:p w14:paraId="6611CC7C"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Systematic literature review of 68 articles; thematic synthesis</w:t>
            </w:r>
          </w:p>
        </w:tc>
        <w:tc>
          <w:tcPr>
            <w:tcW w:w="1018" w:type="pct"/>
            <w:hideMark/>
          </w:tcPr>
          <w:p w14:paraId="53DE92FA"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Community-based enterprises leverage digital marketing for storytelling, community </w:t>
            </w:r>
            <w:r w:rsidRPr="0044793F">
              <w:rPr>
                <w:rFonts w:ascii="Arial" w:hAnsi="Arial" w:cs="Arial"/>
              </w:rPr>
              <w:lastRenderedPageBreak/>
              <w:t>building, and direct-to-consumer sales; effectiveness depends on authenticity and community engagement; trust-building critical</w:t>
            </w:r>
          </w:p>
        </w:tc>
        <w:tc>
          <w:tcPr>
            <w:tcW w:w="582" w:type="pct"/>
            <w:hideMark/>
          </w:tcPr>
          <w:p w14:paraId="1CB96A2C"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Highly relevant for organic products sourced </w:t>
            </w:r>
            <w:r w:rsidRPr="0044793F">
              <w:rPr>
                <w:rFonts w:ascii="Arial" w:hAnsi="Arial" w:cs="Arial"/>
              </w:rPr>
              <w:lastRenderedPageBreak/>
              <w:t>from small-scale community farmers; demonstrates importance of authentic storytelling and trust in digital contexts</w:t>
            </w:r>
          </w:p>
        </w:tc>
      </w:tr>
      <w:tr w:rsidR="00B5368A" w:rsidRPr="0044793F" w14:paraId="7F4B9759" w14:textId="77777777" w:rsidTr="00B5368A">
        <w:tc>
          <w:tcPr>
            <w:tcW w:w="1552" w:type="pct"/>
            <w:hideMark/>
          </w:tcPr>
          <w:p w14:paraId="57521FEE"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lastRenderedPageBreak/>
              <w:t>Soodan</w:t>
            </w:r>
            <w:proofErr w:type="spellEnd"/>
            <w:r w:rsidRPr="0044793F">
              <w:rPr>
                <w:rFonts w:ascii="Arial" w:hAnsi="Arial" w:cs="Arial"/>
              </w:rPr>
              <w:t xml:space="preserve"> et al. (2026) </w:t>
            </w:r>
            <w:hyperlink r:id="rId16" w:tgtFrame="_blank" w:history="1">
              <w:r w:rsidRPr="0044793F">
                <w:rPr>
                  <w:rStyle w:val="Hyperlink"/>
                  <w:rFonts w:ascii="Arial" w:hAnsi="Arial" w:cs="Arial"/>
                </w:rPr>
                <w:t>https://doi.org/10.12688/f1000research.176435.2</w:t>
              </w:r>
            </w:hyperlink>
          </w:p>
        </w:tc>
        <w:tc>
          <w:tcPr>
            <w:tcW w:w="1020" w:type="pct"/>
            <w:hideMark/>
          </w:tcPr>
          <w:p w14:paraId="049FE2E1"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conduct bibliometric systematic review of digital marketing strategies for sustainable food and beverage brands</w:t>
            </w:r>
          </w:p>
        </w:tc>
        <w:tc>
          <w:tcPr>
            <w:tcW w:w="827" w:type="pct"/>
            <w:hideMark/>
          </w:tcPr>
          <w:p w14:paraId="04CF770E" w14:textId="77777777" w:rsidR="00B5368A" w:rsidRPr="0044793F" w:rsidRDefault="00B5368A" w:rsidP="00404048">
            <w:pPr>
              <w:spacing w:after="160" w:line="360" w:lineRule="auto"/>
              <w:jc w:val="both"/>
              <w:rPr>
                <w:rFonts w:ascii="Arial" w:hAnsi="Arial" w:cs="Arial"/>
              </w:rPr>
            </w:pPr>
            <w:r w:rsidRPr="0044793F">
              <w:rPr>
                <w:rFonts w:ascii="Arial" w:hAnsi="Arial" w:cs="Arial"/>
              </w:rPr>
              <w:t>Bibliometric analysis of 247 publications; systematic literature review</w:t>
            </w:r>
          </w:p>
        </w:tc>
        <w:tc>
          <w:tcPr>
            <w:tcW w:w="1018" w:type="pct"/>
            <w:hideMark/>
          </w:tcPr>
          <w:p w14:paraId="26171919"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Sustainability communication most effective through educational content, transparency, and influencer partnerships; consumer skepticism </w:t>
            </w:r>
            <w:r w:rsidRPr="0044793F">
              <w:rPr>
                <w:rFonts w:ascii="Arial" w:hAnsi="Arial" w:cs="Arial"/>
              </w:rPr>
              <w:lastRenderedPageBreak/>
              <w:t>toward greenwashing major barrier; digital channels enable supply chain transparency</w:t>
            </w:r>
          </w:p>
        </w:tc>
        <w:tc>
          <w:tcPr>
            <w:tcW w:w="582" w:type="pct"/>
            <w:hideMark/>
          </w:tcPr>
          <w:p w14:paraId="5F2A92B8"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Directly addresses digital marketing for sustainable food products </w:t>
            </w:r>
            <w:r w:rsidRPr="0044793F">
              <w:rPr>
                <w:rFonts w:ascii="Arial" w:hAnsi="Arial" w:cs="Arial"/>
              </w:rPr>
              <w:lastRenderedPageBreak/>
              <w:t>(including organic); identifies content strategies and trust mechanisms applicable to organic product marketing</w:t>
            </w:r>
          </w:p>
        </w:tc>
      </w:tr>
      <w:tr w:rsidR="00B5368A" w:rsidRPr="0044793F" w14:paraId="3426A14A" w14:textId="77777777" w:rsidTr="00B5368A">
        <w:tc>
          <w:tcPr>
            <w:tcW w:w="1552" w:type="pct"/>
            <w:hideMark/>
          </w:tcPr>
          <w:p w14:paraId="11FA30DD"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Taylor &amp; Francis study (2025) </w:t>
            </w:r>
            <w:hyperlink r:id="rId17" w:tgtFrame="_blank" w:history="1">
              <w:r w:rsidRPr="0044793F">
                <w:rPr>
                  <w:rStyle w:val="Hyperlink"/>
                  <w:rFonts w:ascii="Arial" w:hAnsi="Arial" w:cs="Arial"/>
                </w:rPr>
                <w:t>https://doi.org/10.1080/10696679.2025.2602445</w:t>
              </w:r>
            </w:hyperlink>
          </w:p>
        </w:tc>
        <w:tc>
          <w:tcPr>
            <w:tcW w:w="1020" w:type="pct"/>
            <w:hideMark/>
          </w:tcPr>
          <w:p w14:paraId="463147C1"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identify drivers of digital marketing capabilities in emerging-market multinational enterprises</w:t>
            </w:r>
          </w:p>
        </w:tc>
        <w:tc>
          <w:tcPr>
            <w:tcW w:w="827" w:type="pct"/>
            <w:hideMark/>
          </w:tcPr>
          <w:p w14:paraId="6B9A9D2A"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Qualitative: 32 in-depth interviews with marketing executives; thematic analysis</w:t>
            </w:r>
          </w:p>
        </w:tc>
        <w:tc>
          <w:tcPr>
            <w:tcW w:w="1018" w:type="pct"/>
            <w:hideMark/>
          </w:tcPr>
          <w:p w14:paraId="258C3D3C"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Five key capability drivers: digital infrastructure investment, talent development, external partnerships, organizational culture, and top management </w:t>
            </w:r>
            <w:r w:rsidRPr="0044793F">
              <w:rPr>
                <w:rFonts w:ascii="Arial" w:hAnsi="Arial" w:cs="Arial"/>
              </w:rPr>
              <w:lastRenderedPageBreak/>
              <w:t>support; emerging market firms face greater capability-building challenges</w:t>
            </w:r>
          </w:p>
        </w:tc>
        <w:tc>
          <w:tcPr>
            <w:tcW w:w="582" w:type="pct"/>
            <w:hideMark/>
          </w:tcPr>
          <w:p w14:paraId="1015ECB5"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Identifies organizational factors enabling digital marketing success; relevant </w:t>
            </w:r>
            <w:r w:rsidRPr="0044793F">
              <w:rPr>
                <w:rFonts w:ascii="Arial" w:hAnsi="Arial" w:cs="Arial"/>
              </w:rPr>
              <w:lastRenderedPageBreak/>
              <w:t>for understanding how organic producers can develop digital capabilities despite resource constraints</w:t>
            </w:r>
          </w:p>
        </w:tc>
      </w:tr>
      <w:tr w:rsidR="00B5368A" w:rsidRPr="0044793F" w14:paraId="6426DA3B" w14:textId="77777777" w:rsidTr="00B5368A">
        <w:tc>
          <w:tcPr>
            <w:tcW w:w="1552" w:type="pct"/>
            <w:hideMark/>
          </w:tcPr>
          <w:p w14:paraId="49065CF0"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Nature study (2026) </w:t>
            </w:r>
            <w:hyperlink r:id="rId18" w:tgtFrame="_blank" w:history="1">
              <w:r w:rsidRPr="0044793F">
                <w:rPr>
                  <w:rStyle w:val="Hyperlink"/>
                  <w:rFonts w:ascii="Arial" w:hAnsi="Arial" w:cs="Arial"/>
                </w:rPr>
                <w:t>https://www.nature.com/articles/s41599-026-07126-x</w:t>
              </w:r>
            </w:hyperlink>
          </w:p>
        </w:tc>
        <w:tc>
          <w:tcPr>
            <w:tcW w:w="1020" w:type="pct"/>
            <w:hideMark/>
          </w:tcPr>
          <w:p w14:paraId="142840DA"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systematically review digital marketing capabilities as drivers of SME innovation and performance in emerging economies</w:t>
            </w:r>
          </w:p>
        </w:tc>
        <w:tc>
          <w:tcPr>
            <w:tcW w:w="827" w:type="pct"/>
            <w:hideMark/>
          </w:tcPr>
          <w:p w14:paraId="674CA09E" w14:textId="77777777" w:rsidR="00B5368A" w:rsidRPr="0044793F" w:rsidRDefault="00B5368A" w:rsidP="00404048">
            <w:pPr>
              <w:spacing w:after="160" w:line="360" w:lineRule="auto"/>
              <w:jc w:val="both"/>
              <w:rPr>
                <w:rFonts w:ascii="Arial" w:hAnsi="Arial" w:cs="Arial"/>
              </w:rPr>
            </w:pPr>
            <w:r w:rsidRPr="0044793F">
              <w:rPr>
                <w:rFonts w:ascii="Arial" w:hAnsi="Arial" w:cs="Arial"/>
              </w:rPr>
              <w:t>Systematic literature review of 89 studies; meta-synthesis</w:t>
            </w:r>
          </w:p>
        </w:tc>
        <w:tc>
          <w:tcPr>
            <w:tcW w:w="1018" w:type="pct"/>
            <w:hideMark/>
          </w:tcPr>
          <w:p w14:paraId="01BABACC"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Digital marketing capabilities enhance SME innovation capacity (effect size: 0.52) and performance (effect size: 0.48); capabilities more impactful in contexts with supportive </w:t>
            </w:r>
            <w:r w:rsidRPr="0044793F">
              <w:rPr>
                <w:rFonts w:ascii="Arial" w:hAnsi="Arial" w:cs="Arial"/>
              </w:rPr>
              <w:lastRenderedPageBreak/>
              <w:t>digital infrastructure and entrepreneurial culture</w:t>
            </w:r>
          </w:p>
        </w:tc>
        <w:tc>
          <w:tcPr>
            <w:tcW w:w="582" w:type="pct"/>
            <w:hideMark/>
          </w:tcPr>
          <w:p w14:paraId="739CDF13"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Establishes causal link between digital capabilities, innovation and performance specifically for </w:t>
            </w:r>
            <w:r w:rsidRPr="0044793F">
              <w:rPr>
                <w:rFonts w:ascii="Arial" w:hAnsi="Arial" w:cs="Arial"/>
              </w:rPr>
              <w:lastRenderedPageBreak/>
              <w:t>emerging economy SMEs; supports research premise that digital marketing can enhance organic product adoption</w:t>
            </w:r>
          </w:p>
        </w:tc>
      </w:tr>
    </w:tbl>
    <w:p w14:paraId="418F03CB" w14:textId="77777777" w:rsidR="00B5368A" w:rsidRPr="0044793F" w:rsidRDefault="00B5368A" w:rsidP="00404048">
      <w:pPr>
        <w:rPr>
          <w:rFonts w:ascii="Arial" w:hAnsi="Arial" w:cs="Arial"/>
        </w:rPr>
      </w:pPr>
      <w:r w:rsidRPr="0044793F">
        <w:rPr>
          <w:rFonts w:ascii="Arial" w:hAnsi="Arial" w:cs="Arial"/>
        </w:rPr>
        <w:lastRenderedPageBreak/>
        <w:t>Table 4.1: Digital Marketing Strategies, Components &amp; Effectiveness in Emerging Markets</w:t>
      </w:r>
    </w:p>
    <w:tbl>
      <w:tblPr>
        <w:tblStyle w:val="TableGrid"/>
        <w:tblW w:w="5000" w:type="pct"/>
        <w:tblLook w:val="04A0" w:firstRow="1" w:lastRow="0" w:firstColumn="1" w:lastColumn="0" w:noHBand="0" w:noVBand="1"/>
      </w:tblPr>
      <w:tblGrid>
        <w:gridCol w:w="4188"/>
        <w:gridCol w:w="1264"/>
        <w:gridCol w:w="879"/>
        <w:gridCol w:w="1820"/>
        <w:gridCol w:w="1199"/>
      </w:tblGrid>
      <w:tr w:rsidR="00B5368A" w:rsidRPr="0044793F" w14:paraId="2FFEBD10" w14:textId="77777777" w:rsidTr="00BD0079">
        <w:tc>
          <w:tcPr>
            <w:tcW w:w="2462" w:type="pct"/>
            <w:noWrap/>
            <w:hideMark/>
          </w:tcPr>
          <w:p w14:paraId="26914DFA"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Author(s) &amp; Link</w:t>
            </w:r>
          </w:p>
        </w:tc>
        <w:tc>
          <w:tcPr>
            <w:tcW w:w="617" w:type="pct"/>
            <w:noWrap/>
            <w:hideMark/>
          </w:tcPr>
          <w:p w14:paraId="2F693162"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Aims and Objectives</w:t>
            </w:r>
          </w:p>
        </w:tc>
        <w:tc>
          <w:tcPr>
            <w:tcW w:w="401" w:type="pct"/>
            <w:noWrap/>
            <w:hideMark/>
          </w:tcPr>
          <w:p w14:paraId="719853F7"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Methodology</w:t>
            </w:r>
          </w:p>
        </w:tc>
        <w:tc>
          <w:tcPr>
            <w:tcW w:w="941" w:type="pct"/>
            <w:noWrap/>
            <w:hideMark/>
          </w:tcPr>
          <w:p w14:paraId="7BDA22FD"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Main Findings and Contribution</w:t>
            </w:r>
          </w:p>
        </w:tc>
        <w:tc>
          <w:tcPr>
            <w:tcW w:w="580" w:type="pct"/>
            <w:noWrap/>
            <w:hideMark/>
          </w:tcPr>
          <w:p w14:paraId="7A7D3247"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Relevance to Study</w:t>
            </w:r>
          </w:p>
        </w:tc>
      </w:tr>
      <w:tr w:rsidR="00B5368A" w:rsidRPr="0044793F" w14:paraId="2AEA600A" w14:textId="77777777" w:rsidTr="00BD0079">
        <w:tc>
          <w:tcPr>
            <w:tcW w:w="2462" w:type="pct"/>
            <w:hideMark/>
          </w:tcPr>
          <w:p w14:paraId="5AA7DE9C" w14:textId="77777777" w:rsidR="00B5368A" w:rsidRPr="0044793F" w:rsidRDefault="00B5368A" w:rsidP="00404048">
            <w:pPr>
              <w:spacing w:after="160" w:line="360" w:lineRule="auto"/>
              <w:jc w:val="both"/>
              <w:rPr>
                <w:rFonts w:ascii="Arial" w:hAnsi="Arial" w:cs="Arial"/>
              </w:rPr>
            </w:pPr>
            <w:r w:rsidRPr="0044793F">
              <w:rPr>
                <w:rFonts w:ascii="Arial" w:hAnsi="Arial" w:cs="Arial"/>
              </w:rPr>
              <w:t>Eti et al. (2021) </w:t>
            </w:r>
            <w:hyperlink r:id="rId19" w:tgtFrame="_blank" w:history="1">
              <w:r w:rsidRPr="0044793F">
                <w:rPr>
                  <w:rStyle w:val="Hyperlink"/>
                  <w:rFonts w:ascii="Arial" w:hAnsi="Arial" w:cs="Arial"/>
                </w:rPr>
                <w:t>https://doi.org/10.20525/ijrbs.v10i1.1011</w:t>
              </w:r>
            </w:hyperlink>
          </w:p>
        </w:tc>
        <w:tc>
          <w:tcPr>
            <w:tcW w:w="617" w:type="pct"/>
            <w:hideMark/>
          </w:tcPr>
          <w:p w14:paraId="7513F1AB"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examine power and </w:t>
            </w:r>
            <w:r w:rsidRPr="0044793F">
              <w:rPr>
                <w:rFonts w:ascii="Arial" w:hAnsi="Arial" w:cs="Arial"/>
              </w:rPr>
              <w:lastRenderedPageBreak/>
              <w:t>stimulus of social media marketing on consumer purchase intention in Bangladesh during COVID-19</w:t>
            </w:r>
          </w:p>
        </w:tc>
        <w:tc>
          <w:tcPr>
            <w:tcW w:w="401" w:type="pct"/>
            <w:hideMark/>
          </w:tcPr>
          <w:p w14:paraId="192B15A6"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Quantitative survey of </w:t>
            </w:r>
            <w:r w:rsidRPr="0044793F">
              <w:rPr>
                <w:rFonts w:ascii="Arial" w:hAnsi="Arial" w:cs="Arial"/>
              </w:rPr>
              <w:lastRenderedPageBreak/>
              <w:t>384 consumers in Dhaka; regression analysis</w:t>
            </w:r>
          </w:p>
        </w:tc>
        <w:tc>
          <w:tcPr>
            <w:tcW w:w="941" w:type="pct"/>
            <w:hideMark/>
          </w:tcPr>
          <w:p w14:paraId="24EA43C5"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Social media marketing significantly influenced </w:t>
            </w:r>
            <w:r w:rsidRPr="0044793F">
              <w:rPr>
                <w:rFonts w:ascii="Arial" w:hAnsi="Arial" w:cs="Arial"/>
              </w:rPr>
              <w:lastRenderedPageBreak/>
              <w:t>purchase intention (β=0.67, p&lt;0.001); effect stronger during pandemic due to increased online engagement; Facebook and Instagram most influential platforms</w:t>
            </w:r>
          </w:p>
        </w:tc>
        <w:tc>
          <w:tcPr>
            <w:tcW w:w="580" w:type="pct"/>
            <w:hideMark/>
          </w:tcPr>
          <w:p w14:paraId="4A369476"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Demonstrates social media </w:t>
            </w:r>
            <w:r w:rsidRPr="0044793F">
              <w:rPr>
                <w:rFonts w:ascii="Arial" w:hAnsi="Arial" w:cs="Arial"/>
              </w:rPr>
              <w:lastRenderedPageBreak/>
              <w:t>effectiveness in Bangladesh context; confirms heightened digital adoption during crisis periods; validates social media as primary digital marketing channel</w:t>
            </w:r>
          </w:p>
        </w:tc>
      </w:tr>
      <w:tr w:rsidR="00B5368A" w:rsidRPr="0044793F" w14:paraId="5F468DF9" w14:textId="77777777" w:rsidTr="00BD0079">
        <w:tc>
          <w:tcPr>
            <w:tcW w:w="2462" w:type="pct"/>
            <w:hideMark/>
          </w:tcPr>
          <w:p w14:paraId="7C732C0E"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Cogent study (2025) </w:t>
            </w:r>
            <w:hyperlink r:id="rId20" w:tgtFrame="_blank" w:history="1">
              <w:r w:rsidRPr="0044793F">
                <w:rPr>
                  <w:rStyle w:val="Hyperlink"/>
                  <w:rFonts w:ascii="Arial" w:hAnsi="Arial" w:cs="Arial"/>
                </w:rPr>
                <w:t>https://doi.org/10.1080/23311886.2025.2459881</w:t>
              </w:r>
            </w:hyperlink>
          </w:p>
        </w:tc>
        <w:tc>
          <w:tcPr>
            <w:tcW w:w="617" w:type="pct"/>
            <w:hideMark/>
          </w:tcPr>
          <w:p w14:paraId="696E1FC7"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investigate relationship between social media marketing and </w:t>
            </w:r>
            <w:r w:rsidRPr="0044793F">
              <w:rPr>
                <w:rFonts w:ascii="Arial" w:hAnsi="Arial" w:cs="Arial"/>
              </w:rPr>
              <w:lastRenderedPageBreak/>
              <w:t>young customers' purchase intention for online shopping in Bangladesh</w:t>
            </w:r>
          </w:p>
        </w:tc>
        <w:tc>
          <w:tcPr>
            <w:tcW w:w="401" w:type="pct"/>
            <w:hideMark/>
          </w:tcPr>
          <w:p w14:paraId="40C5F786"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Quantitative: 420 young consumers (18-35 years); </w:t>
            </w:r>
            <w:r w:rsidRPr="0044793F">
              <w:rPr>
                <w:rFonts w:ascii="Arial" w:hAnsi="Arial" w:cs="Arial"/>
              </w:rPr>
              <w:lastRenderedPageBreak/>
              <w:t>structural equation modeling</w:t>
            </w:r>
          </w:p>
        </w:tc>
        <w:tc>
          <w:tcPr>
            <w:tcW w:w="941" w:type="pct"/>
            <w:hideMark/>
          </w:tcPr>
          <w:p w14:paraId="05B5AE8B"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Entertainment (β=0.31), interaction (β=0.28), trendiness (β=0.24), and customization (β=0.19) dimensions significantly </w:t>
            </w:r>
            <w:r w:rsidRPr="0044793F">
              <w:rPr>
                <w:rFonts w:ascii="Arial" w:hAnsi="Arial" w:cs="Arial"/>
              </w:rPr>
              <w:lastRenderedPageBreak/>
              <w:t>predict purchase intention; social media marketing explains 58% variance in intention</w:t>
            </w:r>
          </w:p>
        </w:tc>
        <w:tc>
          <w:tcPr>
            <w:tcW w:w="580" w:type="pct"/>
            <w:hideMark/>
          </w:tcPr>
          <w:p w14:paraId="25F5BC53"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Identifies specific social media dimensions influencing purchase </w:t>
            </w:r>
            <w:r w:rsidRPr="0044793F">
              <w:rPr>
                <w:rFonts w:ascii="Arial" w:hAnsi="Arial" w:cs="Arial"/>
              </w:rPr>
              <w:lastRenderedPageBreak/>
              <w:t>decisions among key demographic for organic products; provides targeting insights</w:t>
            </w:r>
          </w:p>
        </w:tc>
      </w:tr>
      <w:tr w:rsidR="00B5368A" w:rsidRPr="0044793F" w14:paraId="36DFBD86" w14:textId="77777777" w:rsidTr="00BD0079">
        <w:tc>
          <w:tcPr>
            <w:tcW w:w="2462" w:type="pct"/>
            <w:hideMark/>
          </w:tcPr>
          <w:p w14:paraId="30C170C9"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Science Publishing Group study (2025) </w:t>
            </w:r>
            <w:hyperlink r:id="rId21" w:tgtFrame="_blank" w:history="1">
              <w:r w:rsidRPr="0044793F">
                <w:rPr>
                  <w:rStyle w:val="Hyperlink"/>
                  <w:rFonts w:ascii="Arial" w:hAnsi="Arial" w:cs="Arial"/>
                </w:rPr>
                <w:t>https://www.sciencepublishinggroup.com/article/10.11648/j.jbed.20251003.13</w:t>
              </w:r>
            </w:hyperlink>
          </w:p>
        </w:tc>
        <w:tc>
          <w:tcPr>
            <w:tcW w:w="617" w:type="pct"/>
            <w:hideMark/>
          </w:tcPr>
          <w:p w14:paraId="08109502"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explore influence of social media marketing on consumers' purchasing decision in Bangladesh restaurant industry</w:t>
            </w:r>
          </w:p>
        </w:tc>
        <w:tc>
          <w:tcPr>
            <w:tcW w:w="401" w:type="pct"/>
            <w:hideMark/>
          </w:tcPr>
          <w:p w14:paraId="7F3113DD" w14:textId="77777777" w:rsidR="00B5368A" w:rsidRPr="0044793F" w:rsidRDefault="00B5368A" w:rsidP="00404048">
            <w:pPr>
              <w:spacing w:after="160" w:line="360" w:lineRule="auto"/>
              <w:jc w:val="both"/>
              <w:rPr>
                <w:rFonts w:ascii="Arial" w:hAnsi="Arial" w:cs="Arial"/>
              </w:rPr>
            </w:pPr>
            <w:r w:rsidRPr="0044793F">
              <w:rPr>
                <w:rFonts w:ascii="Arial" w:hAnsi="Arial" w:cs="Arial"/>
              </w:rPr>
              <w:t>Mixed methods: survey (n=300) and interviews (n=15); regression and thematic analysis</w:t>
            </w:r>
          </w:p>
        </w:tc>
        <w:tc>
          <w:tcPr>
            <w:tcW w:w="941" w:type="pct"/>
            <w:hideMark/>
          </w:tcPr>
          <w:p w14:paraId="18D3F096" w14:textId="77777777" w:rsidR="00B5368A" w:rsidRPr="0044793F" w:rsidRDefault="00B5368A" w:rsidP="00404048">
            <w:pPr>
              <w:spacing w:after="160" w:line="360" w:lineRule="auto"/>
              <w:jc w:val="both"/>
              <w:rPr>
                <w:rFonts w:ascii="Arial" w:hAnsi="Arial" w:cs="Arial"/>
              </w:rPr>
            </w:pPr>
            <w:r w:rsidRPr="0044793F">
              <w:rPr>
                <w:rFonts w:ascii="Arial" w:hAnsi="Arial" w:cs="Arial"/>
              </w:rPr>
              <w:t>Visual content (β=0.42) and influencer endorsements (β=0.38) most influential factors; user-generated content builds trust; e-word-of-mouth accelerates decision-making</w:t>
            </w:r>
          </w:p>
        </w:tc>
        <w:tc>
          <w:tcPr>
            <w:tcW w:w="580" w:type="pct"/>
            <w:hideMark/>
          </w:tcPr>
          <w:p w14:paraId="15C1622B" w14:textId="77777777" w:rsidR="00B5368A" w:rsidRPr="0044793F" w:rsidRDefault="00B5368A" w:rsidP="00404048">
            <w:pPr>
              <w:spacing w:after="160" w:line="360" w:lineRule="auto"/>
              <w:jc w:val="both"/>
              <w:rPr>
                <w:rFonts w:ascii="Arial" w:hAnsi="Arial" w:cs="Arial"/>
              </w:rPr>
            </w:pPr>
            <w:r w:rsidRPr="0044793F">
              <w:rPr>
                <w:rFonts w:ascii="Arial" w:hAnsi="Arial" w:cs="Arial"/>
              </w:rPr>
              <w:t>Demonstrates importance of visual storytelling and influencer marketing in Bangladesh; applicable to food products including organic items</w:t>
            </w:r>
          </w:p>
        </w:tc>
      </w:tr>
      <w:tr w:rsidR="00B5368A" w:rsidRPr="0044793F" w14:paraId="6E3A3E71" w14:textId="77777777" w:rsidTr="00BD0079">
        <w:tc>
          <w:tcPr>
            <w:tcW w:w="2462" w:type="pct"/>
            <w:hideMark/>
          </w:tcPr>
          <w:p w14:paraId="40769678"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Babu et al. (2025) </w:t>
            </w:r>
            <w:hyperlink r:id="rId22" w:tgtFrame="_blank" w:history="1">
              <w:r w:rsidRPr="0044793F">
                <w:rPr>
                  <w:rStyle w:val="Hyperlink"/>
                  <w:rFonts w:ascii="Arial" w:hAnsi="Arial" w:cs="Arial"/>
                </w:rPr>
                <w:t>https://doi.org/10.1371/journal.pone.0338423</w:t>
              </w:r>
            </w:hyperlink>
          </w:p>
        </w:tc>
        <w:tc>
          <w:tcPr>
            <w:tcW w:w="617" w:type="pct"/>
            <w:hideMark/>
          </w:tcPr>
          <w:p w14:paraId="20775CCD"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assess impact of influencer marketing in tourism industry from digital marketing perspective in Bangladesh</w:t>
            </w:r>
          </w:p>
        </w:tc>
        <w:tc>
          <w:tcPr>
            <w:tcW w:w="401" w:type="pct"/>
            <w:hideMark/>
          </w:tcPr>
          <w:p w14:paraId="1E2FEAD5"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survey of 456 respondents; PLS-SEM analysis</w:t>
            </w:r>
          </w:p>
        </w:tc>
        <w:tc>
          <w:tcPr>
            <w:tcW w:w="941" w:type="pct"/>
            <w:hideMark/>
          </w:tcPr>
          <w:p w14:paraId="2F50B65C"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Influencer credibility (β=0.44), content quality (β=0.39), and </w:t>
            </w:r>
            <w:proofErr w:type="spellStart"/>
            <w:r w:rsidRPr="0044793F">
              <w:rPr>
                <w:rFonts w:ascii="Arial" w:hAnsi="Arial" w:cs="Arial"/>
              </w:rPr>
              <w:t>parasocial</w:t>
            </w:r>
            <w:proofErr w:type="spellEnd"/>
            <w:r w:rsidRPr="0044793F">
              <w:rPr>
                <w:rFonts w:ascii="Arial" w:hAnsi="Arial" w:cs="Arial"/>
              </w:rPr>
              <w:t xml:space="preserve"> relationship (β=0.33) significantly impact purchase intention; micro-influencers (10K-100K followers) more trusted than mega-influencers</w:t>
            </w:r>
          </w:p>
        </w:tc>
        <w:tc>
          <w:tcPr>
            <w:tcW w:w="580" w:type="pct"/>
            <w:hideMark/>
          </w:tcPr>
          <w:p w14:paraId="4670BE1D" w14:textId="77777777" w:rsidR="00B5368A" w:rsidRPr="0044793F" w:rsidRDefault="00B5368A" w:rsidP="00404048">
            <w:pPr>
              <w:spacing w:after="160" w:line="360" w:lineRule="auto"/>
              <w:jc w:val="both"/>
              <w:rPr>
                <w:rFonts w:ascii="Arial" w:hAnsi="Arial" w:cs="Arial"/>
              </w:rPr>
            </w:pPr>
            <w:r w:rsidRPr="0044793F">
              <w:rPr>
                <w:rFonts w:ascii="Arial" w:hAnsi="Arial" w:cs="Arial"/>
              </w:rPr>
              <w:t>Establishes influencer marketing effectiveness in Bangladesh; highlights importance of influencer authenticity and credibility for trust-dependent products like organic foods</w:t>
            </w:r>
          </w:p>
        </w:tc>
      </w:tr>
      <w:tr w:rsidR="00B5368A" w:rsidRPr="0044793F" w14:paraId="7F650D5E" w14:textId="77777777" w:rsidTr="00BD0079">
        <w:tc>
          <w:tcPr>
            <w:tcW w:w="2462" w:type="pct"/>
            <w:hideMark/>
          </w:tcPr>
          <w:p w14:paraId="4B7A6212" w14:textId="77777777" w:rsidR="00B5368A" w:rsidRPr="0044793F" w:rsidRDefault="00B5368A" w:rsidP="00404048">
            <w:pPr>
              <w:spacing w:after="160" w:line="360" w:lineRule="auto"/>
              <w:jc w:val="both"/>
              <w:rPr>
                <w:rFonts w:ascii="Arial" w:hAnsi="Arial" w:cs="Arial"/>
              </w:rPr>
            </w:pPr>
            <w:r w:rsidRPr="0044793F">
              <w:rPr>
                <w:rFonts w:ascii="Arial" w:hAnsi="Arial" w:cs="Arial"/>
              </w:rPr>
              <w:t>ScienceDirect telecoms study (2021) </w:t>
            </w:r>
            <w:hyperlink r:id="rId23" w:tgtFrame="_blank" w:history="1">
              <w:r w:rsidRPr="0044793F">
                <w:rPr>
                  <w:rStyle w:val="Hyperlink"/>
                  <w:rFonts w:ascii="Arial" w:hAnsi="Arial" w:cs="Arial"/>
                </w:rPr>
                <w:t>https://www.sciencedirect.co</w:t>
              </w:r>
              <w:r w:rsidRPr="0044793F">
                <w:rPr>
                  <w:rStyle w:val="Hyperlink"/>
                  <w:rFonts w:ascii="Arial" w:hAnsi="Arial" w:cs="Arial"/>
                </w:rPr>
                <w:lastRenderedPageBreak/>
                <w:t>m/science/article/pii/S1947963821000423</w:t>
              </w:r>
            </w:hyperlink>
          </w:p>
        </w:tc>
        <w:tc>
          <w:tcPr>
            <w:tcW w:w="617" w:type="pct"/>
            <w:hideMark/>
          </w:tcPr>
          <w:p w14:paraId="31113178"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To examine role of </w:t>
            </w:r>
            <w:r w:rsidRPr="0044793F">
              <w:rPr>
                <w:rFonts w:ascii="Arial" w:hAnsi="Arial" w:cs="Arial"/>
              </w:rPr>
              <w:lastRenderedPageBreak/>
              <w:t>social media marketing on overall brand equity in Bangladesh telecommunication sector</w:t>
            </w:r>
          </w:p>
        </w:tc>
        <w:tc>
          <w:tcPr>
            <w:tcW w:w="401" w:type="pct"/>
            <w:hideMark/>
          </w:tcPr>
          <w:p w14:paraId="7BA395C4"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Quantitative: 387 </w:t>
            </w:r>
            <w:r w:rsidRPr="0044793F">
              <w:rPr>
                <w:rFonts w:ascii="Arial" w:hAnsi="Arial" w:cs="Arial"/>
              </w:rPr>
              <w:lastRenderedPageBreak/>
              <w:t>telecom customers; confirmatory factor analysis and SEM</w:t>
            </w:r>
          </w:p>
        </w:tc>
        <w:tc>
          <w:tcPr>
            <w:tcW w:w="941" w:type="pct"/>
            <w:hideMark/>
          </w:tcPr>
          <w:p w14:paraId="4DB583DA"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Social media marketing positively </w:t>
            </w:r>
            <w:r w:rsidRPr="0044793F">
              <w:rPr>
                <w:rFonts w:ascii="Arial" w:hAnsi="Arial" w:cs="Arial"/>
              </w:rPr>
              <w:lastRenderedPageBreak/>
              <w:t>impacts brand awareness (β=0.56), brand association (β=0.48), perceived quality (β=0.43), and brand loyalty (β=0.39); entertainment and interaction dimensions most influential</w:t>
            </w:r>
          </w:p>
        </w:tc>
        <w:tc>
          <w:tcPr>
            <w:tcW w:w="580" w:type="pct"/>
            <w:hideMark/>
          </w:tcPr>
          <w:p w14:paraId="47902194"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Demonstrates brand-</w:t>
            </w:r>
            <w:r w:rsidRPr="0044793F">
              <w:rPr>
                <w:rFonts w:ascii="Arial" w:hAnsi="Arial" w:cs="Arial"/>
              </w:rPr>
              <w:lastRenderedPageBreak/>
              <w:t>building potential of social media in Bangladesh; relevant for building organic brand identity and trust</w:t>
            </w:r>
          </w:p>
        </w:tc>
      </w:tr>
      <w:tr w:rsidR="00B5368A" w:rsidRPr="0044793F" w14:paraId="601214D2" w14:textId="77777777" w:rsidTr="00BD0079">
        <w:tc>
          <w:tcPr>
            <w:tcW w:w="2462" w:type="pct"/>
            <w:hideMark/>
          </w:tcPr>
          <w:p w14:paraId="62BED0D9"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Hafez (2021) </w:t>
            </w:r>
            <w:hyperlink r:id="rId24" w:tgtFrame="_blank" w:history="1">
              <w:r w:rsidRPr="0044793F">
                <w:rPr>
                  <w:rStyle w:val="Hyperlink"/>
                  <w:rFonts w:ascii="Arial" w:hAnsi="Arial" w:cs="Arial"/>
                </w:rPr>
                <w:t>https://doi.org/10.1108/IJBM-02-2021-0067</w:t>
              </w:r>
            </w:hyperlink>
          </w:p>
        </w:tc>
        <w:tc>
          <w:tcPr>
            <w:tcW w:w="617" w:type="pct"/>
            <w:hideMark/>
          </w:tcPr>
          <w:p w14:paraId="4D5EFEDB"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investigate impact of social media marketing on brand equity with brand love and brand trust as mediator</w:t>
            </w:r>
            <w:r w:rsidRPr="0044793F">
              <w:rPr>
                <w:rFonts w:ascii="Arial" w:hAnsi="Arial" w:cs="Arial"/>
              </w:rPr>
              <w:lastRenderedPageBreak/>
              <w:t>s in Bangladesh banking sector</w:t>
            </w:r>
          </w:p>
        </w:tc>
        <w:tc>
          <w:tcPr>
            <w:tcW w:w="401" w:type="pct"/>
            <w:hideMark/>
          </w:tcPr>
          <w:p w14:paraId="5063F239"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Quantitative survey of 410 bank customers; mediation analysis using PROCESS </w:t>
            </w:r>
            <w:r w:rsidRPr="0044793F">
              <w:rPr>
                <w:rFonts w:ascii="Arial" w:hAnsi="Arial" w:cs="Arial"/>
              </w:rPr>
              <w:lastRenderedPageBreak/>
              <w:t>macro</w:t>
            </w:r>
          </w:p>
        </w:tc>
        <w:tc>
          <w:tcPr>
            <w:tcW w:w="941" w:type="pct"/>
            <w:hideMark/>
          </w:tcPr>
          <w:p w14:paraId="2550464E"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Social media marketing indirectly affects brand equity through brand trust (indirect effect=0.31) and brand love (indirect effect=0.24); trust pathway stronger for credence goods; </w:t>
            </w:r>
            <w:r w:rsidRPr="0044793F">
              <w:rPr>
                <w:rFonts w:ascii="Arial" w:hAnsi="Arial" w:cs="Arial"/>
              </w:rPr>
              <w:lastRenderedPageBreak/>
              <w:t>interaction quality critical trust-builder</w:t>
            </w:r>
          </w:p>
        </w:tc>
        <w:tc>
          <w:tcPr>
            <w:tcW w:w="580" w:type="pct"/>
            <w:hideMark/>
          </w:tcPr>
          <w:p w14:paraId="13A5F0C3"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Confirms trust as critical mediator in Bangladesh digital context; highly relevant for organic products as </w:t>
            </w:r>
            <w:r w:rsidRPr="0044793F">
              <w:rPr>
                <w:rFonts w:ascii="Arial" w:hAnsi="Arial" w:cs="Arial"/>
              </w:rPr>
              <w:lastRenderedPageBreak/>
              <w:t>credence goods where trust is essential</w:t>
            </w:r>
          </w:p>
        </w:tc>
      </w:tr>
      <w:tr w:rsidR="00B5368A" w:rsidRPr="0044793F" w14:paraId="72938CB5" w14:textId="77777777" w:rsidTr="00BD0079">
        <w:tc>
          <w:tcPr>
            <w:tcW w:w="2462" w:type="pct"/>
            <w:hideMark/>
          </w:tcPr>
          <w:p w14:paraId="30B5AE08"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Islam et al. (2023) </w:t>
            </w:r>
            <w:hyperlink r:id="rId25" w:tgtFrame="_blank" w:history="1">
              <w:r w:rsidRPr="0044793F">
                <w:rPr>
                  <w:rStyle w:val="Hyperlink"/>
                  <w:rFonts w:ascii="Arial" w:hAnsi="Arial" w:cs="Arial"/>
                </w:rPr>
                <w:t>https://doi.org/10.1177/21582440231197495</w:t>
              </w:r>
            </w:hyperlink>
          </w:p>
        </w:tc>
        <w:tc>
          <w:tcPr>
            <w:tcW w:w="617" w:type="pct"/>
            <w:hideMark/>
          </w:tcPr>
          <w:p w14:paraId="44E23868"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analyze behavioral intention to use online shopping in Bangladesh through technology acceptance model</w:t>
            </w:r>
          </w:p>
        </w:tc>
        <w:tc>
          <w:tcPr>
            <w:tcW w:w="401" w:type="pct"/>
            <w:hideMark/>
          </w:tcPr>
          <w:p w14:paraId="359ABCE8"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523 online shoppers; TAM model testing via SEM</w:t>
            </w:r>
          </w:p>
        </w:tc>
        <w:tc>
          <w:tcPr>
            <w:tcW w:w="941" w:type="pct"/>
            <w:hideMark/>
          </w:tcPr>
          <w:p w14:paraId="0C4DE2EE" w14:textId="77777777" w:rsidR="00B5368A" w:rsidRPr="0044793F" w:rsidRDefault="00B5368A" w:rsidP="00404048">
            <w:pPr>
              <w:spacing w:after="160" w:line="360" w:lineRule="auto"/>
              <w:jc w:val="both"/>
              <w:rPr>
                <w:rFonts w:ascii="Arial" w:hAnsi="Arial" w:cs="Arial"/>
              </w:rPr>
            </w:pPr>
            <w:r w:rsidRPr="0044793F">
              <w:rPr>
                <w:rFonts w:ascii="Arial" w:hAnsi="Arial" w:cs="Arial"/>
              </w:rPr>
              <w:t>Perceived usefulness (β=0.52) and perceived ease of use (β=0.41) significantly predict intention; trust (β=0.38) additional significant predictor; mobile compatibility enhances ease of use perception</w:t>
            </w:r>
          </w:p>
        </w:tc>
        <w:tc>
          <w:tcPr>
            <w:tcW w:w="580" w:type="pct"/>
            <w:hideMark/>
          </w:tcPr>
          <w:p w14:paraId="2307855A" w14:textId="77777777" w:rsidR="00B5368A" w:rsidRPr="0044793F" w:rsidRDefault="00B5368A" w:rsidP="00404048">
            <w:pPr>
              <w:spacing w:after="160" w:line="360" w:lineRule="auto"/>
              <w:jc w:val="both"/>
              <w:rPr>
                <w:rFonts w:ascii="Arial" w:hAnsi="Arial" w:cs="Arial"/>
              </w:rPr>
            </w:pPr>
            <w:r w:rsidRPr="0044793F">
              <w:rPr>
                <w:rFonts w:ascii="Arial" w:hAnsi="Arial" w:cs="Arial"/>
              </w:rPr>
              <w:t>Validates technology acceptance factors in Bangladesh e-commerce; supports integration of TAM constructs in conceptual framework for organic product adoption</w:t>
            </w:r>
          </w:p>
        </w:tc>
      </w:tr>
    </w:tbl>
    <w:p w14:paraId="2189F2BE" w14:textId="77777777" w:rsidR="00B5368A" w:rsidRPr="0044793F" w:rsidRDefault="00B5368A" w:rsidP="00404048">
      <w:pPr>
        <w:rPr>
          <w:rFonts w:ascii="Arial" w:hAnsi="Arial" w:cs="Arial"/>
        </w:rPr>
      </w:pPr>
      <w:r w:rsidRPr="0044793F">
        <w:rPr>
          <w:rFonts w:ascii="Arial" w:hAnsi="Arial" w:cs="Arial"/>
        </w:rPr>
        <w:t>Table 4.2: Social Media Marketing and Digital Adoption in Bangladesh</w:t>
      </w:r>
    </w:p>
    <w:tbl>
      <w:tblPr>
        <w:tblStyle w:val="TableGrid"/>
        <w:tblW w:w="5000" w:type="pct"/>
        <w:tblLook w:val="04A0" w:firstRow="1" w:lastRow="0" w:firstColumn="1" w:lastColumn="0" w:noHBand="0" w:noVBand="1"/>
      </w:tblPr>
      <w:tblGrid>
        <w:gridCol w:w="4016"/>
        <w:gridCol w:w="1306"/>
        <w:gridCol w:w="906"/>
        <w:gridCol w:w="1884"/>
        <w:gridCol w:w="1238"/>
      </w:tblGrid>
      <w:tr w:rsidR="00B5368A" w:rsidRPr="0044793F" w14:paraId="0E54602D" w14:textId="77777777" w:rsidTr="00BD0079">
        <w:tc>
          <w:tcPr>
            <w:tcW w:w="2283" w:type="pct"/>
            <w:noWrap/>
            <w:hideMark/>
          </w:tcPr>
          <w:p w14:paraId="44322795"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lastRenderedPageBreak/>
              <w:t>Author(s) &amp; Link</w:t>
            </w:r>
          </w:p>
        </w:tc>
        <w:tc>
          <w:tcPr>
            <w:tcW w:w="660" w:type="pct"/>
            <w:noWrap/>
            <w:hideMark/>
          </w:tcPr>
          <w:p w14:paraId="532560AF"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Aims and Objectives</w:t>
            </w:r>
          </w:p>
        </w:tc>
        <w:tc>
          <w:tcPr>
            <w:tcW w:w="455" w:type="pct"/>
            <w:noWrap/>
            <w:hideMark/>
          </w:tcPr>
          <w:p w14:paraId="5BFB0672"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Methodology</w:t>
            </w:r>
          </w:p>
        </w:tc>
        <w:tc>
          <w:tcPr>
            <w:tcW w:w="980" w:type="pct"/>
            <w:noWrap/>
            <w:hideMark/>
          </w:tcPr>
          <w:p w14:paraId="48331A55"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Main Findings and Contribution</w:t>
            </w:r>
          </w:p>
        </w:tc>
        <w:tc>
          <w:tcPr>
            <w:tcW w:w="622" w:type="pct"/>
            <w:noWrap/>
            <w:hideMark/>
          </w:tcPr>
          <w:p w14:paraId="6B85FD54"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Relevance to Study</w:t>
            </w:r>
          </w:p>
        </w:tc>
      </w:tr>
      <w:tr w:rsidR="00B5368A" w:rsidRPr="0044793F" w14:paraId="5DD83215" w14:textId="77777777" w:rsidTr="00BD0079">
        <w:tc>
          <w:tcPr>
            <w:tcW w:w="2283" w:type="pct"/>
            <w:hideMark/>
          </w:tcPr>
          <w:p w14:paraId="55FA5E1C" w14:textId="77777777" w:rsidR="00B5368A" w:rsidRPr="0044793F" w:rsidRDefault="00B5368A" w:rsidP="00404048">
            <w:pPr>
              <w:spacing w:after="160" w:line="360" w:lineRule="auto"/>
              <w:jc w:val="both"/>
              <w:rPr>
                <w:rFonts w:ascii="Arial" w:hAnsi="Arial" w:cs="Arial"/>
              </w:rPr>
            </w:pPr>
            <w:r w:rsidRPr="0044793F">
              <w:rPr>
                <w:rFonts w:ascii="Arial" w:hAnsi="Arial" w:cs="Arial"/>
              </w:rPr>
              <w:t>UJ study (2024) </w:t>
            </w:r>
            <w:hyperlink r:id="rId26" w:tgtFrame="_blank" w:history="1">
              <w:r w:rsidRPr="0044793F">
                <w:rPr>
                  <w:rStyle w:val="Hyperlink"/>
                  <w:rFonts w:ascii="Arial" w:hAnsi="Arial" w:cs="Arial"/>
                </w:rPr>
                <w:t>https://doi.org/10.58947/journal.kpry56</w:t>
              </w:r>
            </w:hyperlink>
          </w:p>
        </w:tc>
        <w:tc>
          <w:tcPr>
            <w:tcW w:w="660" w:type="pct"/>
            <w:hideMark/>
          </w:tcPr>
          <w:p w14:paraId="00F9481E"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identify factors and strategies for strengthening consumer trust in Bangladesh e-commerce</w:t>
            </w:r>
          </w:p>
        </w:tc>
        <w:tc>
          <w:tcPr>
            <w:tcW w:w="455" w:type="pct"/>
            <w:hideMark/>
          </w:tcPr>
          <w:p w14:paraId="7650689C"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Qualitative: 28 in-depth interviews with consumers and e-commerce practitioners; thematic analysis</w:t>
            </w:r>
          </w:p>
        </w:tc>
        <w:tc>
          <w:tcPr>
            <w:tcW w:w="980" w:type="pct"/>
            <w:hideMark/>
          </w:tcPr>
          <w:p w14:paraId="05CA0DFB" w14:textId="77777777" w:rsidR="00B5368A" w:rsidRPr="0044793F" w:rsidRDefault="00B5368A" w:rsidP="00404048">
            <w:pPr>
              <w:spacing w:after="160" w:line="360" w:lineRule="auto"/>
              <w:jc w:val="both"/>
              <w:rPr>
                <w:rFonts w:ascii="Arial" w:hAnsi="Arial" w:cs="Arial"/>
              </w:rPr>
            </w:pPr>
            <w:r w:rsidRPr="0044793F">
              <w:rPr>
                <w:rFonts w:ascii="Arial" w:hAnsi="Arial" w:cs="Arial"/>
              </w:rPr>
              <w:t>Five trust-building strategies identified: transparent product information, verified seller credentials, secure payment systems, reliable delivery, and responsive customer service; product authenticity verification most critical</w:t>
            </w:r>
          </w:p>
        </w:tc>
        <w:tc>
          <w:tcPr>
            <w:tcW w:w="622" w:type="pct"/>
            <w:hideMark/>
          </w:tcPr>
          <w:p w14:paraId="33870504" w14:textId="77777777" w:rsidR="00B5368A" w:rsidRPr="0044793F" w:rsidRDefault="00B5368A" w:rsidP="00404048">
            <w:pPr>
              <w:spacing w:after="160" w:line="360" w:lineRule="auto"/>
              <w:jc w:val="both"/>
              <w:rPr>
                <w:rFonts w:ascii="Arial" w:hAnsi="Arial" w:cs="Arial"/>
              </w:rPr>
            </w:pPr>
            <w:r w:rsidRPr="0044793F">
              <w:rPr>
                <w:rFonts w:ascii="Arial" w:hAnsi="Arial" w:cs="Arial"/>
              </w:rPr>
              <w:t>Identifies practical trust mechanisms applicable to organic product e-commerce; highlights product authenticity verification essential for credence goods</w:t>
            </w:r>
          </w:p>
        </w:tc>
      </w:tr>
      <w:tr w:rsidR="00B5368A" w:rsidRPr="0044793F" w14:paraId="65F9A7ED" w14:textId="77777777" w:rsidTr="00BD0079">
        <w:tc>
          <w:tcPr>
            <w:tcW w:w="2283" w:type="pct"/>
            <w:hideMark/>
          </w:tcPr>
          <w:p w14:paraId="4A064258" w14:textId="77777777" w:rsidR="00B5368A" w:rsidRPr="0044793F" w:rsidRDefault="00B5368A" w:rsidP="00404048">
            <w:pPr>
              <w:spacing w:after="160" w:line="360" w:lineRule="auto"/>
              <w:jc w:val="both"/>
              <w:rPr>
                <w:rFonts w:ascii="Arial" w:hAnsi="Arial" w:cs="Arial"/>
              </w:rPr>
            </w:pPr>
            <w:r w:rsidRPr="0044793F">
              <w:rPr>
                <w:rFonts w:ascii="Arial" w:hAnsi="Arial" w:cs="Arial"/>
              </w:rPr>
              <w:t>ResearchGate study (2024) </w:t>
            </w:r>
            <w:hyperlink r:id="rId27" w:tgtFrame="_blank" w:history="1">
              <w:r w:rsidRPr="0044793F">
                <w:rPr>
                  <w:rStyle w:val="Hyperlink"/>
                  <w:rFonts w:ascii="Arial" w:hAnsi="Arial" w:cs="Arial"/>
                </w:rPr>
                <w:t>https://www.researchgate.net/publication/385111119</w:t>
              </w:r>
            </w:hyperlink>
          </w:p>
        </w:tc>
        <w:tc>
          <w:tcPr>
            <w:tcW w:w="660" w:type="pct"/>
            <w:hideMark/>
          </w:tcPr>
          <w:p w14:paraId="6D2C0754"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examine customer experiences with e-</w:t>
            </w:r>
            <w:r w:rsidRPr="0044793F">
              <w:rPr>
                <w:rFonts w:ascii="Arial" w:hAnsi="Arial" w:cs="Arial"/>
              </w:rPr>
              <w:lastRenderedPageBreak/>
              <w:t>commerce returns and effects on satisfaction, trust, and loyalty in Bangladesh</w:t>
            </w:r>
          </w:p>
        </w:tc>
        <w:tc>
          <w:tcPr>
            <w:tcW w:w="455" w:type="pct"/>
            <w:hideMark/>
          </w:tcPr>
          <w:p w14:paraId="4D2207CB"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Quantitative: 412 e-comm</w:t>
            </w:r>
            <w:r w:rsidRPr="0044793F">
              <w:rPr>
                <w:rFonts w:ascii="Arial" w:hAnsi="Arial" w:cs="Arial"/>
              </w:rPr>
              <w:lastRenderedPageBreak/>
              <w:t>erce customers; structural equation modeling</w:t>
            </w:r>
          </w:p>
        </w:tc>
        <w:tc>
          <w:tcPr>
            <w:tcW w:w="980" w:type="pct"/>
            <w:hideMark/>
          </w:tcPr>
          <w:p w14:paraId="2D91CE57"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Ease of returns (β=0.47), return policy transparency (β=0.41), and </w:t>
            </w:r>
            <w:r w:rsidRPr="0044793F">
              <w:rPr>
                <w:rFonts w:ascii="Arial" w:hAnsi="Arial" w:cs="Arial"/>
              </w:rPr>
              <w:lastRenderedPageBreak/>
              <w:t>refund speed (β=0.38) positively impact trust; trust mediates relationship between return experience and loyalty; 67% cite return concerns as purchase barrier</w:t>
            </w:r>
          </w:p>
        </w:tc>
        <w:tc>
          <w:tcPr>
            <w:tcW w:w="622" w:type="pct"/>
            <w:hideMark/>
          </w:tcPr>
          <w:p w14:paraId="4DA5A00B"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Highlights importance of return </w:t>
            </w:r>
            <w:r w:rsidRPr="0044793F">
              <w:rPr>
                <w:rFonts w:ascii="Arial" w:hAnsi="Arial" w:cs="Arial"/>
              </w:rPr>
              <w:lastRenderedPageBreak/>
              <w:t>policies for building e-commerce trust; relevant for organic products where quality assessment pre-purchase is limited</w:t>
            </w:r>
          </w:p>
        </w:tc>
      </w:tr>
      <w:tr w:rsidR="00B5368A" w:rsidRPr="0044793F" w14:paraId="7200ABD3" w14:textId="77777777" w:rsidTr="00BD0079">
        <w:tc>
          <w:tcPr>
            <w:tcW w:w="2283" w:type="pct"/>
            <w:hideMark/>
          </w:tcPr>
          <w:p w14:paraId="35AC1873"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Kundu et al. (2024) </w:t>
            </w:r>
            <w:hyperlink r:id="rId28" w:tgtFrame="_blank" w:history="1">
              <w:r w:rsidRPr="0044793F">
                <w:rPr>
                  <w:rStyle w:val="Hyperlink"/>
                  <w:rFonts w:ascii="Arial" w:hAnsi="Arial" w:cs="Arial"/>
                </w:rPr>
                <w:t>https://doi.org/10.47813/2782-5280-2024-3-4-0218-0240</w:t>
              </w:r>
            </w:hyperlink>
          </w:p>
        </w:tc>
        <w:tc>
          <w:tcPr>
            <w:tcW w:w="660" w:type="pct"/>
            <w:hideMark/>
          </w:tcPr>
          <w:p w14:paraId="2632B617"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examine e-commerce development in Bangladesh with focus on marketing improvement through </w:t>
            </w:r>
            <w:r w:rsidRPr="0044793F">
              <w:rPr>
                <w:rFonts w:ascii="Arial" w:hAnsi="Arial" w:cs="Arial"/>
              </w:rPr>
              <w:lastRenderedPageBreak/>
              <w:t>personalized recommendation services</w:t>
            </w:r>
          </w:p>
        </w:tc>
        <w:tc>
          <w:tcPr>
            <w:tcW w:w="455" w:type="pct"/>
            <w:hideMark/>
          </w:tcPr>
          <w:p w14:paraId="028060AF"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Mixed methods: platform data analysis and user survey (n=356)</w:t>
            </w:r>
          </w:p>
        </w:tc>
        <w:tc>
          <w:tcPr>
            <w:tcW w:w="980" w:type="pct"/>
            <w:hideMark/>
          </w:tcPr>
          <w:p w14:paraId="1209C243"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Personalized recommendations increased purchase conversion by 34%; AI-driven product suggestions enhanced user experience; data privacy concerns (cited by 58%) limit </w:t>
            </w:r>
            <w:r w:rsidRPr="0044793F">
              <w:rPr>
                <w:rFonts w:ascii="Arial" w:hAnsi="Arial" w:cs="Arial"/>
              </w:rPr>
              <w:lastRenderedPageBreak/>
              <w:t>personalization acceptance</w:t>
            </w:r>
          </w:p>
        </w:tc>
        <w:tc>
          <w:tcPr>
            <w:tcW w:w="622" w:type="pct"/>
            <w:hideMark/>
          </w:tcPr>
          <w:p w14:paraId="1B6E5006"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Demonstrates potential of data-driven marketing in Bangladesh; highlights privacy concerns that must be </w:t>
            </w:r>
            <w:r w:rsidRPr="0044793F">
              <w:rPr>
                <w:rFonts w:ascii="Arial" w:hAnsi="Arial" w:cs="Arial"/>
              </w:rPr>
              <w:lastRenderedPageBreak/>
              <w:t>addressed in digital organic marketing</w:t>
            </w:r>
          </w:p>
        </w:tc>
      </w:tr>
      <w:tr w:rsidR="00B5368A" w:rsidRPr="0044793F" w14:paraId="53FEB580" w14:textId="77777777" w:rsidTr="00BD0079">
        <w:tc>
          <w:tcPr>
            <w:tcW w:w="2283" w:type="pct"/>
            <w:hideMark/>
          </w:tcPr>
          <w:p w14:paraId="1ECCBFF4"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ScienceDirect mango study (2025) </w:t>
            </w:r>
            <w:hyperlink r:id="rId29" w:tgtFrame="_blank" w:history="1">
              <w:r w:rsidRPr="0044793F">
                <w:rPr>
                  <w:rStyle w:val="Hyperlink"/>
                  <w:rFonts w:ascii="Arial" w:hAnsi="Arial" w:cs="Arial"/>
                </w:rPr>
                <w:t>https://www.sciencedirect.com/science/article/pii/S2666154325008270</w:t>
              </w:r>
            </w:hyperlink>
          </w:p>
        </w:tc>
        <w:tc>
          <w:tcPr>
            <w:tcW w:w="660" w:type="pct"/>
            <w:hideMark/>
          </w:tcPr>
          <w:p w14:paraId="2FECC8AF"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assess e-commerce and consumer satisfaction through digital marketing of mango in Bangladesh</w:t>
            </w:r>
          </w:p>
        </w:tc>
        <w:tc>
          <w:tcPr>
            <w:tcW w:w="455" w:type="pct"/>
            <w:hideMark/>
          </w:tcPr>
          <w:p w14:paraId="29DBC1A2"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298 mango buyers through digital platforms; satisfaction measurement</w:t>
            </w:r>
          </w:p>
        </w:tc>
        <w:tc>
          <w:tcPr>
            <w:tcW w:w="980" w:type="pct"/>
            <w:hideMark/>
          </w:tcPr>
          <w:p w14:paraId="6EA03871" w14:textId="77777777" w:rsidR="00B5368A" w:rsidRPr="0044793F" w:rsidRDefault="00B5368A" w:rsidP="00404048">
            <w:pPr>
              <w:spacing w:after="160" w:line="360" w:lineRule="auto"/>
              <w:jc w:val="both"/>
              <w:rPr>
                <w:rFonts w:ascii="Arial" w:hAnsi="Arial" w:cs="Arial"/>
              </w:rPr>
            </w:pPr>
            <w:r w:rsidRPr="0044793F">
              <w:rPr>
                <w:rFonts w:ascii="Arial" w:hAnsi="Arial" w:cs="Arial"/>
              </w:rPr>
              <w:t>Digital direct-to-consumer sales improved farmer margins by 28%; product freshness (satisfaction score: 4.2/5) and delivery speed (4.0/5) key satisfaction drivers; traceability information enhanced trust</w:t>
            </w:r>
          </w:p>
        </w:tc>
        <w:tc>
          <w:tcPr>
            <w:tcW w:w="622" w:type="pct"/>
            <w:hideMark/>
          </w:tcPr>
          <w:p w14:paraId="13A24A07" w14:textId="77777777" w:rsidR="00B5368A" w:rsidRPr="0044793F" w:rsidRDefault="00B5368A" w:rsidP="00404048">
            <w:pPr>
              <w:spacing w:after="160" w:line="360" w:lineRule="auto"/>
              <w:jc w:val="both"/>
              <w:rPr>
                <w:rFonts w:ascii="Arial" w:hAnsi="Arial" w:cs="Arial"/>
              </w:rPr>
            </w:pPr>
            <w:r w:rsidRPr="0044793F">
              <w:rPr>
                <w:rFonts w:ascii="Arial" w:hAnsi="Arial" w:cs="Arial"/>
              </w:rPr>
              <w:t>Provides agricultural product e-commerce evidence from Bangladesh; demonstrates direct farmer-to-consumer model applicability for fresh organic products</w:t>
            </w:r>
          </w:p>
        </w:tc>
      </w:tr>
      <w:tr w:rsidR="00B5368A" w:rsidRPr="0044793F" w14:paraId="704D6318" w14:textId="77777777" w:rsidTr="00BD0079">
        <w:tc>
          <w:tcPr>
            <w:tcW w:w="2283" w:type="pct"/>
            <w:hideMark/>
          </w:tcPr>
          <w:p w14:paraId="6D85C9DC"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ACM COMPASS study (2025) </w:t>
            </w:r>
            <w:hyperlink r:id="rId30" w:tgtFrame="_blank" w:history="1">
              <w:r w:rsidRPr="0044793F">
                <w:rPr>
                  <w:rStyle w:val="Hyperlink"/>
                  <w:rFonts w:ascii="Arial" w:hAnsi="Arial" w:cs="Arial"/>
                </w:rPr>
                <w:t>https://doi.org/10.1145/3715335.3735495</w:t>
              </w:r>
            </w:hyperlink>
          </w:p>
        </w:tc>
        <w:tc>
          <w:tcPr>
            <w:tcW w:w="660" w:type="pct"/>
            <w:hideMark/>
          </w:tcPr>
          <w:p w14:paraId="409DFF5F"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explore how social media and websites shape e-commerce future in Bangladesh from buyers' and sellers' perspectives</w:t>
            </w:r>
          </w:p>
        </w:tc>
        <w:tc>
          <w:tcPr>
            <w:tcW w:w="455" w:type="pct"/>
            <w:hideMark/>
          </w:tcPr>
          <w:p w14:paraId="085AC27F"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Qualitative: 45 interviews (25 buyers, 20 sellers); thematic analysis</w:t>
            </w:r>
          </w:p>
        </w:tc>
        <w:tc>
          <w:tcPr>
            <w:tcW w:w="980" w:type="pct"/>
            <w:hideMark/>
          </w:tcPr>
          <w:p w14:paraId="1CE43398" w14:textId="77777777" w:rsidR="00B5368A" w:rsidRPr="0044793F" w:rsidRDefault="00B5368A" w:rsidP="00404048">
            <w:pPr>
              <w:spacing w:after="160" w:line="360" w:lineRule="auto"/>
              <w:jc w:val="both"/>
              <w:rPr>
                <w:rFonts w:ascii="Arial" w:hAnsi="Arial" w:cs="Arial"/>
              </w:rPr>
            </w:pPr>
            <w:r w:rsidRPr="0044793F">
              <w:rPr>
                <w:rFonts w:ascii="Arial" w:hAnsi="Arial" w:cs="Arial"/>
              </w:rPr>
              <w:t>Social media (especially Facebook) primary discovery channel (83% buyers); website professionalism signals credibility; hybrid model (social media discovery + website transaction) emerging as preferred; mobile optimization critical</w:t>
            </w:r>
          </w:p>
        </w:tc>
        <w:tc>
          <w:tcPr>
            <w:tcW w:w="622" w:type="pct"/>
            <w:hideMark/>
          </w:tcPr>
          <w:p w14:paraId="799BFD32" w14:textId="77777777" w:rsidR="00B5368A" w:rsidRPr="0044793F" w:rsidRDefault="00B5368A" w:rsidP="00404048">
            <w:pPr>
              <w:spacing w:after="160" w:line="360" w:lineRule="auto"/>
              <w:jc w:val="both"/>
              <w:rPr>
                <w:rFonts w:ascii="Arial" w:hAnsi="Arial" w:cs="Arial"/>
              </w:rPr>
            </w:pPr>
            <w:r w:rsidRPr="0044793F">
              <w:rPr>
                <w:rFonts w:ascii="Arial" w:hAnsi="Arial" w:cs="Arial"/>
              </w:rPr>
              <w:t>Identifies practical digital marketing pathway for Bangladesh: social media for awareness, website for credibility and transaction; directly applicable to organic product marketing strategy</w:t>
            </w:r>
          </w:p>
        </w:tc>
      </w:tr>
    </w:tbl>
    <w:p w14:paraId="63DF7A57" w14:textId="77777777" w:rsidR="00B5368A" w:rsidRPr="0044793F" w:rsidRDefault="00B5368A" w:rsidP="00404048">
      <w:pPr>
        <w:rPr>
          <w:rFonts w:ascii="Arial" w:hAnsi="Arial" w:cs="Arial"/>
        </w:rPr>
      </w:pPr>
      <w:r w:rsidRPr="0044793F">
        <w:rPr>
          <w:rFonts w:ascii="Arial" w:hAnsi="Arial" w:cs="Arial"/>
        </w:rPr>
        <w:t>Table 4.3: E-commerce Trust, Adoption &amp; Digital Infrastructure in Bangladesh</w:t>
      </w:r>
    </w:p>
    <w:tbl>
      <w:tblPr>
        <w:tblStyle w:val="TableGrid"/>
        <w:tblW w:w="5000" w:type="pct"/>
        <w:tblLook w:val="04A0" w:firstRow="1" w:lastRow="0" w:firstColumn="1" w:lastColumn="0" w:noHBand="0" w:noVBand="1"/>
      </w:tblPr>
      <w:tblGrid>
        <w:gridCol w:w="4101"/>
        <w:gridCol w:w="1272"/>
        <w:gridCol w:w="884"/>
        <w:gridCol w:w="1832"/>
        <w:gridCol w:w="1261"/>
      </w:tblGrid>
      <w:tr w:rsidR="00B5368A" w:rsidRPr="0044793F" w14:paraId="3841ECB7" w14:textId="77777777" w:rsidTr="004D3BC8">
        <w:tc>
          <w:tcPr>
            <w:tcW w:w="2384" w:type="pct"/>
            <w:noWrap/>
            <w:hideMark/>
          </w:tcPr>
          <w:p w14:paraId="0F6547BB"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Author(s) &amp; Link</w:t>
            </w:r>
          </w:p>
        </w:tc>
        <w:tc>
          <w:tcPr>
            <w:tcW w:w="619" w:type="pct"/>
            <w:noWrap/>
            <w:hideMark/>
          </w:tcPr>
          <w:p w14:paraId="3B7D8888"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 xml:space="preserve">Aims and </w:t>
            </w:r>
            <w:r w:rsidRPr="0044793F">
              <w:rPr>
                <w:rFonts w:ascii="Arial" w:hAnsi="Arial" w:cs="Arial"/>
                <w:b/>
                <w:bCs/>
              </w:rPr>
              <w:lastRenderedPageBreak/>
              <w:t>Objectives</w:t>
            </w:r>
          </w:p>
        </w:tc>
        <w:tc>
          <w:tcPr>
            <w:tcW w:w="394" w:type="pct"/>
            <w:noWrap/>
            <w:hideMark/>
          </w:tcPr>
          <w:p w14:paraId="59EB9AB4"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lastRenderedPageBreak/>
              <w:t>Methodology</w:t>
            </w:r>
          </w:p>
        </w:tc>
        <w:tc>
          <w:tcPr>
            <w:tcW w:w="943" w:type="pct"/>
            <w:noWrap/>
            <w:hideMark/>
          </w:tcPr>
          <w:p w14:paraId="3E9AC84D"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Main Findings and Contribution</w:t>
            </w:r>
          </w:p>
        </w:tc>
        <w:tc>
          <w:tcPr>
            <w:tcW w:w="660" w:type="pct"/>
            <w:noWrap/>
            <w:hideMark/>
          </w:tcPr>
          <w:p w14:paraId="530314CD"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Relevance to Study</w:t>
            </w:r>
          </w:p>
        </w:tc>
      </w:tr>
      <w:tr w:rsidR="00B5368A" w:rsidRPr="0044793F" w14:paraId="012E643F" w14:textId="77777777" w:rsidTr="004D3BC8">
        <w:tc>
          <w:tcPr>
            <w:tcW w:w="2384" w:type="pct"/>
            <w:hideMark/>
          </w:tcPr>
          <w:p w14:paraId="54230611" w14:textId="77777777" w:rsidR="00B5368A" w:rsidRPr="0044793F" w:rsidRDefault="00B5368A" w:rsidP="00404048">
            <w:pPr>
              <w:spacing w:after="160" w:line="360" w:lineRule="auto"/>
              <w:jc w:val="both"/>
              <w:rPr>
                <w:rFonts w:ascii="Arial" w:hAnsi="Arial" w:cs="Arial"/>
              </w:rPr>
            </w:pPr>
            <w:r w:rsidRPr="0044793F">
              <w:rPr>
                <w:rFonts w:ascii="Arial" w:hAnsi="Arial" w:cs="Arial"/>
              </w:rPr>
              <w:t>Rana &amp; Paul (2017) </w:t>
            </w:r>
            <w:hyperlink r:id="rId31" w:tgtFrame="_blank" w:history="1">
              <w:r w:rsidRPr="0044793F">
                <w:rPr>
                  <w:rStyle w:val="Hyperlink"/>
                  <w:rFonts w:ascii="Arial" w:hAnsi="Arial" w:cs="Arial"/>
                </w:rPr>
                <w:t>https://doi.org/10.1016/j.jretconser.2017.06.004</w:t>
              </w:r>
            </w:hyperlink>
          </w:p>
        </w:tc>
        <w:tc>
          <w:tcPr>
            <w:tcW w:w="619" w:type="pct"/>
            <w:hideMark/>
          </w:tcPr>
          <w:p w14:paraId="5EAC8EFE"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review consumer behavior and purchase intention for organic food and develop research agenda</w:t>
            </w:r>
          </w:p>
        </w:tc>
        <w:tc>
          <w:tcPr>
            <w:tcW w:w="394" w:type="pct"/>
            <w:hideMark/>
          </w:tcPr>
          <w:p w14:paraId="1CF697CB" w14:textId="77777777" w:rsidR="00B5368A" w:rsidRPr="0044793F" w:rsidRDefault="00B5368A" w:rsidP="00404048">
            <w:pPr>
              <w:spacing w:after="160" w:line="360" w:lineRule="auto"/>
              <w:jc w:val="both"/>
              <w:rPr>
                <w:rFonts w:ascii="Arial" w:hAnsi="Arial" w:cs="Arial"/>
              </w:rPr>
            </w:pPr>
            <w:r w:rsidRPr="0044793F">
              <w:rPr>
                <w:rFonts w:ascii="Arial" w:hAnsi="Arial" w:cs="Arial"/>
              </w:rPr>
              <w:t>Systematic literature review of 135 studies (2000-2016); thematic synthesis</w:t>
            </w:r>
          </w:p>
        </w:tc>
        <w:tc>
          <w:tcPr>
            <w:tcW w:w="943" w:type="pct"/>
            <w:hideMark/>
          </w:tcPr>
          <w:p w14:paraId="3B2A0157" w14:textId="77777777" w:rsidR="00B5368A" w:rsidRPr="0044793F" w:rsidRDefault="00B5368A" w:rsidP="00404048">
            <w:pPr>
              <w:spacing w:after="160" w:line="360" w:lineRule="auto"/>
              <w:jc w:val="both"/>
              <w:rPr>
                <w:rFonts w:ascii="Arial" w:hAnsi="Arial" w:cs="Arial"/>
              </w:rPr>
            </w:pPr>
            <w:r w:rsidRPr="0044793F">
              <w:rPr>
                <w:rFonts w:ascii="Arial" w:hAnsi="Arial" w:cs="Arial"/>
              </w:rPr>
              <w:t>Health consciousness, environmental concern, and food safety most consistent motivators; price, availability, and skepticism main barriers; attitude-behavior gap persistent across contexts; TPB most used theoretical framework</w:t>
            </w:r>
          </w:p>
        </w:tc>
        <w:tc>
          <w:tcPr>
            <w:tcW w:w="660" w:type="pct"/>
            <w:hideMark/>
          </w:tcPr>
          <w:p w14:paraId="55824218" w14:textId="77777777" w:rsidR="00B5368A" w:rsidRPr="0044793F" w:rsidRDefault="00B5368A" w:rsidP="00404048">
            <w:pPr>
              <w:spacing w:after="160" w:line="360" w:lineRule="auto"/>
              <w:jc w:val="both"/>
              <w:rPr>
                <w:rFonts w:ascii="Arial" w:hAnsi="Arial" w:cs="Arial"/>
              </w:rPr>
            </w:pPr>
            <w:r w:rsidRPr="0044793F">
              <w:rPr>
                <w:rFonts w:ascii="Arial" w:hAnsi="Arial" w:cs="Arial"/>
              </w:rPr>
              <w:t>Provides comprehensive theoretical foundation; identifies key determinants and barriers applicable across contexts including Bangladesh</w:t>
            </w:r>
          </w:p>
        </w:tc>
      </w:tr>
      <w:tr w:rsidR="00B5368A" w:rsidRPr="0044793F" w14:paraId="7D363896" w14:textId="77777777" w:rsidTr="004D3BC8">
        <w:tc>
          <w:tcPr>
            <w:tcW w:w="2384" w:type="pct"/>
            <w:hideMark/>
          </w:tcPr>
          <w:p w14:paraId="6BC869F9" w14:textId="77777777" w:rsidR="00B5368A" w:rsidRPr="0044793F" w:rsidRDefault="00B5368A" w:rsidP="00404048">
            <w:pPr>
              <w:spacing w:after="160" w:line="360" w:lineRule="auto"/>
              <w:jc w:val="both"/>
              <w:rPr>
                <w:rFonts w:ascii="Arial" w:hAnsi="Arial" w:cs="Arial"/>
              </w:rPr>
            </w:pPr>
            <w:r w:rsidRPr="0044793F">
              <w:rPr>
                <w:rFonts w:ascii="Arial" w:hAnsi="Arial" w:cs="Arial"/>
              </w:rPr>
              <w:t>Dangi et al. (2020) </w:t>
            </w:r>
            <w:hyperlink r:id="rId32" w:tgtFrame="_blank" w:history="1">
              <w:r w:rsidRPr="0044793F">
                <w:rPr>
                  <w:rStyle w:val="Hyperlink"/>
                  <w:rFonts w:ascii="Arial" w:hAnsi="Arial" w:cs="Arial"/>
                </w:rPr>
                <w:t>https://doi.org/10.1108/MEQ-01-2020-0014</w:t>
              </w:r>
            </w:hyperlink>
          </w:p>
        </w:tc>
        <w:tc>
          <w:tcPr>
            <w:tcW w:w="619" w:type="pct"/>
            <w:hideMark/>
          </w:tcPr>
          <w:p w14:paraId="0296724B"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develop conceptual framework of consumer </w:t>
            </w:r>
            <w:r w:rsidRPr="0044793F">
              <w:rPr>
                <w:rFonts w:ascii="Arial" w:hAnsi="Arial" w:cs="Arial"/>
              </w:rPr>
              <w:lastRenderedPageBreak/>
              <w:t>buying behavior and purchase intention for organic food</w:t>
            </w:r>
          </w:p>
        </w:tc>
        <w:tc>
          <w:tcPr>
            <w:tcW w:w="394" w:type="pct"/>
            <w:hideMark/>
          </w:tcPr>
          <w:p w14:paraId="60AB576C"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Conceptual framework synthesis from </w:t>
            </w:r>
            <w:r w:rsidRPr="0044793F">
              <w:rPr>
                <w:rFonts w:ascii="Arial" w:hAnsi="Arial" w:cs="Arial"/>
              </w:rPr>
              <w:lastRenderedPageBreak/>
              <w:t>literature review</w:t>
            </w:r>
          </w:p>
        </w:tc>
        <w:tc>
          <w:tcPr>
            <w:tcW w:w="943" w:type="pct"/>
            <w:hideMark/>
          </w:tcPr>
          <w:p w14:paraId="2845C293"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Proposed integrated framework: antecedents (health, environment, safety, trust) → </w:t>
            </w:r>
            <w:r w:rsidRPr="0044793F">
              <w:rPr>
                <w:rFonts w:ascii="Arial" w:hAnsi="Arial" w:cs="Arial"/>
              </w:rPr>
              <w:lastRenderedPageBreak/>
              <w:t>attitudes → intention → behavior; moderators: price sensitivity, availability, knowledge; highlighted research gaps in emerging markets</w:t>
            </w:r>
          </w:p>
        </w:tc>
        <w:tc>
          <w:tcPr>
            <w:tcW w:w="660" w:type="pct"/>
            <w:hideMark/>
          </w:tcPr>
          <w:p w14:paraId="174640F2"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Offers theoretical framework integrating multiple </w:t>
            </w:r>
            <w:r w:rsidRPr="0044793F">
              <w:rPr>
                <w:rFonts w:ascii="Arial" w:hAnsi="Arial" w:cs="Arial"/>
              </w:rPr>
              <w:lastRenderedPageBreak/>
              <w:t>antecedents; supports conceptual model development for this study</w:t>
            </w:r>
          </w:p>
        </w:tc>
      </w:tr>
      <w:tr w:rsidR="00B5368A" w:rsidRPr="0044793F" w14:paraId="28A16239" w14:textId="77777777" w:rsidTr="004D3BC8">
        <w:tc>
          <w:tcPr>
            <w:tcW w:w="2384" w:type="pct"/>
            <w:hideMark/>
          </w:tcPr>
          <w:p w14:paraId="2425C6EF"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Wang et al. (2020) </w:t>
            </w:r>
            <w:hyperlink r:id="rId33" w:tgtFrame="_blank" w:history="1">
              <w:r w:rsidRPr="0044793F">
                <w:rPr>
                  <w:rStyle w:val="Hyperlink"/>
                  <w:rFonts w:ascii="Arial" w:hAnsi="Arial" w:cs="Arial"/>
                </w:rPr>
                <w:t>https://doi.org/10.3390/ijerph17030850</w:t>
              </w:r>
            </w:hyperlink>
          </w:p>
        </w:tc>
        <w:tc>
          <w:tcPr>
            <w:tcW w:w="619" w:type="pct"/>
            <w:hideMark/>
          </w:tcPr>
          <w:p w14:paraId="584D7CCA"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test moderated mediation model of environmental consciousness, perceived quality, price sensitivity and organic food purchase intention</w:t>
            </w:r>
          </w:p>
        </w:tc>
        <w:tc>
          <w:tcPr>
            <w:tcW w:w="394" w:type="pct"/>
            <w:hideMark/>
          </w:tcPr>
          <w:p w14:paraId="2FB9338A"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612 consumers in China; moderated mediation analysis</w:t>
            </w:r>
          </w:p>
        </w:tc>
        <w:tc>
          <w:tcPr>
            <w:tcW w:w="943" w:type="pct"/>
            <w:hideMark/>
          </w:tcPr>
          <w:p w14:paraId="6EFB0D05"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Environmental consciousness → perceived food quality (β=0.51) → purchase intention (β=0.46); price sensitivity </w:t>
            </w:r>
            <w:proofErr w:type="gramStart"/>
            <w:r w:rsidRPr="0044793F">
              <w:rPr>
                <w:rFonts w:ascii="Arial" w:hAnsi="Arial" w:cs="Arial"/>
              </w:rPr>
              <w:t>moderates</w:t>
            </w:r>
            <w:proofErr w:type="gramEnd"/>
            <w:r w:rsidRPr="0044793F">
              <w:rPr>
                <w:rFonts w:ascii="Arial" w:hAnsi="Arial" w:cs="Arial"/>
              </w:rPr>
              <w:t xml:space="preserve"> quality-intention link (β=-0.27); education strengthens environmental consciousness effect</w:t>
            </w:r>
          </w:p>
        </w:tc>
        <w:tc>
          <w:tcPr>
            <w:tcW w:w="660" w:type="pct"/>
            <w:hideMark/>
          </w:tcPr>
          <w:p w14:paraId="302F7B7E"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Demonstrates mediation pathways; shows price sensitivity as key moderator in emerging market; applicable to understanding Bangladesh </w:t>
            </w:r>
            <w:r w:rsidRPr="0044793F">
              <w:rPr>
                <w:rFonts w:ascii="Arial" w:hAnsi="Arial" w:cs="Arial"/>
              </w:rPr>
              <w:lastRenderedPageBreak/>
              <w:t>consumer decision-making</w:t>
            </w:r>
          </w:p>
        </w:tc>
      </w:tr>
      <w:tr w:rsidR="00B5368A" w:rsidRPr="0044793F" w14:paraId="70B2F047" w14:textId="77777777" w:rsidTr="004D3BC8">
        <w:tc>
          <w:tcPr>
            <w:tcW w:w="2384" w:type="pct"/>
            <w:hideMark/>
          </w:tcPr>
          <w:p w14:paraId="5241E931"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Nguyen-Viet (2022) </w:t>
            </w:r>
            <w:hyperlink r:id="rId34" w:tgtFrame="_blank" w:history="1">
              <w:r w:rsidRPr="0044793F">
                <w:rPr>
                  <w:rStyle w:val="Hyperlink"/>
                  <w:rFonts w:ascii="Arial" w:hAnsi="Arial" w:cs="Arial"/>
                </w:rPr>
                <w:t>https://doi.org/10.3390/su14010242</w:t>
              </w:r>
            </w:hyperlink>
          </w:p>
        </w:tc>
        <w:tc>
          <w:tcPr>
            <w:tcW w:w="619" w:type="pct"/>
            <w:hideMark/>
          </w:tcPr>
          <w:p w14:paraId="459BD764"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explore antecedents of organic food purchase intention through extended theory of planned behavior</w:t>
            </w:r>
          </w:p>
        </w:tc>
        <w:tc>
          <w:tcPr>
            <w:tcW w:w="394" w:type="pct"/>
            <w:hideMark/>
          </w:tcPr>
          <w:p w14:paraId="06A2E1F6"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438 consumers in Vietnam; SEM testing extended TPB</w:t>
            </w:r>
          </w:p>
        </w:tc>
        <w:tc>
          <w:tcPr>
            <w:tcW w:w="943" w:type="pct"/>
            <w:hideMark/>
          </w:tcPr>
          <w:p w14:paraId="31C34A8C" w14:textId="77777777" w:rsidR="00B5368A" w:rsidRPr="0044793F" w:rsidRDefault="00B5368A" w:rsidP="00404048">
            <w:pPr>
              <w:spacing w:after="160" w:line="360" w:lineRule="auto"/>
              <w:jc w:val="both"/>
              <w:rPr>
                <w:rFonts w:ascii="Arial" w:hAnsi="Arial" w:cs="Arial"/>
              </w:rPr>
            </w:pPr>
            <w:r w:rsidRPr="0044793F">
              <w:rPr>
                <w:rFonts w:ascii="Arial" w:hAnsi="Arial" w:cs="Arial"/>
              </w:rPr>
              <w:t>Attitude (β=0.34), subjective norms (β=0.29), PBC (β=0.24), trust (β=0.31), and health consciousness (β=0.38) predict intention; model explains 67% variance; trust addition significantly improves TPB explanatory power</w:t>
            </w:r>
          </w:p>
        </w:tc>
        <w:tc>
          <w:tcPr>
            <w:tcW w:w="660" w:type="pct"/>
            <w:hideMark/>
          </w:tcPr>
          <w:p w14:paraId="2C0FAED5" w14:textId="77777777" w:rsidR="00B5368A" w:rsidRPr="0044793F" w:rsidRDefault="00B5368A" w:rsidP="00404048">
            <w:pPr>
              <w:spacing w:after="160" w:line="360" w:lineRule="auto"/>
              <w:jc w:val="both"/>
              <w:rPr>
                <w:rFonts w:ascii="Arial" w:hAnsi="Arial" w:cs="Arial"/>
              </w:rPr>
            </w:pPr>
            <w:r w:rsidRPr="0044793F">
              <w:rPr>
                <w:rFonts w:ascii="Arial" w:hAnsi="Arial" w:cs="Arial"/>
              </w:rPr>
              <w:t>Validates extended TPB in Asian emerging market; confirms trust as critical additional construct; directly comparable to Bangladesh context</w:t>
            </w:r>
          </w:p>
        </w:tc>
      </w:tr>
      <w:tr w:rsidR="00B5368A" w:rsidRPr="0044793F" w14:paraId="0BAD7A2B" w14:textId="77777777" w:rsidTr="004D3BC8">
        <w:tc>
          <w:tcPr>
            <w:tcW w:w="2384" w:type="pct"/>
            <w:hideMark/>
          </w:tcPr>
          <w:p w14:paraId="1BB8B7E6"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t>Gundala</w:t>
            </w:r>
            <w:proofErr w:type="spellEnd"/>
            <w:r w:rsidRPr="0044793F">
              <w:rPr>
                <w:rFonts w:ascii="Arial" w:hAnsi="Arial" w:cs="Arial"/>
              </w:rPr>
              <w:t xml:space="preserve"> &amp; Singh (2021) </w:t>
            </w:r>
            <w:hyperlink r:id="rId35" w:tgtFrame="_blank" w:history="1">
              <w:r w:rsidRPr="0044793F">
                <w:rPr>
                  <w:rStyle w:val="Hyperlink"/>
                  <w:rFonts w:ascii="Arial" w:hAnsi="Arial" w:cs="Arial"/>
                </w:rPr>
                <w:t>https://doi.org/10.1371/journal.pone.0257288</w:t>
              </w:r>
            </w:hyperlink>
          </w:p>
        </w:tc>
        <w:tc>
          <w:tcPr>
            <w:tcW w:w="619" w:type="pct"/>
            <w:hideMark/>
          </w:tcPr>
          <w:p w14:paraId="1873BFCF"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identify what motivates consumers to buy organic </w:t>
            </w:r>
            <w:r w:rsidRPr="0044793F">
              <w:rPr>
                <w:rFonts w:ascii="Arial" w:hAnsi="Arial" w:cs="Arial"/>
              </w:rPr>
              <w:lastRenderedPageBreak/>
              <w:t>foods in United States</w:t>
            </w:r>
          </w:p>
        </w:tc>
        <w:tc>
          <w:tcPr>
            <w:tcW w:w="394" w:type="pct"/>
            <w:hideMark/>
          </w:tcPr>
          <w:p w14:paraId="2B922617"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Empirical study: 1,082 organic consu</w:t>
            </w:r>
            <w:r w:rsidRPr="0044793F">
              <w:rPr>
                <w:rFonts w:ascii="Arial" w:hAnsi="Arial" w:cs="Arial"/>
              </w:rPr>
              <w:lastRenderedPageBreak/>
              <w:t>mers; factor analysis and regression</w:t>
            </w:r>
          </w:p>
        </w:tc>
        <w:tc>
          <w:tcPr>
            <w:tcW w:w="943" w:type="pct"/>
            <w:hideMark/>
          </w:tcPr>
          <w:p w14:paraId="20CC1B8C"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Five motivation factors: health benefits (mean=4.6/5), environmental protection (4.1/5), food </w:t>
            </w:r>
            <w:r w:rsidRPr="0044793F">
              <w:rPr>
                <w:rFonts w:ascii="Arial" w:hAnsi="Arial" w:cs="Arial"/>
              </w:rPr>
              <w:lastRenderedPageBreak/>
              <w:t>safety (4.4/5), superior taste (3.8/5), animal welfare (3.6/5); health and safety statistically most significant predictors</w:t>
            </w:r>
          </w:p>
        </w:tc>
        <w:tc>
          <w:tcPr>
            <w:tcW w:w="660" w:type="pct"/>
            <w:hideMark/>
          </w:tcPr>
          <w:p w14:paraId="51497F82"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Provides developed market comparison; confirms health </w:t>
            </w:r>
            <w:r w:rsidRPr="0044793F">
              <w:rPr>
                <w:rFonts w:ascii="Arial" w:hAnsi="Arial" w:cs="Arial"/>
              </w:rPr>
              <w:lastRenderedPageBreak/>
              <w:t>and safety as universal primary motivators; useful benchmark for Bangladesh context</w:t>
            </w:r>
          </w:p>
        </w:tc>
      </w:tr>
      <w:tr w:rsidR="00B5368A" w:rsidRPr="0044793F" w14:paraId="246B963C" w14:textId="77777777" w:rsidTr="004D3BC8">
        <w:tc>
          <w:tcPr>
            <w:tcW w:w="2384" w:type="pct"/>
            <w:hideMark/>
          </w:tcPr>
          <w:p w14:paraId="1934723B"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lastRenderedPageBreak/>
              <w:t>Bazhan</w:t>
            </w:r>
            <w:proofErr w:type="spellEnd"/>
            <w:r w:rsidRPr="0044793F">
              <w:rPr>
                <w:rFonts w:ascii="Arial" w:hAnsi="Arial" w:cs="Arial"/>
              </w:rPr>
              <w:t xml:space="preserve"> et al. (2024) </w:t>
            </w:r>
            <w:hyperlink r:id="rId36" w:tgtFrame="_blank" w:history="1">
              <w:r w:rsidRPr="0044793F">
                <w:rPr>
                  <w:rStyle w:val="Hyperlink"/>
                  <w:rFonts w:ascii="Arial" w:hAnsi="Arial" w:cs="Arial"/>
                </w:rPr>
                <w:t>https://doi.org/10.1002/fsn3.4015</w:t>
              </w:r>
            </w:hyperlink>
          </w:p>
        </w:tc>
        <w:tc>
          <w:tcPr>
            <w:tcW w:w="619" w:type="pct"/>
            <w:hideMark/>
          </w:tcPr>
          <w:p w14:paraId="0C0EF42A"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examine factors affecting organic food purchase intention in developing nation (Iran)</w:t>
            </w:r>
          </w:p>
        </w:tc>
        <w:tc>
          <w:tcPr>
            <w:tcW w:w="394" w:type="pct"/>
            <w:hideMark/>
          </w:tcPr>
          <w:p w14:paraId="34B9A19C"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384 consumers; extended TPB framework; PLS-SEM</w:t>
            </w:r>
          </w:p>
        </w:tc>
        <w:tc>
          <w:tcPr>
            <w:tcW w:w="943" w:type="pct"/>
            <w:hideMark/>
          </w:tcPr>
          <w:p w14:paraId="5079B9E8"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Health consciousness (β=0.41), environmental concern (β=0.28), food safety concern (β=0.36), and trust (β=0.33) positively predict intention; price (β=-0.29) and skepticism (β=-0.24) negatively predict; trust moderates </w:t>
            </w:r>
            <w:r w:rsidRPr="0044793F">
              <w:rPr>
                <w:rFonts w:ascii="Arial" w:hAnsi="Arial" w:cs="Arial"/>
              </w:rPr>
              <w:lastRenderedPageBreak/>
              <w:t>skepticism effect</w:t>
            </w:r>
          </w:p>
        </w:tc>
        <w:tc>
          <w:tcPr>
            <w:tcW w:w="660" w:type="pct"/>
            <w:hideMark/>
          </w:tcPr>
          <w:p w14:paraId="68DDEA1F"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Developing nation evidence confirms similar motivators and barriers as Bangladesh; validates trust as moderator; supports integrated framewor</w:t>
            </w:r>
            <w:r w:rsidRPr="0044793F">
              <w:rPr>
                <w:rFonts w:ascii="Arial" w:hAnsi="Arial" w:cs="Arial"/>
              </w:rPr>
              <w:lastRenderedPageBreak/>
              <w:t>k approach</w:t>
            </w:r>
          </w:p>
        </w:tc>
      </w:tr>
      <w:tr w:rsidR="00B5368A" w:rsidRPr="0044793F" w14:paraId="72956F57" w14:textId="77777777" w:rsidTr="004D3BC8">
        <w:tc>
          <w:tcPr>
            <w:tcW w:w="2384" w:type="pct"/>
            <w:hideMark/>
          </w:tcPr>
          <w:p w14:paraId="4E6F2FA6"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lastRenderedPageBreak/>
              <w:t>Elhaty</w:t>
            </w:r>
            <w:proofErr w:type="spellEnd"/>
            <w:r w:rsidRPr="0044793F">
              <w:rPr>
                <w:rFonts w:ascii="Arial" w:hAnsi="Arial" w:cs="Arial"/>
              </w:rPr>
              <w:t xml:space="preserve"> et al. (2022) </w:t>
            </w:r>
            <w:hyperlink r:id="rId37" w:tgtFrame="_blank" w:history="1">
              <w:r w:rsidRPr="0044793F">
                <w:rPr>
                  <w:rStyle w:val="Hyperlink"/>
                  <w:rFonts w:ascii="Arial" w:hAnsi="Arial" w:cs="Arial"/>
                </w:rPr>
                <w:t>https://doi.org/10.3390/su14105868</w:t>
              </w:r>
            </w:hyperlink>
          </w:p>
        </w:tc>
        <w:tc>
          <w:tcPr>
            <w:tcW w:w="619" w:type="pct"/>
            <w:hideMark/>
          </w:tcPr>
          <w:p w14:paraId="1A83C175"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examine factors affecting consumers' purchase intention of organic food in developing country (Egypt)</w:t>
            </w:r>
          </w:p>
        </w:tc>
        <w:tc>
          <w:tcPr>
            <w:tcW w:w="394" w:type="pct"/>
            <w:hideMark/>
          </w:tcPr>
          <w:p w14:paraId="4BA16A4A"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526 consumers; SEM with TPB and additional constructs</w:t>
            </w:r>
          </w:p>
        </w:tc>
        <w:tc>
          <w:tcPr>
            <w:tcW w:w="943" w:type="pct"/>
            <w:hideMark/>
          </w:tcPr>
          <w:p w14:paraId="0A7768FC" w14:textId="77777777" w:rsidR="00B5368A" w:rsidRPr="0044793F" w:rsidRDefault="00B5368A" w:rsidP="00404048">
            <w:pPr>
              <w:spacing w:after="160" w:line="360" w:lineRule="auto"/>
              <w:jc w:val="both"/>
              <w:rPr>
                <w:rFonts w:ascii="Arial" w:hAnsi="Arial" w:cs="Arial"/>
              </w:rPr>
            </w:pPr>
            <w:r w:rsidRPr="0044793F">
              <w:rPr>
                <w:rFonts w:ascii="Arial" w:hAnsi="Arial" w:cs="Arial"/>
              </w:rPr>
              <w:t>Perceived health benefits (β=0.48) strongest predictor; environmental awareness (β=0.22), subjective norms (β=0.26), and organic knowledge (β=0.31) significant; price barrier (β=-0.34) strongest inhibitor</w:t>
            </w:r>
          </w:p>
        </w:tc>
        <w:tc>
          <w:tcPr>
            <w:tcW w:w="660" w:type="pct"/>
            <w:hideMark/>
          </w:tcPr>
          <w:p w14:paraId="220345B2" w14:textId="77777777" w:rsidR="00B5368A" w:rsidRPr="0044793F" w:rsidRDefault="00B5368A" w:rsidP="00404048">
            <w:pPr>
              <w:spacing w:after="160" w:line="360" w:lineRule="auto"/>
              <w:jc w:val="both"/>
              <w:rPr>
                <w:rFonts w:ascii="Arial" w:hAnsi="Arial" w:cs="Arial"/>
              </w:rPr>
            </w:pPr>
            <w:r w:rsidRPr="0044793F">
              <w:rPr>
                <w:rFonts w:ascii="Arial" w:hAnsi="Arial" w:cs="Arial"/>
              </w:rPr>
              <w:t>Confirms health dominance in developing countries; highlights knowledge as enabler and price as barrier; contextually relevant comparison for Bangladesh</w:t>
            </w:r>
          </w:p>
        </w:tc>
      </w:tr>
      <w:tr w:rsidR="00B5368A" w:rsidRPr="0044793F" w14:paraId="435EDFAA" w14:textId="77777777" w:rsidTr="004D3BC8">
        <w:tc>
          <w:tcPr>
            <w:tcW w:w="2384" w:type="pct"/>
            <w:hideMark/>
          </w:tcPr>
          <w:p w14:paraId="69DD46DA" w14:textId="77777777" w:rsidR="00B5368A" w:rsidRPr="0044793F" w:rsidRDefault="00B5368A" w:rsidP="00404048">
            <w:pPr>
              <w:spacing w:after="160" w:line="360" w:lineRule="auto"/>
              <w:jc w:val="both"/>
              <w:rPr>
                <w:rFonts w:ascii="Arial" w:hAnsi="Arial" w:cs="Arial"/>
              </w:rPr>
            </w:pPr>
            <w:r w:rsidRPr="0044793F">
              <w:rPr>
                <w:rFonts w:ascii="Arial" w:hAnsi="Arial" w:cs="Arial"/>
              </w:rPr>
              <w:t>Mai et al. (2023) </w:t>
            </w:r>
            <w:hyperlink r:id="rId38" w:tgtFrame="_blank" w:history="1">
              <w:r w:rsidRPr="0044793F">
                <w:rPr>
                  <w:rStyle w:val="Hyperlink"/>
                  <w:rFonts w:ascii="Arial" w:hAnsi="Arial" w:cs="Arial"/>
                </w:rPr>
                <w:t>https://doi.org/10.3389/fsufs.2023.1180612</w:t>
              </w:r>
            </w:hyperlink>
          </w:p>
        </w:tc>
        <w:tc>
          <w:tcPr>
            <w:tcW w:w="619" w:type="pct"/>
            <w:hideMark/>
          </w:tcPr>
          <w:p w14:paraId="68F408E9"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identify determinants of organic food purchasin</w:t>
            </w:r>
            <w:r w:rsidRPr="0044793F">
              <w:rPr>
                <w:rFonts w:ascii="Arial" w:hAnsi="Arial" w:cs="Arial"/>
              </w:rPr>
              <w:lastRenderedPageBreak/>
              <w:t>g intention among local consumers in Da Nang, Vietnam</w:t>
            </w:r>
          </w:p>
        </w:tc>
        <w:tc>
          <w:tcPr>
            <w:tcW w:w="394" w:type="pct"/>
            <w:hideMark/>
          </w:tcPr>
          <w:p w14:paraId="7506CC2D"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Quantitative: 402 consumers; extended </w:t>
            </w:r>
            <w:r w:rsidRPr="0044793F">
              <w:rPr>
                <w:rFonts w:ascii="Arial" w:hAnsi="Arial" w:cs="Arial"/>
              </w:rPr>
              <w:lastRenderedPageBreak/>
              <w:t xml:space="preserve">TPB; </w:t>
            </w:r>
            <w:proofErr w:type="spellStart"/>
            <w:r w:rsidRPr="0044793F">
              <w:rPr>
                <w:rFonts w:ascii="Arial" w:hAnsi="Arial" w:cs="Arial"/>
              </w:rPr>
              <w:t>SmartPLS</w:t>
            </w:r>
            <w:proofErr w:type="spellEnd"/>
            <w:r w:rsidRPr="0044793F">
              <w:rPr>
                <w:rFonts w:ascii="Arial" w:hAnsi="Arial" w:cs="Arial"/>
              </w:rPr>
              <w:t xml:space="preserve"> analysis</w:t>
            </w:r>
          </w:p>
        </w:tc>
        <w:tc>
          <w:tcPr>
            <w:tcW w:w="943" w:type="pct"/>
            <w:hideMark/>
          </w:tcPr>
          <w:p w14:paraId="20D3CC04"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Attitude (β=0.31), subjective norms (β=0.24), PBC (β=0.19), health </w:t>
            </w:r>
            <w:r w:rsidRPr="0044793F">
              <w:rPr>
                <w:rFonts w:ascii="Arial" w:hAnsi="Arial" w:cs="Arial"/>
              </w:rPr>
              <w:lastRenderedPageBreak/>
              <w:t>consciousness (β=0.37), and food safety concern (β=0.34) predict intention (R²=0.63); collectivist culture amplifies subjective norms effect</w:t>
            </w:r>
          </w:p>
        </w:tc>
        <w:tc>
          <w:tcPr>
            <w:tcW w:w="660" w:type="pct"/>
            <w:hideMark/>
          </w:tcPr>
          <w:p w14:paraId="78467E0E"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Southeast Asian cultural context similar to Bangladesh; </w:t>
            </w:r>
            <w:r w:rsidRPr="0044793F">
              <w:rPr>
                <w:rFonts w:ascii="Arial" w:hAnsi="Arial" w:cs="Arial"/>
              </w:rPr>
              <w:lastRenderedPageBreak/>
              <w:t>demonstrates importance of social influence in collectivist societies; validates cultural considerations</w:t>
            </w:r>
          </w:p>
        </w:tc>
      </w:tr>
      <w:tr w:rsidR="00B5368A" w:rsidRPr="0044793F" w14:paraId="24A32123" w14:textId="77777777" w:rsidTr="004D3BC8">
        <w:tc>
          <w:tcPr>
            <w:tcW w:w="2384" w:type="pct"/>
            <w:hideMark/>
          </w:tcPr>
          <w:p w14:paraId="29B74AE9"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Boobalan et al. (2021) </w:t>
            </w:r>
            <w:hyperlink r:id="rId39" w:tgtFrame="_blank" w:history="1">
              <w:r w:rsidRPr="0044793F">
                <w:rPr>
                  <w:rStyle w:val="Hyperlink"/>
                  <w:rFonts w:ascii="Arial" w:hAnsi="Arial" w:cs="Arial"/>
                </w:rPr>
                <w:t>https://doi.org/10.3390/su13116023</w:t>
              </w:r>
            </w:hyperlink>
          </w:p>
        </w:tc>
        <w:tc>
          <w:tcPr>
            <w:tcW w:w="619" w:type="pct"/>
            <w:hideMark/>
          </w:tcPr>
          <w:p w14:paraId="77C1916D"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investigate influence of altruistic motives on organic food purchase using theory of planned behavior</w:t>
            </w:r>
          </w:p>
        </w:tc>
        <w:tc>
          <w:tcPr>
            <w:tcW w:w="394" w:type="pct"/>
            <w:hideMark/>
          </w:tcPr>
          <w:p w14:paraId="57F4F90F"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312 Indian consumers; TPB + altruism; SEM</w:t>
            </w:r>
          </w:p>
        </w:tc>
        <w:tc>
          <w:tcPr>
            <w:tcW w:w="943" w:type="pct"/>
            <w:hideMark/>
          </w:tcPr>
          <w:p w14:paraId="6C039508"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Altruistic environmental concern (β=0.28) and social welfare concern (β=0.22) significantly influence attitudes; effect stronger among educated, higher-income segments; altruism </w:t>
            </w:r>
            <w:r w:rsidRPr="0044793F">
              <w:rPr>
                <w:rFonts w:ascii="Arial" w:hAnsi="Arial" w:cs="Arial"/>
              </w:rPr>
              <w:lastRenderedPageBreak/>
              <w:t>complements egoistic health motivations</w:t>
            </w:r>
          </w:p>
        </w:tc>
        <w:tc>
          <w:tcPr>
            <w:tcW w:w="660" w:type="pct"/>
            <w:hideMark/>
          </w:tcPr>
          <w:p w14:paraId="607932EA"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Introduces altruistic dimension; shows dual motivation pathways (egoistic + altruistic); relevant for segmentation and </w:t>
            </w:r>
            <w:r w:rsidRPr="0044793F">
              <w:rPr>
                <w:rFonts w:ascii="Arial" w:hAnsi="Arial" w:cs="Arial"/>
              </w:rPr>
              <w:lastRenderedPageBreak/>
              <w:t>messaging strategies in Bangladesh</w:t>
            </w:r>
          </w:p>
        </w:tc>
      </w:tr>
      <w:tr w:rsidR="00B5368A" w:rsidRPr="0044793F" w14:paraId="5ABB5AA3" w14:textId="77777777" w:rsidTr="004D3BC8">
        <w:tc>
          <w:tcPr>
            <w:tcW w:w="2384" w:type="pct"/>
            <w:hideMark/>
          </w:tcPr>
          <w:p w14:paraId="213B054C"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Kamboj et al. (2023) </w:t>
            </w:r>
            <w:hyperlink r:id="rId40" w:tgtFrame="_blank" w:history="1">
              <w:r w:rsidRPr="0044793F">
                <w:rPr>
                  <w:rStyle w:val="Hyperlink"/>
                  <w:rFonts w:ascii="Arial" w:hAnsi="Arial" w:cs="Arial"/>
                </w:rPr>
                <w:t>https://doi.org/10.1016/j.clrc.2023.100121</w:t>
              </w:r>
            </w:hyperlink>
          </w:p>
        </w:tc>
        <w:tc>
          <w:tcPr>
            <w:tcW w:w="619" w:type="pct"/>
            <w:hideMark/>
          </w:tcPr>
          <w:p w14:paraId="7046F652"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examine consumer purchase intention towards organic food in India</w:t>
            </w:r>
          </w:p>
        </w:tc>
        <w:tc>
          <w:tcPr>
            <w:tcW w:w="394" w:type="pct"/>
            <w:hideMark/>
          </w:tcPr>
          <w:p w14:paraId="6D648D17" w14:textId="77777777" w:rsidR="00B5368A" w:rsidRPr="0044793F" w:rsidRDefault="00B5368A" w:rsidP="00404048">
            <w:pPr>
              <w:spacing w:after="160" w:line="360" w:lineRule="auto"/>
              <w:jc w:val="both"/>
              <w:rPr>
                <w:rFonts w:ascii="Arial" w:hAnsi="Arial" w:cs="Arial"/>
              </w:rPr>
            </w:pPr>
            <w:r w:rsidRPr="0044793F">
              <w:rPr>
                <w:rFonts w:ascii="Arial" w:hAnsi="Arial" w:cs="Arial"/>
              </w:rPr>
              <w:t>Empirical study: 487 consumers; PLS-SEM</w:t>
            </w:r>
          </w:p>
        </w:tc>
        <w:tc>
          <w:tcPr>
            <w:tcW w:w="943" w:type="pct"/>
            <w:hideMark/>
          </w:tcPr>
          <w:p w14:paraId="45859B60"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Health benefits (β=0.44), perceived quality (β=0.36), and environmental benefits (β=0.27) positively influence; price premium (β=-0.38) and lack of availability (β=-0.31) negatively influence; trust in certification </w:t>
            </w:r>
            <w:proofErr w:type="gramStart"/>
            <w:r w:rsidRPr="0044793F">
              <w:rPr>
                <w:rFonts w:ascii="Arial" w:hAnsi="Arial" w:cs="Arial"/>
              </w:rPr>
              <w:t>moderates</w:t>
            </w:r>
            <w:proofErr w:type="gramEnd"/>
            <w:r w:rsidRPr="0044793F">
              <w:rPr>
                <w:rFonts w:ascii="Arial" w:hAnsi="Arial" w:cs="Arial"/>
              </w:rPr>
              <w:t xml:space="preserve"> relationships</w:t>
            </w:r>
          </w:p>
        </w:tc>
        <w:tc>
          <w:tcPr>
            <w:tcW w:w="660" w:type="pct"/>
            <w:hideMark/>
          </w:tcPr>
          <w:p w14:paraId="31A67AA2" w14:textId="77777777" w:rsidR="00B5368A" w:rsidRPr="0044793F" w:rsidRDefault="00B5368A" w:rsidP="00404048">
            <w:pPr>
              <w:spacing w:after="160" w:line="360" w:lineRule="auto"/>
              <w:jc w:val="both"/>
              <w:rPr>
                <w:rFonts w:ascii="Arial" w:hAnsi="Arial" w:cs="Arial"/>
              </w:rPr>
            </w:pPr>
            <w:r w:rsidRPr="0044793F">
              <w:rPr>
                <w:rFonts w:ascii="Arial" w:hAnsi="Arial" w:cs="Arial"/>
              </w:rPr>
              <w:t>South Asian context directly comparable; confirms price and availability barriers; highlights certification trust importance</w:t>
            </w:r>
          </w:p>
        </w:tc>
      </w:tr>
      <w:tr w:rsidR="00B5368A" w:rsidRPr="0044793F" w14:paraId="224119F4" w14:textId="77777777" w:rsidTr="004D3BC8">
        <w:tc>
          <w:tcPr>
            <w:tcW w:w="2384" w:type="pct"/>
            <w:hideMark/>
          </w:tcPr>
          <w:p w14:paraId="60910B7C" w14:textId="77777777" w:rsidR="00B5368A" w:rsidRPr="0044793F" w:rsidRDefault="00B5368A" w:rsidP="00404048">
            <w:pPr>
              <w:spacing w:after="160" w:line="360" w:lineRule="auto"/>
              <w:jc w:val="both"/>
              <w:rPr>
                <w:rFonts w:ascii="Arial" w:hAnsi="Arial" w:cs="Arial"/>
              </w:rPr>
            </w:pPr>
            <w:r w:rsidRPr="0044793F">
              <w:rPr>
                <w:rFonts w:ascii="Arial" w:hAnsi="Arial" w:cs="Arial"/>
              </w:rPr>
              <w:t>MDPI Portugal study (2023) </w:t>
            </w:r>
            <w:hyperlink r:id="rId41" w:tgtFrame="_blank" w:history="1">
              <w:r w:rsidRPr="0044793F">
                <w:rPr>
                  <w:rStyle w:val="Hyperlink"/>
                  <w:rFonts w:ascii="Arial" w:hAnsi="Arial" w:cs="Arial"/>
                </w:rPr>
                <w:t>https://www.mdpi.com/2071-1050/15/12/9670</w:t>
              </w:r>
            </w:hyperlink>
          </w:p>
        </w:tc>
        <w:tc>
          <w:tcPr>
            <w:tcW w:w="619" w:type="pct"/>
            <w:hideMark/>
          </w:tcPr>
          <w:p w14:paraId="37727FF2"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analyze antecedents of consumer</w:t>
            </w:r>
            <w:r w:rsidRPr="0044793F">
              <w:rPr>
                <w:rFonts w:ascii="Arial" w:hAnsi="Arial" w:cs="Arial"/>
              </w:rPr>
              <w:lastRenderedPageBreak/>
              <w:t>s' intention and behavior to purchase organic food in Portugal</w:t>
            </w:r>
          </w:p>
        </w:tc>
        <w:tc>
          <w:tcPr>
            <w:tcW w:w="394" w:type="pct"/>
            <w:hideMark/>
          </w:tcPr>
          <w:p w14:paraId="3EA32FF8"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Quantitative: 511 consumers; </w:t>
            </w:r>
            <w:r w:rsidRPr="0044793F">
              <w:rPr>
                <w:rFonts w:ascii="Arial" w:hAnsi="Arial" w:cs="Arial"/>
              </w:rPr>
              <w:lastRenderedPageBreak/>
              <w:t>TPB extended with personal and social norms; PLS-SEM</w:t>
            </w:r>
          </w:p>
        </w:tc>
        <w:tc>
          <w:tcPr>
            <w:tcW w:w="943" w:type="pct"/>
            <w:hideMark/>
          </w:tcPr>
          <w:p w14:paraId="15741AC2"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Attitude (β=0.39), personal norms (β=0.31), </w:t>
            </w:r>
            <w:r w:rsidRPr="0044793F">
              <w:rPr>
                <w:rFonts w:ascii="Arial" w:hAnsi="Arial" w:cs="Arial"/>
              </w:rPr>
              <w:lastRenderedPageBreak/>
              <w:t>social norms (β=0.24), and PBC (β=0.28) predict intention; intention-behavior gap exists (42% intenders don't purchase); availability and price main conversion barriers</w:t>
            </w:r>
          </w:p>
        </w:tc>
        <w:tc>
          <w:tcPr>
            <w:tcW w:w="660" w:type="pct"/>
            <w:hideMark/>
          </w:tcPr>
          <w:p w14:paraId="223339E7"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Highlights intention-behavior gap </w:t>
            </w:r>
            <w:r w:rsidRPr="0044793F">
              <w:rPr>
                <w:rFonts w:ascii="Arial" w:hAnsi="Arial" w:cs="Arial"/>
              </w:rPr>
              <w:lastRenderedPageBreak/>
              <w:t>requiring investigation; confirms need to examine barriers preventing intention conversion to actual purchase</w:t>
            </w:r>
          </w:p>
        </w:tc>
      </w:tr>
      <w:tr w:rsidR="00B5368A" w:rsidRPr="0044793F" w14:paraId="23FFA080" w14:textId="77777777" w:rsidTr="004D3BC8">
        <w:tc>
          <w:tcPr>
            <w:tcW w:w="2384" w:type="pct"/>
            <w:hideMark/>
          </w:tcPr>
          <w:p w14:paraId="368D609C"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lastRenderedPageBreak/>
              <w:t>Britwum</w:t>
            </w:r>
            <w:proofErr w:type="spellEnd"/>
            <w:r w:rsidRPr="0044793F">
              <w:rPr>
                <w:rFonts w:ascii="Arial" w:hAnsi="Arial" w:cs="Arial"/>
              </w:rPr>
              <w:t xml:space="preserve"> et al. (2022) </w:t>
            </w:r>
            <w:hyperlink r:id="rId42" w:tgtFrame="_blank" w:history="1">
              <w:r w:rsidRPr="0044793F">
                <w:rPr>
                  <w:rStyle w:val="Hyperlink"/>
                  <w:rFonts w:ascii="Arial" w:hAnsi="Arial" w:cs="Arial"/>
                </w:rPr>
                <w:t>https://www.sciencedirect.com/science/article/abs/pii/S0950329322000842</w:t>
              </w:r>
            </w:hyperlink>
          </w:p>
        </w:tc>
        <w:tc>
          <w:tcPr>
            <w:tcW w:w="619" w:type="pct"/>
            <w:hideMark/>
          </w:tcPr>
          <w:p w14:paraId="68C018A3"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identify determinants and moderators of organic food purchase intention</w:t>
            </w:r>
          </w:p>
        </w:tc>
        <w:tc>
          <w:tcPr>
            <w:tcW w:w="394" w:type="pct"/>
            <w:hideMark/>
          </w:tcPr>
          <w:p w14:paraId="2C7E087F" w14:textId="77777777" w:rsidR="00B5368A" w:rsidRPr="0044793F" w:rsidRDefault="00B5368A" w:rsidP="00404048">
            <w:pPr>
              <w:spacing w:after="160" w:line="360" w:lineRule="auto"/>
              <w:jc w:val="both"/>
              <w:rPr>
                <w:rFonts w:ascii="Arial" w:hAnsi="Arial" w:cs="Arial"/>
              </w:rPr>
            </w:pPr>
            <w:r w:rsidRPr="0044793F">
              <w:rPr>
                <w:rFonts w:ascii="Arial" w:hAnsi="Arial" w:cs="Arial"/>
              </w:rPr>
              <w:t>Meta-analysis of 156 studies; moderator analysis</w:t>
            </w:r>
          </w:p>
        </w:tc>
        <w:tc>
          <w:tcPr>
            <w:tcW w:w="943" w:type="pct"/>
            <w:hideMark/>
          </w:tcPr>
          <w:p w14:paraId="7A18BD76"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Health consciousness (effect size r=0.48), environmental concern (r=0.36), and perceived quality (r=0.42) strongest determinants; effects moderated by product category, country </w:t>
            </w:r>
            <w:r w:rsidRPr="0044793F">
              <w:rPr>
                <w:rFonts w:ascii="Arial" w:hAnsi="Arial" w:cs="Arial"/>
              </w:rPr>
              <w:lastRenderedPageBreak/>
              <w:t>development level, and consumer demographics; price sensitivity stronger moderator in developing countries</w:t>
            </w:r>
          </w:p>
        </w:tc>
        <w:tc>
          <w:tcPr>
            <w:tcW w:w="660" w:type="pct"/>
            <w:hideMark/>
          </w:tcPr>
          <w:p w14:paraId="22294317"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Provides meta-analytical validation of key determinants; confirms contextual differences between developed/developing </w:t>
            </w:r>
            <w:r w:rsidRPr="0044793F">
              <w:rPr>
                <w:rFonts w:ascii="Arial" w:hAnsi="Arial" w:cs="Arial"/>
              </w:rPr>
              <w:lastRenderedPageBreak/>
              <w:t>countries; supports prioritization of health messaging in Bangladesh</w:t>
            </w:r>
          </w:p>
        </w:tc>
      </w:tr>
    </w:tbl>
    <w:p w14:paraId="20BD0B7E" w14:textId="77777777" w:rsidR="00B5368A" w:rsidRPr="0044793F" w:rsidRDefault="00B5368A" w:rsidP="00404048">
      <w:pPr>
        <w:rPr>
          <w:rFonts w:ascii="Arial" w:hAnsi="Arial" w:cs="Arial"/>
        </w:rPr>
      </w:pPr>
      <w:r w:rsidRPr="0044793F">
        <w:rPr>
          <w:rFonts w:ascii="Arial" w:hAnsi="Arial" w:cs="Arial"/>
        </w:rPr>
        <w:lastRenderedPageBreak/>
        <w:t xml:space="preserve">Table 4.4: Consumer </w:t>
      </w:r>
      <w:proofErr w:type="spellStart"/>
      <w:r w:rsidRPr="0044793F">
        <w:rPr>
          <w:rFonts w:ascii="Arial" w:hAnsi="Arial" w:cs="Arial"/>
        </w:rPr>
        <w:t>Behaviour</w:t>
      </w:r>
      <w:proofErr w:type="spellEnd"/>
      <w:r w:rsidRPr="0044793F">
        <w:rPr>
          <w:rFonts w:ascii="Arial" w:hAnsi="Arial" w:cs="Arial"/>
        </w:rPr>
        <w:t xml:space="preserve"> Toward Organic Products – Global and Comparative Studies</w:t>
      </w:r>
    </w:p>
    <w:tbl>
      <w:tblPr>
        <w:tblStyle w:val="TableGrid"/>
        <w:tblW w:w="5000" w:type="pct"/>
        <w:tblLook w:val="04A0" w:firstRow="1" w:lastRow="0" w:firstColumn="1" w:lastColumn="0" w:noHBand="0" w:noVBand="1"/>
      </w:tblPr>
      <w:tblGrid>
        <w:gridCol w:w="4129"/>
        <w:gridCol w:w="1278"/>
        <w:gridCol w:w="888"/>
        <w:gridCol w:w="1842"/>
        <w:gridCol w:w="1213"/>
      </w:tblGrid>
      <w:tr w:rsidR="00B5368A" w:rsidRPr="0044793F" w14:paraId="3E10AD47" w14:textId="77777777" w:rsidTr="00853F5B">
        <w:tc>
          <w:tcPr>
            <w:tcW w:w="2442" w:type="pct"/>
            <w:noWrap/>
            <w:hideMark/>
          </w:tcPr>
          <w:p w14:paraId="0F6EB512"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Author(s) &amp; Link</w:t>
            </w:r>
          </w:p>
        </w:tc>
        <w:tc>
          <w:tcPr>
            <w:tcW w:w="621" w:type="pct"/>
            <w:noWrap/>
            <w:hideMark/>
          </w:tcPr>
          <w:p w14:paraId="25253447"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Aims and Objectives</w:t>
            </w:r>
          </w:p>
        </w:tc>
        <w:tc>
          <w:tcPr>
            <w:tcW w:w="406" w:type="pct"/>
            <w:noWrap/>
            <w:hideMark/>
          </w:tcPr>
          <w:p w14:paraId="1F535F3D"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Methodology</w:t>
            </w:r>
          </w:p>
        </w:tc>
        <w:tc>
          <w:tcPr>
            <w:tcW w:w="947" w:type="pct"/>
            <w:noWrap/>
            <w:hideMark/>
          </w:tcPr>
          <w:p w14:paraId="5C7959A9"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Main Findings and Contribution</w:t>
            </w:r>
          </w:p>
        </w:tc>
        <w:tc>
          <w:tcPr>
            <w:tcW w:w="583" w:type="pct"/>
            <w:noWrap/>
            <w:hideMark/>
          </w:tcPr>
          <w:p w14:paraId="36719292"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Relevance to Study</w:t>
            </w:r>
          </w:p>
        </w:tc>
      </w:tr>
      <w:tr w:rsidR="00B5368A" w:rsidRPr="0044793F" w14:paraId="7DC9A190" w14:textId="77777777" w:rsidTr="00853F5B">
        <w:tc>
          <w:tcPr>
            <w:tcW w:w="2442" w:type="pct"/>
            <w:hideMark/>
          </w:tcPr>
          <w:p w14:paraId="20D44626" w14:textId="77777777" w:rsidR="00B5368A" w:rsidRPr="0044793F" w:rsidRDefault="00B5368A" w:rsidP="00404048">
            <w:pPr>
              <w:spacing w:after="160" w:line="360" w:lineRule="auto"/>
              <w:jc w:val="both"/>
              <w:rPr>
                <w:rFonts w:ascii="Arial" w:hAnsi="Arial" w:cs="Arial"/>
              </w:rPr>
            </w:pPr>
            <w:r w:rsidRPr="0044793F">
              <w:rPr>
                <w:rFonts w:ascii="Arial" w:hAnsi="Arial" w:cs="Arial"/>
              </w:rPr>
              <w:t>Kabir &amp; Islam (2022) </w:t>
            </w:r>
            <w:hyperlink r:id="rId43" w:tgtFrame="_blank" w:history="1">
              <w:r w:rsidRPr="0044793F">
                <w:rPr>
                  <w:rStyle w:val="Hyperlink"/>
                  <w:rFonts w:ascii="Arial" w:hAnsi="Arial" w:cs="Arial"/>
                </w:rPr>
                <w:t>https://doi.org/10.1108/BFJ-05-2021-0472</w:t>
              </w:r>
            </w:hyperlink>
          </w:p>
        </w:tc>
        <w:tc>
          <w:tcPr>
            <w:tcW w:w="621" w:type="pct"/>
            <w:hideMark/>
          </w:tcPr>
          <w:p w14:paraId="0A93F2FB"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understand behavioral intention to purchase organic food among Bangladeshi consumers</w:t>
            </w:r>
          </w:p>
        </w:tc>
        <w:tc>
          <w:tcPr>
            <w:tcW w:w="406" w:type="pct"/>
            <w:hideMark/>
          </w:tcPr>
          <w:p w14:paraId="68DD2C1F"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384 urban consumers in Dhaka; extended TPB; PLS-SEM</w:t>
            </w:r>
          </w:p>
        </w:tc>
        <w:tc>
          <w:tcPr>
            <w:tcW w:w="947" w:type="pct"/>
            <w:hideMark/>
          </w:tcPr>
          <w:p w14:paraId="07F29029"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Health consciousness (β=0.42) strongest predictor; environmental awareness (β=0.26), subjective norms (β=0.23), and trust (β=0.31) significant; perceived high price (β=-0.36) </w:t>
            </w:r>
            <w:r w:rsidRPr="0044793F">
              <w:rPr>
                <w:rFonts w:ascii="Arial" w:hAnsi="Arial" w:cs="Arial"/>
              </w:rPr>
              <w:lastRenderedPageBreak/>
              <w:t>and limited availability (β=-0.28) main barriers; model explains 61% variance</w:t>
            </w:r>
          </w:p>
        </w:tc>
        <w:tc>
          <w:tcPr>
            <w:tcW w:w="583" w:type="pct"/>
            <w:hideMark/>
          </w:tcPr>
          <w:p w14:paraId="7F9121C6"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Core Bangladesh empirical evidence; validates health and trust as primary drivers; confirms price and availabilit</w:t>
            </w:r>
            <w:r w:rsidRPr="0044793F">
              <w:rPr>
                <w:rFonts w:ascii="Arial" w:hAnsi="Arial" w:cs="Arial"/>
              </w:rPr>
              <w:lastRenderedPageBreak/>
              <w:t>y barriers; directly addresses research context</w:t>
            </w:r>
          </w:p>
        </w:tc>
      </w:tr>
      <w:tr w:rsidR="00B5368A" w:rsidRPr="0044793F" w14:paraId="4CD7BA26" w14:textId="77777777" w:rsidTr="00853F5B">
        <w:tc>
          <w:tcPr>
            <w:tcW w:w="2442" w:type="pct"/>
            <w:hideMark/>
          </w:tcPr>
          <w:p w14:paraId="3B47FC3C"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Sohel &amp; </w:t>
            </w:r>
            <w:proofErr w:type="spellStart"/>
            <w:r w:rsidRPr="0044793F">
              <w:rPr>
                <w:rFonts w:ascii="Arial" w:hAnsi="Arial" w:cs="Arial"/>
              </w:rPr>
              <w:t>Sifullah</w:t>
            </w:r>
            <w:proofErr w:type="spellEnd"/>
            <w:r w:rsidRPr="0044793F">
              <w:rPr>
                <w:rFonts w:ascii="Arial" w:hAnsi="Arial" w:cs="Arial"/>
              </w:rPr>
              <w:t xml:space="preserve"> (2025) </w:t>
            </w:r>
            <w:hyperlink r:id="rId44" w:tgtFrame="_blank" w:history="1">
              <w:r w:rsidRPr="0044793F">
                <w:rPr>
                  <w:rStyle w:val="Hyperlink"/>
                  <w:rFonts w:ascii="Arial" w:hAnsi="Arial" w:cs="Arial"/>
                </w:rPr>
                <w:t>https://doi.org/10.1186/s12889-025-23724-x</w:t>
              </w:r>
            </w:hyperlink>
          </w:p>
        </w:tc>
        <w:tc>
          <w:tcPr>
            <w:tcW w:w="621" w:type="pct"/>
            <w:hideMark/>
          </w:tcPr>
          <w:p w14:paraId="53A46B6D"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explain organic food continuance intention in Bangladesh from sustainable consumption perspective</w:t>
            </w:r>
          </w:p>
        </w:tc>
        <w:tc>
          <w:tcPr>
            <w:tcW w:w="406" w:type="pct"/>
            <w:hideMark/>
          </w:tcPr>
          <w:p w14:paraId="65BA286F"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456 organic consumers; expectation-confirmation model + sustainability values</w:t>
            </w:r>
          </w:p>
        </w:tc>
        <w:tc>
          <w:tcPr>
            <w:tcW w:w="947" w:type="pct"/>
            <w:hideMark/>
          </w:tcPr>
          <w:p w14:paraId="31AE237C" w14:textId="77777777" w:rsidR="00B5368A" w:rsidRPr="0044793F" w:rsidRDefault="00B5368A" w:rsidP="00404048">
            <w:pPr>
              <w:spacing w:after="160" w:line="360" w:lineRule="auto"/>
              <w:jc w:val="both"/>
              <w:rPr>
                <w:rFonts w:ascii="Arial" w:hAnsi="Arial" w:cs="Arial"/>
              </w:rPr>
            </w:pPr>
            <w:r w:rsidRPr="0044793F">
              <w:rPr>
                <w:rFonts w:ascii="Arial" w:hAnsi="Arial" w:cs="Arial"/>
              </w:rPr>
              <w:t>Satisfaction (β=0.47), confirmation (β=0.38), perceived value (β=0.34), and sustainability orientation (β=0.29) predict continuance intention; health benefits confirmation most critical; 58% continuance rate among first-time buyers</w:t>
            </w:r>
          </w:p>
        </w:tc>
        <w:tc>
          <w:tcPr>
            <w:tcW w:w="583" w:type="pct"/>
            <w:hideMark/>
          </w:tcPr>
          <w:p w14:paraId="00941AE0" w14:textId="77777777" w:rsidR="00B5368A" w:rsidRPr="0044793F" w:rsidRDefault="00B5368A" w:rsidP="00404048">
            <w:pPr>
              <w:spacing w:after="160" w:line="360" w:lineRule="auto"/>
              <w:jc w:val="both"/>
              <w:rPr>
                <w:rFonts w:ascii="Arial" w:hAnsi="Arial" w:cs="Arial"/>
              </w:rPr>
            </w:pPr>
            <w:r w:rsidRPr="0044793F">
              <w:rPr>
                <w:rFonts w:ascii="Arial" w:hAnsi="Arial" w:cs="Arial"/>
              </w:rPr>
              <w:t>Addresses post-adoption behavior; highlights importance of meeting health expectations for retention; relevant for understanding repeat purchase behavior</w:t>
            </w:r>
          </w:p>
        </w:tc>
      </w:tr>
      <w:tr w:rsidR="00B5368A" w:rsidRPr="0044793F" w14:paraId="4668C1DD" w14:textId="77777777" w:rsidTr="00853F5B">
        <w:tc>
          <w:tcPr>
            <w:tcW w:w="2442" w:type="pct"/>
            <w:hideMark/>
          </w:tcPr>
          <w:p w14:paraId="0B0D152E"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Zheng et al. (2021) </w:t>
            </w:r>
            <w:hyperlink r:id="rId45" w:tgtFrame="_blank" w:history="1">
              <w:r w:rsidRPr="0044793F">
                <w:rPr>
                  <w:rStyle w:val="Hyperlink"/>
                  <w:rFonts w:ascii="Arial" w:hAnsi="Arial" w:cs="Arial"/>
                </w:rPr>
                <w:t>https://doi.org/10.3390/foods10102278</w:t>
              </w:r>
            </w:hyperlink>
          </w:p>
        </w:tc>
        <w:tc>
          <w:tcPr>
            <w:tcW w:w="621" w:type="pct"/>
            <w:hideMark/>
          </w:tcPr>
          <w:p w14:paraId="0FF24EB2"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examine organic food purchase behavior among Generation Y in Bangladesh with trust and price consciousness as moderators</w:t>
            </w:r>
          </w:p>
        </w:tc>
        <w:tc>
          <w:tcPr>
            <w:tcW w:w="406" w:type="pct"/>
            <w:hideMark/>
          </w:tcPr>
          <w:p w14:paraId="5DC1B2FE"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312 Gen Y consumers; moderation analysis</w:t>
            </w:r>
          </w:p>
        </w:tc>
        <w:tc>
          <w:tcPr>
            <w:tcW w:w="947" w:type="pct"/>
            <w:hideMark/>
          </w:tcPr>
          <w:p w14:paraId="6AFC9A2E" w14:textId="77777777" w:rsidR="00B5368A" w:rsidRPr="0044793F" w:rsidRDefault="00B5368A" w:rsidP="00404048">
            <w:pPr>
              <w:spacing w:after="160" w:line="360" w:lineRule="auto"/>
              <w:jc w:val="both"/>
              <w:rPr>
                <w:rFonts w:ascii="Arial" w:hAnsi="Arial" w:cs="Arial"/>
              </w:rPr>
            </w:pPr>
            <w:r w:rsidRPr="0044793F">
              <w:rPr>
                <w:rFonts w:ascii="Arial" w:hAnsi="Arial" w:cs="Arial"/>
              </w:rPr>
              <w:t>Health concern (β=0.39), food safety concern (β=0.36), environmental concern (β=0.24) positively influence purchase; trust strengthens relationships (moderation β=0.18); price consciousness weakens relationships (moderation β=-0.22); Gen Y more environmentally motivated than older segments</w:t>
            </w:r>
          </w:p>
        </w:tc>
        <w:tc>
          <w:tcPr>
            <w:tcW w:w="583" w:type="pct"/>
            <w:hideMark/>
          </w:tcPr>
          <w:p w14:paraId="77B3C3BB" w14:textId="77777777" w:rsidR="00B5368A" w:rsidRPr="0044793F" w:rsidRDefault="00B5368A" w:rsidP="00404048">
            <w:pPr>
              <w:spacing w:after="160" w:line="360" w:lineRule="auto"/>
              <w:jc w:val="both"/>
              <w:rPr>
                <w:rFonts w:ascii="Arial" w:hAnsi="Arial" w:cs="Arial"/>
              </w:rPr>
            </w:pPr>
            <w:r w:rsidRPr="0044793F">
              <w:rPr>
                <w:rFonts w:ascii="Arial" w:hAnsi="Arial" w:cs="Arial"/>
              </w:rPr>
              <w:t>Provides generational insights; confirms trust as positive moderator and price consciousness as negative moderator; supports segmentation approach</w:t>
            </w:r>
          </w:p>
        </w:tc>
      </w:tr>
      <w:tr w:rsidR="00B5368A" w:rsidRPr="0044793F" w14:paraId="4DD11B59" w14:textId="77777777" w:rsidTr="00853F5B">
        <w:tc>
          <w:tcPr>
            <w:tcW w:w="2442" w:type="pct"/>
            <w:hideMark/>
          </w:tcPr>
          <w:p w14:paraId="3BE20889" w14:textId="77777777" w:rsidR="00B5368A" w:rsidRPr="0044793F" w:rsidRDefault="00B5368A" w:rsidP="00404048">
            <w:pPr>
              <w:spacing w:after="160" w:line="360" w:lineRule="auto"/>
              <w:jc w:val="both"/>
              <w:rPr>
                <w:rFonts w:ascii="Arial" w:hAnsi="Arial" w:cs="Arial"/>
              </w:rPr>
            </w:pPr>
            <w:r w:rsidRPr="0044793F">
              <w:rPr>
                <w:rFonts w:ascii="Arial" w:hAnsi="Arial" w:cs="Arial"/>
              </w:rPr>
              <w:t>ResearchGate Bangladesh study (2021) </w:t>
            </w:r>
            <w:hyperlink r:id="rId46" w:tgtFrame="_blank" w:history="1">
              <w:r w:rsidRPr="0044793F">
                <w:rPr>
                  <w:rStyle w:val="Hyperlink"/>
                  <w:rFonts w:ascii="Arial" w:hAnsi="Arial" w:cs="Arial"/>
                </w:rPr>
                <w:t>https://www.researchgate.net/publication/352222167</w:t>
              </w:r>
            </w:hyperlink>
          </w:p>
        </w:tc>
        <w:tc>
          <w:tcPr>
            <w:tcW w:w="621" w:type="pct"/>
            <w:hideMark/>
          </w:tcPr>
          <w:p w14:paraId="696E5405"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analyze factors affecting organic food </w:t>
            </w:r>
            <w:r w:rsidRPr="0044793F">
              <w:rPr>
                <w:rFonts w:ascii="Arial" w:hAnsi="Arial" w:cs="Arial"/>
              </w:rPr>
              <w:lastRenderedPageBreak/>
              <w:t>purchasing behavior in Bangladesh</w:t>
            </w:r>
          </w:p>
        </w:tc>
        <w:tc>
          <w:tcPr>
            <w:tcW w:w="406" w:type="pct"/>
            <w:hideMark/>
          </w:tcPr>
          <w:p w14:paraId="489A455E"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Empirical study: 250 consumers </w:t>
            </w:r>
            <w:r w:rsidRPr="0044793F">
              <w:rPr>
                <w:rFonts w:ascii="Arial" w:hAnsi="Arial" w:cs="Arial"/>
              </w:rPr>
              <w:lastRenderedPageBreak/>
              <w:t>across three cities; multiple regression</w:t>
            </w:r>
          </w:p>
        </w:tc>
        <w:tc>
          <w:tcPr>
            <w:tcW w:w="947" w:type="pct"/>
            <w:hideMark/>
          </w:tcPr>
          <w:p w14:paraId="61640329"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Quality perception (β=0.41), health benefits (β=0.38), and availability </w:t>
            </w:r>
            <w:r w:rsidRPr="0044793F">
              <w:rPr>
                <w:rFonts w:ascii="Arial" w:hAnsi="Arial" w:cs="Arial"/>
              </w:rPr>
              <w:lastRenderedPageBreak/>
              <w:t>(β=0.32) positively affect purchase; price (β=-0.44) negatively affects; income and education significant demographic predictors</w:t>
            </w:r>
          </w:p>
        </w:tc>
        <w:tc>
          <w:tcPr>
            <w:tcW w:w="583" w:type="pct"/>
            <w:hideMark/>
          </w:tcPr>
          <w:p w14:paraId="54DA17D5"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Confirms key drivers and barriers; establish</w:t>
            </w:r>
            <w:r w:rsidRPr="0044793F">
              <w:rPr>
                <w:rFonts w:ascii="Arial" w:hAnsi="Arial" w:cs="Arial"/>
              </w:rPr>
              <w:lastRenderedPageBreak/>
              <w:t>es demographic profiles of organic consumers; relevant for targeting strategies</w:t>
            </w:r>
          </w:p>
        </w:tc>
      </w:tr>
      <w:tr w:rsidR="00B5368A" w:rsidRPr="0044793F" w14:paraId="3A864D91" w14:textId="77777777" w:rsidTr="00853F5B">
        <w:tc>
          <w:tcPr>
            <w:tcW w:w="2442" w:type="pct"/>
            <w:hideMark/>
          </w:tcPr>
          <w:p w14:paraId="6A12FE6B"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PMC Bangladesh study (2023) </w:t>
            </w:r>
            <w:hyperlink r:id="rId47" w:tgtFrame="_blank" w:history="1">
              <w:r w:rsidRPr="0044793F">
                <w:rPr>
                  <w:rStyle w:val="Hyperlink"/>
                  <w:rFonts w:ascii="Arial" w:hAnsi="Arial" w:cs="Arial"/>
                </w:rPr>
                <w:t>https://pmc.ncbi.nlm.nih.gov/articles/PMC10225783/</w:t>
              </w:r>
            </w:hyperlink>
          </w:p>
        </w:tc>
        <w:tc>
          <w:tcPr>
            <w:tcW w:w="621" w:type="pct"/>
            <w:hideMark/>
          </w:tcPr>
          <w:p w14:paraId="75B74DF2"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examine green consumers' behavioral intention and loyalty to use mobile organic food delivery apps in Bangladesh, </w:t>
            </w:r>
            <w:r w:rsidRPr="0044793F">
              <w:rPr>
                <w:rFonts w:ascii="Arial" w:hAnsi="Arial" w:cs="Arial"/>
              </w:rPr>
              <w:lastRenderedPageBreak/>
              <w:t>considering social supports, sustainability perceptions, and religious consciousness</w:t>
            </w:r>
          </w:p>
        </w:tc>
        <w:tc>
          <w:tcPr>
            <w:tcW w:w="406" w:type="pct"/>
            <w:hideMark/>
          </w:tcPr>
          <w:p w14:paraId="14363F84"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Quantitative: 417 mobile app users; SEM</w:t>
            </w:r>
          </w:p>
        </w:tc>
        <w:tc>
          <w:tcPr>
            <w:tcW w:w="947" w:type="pct"/>
            <w:hideMark/>
          </w:tcPr>
          <w:p w14:paraId="002F7583"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App service quality (β=0.36), sustainability perception (β=0.32), social support (β=0.28), and religious consciousness (β=0.23) predict intention and loyalty; mobile convenience reduces availability </w:t>
            </w:r>
            <w:r w:rsidRPr="0044793F">
              <w:rPr>
                <w:rFonts w:ascii="Arial" w:hAnsi="Arial" w:cs="Arial"/>
              </w:rPr>
              <w:lastRenderedPageBreak/>
              <w:t>barrier; religious purity values enhance organic appeal</w:t>
            </w:r>
          </w:p>
        </w:tc>
        <w:tc>
          <w:tcPr>
            <w:tcW w:w="583" w:type="pct"/>
            <w:hideMark/>
          </w:tcPr>
          <w:p w14:paraId="37BBCBCD"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Demonstrates digital channel effectiveness for organic products; highlights cultural factor (religious consciousness) unique to Bangladesh; </w:t>
            </w:r>
            <w:r w:rsidRPr="0044793F">
              <w:rPr>
                <w:rFonts w:ascii="Arial" w:hAnsi="Arial" w:cs="Arial"/>
              </w:rPr>
              <w:lastRenderedPageBreak/>
              <w:t>validates mobile-first approach</w:t>
            </w:r>
          </w:p>
        </w:tc>
      </w:tr>
      <w:tr w:rsidR="00B5368A" w:rsidRPr="0044793F" w14:paraId="46369F5F" w14:textId="77777777" w:rsidTr="00853F5B">
        <w:tc>
          <w:tcPr>
            <w:tcW w:w="2442" w:type="pct"/>
            <w:hideMark/>
          </w:tcPr>
          <w:p w14:paraId="4D5A9096"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ScienceDirect organic tea study (2022) </w:t>
            </w:r>
            <w:hyperlink r:id="rId48" w:tgtFrame="_blank" w:history="1">
              <w:r w:rsidRPr="0044793F">
                <w:rPr>
                  <w:rStyle w:val="Hyperlink"/>
                  <w:rFonts w:ascii="Arial" w:hAnsi="Arial" w:cs="Arial"/>
                </w:rPr>
                <w:t>https://www.sciencedirect.com/science/article/pii/S2199853122002797</w:t>
              </w:r>
            </w:hyperlink>
          </w:p>
        </w:tc>
        <w:tc>
          <w:tcPr>
            <w:tcW w:w="621" w:type="pct"/>
            <w:hideMark/>
          </w:tcPr>
          <w:p w14:paraId="2669AD53"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identify factors affecting buying intention of organic tea consumers in Bangladesh</w:t>
            </w:r>
          </w:p>
        </w:tc>
        <w:tc>
          <w:tcPr>
            <w:tcW w:w="406" w:type="pct"/>
            <w:hideMark/>
          </w:tcPr>
          <w:p w14:paraId="3F2B1308"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298 tea consumers; TPB framework; SEM</w:t>
            </w:r>
          </w:p>
        </w:tc>
        <w:tc>
          <w:tcPr>
            <w:tcW w:w="947" w:type="pct"/>
            <w:hideMark/>
          </w:tcPr>
          <w:p w14:paraId="7285F77D" w14:textId="77777777" w:rsidR="00B5368A" w:rsidRPr="0044793F" w:rsidRDefault="00B5368A" w:rsidP="00404048">
            <w:pPr>
              <w:spacing w:after="160" w:line="360" w:lineRule="auto"/>
              <w:jc w:val="both"/>
              <w:rPr>
                <w:rFonts w:ascii="Arial" w:hAnsi="Arial" w:cs="Arial"/>
              </w:rPr>
            </w:pPr>
            <w:r w:rsidRPr="0044793F">
              <w:rPr>
                <w:rFonts w:ascii="Arial" w:hAnsi="Arial" w:cs="Arial"/>
              </w:rPr>
              <w:t>Health consciousness (β=0.46), product quality (β=0.38), and brand trust (β=0.35) significantly influence intention; certification awareness enhances trust; premium pricing acceptable when health benefits clearly communicated</w:t>
            </w:r>
          </w:p>
        </w:tc>
        <w:tc>
          <w:tcPr>
            <w:tcW w:w="583" w:type="pct"/>
            <w:hideMark/>
          </w:tcPr>
          <w:p w14:paraId="18747198" w14:textId="77777777" w:rsidR="00B5368A" w:rsidRPr="0044793F" w:rsidRDefault="00B5368A" w:rsidP="00404048">
            <w:pPr>
              <w:spacing w:after="160" w:line="360" w:lineRule="auto"/>
              <w:jc w:val="both"/>
              <w:rPr>
                <w:rFonts w:ascii="Arial" w:hAnsi="Arial" w:cs="Arial"/>
              </w:rPr>
            </w:pPr>
            <w:r w:rsidRPr="0044793F">
              <w:rPr>
                <w:rFonts w:ascii="Arial" w:hAnsi="Arial" w:cs="Arial"/>
              </w:rPr>
              <w:t>Product-specific evidence (tea) transferable to other organic categories; demonstrates willingness to pay premium when value proposition clear</w:t>
            </w:r>
          </w:p>
        </w:tc>
      </w:tr>
      <w:tr w:rsidR="00B5368A" w:rsidRPr="0044793F" w14:paraId="1A7E1970" w14:textId="77777777" w:rsidTr="00853F5B">
        <w:tc>
          <w:tcPr>
            <w:tcW w:w="2442" w:type="pct"/>
            <w:hideMark/>
          </w:tcPr>
          <w:p w14:paraId="388CE078"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Prince et al. (2024) </w:t>
            </w:r>
            <w:hyperlink r:id="rId49" w:tgtFrame="_blank" w:history="1">
              <w:r w:rsidRPr="0044793F">
                <w:rPr>
                  <w:rStyle w:val="Hyperlink"/>
                  <w:rFonts w:ascii="Arial" w:hAnsi="Arial" w:cs="Arial"/>
                </w:rPr>
                <w:t>https://jracr.com/index.php/jracr/article/view/468</w:t>
              </w:r>
            </w:hyperlink>
          </w:p>
        </w:tc>
        <w:tc>
          <w:tcPr>
            <w:tcW w:w="621" w:type="pct"/>
            <w:hideMark/>
          </w:tcPr>
          <w:p w14:paraId="0F8C3716"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examine consumption value and organic food purchasing intention in context of online organic food buying in Bangladesh</w:t>
            </w:r>
          </w:p>
        </w:tc>
        <w:tc>
          <w:tcPr>
            <w:tcW w:w="406" w:type="pct"/>
            <w:hideMark/>
          </w:tcPr>
          <w:p w14:paraId="1129F227"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385 online organic food buyers; consumption value theory; PLS-SEM</w:t>
            </w:r>
          </w:p>
        </w:tc>
        <w:tc>
          <w:tcPr>
            <w:tcW w:w="947" w:type="pct"/>
            <w:hideMark/>
          </w:tcPr>
          <w:p w14:paraId="113B8DA0" w14:textId="77777777" w:rsidR="00B5368A" w:rsidRPr="0044793F" w:rsidRDefault="00B5368A" w:rsidP="00404048">
            <w:pPr>
              <w:spacing w:after="160" w:line="360" w:lineRule="auto"/>
              <w:jc w:val="both"/>
              <w:rPr>
                <w:rFonts w:ascii="Arial" w:hAnsi="Arial" w:cs="Arial"/>
              </w:rPr>
            </w:pPr>
            <w:r w:rsidRPr="0044793F">
              <w:rPr>
                <w:rFonts w:ascii="Arial" w:hAnsi="Arial" w:cs="Arial"/>
              </w:rPr>
              <w:t>Functional value (β=0.39), emotional value (β=0.31), social value (β=0.26), and epistemic value (β=0.22) predict online organic purchase intention; convenience and product information accessibility key online advantages</w:t>
            </w:r>
          </w:p>
        </w:tc>
        <w:tc>
          <w:tcPr>
            <w:tcW w:w="583" w:type="pct"/>
            <w:hideMark/>
          </w:tcPr>
          <w:p w14:paraId="34B4E33B" w14:textId="77777777" w:rsidR="00B5368A" w:rsidRPr="0044793F" w:rsidRDefault="00B5368A" w:rsidP="00404048">
            <w:pPr>
              <w:spacing w:after="160" w:line="360" w:lineRule="auto"/>
              <w:jc w:val="both"/>
              <w:rPr>
                <w:rFonts w:ascii="Arial" w:hAnsi="Arial" w:cs="Arial"/>
              </w:rPr>
            </w:pPr>
            <w:r w:rsidRPr="0044793F">
              <w:rPr>
                <w:rFonts w:ascii="Arial" w:hAnsi="Arial" w:cs="Arial"/>
              </w:rPr>
              <w:t>Specifically addresses online purchasing; identifies value dimensions driving digital organic purchases; directly relevant to digital marketing effectiveness research</w:t>
            </w:r>
          </w:p>
        </w:tc>
      </w:tr>
      <w:tr w:rsidR="00B5368A" w:rsidRPr="0044793F" w14:paraId="487B88B4" w14:textId="77777777" w:rsidTr="00853F5B">
        <w:tc>
          <w:tcPr>
            <w:tcW w:w="2442" w:type="pct"/>
            <w:hideMark/>
          </w:tcPr>
          <w:p w14:paraId="72A2B0B5" w14:textId="77777777" w:rsidR="00B5368A" w:rsidRPr="0044793F" w:rsidRDefault="00B5368A" w:rsidP="00404048">
            <w:pPr>
              <w:spacing w:after="160" w:line="360" w:lineRule="auto"/>
              <w:jc w:val="both"/>
              <w:rPr>
                <w:rFonts w:ascii="Arial" w:hAnsi="Arial" w:cs="Arial"/>
              </w:rPr>
            </w:pPr>
            <w:r w:rsidRPr="0044793F">
              <w:rPr>
                <w:rFonts w:ascii="Arial" w:hAnsi="Arial" w:cs="Arial"/>
              </w:rPr>
              <w:t>Science Publishing Group Bangladesh study (2013) </w:t>
            </w:r>
            <w:hyperlink r:id="rId50" w:tgtFrame="_blank" w:history="1">
              <w:r w:rsidRPr="0044793F">
                <w:rPr>
                  <w:rStyle w:val="Hyperlink"/>
                  <w:rFonts w:ascii="Arial" w:hAnsi="Arial" w:cs="Arial"/>
                </w:rPr>
                <w:t>https://pubs.sciepub.com/jbms/1/5/5/index.html</w:t>
              </w:r>
            </w:hyperlink>
          </w:p>
        </w:tc>
        <w:tc>
          <w:tcPr>
            <w:tcW w:w="621" w:type="pct"/>
            <w:hideMark/>
          </w:tcPr>
          <w:p w14:paraId="6661F37B"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identify factors affecting consumers' perceptions and </w:t>
            </w:r>
            <w:r w:rsidRPr="0044793F">
              <w:rPr>
                <w:rFonts w:ascii="Arial" w:hAnsi="Arial" w:cs="Arial"/>
              </w:rPr>
              <w:lastRenderedPageBreak/>
              <w:t>prevalence of organic preference in Bangladesh</w:t>
            </w:r>
          </w:p>
        </w:tc>
        <w:tc>
          <w:tcPr>
            <w:tcW w:w="406" w:type="pct"/>
            <w:hideMark/>
          </w:tcPr>
          <w:p w14:paraId="56C6ACE5"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Mixed methods: survey (n=220) and focus </w:t>
            </w:r>
            <w:r w:rsidRPr="0044793F">
              <w:rPr>
                <w:rFonts w:ascii="Arial" w:hAnsi="Arial" w:cs="Arial"/>
              </w:rPr>
              <w:lastRenderedPageBreak/>
              <w:t>groups (n=6 groups); descriptive and thematic analysis</w:t>
            </w:r>
          </w:p>
        </w:tc>
        <w:tc>
          <w:tcPr>
            <w:tcW w:w="947" w:type="pct"/>
            <w:hideMark/>
          </w:tcPr>
          <w:p w14:paraId="1EE3A6A8"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Awareness level low (32% familiar with organic concept); health concern primary motivator </w:t>
            </w:r>
            <w:r w:rsidRPr="0044793F">
              <w:rPr>
                <w:rFonts w:ascii="Arial" w:hAnsi="Arial" w:cs="Arial"/>
              </w:rPr>
              <w:lastRenderedPageBreak/>
              <w:t>among aware consumers; lack of information, high price, and distrust in labels main barriers; demand potential high if barriers addressed</w:t>
            </w:r>
          </w:p>
        </w:tc>
        <w:tc>
          <w:tcPr>
            <w:tcW w:w="583" w:type="pct"/>
            <w:hideMark/>
          </w:tcPr>
          <w:p w14:paraId="1E7D503A"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Early baseline study; documents low awareness requiring </w:t>
            </w:r>
            <w:r w:rsidRPr="0044793F">
              <w:rPr>
                <w:rFonts w:ascii="Arial" w:hAnsi="Arial" w:cs="Arial"/>
              </w:rPr>
              <w:lastRenderedPageBreak/>
              <w:t>educational interventions; highlights information gap digital marketing can address</w:t>
            </w:r>
          </w:p>
        </w:tc>
      </w:tr>
      <w:tr w:rsidR="00B5368A" w:rsidRPr="0044793F" w14:paraId="6E637D5B" w14:textId="77777777" w:rsidTr="00853F5B">
        <w:tc>
          <w:tcPr>
            <w:tcW w:w="2442" w:type="pct"/>
            <w:hideMark/>
          </w:tcPr>
          <w:p w14:paraId="46382DBE"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Indian Journal of Marketing Bangladesh study (2023) </w:t>
            </w:r>
            <w:hyperlink r:id="rId51" w:tgtFrame="_blank" w:history="1">
              <w:r w:rsidRPr="0044793F">
                <w:rPr>
                  <w:rStyle w:val="Hyperlink"/>
                  <w:rFonts w:ascii="Arial" w:hAnsi="Arial" w:cs="Arial"/>
                </w:rPr>
                <w:t>https://www.indianjournaloffinance.co.in/index.php/ijom/article/view/174688</w:t>
              </w:r>
            </w:hyperlink>
          </w:p>
        </w:tc>
        <w:tc>
          <w:tcPr>
            <w:tcW w:w="621" w:type="pct"/>
            <w:hideMark/>
          </w:tcPr>
          <w:p w14:paraId="743FAF62"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examine consumers' organic food purchase behavior in Bangladesh through extended theory of planned behavior</w:t>
            </w:r>
          </w:p>
        </w:tc>
        <w:tc>
          <w:tcPr>
            <w:tcW w:w="406" w:type="pct"/>
            <w:hideMark/>
          </w:tcPr>
          <w:p w14:paraId="4A3828E1"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342 consumers in Dhaka and Chittagong; extended TPB; AMOS analysis</w:t>
            </w:r>
          </w:p>
        </w:tc>
        <w:tc>
          <w:tcPr>
            <w:tcW w:w="947" w:type="pct"/>
            <w:hideMark/>
          </w:tcPr>
          <w:p w14:paraId="67851754" w14:textId="77777777" w:rsidR="00B5368A" w:rsidRPr="0044793F" w:rsidRDefault="00B5368A" w:rsidP="00404048">
            <w:pPr>
              <w:spacing w:after="160" w:line="360" w:lineRule="auto"/>
              <w:jc w:val="both"/>
              <w:rPr>
                <w:rFonts w:ascii="Arial" w:hAnsi="Arial" w:cs="Arial"/>
              </w:rPr>
            </w:pPr>
            <w:r w:rsidRPr="0044793F">
              <w:rPr>
                <w:rFonts w:ascii="Arial" w:hAnsi="Arial" w:cs="Arial"/>
              </w:rPr>
              <w:t>Attitude (β=0.33), subjective norms (β=0.27), PBC (β=0.21), moral norms (β=0.25), and health consciousness (β=0.37) predict intention; moral norms addition improves model (R² increase from 0.52 to 0.58)</w:t>
            </w:r>
          </w:p>
        </w:tc>
        <w:tc>
          <w:tcPr>
            <w:tcW w:w="583" w:type="pct"/>
            <w:hideMark/>
          </w:tcPr>
          <w:p w14:paraId="77DCD850"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Validates TPB extension with moral norms; confirms multi-dimensional influences on organic purchase; supports integrated </w:t>
            </w:r>
            <w:r w:rsidRPr="0044793F">
              <w:rPr>
                <w:rFonts w:ascii="Arial" w:hAnsi="Arial" w:cs="Arial"/>
              </w:rPr>
              <w:lastRenderedPageBreak/>
              <w:t>theoretical framework</w:t>
            </w:r>
          </w:p>
        </w:tc>
      </w:tr>
      <w:tr w:rsidR="00B5368A" w:rsidRPr="0044793F" w14:paraId="1E39370C" w14:textId="77777777" w:rsidTr="00853F5B">
        <w:tc>
          <w:tcPr>
            <w:tcW w:w="2442" w:type="pct"/>
            <w:hideMark/>
          </w:tcPr>
          <w:p w14:paraId="79CCF57B"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Ashraf et al. (2019) </w:t>
            </w:r>
            <w:hyperlink r:id="rId52" w:tgtFrame="_blank" w:history="1">
              <w:r w:rsidRPr="0044793F">
                <w:rPr>
                  <w:rStyle w:val="Hyperlink"/>
                  <w:rFonts w:ascii="Arial" w:hAnsi="Arial" w:cs="Arial"/>
                </w:rPr>
                <w:t>https://doi.org/10.1108/BFJ-02-2018-0072</w:t>
              </w:r>
            </w:hyperlink>
          </w:p>
        </w:tc>
        <w:tc>
          <w:tcPr>
            <w:tcW w:w="621" w:type="pct"/>
            <w:hideMark/>
          </w:tcPr>
          <w:p w14:paraId="46F25F67"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analyze consumers' anti-consumption behavior toward organic food purchase in Bangladesh using SEM</w:t>
            </w:r>
          </w:p>
        </w:tc>
        <w:tc>
          <w:tcPr>
            <w:tcW w:w="406" w:type="pct"/>
            <w:hideMark/>
          </w:tcPr>
          <w:p w14:paraId="5B42C5A9" w14:textId="77777777" w:rsidR="00B5368A" w:rsidRPr="0044793F" w:rsidRDefault="00B5368A" w:rsidP="00404048">
            <w:pPr>
              <w:spacing w:after="160" w:line="360" w:lineRule="auto"/>
              <w:jc w:val="both"/>
              <w:rPr>
                <w:rFonts w:ascii="Arial" w:hAnsi="Arial" w:cs="Arial"/>
              </w:rPr>
            </w:pPr>
            <w:r w:rsidRPr="0044793F">
              <w:rPr>
                <w:rFonts w:ascii="Arial" w:hAnsi="Arial" w:cs="Arial"/>
              </w:rPr>
              <w:t>Quantitative: 423 consumers; anti-consumption behavior framework; SEM</w:t>
            </w:r>
          </w:p>
        </w:tc>
        <w:tc>
          <w:tcPr>
            <w:tcW w:w="947" w:type="pct"/>
            <w:hideMark/>
          </w:tcPr>
          <w:p w14:paraId="2BA5DD08" w14:textId="77777777" w:rsidR="00B5368A" w:rsidRPr="0044793F" w:rsidRDefault="00B5368A" w:rsidP="00404048">
            <w:pPr>
              <w:spacing w:after="160" w:line="360" w:lineRule="auto"/>
              <w:jc w:val="both"/>
              <w:rPr>
                <w:rFonts w:ascii="Arial" w:hAnsi="Arial" w:cs="Arial"/>
              </w:rPr>
            </w:pPr>
            <w:r w:rsidRPr="0044793F">
              <w:rPr>
                <w:rFonts w:ascii="Arial" w:hAnsi="Arial" w:cs="Arial"/>
              </w:rPr>
              <w:t>Skepticism (β=0.41), price resistance (β=0.38), and tradition-orientation (β=0.26) predict organic avoidance; lack of tangible differentiation from conventional products fuels skepticism; transparency and third-party certification reduce skepticism</w:t>
            </w:r>
          </w:p>
        </w:tc>
        <w:tc>
          <w:tcPr>
            <w:tcW w:w="583" w:type="pct"/>
            <w:hideMark/>
          </w:tcPr>
          <w:p w14:paraId="151D4052" w14:textId="77777777" w:rsidR="00B5368A" w:rsidRPr="0044793F" w:rsidRDefault="00B5368A" w:rsidP="00404048">
            <w:pPr>
              <w:spacing w:after="160" w:line="360" w:lineRule="auto"/>
              <w:jc w:val="both"/>
              <w:rPr>
                <w:rFonts w:ascii="Arial" w:hAnsi="Arial" w:cs="Arial"/>
              </w:rPr>
            </w:pPr>
            <w:r w:rsidRPr="0044793F">
              <w:rPr>
                <w:rFonts w:ascii="Arial" w:hAnsi="Arial" w:cs="Arial"/>
              </w:rPr>
              <w:t>Unique focus on non-purchasers; identifies reasons for organic rejection; informs strategies to overcome resistance through transparency and credible certification</w:t>
            </w:r>
          </w:p>
        </w:tc>
      </w:tr>
      <w:tr w:rsidR="00B5368A" w:rsidRPr="0044793F" w14:paraId="3DCAF711" w14:textId="77777777" w:rsidTr="00853F5B">
        <w:tc>
          <w:tcPr>
            <w:tcW w:w="2442" w:type="pct"/>
            <w:hideMark/>
          </w:tcPr>
          <w:p w14:paraId="1401961D" w14:textId="77777777" w:rsidR="00B5368A" w:rsidRPr="0044793F" w:rsidRDefault="00B5368A" w:rsidP="00404048">
            <w:pPr>
              <w:spacing w:after="160" w:line="360" w:lineRule="auto"/>
              <w:jc w:val="both"/>
              <w:rPr>
                <w:rFonts w:ascii="Arial" w:hAnsi="Arial" w:cs="Arial"/>
              </w:rPr>
            </w:pPr>
            <w:r w:rsidRPr="0044793F">
              <w:rPr>
                <w:rFonts w:ascii="Arial" w:hAnsi="Arial" w:cs="Arial"/>
              </w:rPr>
              <w:t>IJFMR Bangladesh study (2024) </w:t>
            </w:r>
            <w:hyperlink r:id="rId53" w:tgtFrame="_blank" w:history="1">
              <w:r w:rsidRPr="0044793F">
                <w:rPr>
                  <w:rStyle w:val="Hyperlink"/>
                  <w:rFonts w:ascii="Arial" w:hAnsi="Arial" w:cs="Arial"/>
                </w:rPr>
                <w:t>https://www.ijfmr.com/research-paper.php?id=75854</w:t>
              </w:r>
            </w:hyperlink>
          </w:p>
        </w:tc>
        <w:tc>
          <w:tcPr>
            <w:tcW w:w="621" w:type="pct"/>
            <w:hideMark/>
          </w:tcPr>
          <w:p w14:paraId="1BE88658"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examine factors </w:t>
            </w:r>
            <w:r w:rsidRPr="0044793F">
              <w:rPr>
                <w:rFonts w:ascii="Arial" w:hAnsi="Arial" w:cs="Arial"/>
              </w:rPr>
              <w:lastRenderedPageBreak/>
              <w:t>influencing consumer purchase intention towards organic food in Bangladesh</w:t>
            </w:r>
          </w:p>
        </w:tc>
        <w:tc>
          <w:tcPr>
            <w:tcW w:w="406" w:type="pct"/>
            <w:hideMark/>
          </w:tcPr>
          <w:p w14:paraId="42768D19"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Quantitative: 300 </w:t>
            </w:r>
            <w:r w:rsidRPr="0044793F">
              <w:rPr>
                <w:rFonts w:ascii="Arial" w:hAnsi="Arial" w:cs="Arial"/>
              </w:rPr>
              <w:lastRenderedPageBreak/>
              <w:t>consumers; regression analysis</w:t>
            </w:r>
          </w:p>
        </w:tc>
        <w:tc>
          <w:tcPr>
            <w:tcW w:w="947" w:type="pct"/>
            <w:hideMark/>
          </w:tcPr>
          <w:p w14:paraId="590FDB96"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Health consciousness (β=0.43), food </w:t>
            </w:r>
            <w:r w:rsidRPr="0044793F">
              <w:rPr>
                <w:rFonts w:ascii="Arial" w:hAnsi="Arial" w:cs="Arial"/>
              </w:rPr>
              <w:lastRenderedPageBreak/>
              <w:t>safety concern (β=0.39), quality perception (β=0.35), and environmental awareness (β=0.28) positively influence; price sensitivity (β=-0.41) and lack of trust (β=-0.33) negatively influence</w:t>
            </w:r>
          </w:p>
        </w:tc>
        <w:tc>
          <w:tcPr>
            <w:tcW w:w="583" w:type="pct"/>
            <w:hideMark/>
          </w:tcPr>
          <w:p w14:paraId="5067EBB9"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Recent confirmation of </w:t>
            </w:r>
            <w:r w:rsidRPr="0044793F">
              <w:rPr>
                <w:rFonts w:ascii="Arial" w:hAnsi="Arial" w:cs="Arial"/>
              </w:rPr>
              <w:lastRenderedPageBreak/>
              <w:t>consistent determinant patterns; validates ongoing relevance of health and trust factors; supports research focus</w:t>
            </w:r>
          </w:p>
        </w:tc>
      </w:tr>
    </w:tbl>
    <w:p w14:paraId="2E751F5E" w14:textId="77777777" w:rsidR="00B5368A" w:rsidRPr="0044793F" w:rsidRDefault="00B5368A" w:rsidP="00404048">
      <w:pPr>
        <w:rPr>
          <w:rFonts w:ascii="Arial" w:hAnsi="Arial" w:cs="Arial"/>
        </w:rPr>
      </w:pPr>
      <w:r w:rsidRPr="0044793F">
        <w:rPr>
          <w:rFonts w:ascii="Arial" w:hAnsi="Arial" w:cs="Arial"/>
        </w:rPr>
        <w:lastRenderedPageBreak/>
        <w:t xml:space="preserve">Table 4.5: Organic Consumer </w:t>
      </w:r>
      <w:proofErr w:type="spellStart"/>
      <w:r w:rsidRPr="0044793F">
        <w:rPr>
          <w:rFonts w:ascii="Arial" w:hAnsi="Arial" w:cs="Arial"/>
        </w:rPr>
        <w:t>Behaviour</w:t>
      </w:r>
      <w:proofErr w:type="spellEnd"/>
      <w:r w:rsidRPr="0044793F">
        <w:rPr>
          <w:rFonts w:ascii="Arial" w:hAnsi="Arial" w:cs="Arial"/>
        </w:rPr>
        <w:t xml:space="preserve"> in Bangladesh and South Asia</w:t>
      </w:r>
    </w:p>
    <w:tbl>
      <w:tblPr>
        <w:tblStyle w:val="TableGrid"/>
        <w:tblW w:w="5000" w:type="pct"/>
        <w:tblLook w:val="04A0" w:firstRow="1" w:lastRow="0" w:firstColumn="1" w:lastColumn="0" w:noHBand="0" w:noVBand="1"/>
      </w:tblPr>
      <w:tblGrid>
        <w:gridCol w:w="3342"/>
        <w:gridCol w:w="1470"/>
        <w:gridCol w:w="1010"/>
        <w:gridCol w:w="2135"/>
        <w:gridCol w:w="1393"/>
      </w:tblGrid>
      <w:tr w:rsidR="00B5368A" w:rsidRPr="0044793F" w14:paraId="2361FE3D" w14:textId="77777777" w:rsidTr="00033AFC">
        <w:tc>
          <w:tcPr>
            <w:tcW w:w="1947" w:type="pct"/>
            <w:noWrap/>
            <w:hideMark/>
          </w:tcPr>
          <w:p w14:paraId="5E412AF8"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Author(s) &amp; Link</w:t>
            </w:r>
          </w:p>
        </w:tc>
        <w:tc>
          <w:tcPr>
            <w:tcW w:w="734" w:type="pct"/>
            <w:noWrap/>
            <w:hideMark/>
          </w:tcPr>
          <w:p w14:paraId="051A536C"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Aims and Objectives</w:t>
            </w:r>
          </w:p>
        </w:tc>
        <w:tc>
          <w:tcPr>
            <w:tcW w:w="513" w:type="pct"/>
            <w:noWrap/>
            <w:hideMark/>
          </w:tcPr>
          <w:p w14:paraId="5DFF1C37"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Methodology</w:t>
            </w:r>
          </w:p>
        </w:tc>
        <w:tc>
          <w:tcPr>
            <w:tcW w:w="1118" w:type="pct"/>
            <w:noWrap/>
            <w:hideMark/>
          </w:tcPr>
          <w:p w14:paraId="1EEA5CD9"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Main Findings and Contribution</w:t>
            </w:r>
          </w:p>
        </w:tc>
        <w:tc>
          <w:tcPr>
            <w:tcW w:w="689" w:type="pct"/>
            <w:noWrap/>
            <w:hideMark/>
          </w:tcPr>
          <w:p w14:paraId="1FF8B5C5" w14:textId="77777777" w:rsidR="00B5368A" w:rsidRPr="0044793F" w:rsidRDefault="00B5368A" w:rsidP="00404048">
            <w:pPr>
              <w:spacing w:after="160" w:line="360" w:lineRule="auto"/>
              <w:jc w:val="both"/>
              <w:rPr>
                <w:rFonts w:ascii="Arial" w:hAnsi="Arial" w:cs="Arial"/>
                <w:b/>
                <w:bCs/>
              </w:rPr>
            </w:pPr>
            <w:r w:rsidRPr="0044793F">
              <w:rPr>
                <w:rFonts w:ascii="Arial" w:hAnsi="Arial" w:cs="Arial"/>
                <w:b/>
                <w:bCs/>
              </w:rPr>
              <w:t>Relevance to Study</w:t>
            </w:r>
          </w:p>
        </w:tc>
      </w:tr>
      <w:tr w:rsidR="00B5368A" w:rsidRPr="0044793F" w14:paraId="3BE3B53E" w14:textId="77777777" w:rsidTr="00033AFC">
        <w:tc>
          <w:tcPr>
            <w:tcW w:w="1947" w:type="pct"/>
            <w:hideMark/>
          </w:tcPr>
          <w:p w14:paraId="0163426E"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t>Momtaz</w:t>
            </w:r>
            <w:proofErr w:type="spellEnd"/>
            <w:r w:rsidRPr="0044793F">
              <w:rPr>
                <w:rFonts w:ascii="Arial" w:hAnsi="Arial" w:cs="Arial"/>
              </w:rPr>
              <w:t xml:space="preserve"> &amp; Khan (2024) </w:t>
            </w:r>
            <w:hyperlink r:id="rId54" w:tgtFrame="_blank" w:history="1">
              <w:r w:rsidRPr="0044793F">
                <w:rPr>
                  <w:rStyle w:val="Hyperlink"/>
                  <w:rFonts w:ascii="Arial" w:hAnsi="Arial" w:cs="Arial"/>
                </w:rPr>
                <w:t>https://doi.org/10.3390/foods13111780</w:t>
              </w:r>
            </w:hyperlink>
          </w:p>
        </w:tc>
        <w:tc>
          <w:tcPr>
            <w:tcW w:w="734" w:type="pct"/>
            <w:hideMark/>
          </w:tcPr>
          <w:p w14:paraId="57F82863"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analyze chlorpyrifos pesticide residue in locally grown cauliflower, cabbage, and eggplant in Banglades</w:t>
            </w:r>
            <w:r w:rsidRPr="0044793F">
              <w:rPr>
                <w:rFonts w:ascii="Arial" w:hAnsi="Arial" w:cs="Arial"/>
              </w:rPr>
              <w:lastRenderedPageBreak/>
              <w:t>h using GC-MS</w:t>
            </w:r>
          </w:p>
        </w:tc>
        <w:tc>
          <w:tcPr>
            <w:tcW w:w="513" w:type="pct"/>
            <w:hideMark/>
          </w:tcPr>
          <w:p w14:paraId="6632412B"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Laboratory analysis: 150 vegetable samples from Dhaka markets; GC-</w:t>
            </w:r>
            <w:r w:rsidRPr="0044793F">
              <w:rPr>
                <w:rFonts w:ascii="Arial" w:hAnsi="Arial" w:cs="Arial"/>
              </w:rPr>
              <w:lastRenderedPageBreak/>
              <w:t>MS quantification</w:t>
            </w:r>
          </w:p>
        </w:tc>
        <w:tc>
          <w:tcPr>
            <w:tcW w:w="1118" w:type="pct"/>
            <w:hideMark/>
          </w:tcPr>
          <w:p w14:paraId="30FB06CF"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Chlorpyrifos detected in 68% of samples; 38% exceeded MRL (ranging 2-5× safe limits); eggplant most contaminated (mean: 0.18 mg/kg vs. MRL 0.05 mg/kg); </w:t>
            </w:r>
            <w:r w:rsidRPr="0044793F">
              <w:rPr>
                <w:rFonts w:ascii="Arial" w:hAnsi="Arial" w:cs="Arial"/>
              </w:rPr>
              <w:lastRenderedPageBreak/>
              <w:t>health risk quotient &gt;1 for children</w:t>
            </w:r>
          </w:p>
        </w:tc>
        <w:tc>
          <w:tcPr>
            <w:tcW w:w="689" w:type="pct"/>
            <w:hideMark/>
          </w:tcPr>
          <w:p w14:paraId="2940F42A"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Provides recent, specific evidence of pesticide contamination; validates food safety concern as </w:t>
            </w:r>
            <w:r w:rsidRPr="0044793F">
              <w:rPr>
                <w:rFonts w:ascii="Arial" w:hAnsi="Arial" w:cs="Arial"/>
              </w:rPr>
              <w:lastRenderedPageBreak/>
              <w:t>organic purchase motivator; creates urgency for organic alternatives</w:t>
            </w:r>
          </w:p>
        </w:tc>
      </w:tr>
      <w:tr w:rsidR="00B5368A" w:rsidRPr="0044793F" w14:paraId="15FDD280" w14:textId="77777777" w:rsidTr="00033AFC">
        <w:tc>
          <w:tcPr>
            <w:tcW w:w="1947" w:type="pct"/>
            <w:hideMark/>
          </w:tcPr>
          <w:p w14:paraId="29ACD807"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Paul et al. (2025) </w:t>
            </w:r>
            <w:hyperlink r:id="rId55" w:tgtFrame="_blank" w:history="1">
              <w:r w:rsidRPr="0044793F">
                <w:rPr>
                  <w:rStyle w:val="Hyperlink"/>
                  <w:rFonts w:ascii="Arial" w:hAnsi="Arial" w:cs="Arial"/>
                </w:rPr>
                <w:t>https://doi.org/10.1080/19393210.2024.2404924</w:t>
              </w:r>
            </w:hyperlink>
          </w:p>
        </w:tc>
        <w:tc>
          <w:tcPr>
            <w:tcW w:w="734" w:type="pct"/>
            <w:hideMark/>
          </w:tcPr>
          <w:p w14:paraId="66E8497A"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assess pesticide contamination in widely consumed vegetables in Bangladesh and associated health risks</w:t>
            </w:r>
          </w:p>
        </w:tc>
        <w:tc>
          <w:tcPr>
            <w:tcW w:w="513" w:type="pct"/>
            <w:hideMark/>
          </w:tcPr>
          <w:p w14:paraId="7857AB5A" w14:textId="77777777" w:rsidR="00B5368A" w:rsidRPr="0044793F" w:rsidRDefault="00B5368A" w:rsidP="00404048">
            <w:pPr>
              <w:spacing w:after="160" w:line="360" w:lineRule="auto"/>
              <w:jc w:val="both"/>
              <w:rPr>
                <w:rFonts w:ascii="Arial" w:hAnsi="Arial" w:cs="Arial"/>
              </w:rPr>
            </w:pPr>
            <w:r w:rsidRPr="0044793F">
              <w:rPr>
                <w:rFonts w:ascii="Arial" w:hAnsi="Arial" w:cs="Arial"/>
              </w:rPr>
              <w:t>Systematic sampling: 240 vegetable samples across 6 divisions; multi-residue analysis; health risk assessment</w:t>
            </w:r>
          </w:p>
        </w:tc>
        <w:tc>
          <w:tcPr>
            <w:tcW w:w="1118" w:type="pct"/>
            <w:hideMark/>
          </w:tcPr>
          <w:p w14:paraId="56559A53" w14:textId="77777777" w:rsidR="00B5368A" w:rsidRPr="0044793F" w:rsidRDefault="00B5368A" w:rsidP="00404048">
            <w:pPr>
              <w:spacing w:after="160" w:line="360" w:lineRule="auto"/>
              <w:jc w:val="both"/>
              <w:rPr>
                <w:rFonts w:ascii="Arial" w:hAnsi="Arial" w:cs="Arial"/>
              </w:rPr>
            </w:pPr>
            <w:r w:rsidRPr="0044793F">
              <w:rPr>
                <w:rFonts w:ascii="Arial" w:hAnsi="Arial" w:cs="Arial"/>
              </w:rPr>
              <w:t>Multiple pesticides detected in 76% samples; 43% exceeded MRLs; organophosphates (52%), carbamates (31%), pyrethroids (17%) most frequent; chronic dietary exposure exceeds acceptable daily intake for 23% population</w:t>
            </w:r>
          </w:p>
        </w:tc>
        <w:tc>
          <w:tcPr>
            <w:tcW w:w="689" w:type="pct"/>
            <w:hideMark/>
          </w:tcPr>
          <w:p w14:paraId="2D0E3B18" w14:textId="77777777" w:rsidR="00B5368A" w:rsidRPr="0044793F" w:rsidRDefault="00B5368A" w:rsidP="00404048">
            <w:pPr>
              <w:spacing w:after="160" w:line="360" w:lineRule="auto"/>
              <w:jc w:val="both"/>
              <w:rPr>
                <w:rFonts w:ascii="Arial" w:hAnsi="Arial" w:cs="Arial"/>
              </w:rPr>
            </w:pPr>
            <w:r w:rsidRPr="0044793F">
              <w:rPr>
                <w:rFonts w:ascii="Arial" w:hAnsi="Arial" w:cs="Arial"/>
              </w:rPr>
              <w:t>Comprehensive national-level evidence; quantifies health risk magnitude; strengthens case for organic consumption as health protective measure</w:t>
            </w:r>
          </w:p>
        </w:tc>
      </w:tr>
      <w:tr w:rsidR="00B5368A" w:rsidRPr="0044793F" w14:paraId="18E2602B" w14:textId="77777777" w:rsidTr="00033AFC">
        <w:tc>
          <w:tcPr>
            <w:tcW w:w="1947" w:type="pct"/>
            <w:hideMark/>
          </w:tcPr>
          <w:p w14:paraId="4581369E"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lastRenderedPageBreak/>
              <w:t>Heliyon</w:t>
            </w:r>
            <w:proofErr w:type="spellEnd"/>
            <w:r w:rsidRPr="0044793F">
              <w:rPr>
                <w:rFonts w:ascii="Arial" w:hAnsi="Arial" w:cs="Arial"/>
              </w:rPr>
              <w:t xml:space="preserve"> systematic review (2023) </w:t>
            </w:r>
            <w:hyperlink r:id="rId56" w:tgtFrame="_blank" w:history="1">
              <w:r w:rsidRPr="0044793F">
                <w:rPr>
                  <w:rStyle w:val="Hyperlink"/>
                  <w:rFonts w:ascii="Arial" w:hAnsi="Arial" w:cs="Arial"/>
                </w:rPr>
                <w:t>https://doi.org/10.1016/j.heliyon.2023.e18744</w:t>
              </w:r>
            </w:hyperlink>
          </w:p>
        </w:tc>
        <w:tc>
          <w:tcPr>
            <w:tcW w:w="734" w:type="pct"/>
            <w:hideMark/>
          </w:tcPr>
          <w:p w14:paraId="09191522"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systematically review pesticide contamination levels and health risks in Bangladeshi vegetable production over past decade</w:t>
            </w:r>
          </w:p>
        </w:tc>
        <w:tc>
          <w:tcPr>
            <w:tcW w:w="513" w:type="pct"/>
            <w:hideMark/>
          </w:tcPr>
          <w:p w14:paraId="224C62A4" w14:textId="77777777" w:rsidR="00B5368A" w:rsidRPr="0044793F" w:rsidRDefault="00B5368A" w:rsidP="00404048">
            <w:pPr>
              <w:spacing w:after="160" w:line="360" w:lineRule="auto"/>
              <w:jc w:val="both"/>
              <w:rPr>
                <w:rFonts w:ascii="Arial" w:hAnsi="Arial" w:cs="Arial"/>
              </w:rPr>
            </w:pPr>
            <w:r w:rsidRPr="0044793F">
              <w:rPr>
                <w:rFonts w:ascii="Arial" w:hAnsi="Arial" w:cs="Arial"/>
              </w:rPr>
              <w:t>Systematic literature review: 42 studies (2013-2023); meta-analysis of contamination data</w:t>
            </w:r>
          </w:p>
        </w:tc>
        <w:tc>
          <w:tcPr>
            <w:tcW w:w="1118" w:type="pct"/>
            <w:hideMark/>
          </w:tcPr>
          <w:p w14:paraId="6770E446" w14:textId="77777777" w:rsidR="00B5368A" w:rsidRPr="0044793F" w:rsidRDefault="00B5368A" w:rsidP="00404048">
            <w:pPr>
              <w:spacing w:after="160" w:line="360" w:lineRule="auto"/>
              <w:jc w:val="both"/>
              <w:rPr>
                <w:rFonts w:ascii="Arial" w:hAnsi="Arial" w:cs="Arial"/>
              </w:rPr>
            </w:pPr>
            <w:r w:rsidRPr="0044793F">
              <w:rPr>
                <w:rFonts w:ascii="Arial" w:hAnsi="Arial" w:cs="Arial"/>
              </w:rPr>
              <w:t>Systematic contamination documented across all regions; contamination trend increasing (2013: 34% samples exceeded MRL → 2022: 47%); farmer awareness of pesticide risks low (28%); regulatory enforcement weak</w:t>
            </w:r>
          </w:p>
        </w:tc>
        <w:tc>
          <w:tcPr>
            <w:tcW w:w="689" w:type="pct"/>
            <w:hideMark/>
          </w:tcPr>
          <w:p w14:paraId="70F24232" w14:textId="77777777" w:rsidR="00B5368A" w:rsidRPr="0044793F" w:rsidRDefault="00B5368A" w:rsidP="00404048">
            <w:pPr>
              <w:spacing w:after="160" w:line="360" w:lineRule="auto"/>
              <w:jc w:val="both"/>
              <w:rPr>
                <w:rFonts w:ascii="Arial" w:hAnsi="Arial" w:cs="Arial"/>
              </w:rPr>
            </w:pPr>
            <w:r w:rsidRPr="0044793F">
              <w:rPr>
                <w:rFonts w:ascii="Arial" w:hAnsi="Arial" w:cs="Arial"/>
              </w:rPr>
              <w:t>Establishes contamination as persistent, worsening problem; highlights regulatory gaps creating opportunity for certified organic products; supports urgency of consumer awareness campaigns</w:t>
            </w:r>
          </w:p>
        </w:tc>
      </w:tr>
      <w:tr w:rsidR="00B5368A" w:rsidRPr="0044793F" w14:paraId="4164B789" w14:textId="77777777" w:rsidTr="00033AFC">
        <w:tc>
          <w:tcPr>
            <w:tcW w:w="1947" w:type="pct"/>
            <w:hideMark/>
          </w:tcPr>
          <w:p w14:paraId="3F900998" w14:textId="77777777" w:rsidR="00B5368A" w:rsidRPr="0044793F" w:rsidRDefault="00B5368A" w:rsidP="00404048">
            <w:pPr>
              <w:spacing w:after="160" w:line="360" w:lineRule="auto"/>
              <w:jc w:val="both"/>
              <w:rPr>
                <w:rFonts w:ascii="Arial" w:hAnsi="Arial" w:cs="Arial"/>
              </w:rPr>
            </w:pPr>
            <w:r w:rsidRPr="0044793F">
              <w:rPr>
                <w:rFonts w:ascii="Arial" w:hAnsi="Arial" w:cs="Arial"/>
              </w:rPr>
              <w:t>Islam et al. (2021) </w:t>
            </w:r>
            <w:hyperlink r:id="rId57" w:tgtFrame="_blank" w:history="1">
              <w:r w:rsidRPr="0044793F">
                <w:rPr>
                  <w:rStyle w:val="Hyperlink"/>
                  <w:rFonts w:ascii="Arial" w:hAnsi="Arial" w:cs="Arial"/>
                </w:rPr>
                <w:t>https://doi.org/10.3390/agronomy11091804</w:t>
              </w:r>
            </w:hyperlink>
          </w:p>
        </w:tc>
        <w:tc>
          <w:tcPr>
            <w:tcW w:w="734" w:type="pct"/>
            <w:hideMark/>
          </w:tcPr>
          <w:p w14:paraId="13CCD9FF" w14:textId="77777777" w:rsidR="00B5368A" w:rsidRPr="0044793F" w:rsidRDefault="00B5368A" w:rsidP="00404048">
            <w:pPr>
              <w:spacing w:after="160" w:line="360" w:lineRule="auto"/>
              <w:jc w:val="both"/>
              <w:rPr>
                <w:rFonts w:ascii="Arial" w:hAnsi="Arial" w:cs="Arial"/>
              </w:rPr>
            </w:pPr>
            <w:r w:rsidRPr="0044793F">
              <w:rPr>
                <w:rFonts w:ascii="Arial" w:hAnsi="Arial" w:cs="Arial"/>
              </w:rPr>
              <w:t xml:space="preserve">To quantify pesticide residues in fresh vegetables available in local markets for human </w:t>
            </w:r>
            <w:r w:rsidRPr="0044793F">
              <w:rPr>
                <w:rFonts w:ascii="Arial" w:hAnsi="Arial" w:cs="Arial"/>
              </w:rPr>
              <w:lastRenderedPageBreak/>
              <w:t>consumption and assess associated health risks</w:t>
            </w:r>
          </w:p>
        </w:tc>
        <w:tc>
          <w:tcPr>
            <w:tcW w:w="513" w:type="pct"/>
            <w:hideMark/>
          </w:tcPr>
          <w:p w14:paraId="34D3D3F2"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Market sampling: 180 samples from Dhaka markets; GC-MS/LC</w:t>
            </w:r>
            <w:r w:rsidRPr="0044793F">
              <w:rPr>
                <w:rFonts w:ascii="Arial" w:hAnsi="Arial" w:cs="Arial"/>
              </w:rPr>
              <w:lastRenderedPageBreak/>
              <w:t>-MS analysis; health risk assessment</w:t>
            </w:r>
          </w:p>
        </w:tc>
        <w:tc>
          <w:tcPr>
            <w:tcW w:w="1118" w:type="pct"/>
            <w:hideMark/>
          </w:tcPr>
          <w:p w14:paraId="3D76A941"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 xml:space="preserve">19 pesticide types detected; 52% samples contained residues, 27% exceeded MRLs; hazard quotient &gt;1 for children consuming </w:t>
            </w:r>
            <w:r w:rsidRPr="0044793F">
              <w:rPr>
                <w:rFonts w:ascii="Arial" w:hAnsi="Arial" w:cs="Arial"/>
              </w:rPr>
              <w:lastRenderedPageBreak/>
              <w:t>contaminated vegetables daily; cancer risk elevated for long-term exposure</w:t>
            </w:r>
          </w:p>
        </w:tc>
        <w:tc>
          <w:tcPr>
            <w:tcW w:w="689" w:type="pct"/>
            <w:hideMark/>
          </w:tcPr>
          <w:p w14:paraId="0C480140" w14:textId="77777777" w:rsidR="00B5368A" w:rsidRPr="0044793F" w:rsidRDefault="00B5368A" w:rsidP="00404048">
            <w:pPr>
              <w:spacing w:after="160" w:line="360" w:lineRule="auto"/>
              <w:jc w:val="both"/>
              <w:rPr>
                <w:rFonts w:ascii="Arial" w:hAnsi="Arial" w:cs="Arial"/>
              </w:rPr>
            </w:pPr>
            <w:r w:rsidRPr="0044793F">
              <w:rPr>
                <w:rFonts w:ascii="Arial" w:hAnsi="Arial" w:cs="Arial"/>
              </w:rPr>
              <w:lastRenderedPageBreak/>
              <w:t>Quantifies specific health risks to children; provides scientific basis for health-</w:t>
            </w:r>
            <w:r w:rsidRPr="0044793F">
              <w:rPr>
                <w:rFonts w:ascii="Arial" w:hAnsi="Arial" w:cs="Arial"/>
              </w:rPr>
              <w:lastRenderedPageBreak/>
              <w:t>focused organic marketing messages; validates parental concern as key motivator</w:t>
            </w:r>
          </w:p>
        </w:tc>
      </w:tr>
      <w:tr w:rsidR="00B5368A" w:rsidRPr="0044793F" w14:paraId="24B0A9BE" w14:textId="77777777" w:rsidTr="00033AFC">
        <w:tc>
          <w:tcPr>
            <w:tcW w:w="1947" w:type="pct"/>
            <w:hideMark/>
          </w:tcPr>
          <w:p w14:paraId="4FE1E0F4" w14:textId="77777777" w:rsidR="00B5368A" w:rsidRPr="0044793F" w:rsidRDefault="00B5368A" w:rsidP="00404048">
            <w:pPr>
              <w:spacing w:after="160" w:line="360" w:lineRule="auto"/>
              <w:jc w:val="both"/>
              <w:rPr>
                <w:rFonts w:ascii="Arial" w:hAnsi="Arial" w:cs="Arial"/>
              </w:rPr>
            </w:pPr>
            <w:proofErr w:type="spellStart"/>
            <w:r w:rsidRPr="0044793F">
              <w:rPr>
                <w:rFonts w:ascii="Arial" w:hAnsi="Arial" w:cs="Arial"/>
              </w:rPr>
              <w:lastRenderedPageBreak/>
              <w:t>Alam</w:t>
            </w:r>
            <w:proofErr w:type="spellEnd"/>
            <w:r w:rsidRPr="0044793F">
              <w:rPr>
                <w:rFonts w:ascii="Arial" w:hAnsi="Arial" w:cs="Arial"/>
              </w:rPr>
              <w:t xml:space="preserve"> (2024) </w:t>
            </w:r>
            <w:hyperlink r:id="rId58" w:tgtFrame="_blank" w:history="1">
              <w:r w:rsidRPr="0044793F">
                <w:rPr>
                  <w:rStyle w:val="Hyperlink"/>
                  <w:rFonts w:ascii="Arial" w:hAnsi="Arial" w:cs="Arial"/>
                </w:rPr>
                <w:t>https://doi.org/10.3329/ralf.v11i1.72975</w:t>
              </w:r>
            </w:hyperlink>
          </w:p>
        </w:tc>
        <w:tc>
          <w:tcPr>
            <w:tcW w:w="734" w:type="pct"/>
            <w:hideMark/>
          </w:tcPr>
          <w:p w14:paraId="277FD6D8" w14:textId="77777777" w:rsidR="00B5368A" w:rsidRPr="0044793F" w:rsidRDefault="00B5368A" w:rsidP="00404048">
            <w:pPr>
              <w:spacing w:after="160" w:line="360" w:lineRule="auto"/>
              <w:jc w:val="both"/>
              <w:rPr>
                <w:rFonts w:ascii="Arial" w:hAnsi="Arial" w:cs="Arial"/>
              </w:rPr>
            </w:pPr>
            <w:r w:rsidRPr="0044793F">
              <w:rPr>
                <w:rFonts w:ascii="Arial" w:hAnsi="Arial" w:cs="Arial"/>
              </w:rPr>
              <w:t>To assess consumer awareness and perceptions of pesticide residues in vegetables in Bangladesh</w:t>
            </w:r>
          </w:p>
        </w:tc>
        <w:tc>
          <w:tcPr>
            <w:tcW w:w="513" w:type="pct"/>
            <w:hideMark/>
          </w:tcPr>
          <w:p w14:paraId="6E61ED04" w14:textId="77777777" w:rsidR="00B5368A" w:rsidRPr="0044793F" w:rsidRDefault="00B5368A" w:rsidP="00404048">
            <w:pPr>
              <w:spacing w:after="160" w:line="360" w:lineRule="auto"/>
              <w:jc w:val="both"/>
              <w:rPr>
                <w:rFonts w:ascii="Arial" w:hAnsi="Arial" w:cs="Arial"/>
              </w:rPr>
            </w:pPr>
            <w:r w:rsidRPr="0044793F">
              <w:rPr>
                <w:rFonts w:ascii="Arial" w:hAnsi="Arial" w:cs="Arial"/>
              </w:rPr>
              <w:t>Survey: 420 consumers in Dhaka and Chittagong; awareness and perception measurement</w:t>
            </w:r>
          </w:p>
        </w:tc>
        <w:tc>
          <w:tcPr>
            <w:tcW w:w="1118" w:type="pct"/>
            <w:hideMark/>
          </w:tcPr>
          <w:p w14:paraId="3DCE9668" w14:textId="77777777" w:rsidR="00B5368A" w:rsidRPr="0044793F" w:rsidRDefault="00B5368A" w:rsidP="00404048">
            <w:pPr>
              <w:spacing w:after="160" w:line="360" w:lineRule="auto"/>
              <w:jc w:val="both"/>
              <w:rPr>
                <w:rFonts w:ascii="Arial" w:hAnsi="Arial" w:cs="Arial"/>
              </w:rPr>
            </w:pPr>
            <w:r w:rsidRPr="0044793F">
              <w:rPr>
                <w:rFonts w:ascii="Arial" w:hAnsi="Arial" w:cs="Arial"/>
              </w:rPr>
              <w:t>73% concerned about pesticide residues; 58% unaware of MRL concept; 44% willing to pay premium for pesticide-free vegetables; awareness positively correlates with organic purchase intention (r=0.52)</w:t>
            </w:r>
          </w:p>
        </w:tc>
        <w:tc>
          <w:tcPr>
            <w:tcW w:w="689" w:type="pct"/>
            <w:hideMark/>
          </w:tcPr>
          <w:p w14:paraId="396CF99C" w14:textId="77777777" w:rsidR="00B5368A" w:rsidRPr="0044793F" w:rsidRDefault="00B5368A" w:rsidP="00404048">
            <w:pPr>
              <w:spacing w:after="160" w:line="360" w:lineRule="auto"/>
              <w:jc w:val="both"/>
              <w:rPr>
                <w:rFonts w:ascii="Arial" w:hAnsi="Arial" w:cs="Arial"/>
              </w:rPr>
            </w:pPr>
            <w:r w:rsidRPr="0044793F">
              <w:rPr>
                <w:rFonts w:ascii="Arial" w:hAnsi="Arial" w:cs="Arial"/>
              </w:rPr>
              <w:t>Links pesticide awareness to organic demand; quantifies willingness to pay; validates consumer education as strategic digital marketing approach</w:t>
            </w:r>
          </w:p>
        </w:tc>
      </w:tr>
    </w:tbl>
    <w:p w14:paraId="286CB039" w14:textId="77777777" w:rsidR="00B5368A" w:rsidRPr="0044793F" w:rsidRDefault="00B5368A" w:rsidP="00404048">
      <w:pPr>
        <w:rPr>
          <w:rFonts w:ascii="Arial" w:hAnsi="Arial" w:cs="Arial"/>
        </w:rPr>
      </w:pPr>
      <w:r w:rsidRPr="0044793F">
        <w:rPr>
          <w:rFonts w:ascii="Arial" w:hAnsi="Arial" w:cs="Arial"/>
        </w:rPr>
        <w:t>Table 4.6: Pesticide Residues and Food Safety Concerns in Bangladesh</w:t>
      </w:r>
    </w:p>
    <w:p w14:paraId="6CB13825" w14:textId="64788804" w:rsidR="004C34BF" w:rsidRPr="0044793F" w:rsidRDefault="00E1092B">
      <w:pPr>
        <w:rPr>
          <w:rFonts w:ascii="Arial" w:hAnsi="Arial" w:cs="Arial"/>
        </w:rPr>
      </w:pPr>
      <w:r w:rsidRPr="0044793F">
        <w:rPr>
          <w:rFonts w:ascii="Arial" w:hAnsi="Arial" w:cs="Arial"/>
        </w:rPr>
        <w:t xml:space="preserve">The practical examples also illustrate that while it's important to consider digital marketing based on visibility, it's even more important to consider it based on outcomes. Kazi Farms Kitchen shows the power of Facebook communication that brings education, social proof and responsiveness together, while the difference between the informal-seller and the product-price posts demonstrates the power boundaries when </w:t>
      </w:r>
      <w:r w:rsidRPr="0044793F">
        <w:rPr>
          <w:rFonts w:ascii="Arial" w:hAnsi="Arial" w:cs="Arial"/>
        </w:rPr>
        <w:lastRenderedPageBreak/>
        <w:t xml:space="preserve">the credibility of the product is low. </w:t>
      </w:r>
      <w:proofErr w:type="spellStart"/>
      <w:r w:rsidRPr="0044793F">
        <w:rPr>
          <w:rFonts w:ascii="Arial" w:hAnsi="Arial" w:cs="Arial"/>
        </w:rPr>
        <w:t>Chaldal</w:t>
      </w:r>
      <w:proofErr w:type="spellEnd"/>
      <w:r w:rsidRPr="0044793F">
        <w:rPr>
          <w:rFonts w:ascii="Arial" w:hAnsi="Arial" w:cs="Arial"/>
        </w:rPr>
        <w:t xml:space="preserve"> also reveals that e-commerce can break down barriers to availability, but the high cost and limited organic product availability limit the growth of the category. The influencer evidence gives the additional criterion of credibility – the fit, the promoter-product-audience. These cases, then, provide support for a conditional understanding of “Digital effectiveness”. Digital channels have the potential to boost awareness, trust, and purchase intent, yet the real rate of adoption will hinge on the certification, affordability, ability to fulfill and consumer confidence in the market.</w:t>
      </w:r>
    </w:p>
    <w:p w14:paraId="65C3E18B" w14:textId="77777777" w:rsidR="009A20E5" w:rsidRPr="0044793F" w:rsidRDefault="009A20E5" w:rsidP="00330022">
      <w:pPr>
        <w:pStyle w:val="Heading2"/>
        <w:rPr>
          <w:rFonts w:ascii="Arial" w:hAnsi="Arial" w:cs="Arial"/>
        </w:rPr>
      </w:pPr>
      <w:r w:rsidRPr="0044793F">
        <w:rPr>
          <w:rFonts w:ascii="Arial" w:hAnsi="Arial" w:cs="Arial"/>
        </w:rPr>
        <w:t>4.2 Findings Related to Research Question 1: Digital Marketing Strategies and Platforms</w:t>
      </w:r>
    </w:p>
    <w:p w14:paraId="1BA5217F" w14:textId="77777777" w:rsidR="006F59CC" w:rsidRPr="0044793F" w:rsidRDefault="006F59CC" w:rsidP="006F59CC">
      <w:pPr>
        <w:spacing w:line="360" w:lineRule="auto"/>
        <w:jc w:val="both"/>
        <w:rPr>
          <w:rFonts w:ascii="Arial" w:hAnsi="Arial" w:cs="Arial"/>
          <w:bCs/>
        </w:rPr>
      </w:pPr>
      <w:r w:rsidRPr="0044793F">
        <w:rPr>
          <w:rFonts w:ascii="Arial" w:hAnsi="Arial" w:cs="Arial"/>
          <w:bCs/>
        </w:rPr>
        <w:t>RQ1: What are the adopted digital marketing strategies, platforms and channels of organic product business in Bangladesh?</w:t>
      </w:r>
    </w:p>
    <w:p w14:paraId="5CB7BCD8" w14:textId="77777777" w:rsidR="006F59CC" w:rsidRPr="0044793F" w:rsidRDefault="006F59CC" w:rsidP="006F59CC">
      <w:pPr>
        <w:spacing w:line="360" w:lineRule="auto"/>
        <w:jc w:val="both"/>
        <w:rPr>
          <w:rFonts w:ascii="Arial" w:hAnsi="Arial" w:cs="Arial"/>
          <w:bCs/>
        </w:rPr>
      </w:pPr>
      <w:r w:rsidRPr="0044793F">
        <w:rPr>
          <w:rFonts w:ascii="Arial" w:hAnsi="Arial" w:cs="Arial"/>
          <w:bCs/>
        </w:rPr>
        <w:t>Five key strategies were identified: social media marketing, content marketing, e-commerce integration, influencer marketing, integrated multi-channel approaches.</w:t>
      </w:r>
    </w:p>
    <w:p w14:paraId="4BC63A09" w14:textId="6C2B85C5" w:rsidR="009A20E5" w:rsidRPr="0044793F" w:rsidRDefault="009A20E5" w:rsidP="00330022">
      <w:pPr>
        <w:pStyle w:val="Heading3"/>
        <w:rPr>
          <w:rFonts w:ascii="Arial" w:hAnsi="Arial" w:cs="Arial"/>
        </w:rPr>
      </w:pPr>
      <w:r w:rsidRPr="0044793F">
        <w:rPr>
          <w:rFonts w:ascii="Arial" w:hAnsi="Arial" w:cs="Arial"/>
        </w:rPr>
        <w:t>4.2.1 Social Media Marketing: Dominant Channel with Trust Dependencies</w:t>
      </w:r>
    </w:p>
    <w:p w14:paraId="6B7D6BB5" w14:textId="77777777" w:rsidR="006F59CC" w:rsidRPr="0044793F" w:rsidRDefault="006F59CC" w:rsidP="006F59CC">
      <w:pPr>
        <w:spacing w:line="360" w:lineRule="auto"/>
        <w:jc w:val="both"/>
        <w:rPr>
          <w:rFonts w:ascii="Arial" w:hAnsi="Arial" w:cs="Arial"/>
        </w:rPr>
      </w:pPr>
      <w:r w:rsidRPr="0044793F">
        <w:rPr>
          <w:rFonts w:ascii="Arial" w:hAnsi="Arial" w:cs="Arial"/>
        </w:rPr>
        <w:t>Social media proves to be the leading medium, especially Facebook. Social platforms offer unprecedented reach to the target audience, with 44 million Facebook users in Bangladesh, as well as 95% of the population having mobile internet access (Statista, 2022). Eti et al. (2021) found that Facebook marketing, Twitter marketing and Instagram marketing had a highly significant effect on purchase intention of the consumers during COVID-19 in Bangladesh. Likewise, in a recent study, it was shown that social media is a key determinant of online shopping intentions and that 'entertainment value', ‘interactivity' and ‘trendiness' of social media content are all significant dimensions in capturing consumer interest (Cogent study, 2025).</w:t>
      </w:r>
    </w:p>
    <w:p w14:paraId="4599FEE2" w14:textId="77777777" w:rsidR="006F59CC" w:rsidRPr="0044793F" w:rsidRDefault="006F59CC" w:rsidP="006F59CC">
      <w:pPr>
        <w:spacing w:line="360" w:lineRule="auto"/>
        <w:jc w:val="both"/>
        <w:rPr>
          <w:rFonts w:ascii="Arial" w:hAnsi="Arial" w:cs="Arial"/>
        </w:rPr>
      </w:pPr>
      <w:r w:rsidRPr="0044793F">
        <w:rPr>
          <w:rFonts w:ascii="Arial" w:hAnsi="Arial" w:cs="Arial"/>
        </w:rPr>
        <w:t>But a careful scrutiny of the situation shows that the moderation of trust is needed. Islam et al. (2021) also discovered that the impact of Facebook marketing is significantly moderated by brand trust, and that the mere exposure is not enough without having to have brand trust. This is the reason some businesses may have a lot of engagement but not conversions.</w:t>
      </w:r>
    </w:p>
    <w:p w14:paraId="3FD3FA58" w14:textId="77777777" w:rsidR="006F59CC" w:rsidRPr="0044793F" w:rsidRDefault="006F59CC" w:rsidP="006F59CC">
      <w:pPr>
        <w:spacing w:line="360" w:lineRule="auto"/>
        <w:jc w:val="both"/>
        <w:rPr>
          <w:rFonts w:ascii="Arial" w:hAnsi="Arial" w:cs="Arial"/>
        </w:rPr>
      </w:pPr>
      <w:r w:rsidRPr="0044793F">
        <w:rPr>
          <w:rFonts w:ascii="Arial" w:hAnsi="Arial" w:cs="Arial"/>
        </w:rPr>
        <w:t xml:space="preserve">For example, Kazi Farms Kitchen (Bangladesh) used Facebook to promote their organic eggs by using product information, along with teaching customers about organic farming, </w:t>
      </w:r>
      <w:r w:rsidRPr="0044793F">
        <w:rPr>
          <w:rFonts w:ascii="Arial" w:hAnsi="Arial" w:cs="Arial"/>
        </w:rPr>
        <w:lastRenderedPageBreak/>
        <w:t xml:space="preserve">posting farm photos and having a responsive customer service. All the social proof, integration of information and transparency brought in trust and high follower count helped in reach. This is in line with theoretical principles of social learning theory (Bandura, 1977) which suggest that observational learning via peer endorsement affects </w:t>
      </w:r>
      <w:proofErr w:type="spellStart"/>
      <w:r w:rsidRPr="0044793F">
        <w:rPr>
          <w:rFonts w:ascii="Arial" w:hAnsi="Arial" w:cs="Arial"/>
        </w:rPr>
        <w:t>behaviour</w:t>
      </w:r>
      <w:proofErr w:type="spellEnd"/>
      <w:r w:rsidRPr="0044793F">
        <w:rPr>
          <w:rFonts w:ascii="Arial" w:hAnsi="Arial" w:cs="Arial"/>
        </w:rPr>
        <w:t>.</w:t>
      </w:r>
    </w:p>
    <w:p w14:paraId="4237DE6E" w14:textId="77777777" w:rsidR="006F59CC" w:rsidRPr="0044793F" w:rsidRDefault="006F59CC" w:rsidP="006F59CC">
      <w:pPr>
        <w:spacing w:line="360" w:lineRule="auto"/>
        <w:jc w:val="both"/>
        <w:rPr>
          <w:rFonts w:ascii="Arial" w:hAnsi="Arial" w:cs="Arial"/>
        </w:rPr>
      </w:pPr>
      <w:r w:rsidRPr="0044793F">
        <w:rPr>
          <w:rFonts w:ascii="Arial" w:hAnsi="Arial" w:cs="Arial"/>
        </w:rPr>
        <w:t>For Small sellers, however, who have not engaged in education or are just posting product-price without educational content on Facebook Marketplace, they get limited conversions. In a recent study by Science Publishing Group (2025), it has been identified that high-quality video content and authentic influencer recommendations are the key drivers of engagement, while plain text posts are the least effective for engagement.</w:t>
      </w:r>
    </w:p>
    <w:p w14:paraId="180A35BE" w14:textId="77777777" w:rsidR="006F59CC" w:rsidRPr="0044793F" w:rsidRDefault="006F59CC" w:rsidP="006F59CC">
      <w:pPr>
        <w:spacing w:line="360" w:lineRule="auto"/>
        <w:jc w:val="both"/>
        <w:rPr>
          <w:rFonts w:ascii="Arial" w:hAnsi="Arial" w:cs="Arial"/>
        </w:rPr>
      </w:pPr>
      <w:r w:rsidRPr="0044793F">
        <w:rPr>
          <w:rFonts w:ascii="Arial" w:hAnsi="Arial" w:cs="Arial"/>
        </w:rPr>
        <w:t>Overall, the findings suggest that being effective isn't about reaching people; it's about establishing relationships, delivering education, being transparent, and enabling peer influence, thus overcoming the barriers of trust and knowledge (Kabir and Islam, 2022). The social media marketing is different from traditional marketing, which means that it can be used for conversation and trust-building, which are crucial for credence goods such as organic products.</w:t>
      </w:r>
    </w:p>
    <w:p w14:paraId="1B17FCBB" w14:textId="2F096F93" w:rsidR="009A20E5" w:rsidRPr="0044793F" w:rsidRDefault="009A20E5" w:rsidP="00330022">
      <w:pPr>
        <w:pStyle w:val="Heading3"/>
        <w:rPr>
          <w:rFonts w:ascii="Arial" w:hAnsi="Arial" w:cs="Arial"/>
        </w:rPr>
      </w:pPr>
      <w:r w:rsidRPr="0044793F">
        <w:rPr>
          <w:rFonts w:ascii="Arial" w:hAnsi="Arial" w:cs="Arial"/>
        </w:rPr>
        <w:t>4.2.2 Content Marketing: Addressing Knowledge Gaps</w:t>
      </w:r>
    </w:p>
    <w:p w14:paraId="2417BB0C" w14:textId="77777777" w:rsidR="00E1092B" w:rsidRPr="0044793F" w:rsidRDefault="00E1092B" w:rsidP="00E1092B">
      <w:pPr>
        <w:spacing w:line="360" w:lineRule="auto"/>
        <w:jc w:val="both"/>
        <w:rPr>
          <w:rFonts w:ascii="Arial" w:hAnsi="Arial" w:cs="Arial"/>
        </w:rPr>
      </w:pPr>
      <w:r w:rsidRPr="0044793F">
        <w:rPr>
          <w:rFonts w:ascii="Arial" w:hAnsi="Arial" w:cs="Arial"/>
        </w:rPr>
        <w:t>Content marketing is significant in the presence of significant knowledge gaps as revealed in a study of Science Publishing Group Bangladesh (2013) that revealed that only 32% were familiar with the organic concept and Amin and Tarun (2020) found that the inability to identify the authentic product was one of the major barriers. Information asymmetry issue is mitigated in case of the organics, which is a credence good, by educational content (Kaur and Kaur, 2020).</w:t>
      </w:r>
    </w:p>
    <w:p w14:paraId="3D6F7A86" w14:textId="77777777" w:rsidR="00E1092B" w:rsidRPr="0044793F" w:rsidRDefault="00E1092B" w:rsidP="00E1092B">
      <w:pPr>
        <w:spacing w:line="360" w:lineRule="auto"/>
        <w:jc w:val="both"/>
        <w:rPr>
          <w:rFonts w:ascii="Arial" w:hAnsi="Arial" w:cs="Arial"/>
        </w:rPr>
      </w:pPr>
      <w:r w:rsidRPr="0044793F">
        <w:rPr>
          <w:rFonts w:ascii="Arial" w:hAnsi="Arial" w:cs="Arial"/>
        </w:rPr>
        <w:t xml:space="preserve">Production-process videos (building transparency), certification explanations (filling knowledge gaps), content about health benefits (lending on health consciousness as a consumer motivation) and recipe-oriented content (consumption actionable) are all good examples of content </w:t>
      </w:r>
      <w:proofErr w:type="spellStart"/>
      <w:proofErr w:type="gramStart"/>
      <w:r w:rsidRPr="0044793F">
        <w:rPr>
          <w:rFonts w:ascii="Arial" w:hAnsi="Arial" w:cs="Arial"/>
        </w:rPr>
        <w:t>types.Some</w:t>
      </w:r>
      <w:proofErr w:type="spellEnd"/>
      <w:proofErr w:type="gramEnd"/>
      <w:r w:rsidRPr="0044793F">
        <w:rPr>
          <w:rFonts w:ascii="Arial" w:hAnsi="Arial" w:cs="Arial"/>
        </w:rPr>
        <w:t xml:space="preserve"> of the best examples of content types include production process videos, certification explanations, health benefit information, and practical recipe content.</w:t>
      </w:r>
    </w:p>
    <w:p w14:paraId="78BC453C" w14:textId="77777777" w:rsidR="00E1092B" w:rsidRPr="0044793F" w:rsidRDefault="00E1092B" w:rsidP="00E1092B">
      <w:pPr>
        <w:spacing w:line="360" w:lineRule="auto"/>
        <w:jc w:val="both"/>
        <w:rPr>
          <w:rFonts w:ascii="Arial" w:hAnsi="Arial" w:cs="Arial"/>
        </w:rPr>
      </w:pPr>
      <w:r w:rsidRPr="0044793F">
        <w:rPr>
          <w:rFonts w:ascii="Arial" w:hAnsi="Arial" w:cs="Arial"/>
        </w:rPr>
        <w:lastRenderedPageBreak/>
        <w:t xml:space="preserve">Successful example is </w:t>
      </w:r>
      <w:proofErr w:type="spellStart"/>
      <w:r w:rsidRPr="0044793F">
        <w:rPr>
          <w:rFonts w:ascii="Arial" w:hAnsi="Arial" w:cs="Arial"/>
        </w:rPr>
        <w:t>Shajgoj</w:t>
      </w:r>
      <w:proofErr w:type="spellEnd"/>
      <w:r w:rsidRPr="0044793F">
        <w:rPr>
          <w:rFonts w:ascii="Arial" w:hAnsi="Arial" w:cs="Arial"/>
        </w:rPr>
        <w:t xml:space="preserve"> (Bangladeshi wellness platform) where they bring in organic food into the bigger health ecosystem, making the consumption of organic food a part of the health-conscious lifestyle. This takes advantage of the health consciousness that has already been documented as the main motivator and adds context relevance which boosts perceived value. The credibility that the platform enjoys in the wellness industry translates to recommendations of organic products as well, according to value co-creation in digital marketing as explained by Kannan and Li (2017).</w:t>
      </w:r>
    </w:p>
    <w:p w14:paraId="69B917D7" w14:textId="77777777" w:rsidR="00E1092B" w:rsidRPr="0044793F" w:rsidRDefault="00E1092B" w:rsidP="00E1092B">
      <w:pPr>
        <w:spacing w:line="360" w:lineRule="auto"/>
        <w:jc w:val="both"/>
        <w:rPr>
          <w:rFonts w:ascii="Arial" w:hAnsi="Arial" w:cs="Arial"/>
        </w:rPr>
      </w:pPr>
      <w:r w:rsidRPr="0044793F">
        <w:rPr>
          <w:rFonts w:ascii="Arial" w:hAnsi="Arial" w:cs="Arial"/>
        </w:rPr>
        <w:t>In contrast, for example if the content is intended to be transparent, but technical in agriculture jargon that is not understood by the general consumer, it does not make it. Shareef et al. (2019) pointed out digital literacy differences – content needs to be appealing to a variety of audiences. Another common error is posting frequencies that aren't consistent, such as posting a lot initially and then going silent for months, which would lead to a loss of credibility and not help feed the consistent engagement that's needed in building a trustworthy relationship over the long term.</w:t>
      </w:r>
    </w:p>
    <w:p w14:paraId="4AF5E86B" w14:textId="77777777" w:rsidR="00E1092B" w:rsidRPr="0044793F" w:rsidRDefault="00E1092B" w:rsidP="00E1092B">
      <w:pPr>
        <w:spacing w:line="360" w:lineRule="auto"/>
        <w:jc w:val="both"/>
        <w:rPr>
          <w:rFonts w:ascii="Arial" w:hAnsi="Arial" w:cs="Arial"/>
        </w:rPr>
      </w:pPr>
      <w:r w:rsidRPr="0044793F">
        <w:rPr>
          <w:rFonts w:ascii="Arial" w:hAnsi="Arial" w:cs="Arial"/>
        </w:rPr>
        <w:t>Combined, the evidence suggests that content marketing can be used to influence the informational component of attitude-</w:t>
      </w:r>
      <w:proofErr w:type="spellStart"/>
      <w:r w:rsidRPr="0044793F">
        <w:rPr>
          <w:rFonts w:ascii="Arial" w:hAnsi="Arial" w:cs="Arial"/>
        </w:rPr>
        <w:t>behaviour</w:t>
      </w:r>
      <w:proofErr w:type="spellEnd"/>
      <w:r w:rsidRPr="0044793F">
        <w:rPr>
          <w:rFonts w:ascii="Arial" w:hAnsi="Arial" w:cs="Arial"/>
        </w:rPr>
        <w:t xml:space="preserve"> gap, creating more informed positive attitudes, which are more likely to lead to actual purchases than general attitudes, but are incapable of doing so without removing the price/availability barrier. This is consistent with Elaboration Likelihood Model (ELM) (Petty and Cacioppo, 1986) which suggests that good informational content makes it easier to process centrally, thus increasing the likelihood of a more lasting attitude change than would </w:t>
      </w:r>
      <w:proofErr w:type="gramStart"/>
      <w:r w:rsidRPr="0044793F">
        <w:rPr>
          <w:rFonts w:ascii="Arial" w:hAnsi="Arial" w:cs="Arial"/>
        </w:rPr>
        <w:t>peripheral</w:t>
      </w:r>
      <w:proofErr w:type="gramEnd"/>
      <w:r w:rsidRPr="0044793F">
        <w:rPr>
          <w:rFonts w:ascii="Arial" w:hAnsi="Arial" w:cs="Arial"/>
        </w:rPr>
        <w:t xml:space="preserve"> processing.</w:t>
      </w:r>
    </w:p>
    <w:p w14:paraId="5F32D211" w14:textId="7DAC02D7" w:rsidR="009A20E5" w:rsidRPr="0044793F" w:rsidRDefault="009A20E5" w:rsidP="00330022">
      <w:pPr>
        <w:pStyle w:val="Heading3"/>
        <w:rPr>
          <w:rFonts w:ascii="Arial" w:hAnsi="Arial" w:cs="Arial"/>
        </w:rPr>
      </w:pPr>
      <w:r w:rsidRPr="0044793F">
        <w:rPr>
          <w:rFonts w:ascii="Arial" w:hAnsi="Arial" w:cs="Arial"/>
        </w:rPr>
        <w:t>4.2.3 E-commerce Integration: Access with Trust Requirements</w:t>
      </w:r>
    </w:p>
    <w:p w14:paraId="69ED4896" w14:textId="77777777" w:rsidR="00A90EBC" w:rsidRPr="0044793F" w:rsidRDefault="00A90EBC" w:rsidP="00A90EBC">
      <w:pPr>
        <w:spacing w:line="360" w:lineRule="auto"/>
        <w:jc w:val="both"/>
        <w:rPr>
          <w:rFonts w:ascii="Arial" w:hAnsi="Arial" w:cs="Arial"/>
        </w:rPr>
      </w:pPr>
      <w:r w:rsidRPr="0044793F">
        <w:rPr>
          <w:rFonts w:ascii="Arial" w:hAnsi="Arial" w:cs="Arial"/>
        </w:rPr>
        <w:t>E-commerce solves availability issues in situations where organic retailing networks are negligible (Islam et al., 2020). COVID-19 has prompted the pace of adoption (Bala and Hossain, 2021), bringing new opportunities. Importantly, Islam et al. (2023) determined the perceived usefulness, ease of use and trust as strong predictors of intention to shop online. This confirms the validity of the Technology Acceptance Model (TAM) and also accentuates the need of an extension that includes trust in the context of Bangladesh.</w:t>
      </w:r>
    </w:p>
    <w:p w14:paraId="4F0693EF"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E-commerce benefits: The Geography problem, product availability enhances product availability, which has a significant impact on purchase decision (ResearchGate </w:t>
      </w:r>
      <w:r w:rsidRPr="0044793F">
        <w:rPr>
          <w:rFonts w:ascii="Arial" w:hAnsi="Arial" w:cs="Arial"/>
        </w:rPr>
        <w:lastRenderedPageBreak/>
        <w:t>Bangladesh study, 2021). E-commerce also provides information in detail, which is a functional value that is strongly predictive of the intention to buy online (Prince et al., 2024), is conducive to direct producer-consumer connections (ScienceDirect mango study, 2025) and is one element of subscription models in which convenience is the driver of customer loyalty (PMC Bangladesh study, 2023).</w:t>
      </w:r>
    </w:p>
    <w:p w14:paraId="4A6611D0"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However, there are barriers to trust that are essential: UJ study 2024: Most important factor is product authenticity verification. Rahman et al. (2021) found that all four of the aforementioned factors have an effect on </w:t>
      </w:r>
      <w:proofErr w:type="spellStart"/>
      <w:proofErr w:type="gramStart"/>
      <w:r w:rsidRPr="0044793F">
        <w:rPr>
          <w:rFonts w:ascii="Arial" w:hAnsi="Arial" w:cs="Arial"/>
        </w:rPr>
        <w:t>satisfaction.All</w:t>
      </w:r>
      <w:proofErr w:type="spellEnd"/>
      <w:proofErr w:type="gramEnd"/>
      <w:r w:rsidRPr="0044793F">
        <w:rPr>
          <w:rFonts w:ascii="Arial" w:hAnsi="Arial" w:cs="Arial"/>
        </w:rPr>
        <w:t xml:space="preserve"> four of these factors – trust in certification, sellers, payment, and delivery – had an impact on satisfaction, according to Rahman et al. (2021). These are </w:t>
      </w:r>
      <w:proofErr w:type="spellStart"/>
      <w:r w:rsidRPr="0044793F">
        <w:rPr>
          <w:rFonts w:ascii="Arial" w:hAnsi="Arial" w:cs="Arial"/>
        </w:rPr>
        <w:t>multi dimensional</w:t>
      </w:r>
      <w:proofErr w:type="spellEnd"/>
      <w:r w:rsidRPr="0044793F">
        <w:rPr>
          <w:rFonts w:ascii="Arial" w:hAnsi="Arial" w:cs="Arial"/>
        </w:rPr>
        <w:t xml:space="preserve"> trust needs, described above as process-based trust, characteristic-based trust, and institutional-based trust, by Zucker (1986).</w:t>
      </w:r>
    </w:p>
    <w:p w14:paraId="48C6382C" w14:textId="77777777" w:rsidR="00A90EBC" w:rsidRPr="0044793F" w:rsidRDefault="00A90EBC" w:rsidP="00A90EBC">
      <w:pPr>
        <w:spacing w:line="360" w:lineRule="auto"/>
        <w:jc w:val="both"/>
        <w:rPr>
          <w:rFonts w:ascii="Arial" w:hAnsi="Arial" w:cs="Arial"/>
        </w:rPr>
      </w:pPr>
      <w:r w:rsidRPr="0044793F">
        <w:rPr>
          <w:rFonts w:ascii="Arial" w:hAnsi="Arial" w:cs="Arial"/>
        </w:rPr>
        <w:t>Successful example: Chaldal.com gives detailed descriptions, customer reviews, secure payment, reliable delivery and offers prompt service, which builds trust. But the organic range is still a small portion and high-priced, with the successful e-commerce platforms still facing difficulties in organic product range expansion, which is bound by a combination of supply-side constraints and price sensitivity.</w:t>
      </w:r>
    </w:p>
    <w:p w14:paraId="7765C121" w14:textId="77777777" w:rsidR="00A90EBC" w:rsidRPr="0044793F" w:rsidRDefault="00A90EBC" w:rsidP="00A90EBC">
      <w:pPr>
        <w:spacing w:line="360" w:lineRule="auto"/>
        <w:jc w:val="both"/>
        <w:rPr>
          <w:rFonts w:ascii="Arial" w:hAnsi="Arial" w:cs="Arial"/>
        </w:rPr>
      </w:pPr>
      <w:r w:rsidRPr="0044793F">
        <w:rPr>
          <w:rFonts w:ascii="Arial" w:hAnsi="Arial" w:cs="Arial"/>
        </w:rPr>
        <w:t>In contrast, Facebook Marketplace for informal sale does not have any institutional trust signals. UJ study (2024) showed that verified seller credentials are a key—informal methods will not scale. Some emerging delivery systems of organics suffered from growth problems due to lack of reliability in delivery services, which had a negative word of mouth effect especially in collectivist cultures with the strong influence of social norms (Islam et al, 2020: subjective norms β=0.23 significant).</w:t>
      </w:r>
    </w:p>
    <w:p w14:paraId="6F316CF0" w14:textId="77777777" w:rsidR="00A90EBC" w:rsidRPr="0044793F" w:rsidRDefault="00A90EBC" w:rsidP="00A90EBC">
      <w:pPr>
        <w:spacing w:line="360" w:lineRule="auto"/>
        <w:jc w:val="both"/>
        <w:rPr>
          <w:rFonts w:ascii="Arial" w:hAnsi="Arial" w:cs="Arial"/>
        </w:rPr>
      </w:pPr>
      <w:r w:rsidRPr="0044793F">
        <w:rPr>
          <w:rFonts w:ascii="Arial" w:hAnsi="Arial" w:cs="Arial"/>
        </w:rPr>
        <w:t>The overall picture is that e-commerce performance is tied to the elements of trust infrastructure (payment security, return policies and guarantees), information architecture (certification verification and transparency), and operational reliability (consistency of delivery and quality). The channel is open but it takes trust – perceived risk reduction is key to technology adoption (Davis, 1989).</w:t>
      </w:r>
    </w:p>
    <w:p w14:paraId="0FD0CCDC" w14:textId="7645CF5F" w:rsidR="009A20E5" w:rsidRPr="0044793F" w:rsidRDefault="009A20E5" w:rsidP="00330022">
      <w:pPr>
        <w:pStyle w:val="Heading3"/>
        <w:rPr>
          <w:rFonts w:ascii="Arial" w:hAnsi="Arial" w:cs="Arial"/>
        </w:rPr>
      </w:pPr>
      <w:r w:rsidRPr="0044793F">
        <w:rPr>
          <w:rFonts w:ascii="Arial" w:hAnsi="Arial" w:cs="Arial"/>
        </w:rPr>
        <w:lastRenderedPageBreak/>
        <w:t>4.2.4 Influencer Marketing and Integrated Strategies</w:t>
      </w:r>
    </w:p>
    <w:p w14:paraId="60E89C25" w14:textId="77777777" w:rsidR="00A90EBC" w:rsidRPr="0044793F" w:rsidRDefault="00A90EBC" w:rsidP="00A90EBC">
      <w:pPr>
        <w:spacing w:line="360" w:lineRule="auto"/>
        <w:jc w:val="both"/>
        <w:rPr>
          <w:rFonts w:ascii="Arial" w:hAnsi="Arial" w:cs="Arial"/>
        </w:rPr>
      </w:pPr>
      <w:r w:rsidRPr="0044793F">
        <w:rPr>
          <w:rFonts w:ascii="Arial" w:hAnsi="Arial" w:cs="Arial"/>
        </w:rPr>
        <w:t>With institutional trust low and personal trust high, influencer marketing benefits from the trust of individuals to endorse products and services (Shareef et al., 2019). The study by Babu et al. (2025) revealed that all three were found as significant and positive contributors to the purchase intention in Bangladesh. In particular, micro-influencers (those with 10K-100K followers) were found to be even more trusted than mega-influencers, which indicates that authenticity and relatability is more valuable than the number of followers.</w:t>
      </w:r>
    </w:p>
    <w:p w14:paraId="56BB279C" w14:textId="77777777" w:rsidR="00A90EBC" w:rsidRPr="0044793F" w:rsidRDefault="00A90EBC" w:rsidP="00A90EBC">
      <w:pPr>
        <w:spacing w:line="360" w:lineRule="auto"/>
        <w:jc w:val="both"/>
        <w:rPr>
          <w:rFonts w:ascii="Arial" w:hAnsi="Arial" w:cs="Arial"/>
        </w:rPr>
      </w:pPr>
      <w:r w:rsidRPr="0044793F">
        <w:rPr>
          <w:rFonts w:ascii="Arial" w:hAnsi="Arial" w:cs="Arial"/>
        </w:rPr>
        <w:t>Successful example is that the nutritionists from Bangladesh with Instagram followers (10K-50K) will collaborate with the organic sellers, providing the nutrition benefits of the product and highlighting the products in meal plans on their social media. This is a blend of professional credibility and demonstration. When food bloggers are used to promote products in realistic settings – as they are in recipes – it helps keep the authenticity of the food while also giving customers exposure to the product in a real-world setting.</w:t>
      </w:r>
    </w:p>
    <w:p w14:paraId="22822E6F" w14:textId="77777777" w:rsidR="00A90EBC" w:rsidRPr="0044793F" w:rsidRDefault="00A90EBC" w:rsidP="00A90EBC">
      <w:pPr>
        <w:spacing w:line="360" w:lineRule="auto"/>
        <w:jc w:val="both"/>
        <w:rPr>
          <w:rFonts w:ascii="Arial" w:hAnsi="Arial" w:cs="Arial"/>
        </w:rPr>
      </w:pPr>
      <w:r w:rsidRPr="0044793F">
        <w:rPr>
          <w:rFonts w:ascii="Arial" w:hAnsi="Arial" w:cs="Arial"/>
        </w:rPr>
        <w:t>Influencers without any organic/health content who all of a sudden start recommending organic products in obviously sponsored content, however, don't have any credibility: Followers are aware of the incongruence between what they are used to seeing and what they are now seeing, and they think of a commercialization instead of a real recommendation.</w:t>
      </w:r>
    </w:p>
    <w:p w14:paraId="4DC4ECF6" w14:textId="352689D3" w:rsidR="009A20E5" w:rsidRPr="0044793F" w:rsidRDefault="009A20E5" w:rsidP="00330022">
      <w:pPr>
        <w:pStyle w:val="Heading2"/>
        <w:rPr>
          <w:rFonts w:ascii="Arial" w:hAnsi="Arial" w:cs="Arial"/>
        </w:rPr>
      </w:pPr>
      <w:r w:rsidRPr="0044793F">
        <w:rPr>
          <w:rFonts w:ascii="Arial" w:hAnsi="Arial" w:cs="Arial"/>
        </w:rPr>
        <w:t xml:space="preserve">4.3 Findings Related to Research Question 2: Consumer Determinants and </w:t>
      </w:r>
      <w:proofErr w:type="spellStart"/>
      <w:r w:rsidRPr="0044793F">
        <w:rPr>
          <w:rFonts w:ascii="Arial" w:hAnsi="Arial" w:cs="Arial"/>
        </w:rPr>
        <w:t>Behaviours</w:t>
      </w:r>
      <w:proofErr w:type="spellEnd"/>
    </w:p>
    <w:p w14:paraId="702F159E" w14:textId="77777777" w:rsidR="00A90EBC" w:rsidRPr="0044793F" w:rsidRDefault="00A90EBC" w:rsidP="00404048">
      <w:pPr>
        <w:spacing w:line="360" w:lineRule="auto"/>
        <w:jc w:val="both"/>
        <w:rPr>
          <w:rFonts w:ascii="Arial" w:hAnsi="Arial" w:cs="Arial"/>
          <w:bCs/>
        </w:rPr>
      </w:pPr>
      <w:r w:rsidRPr="0044793F">
        <w:rPr>
          <w:rFonts w:ascii="Arial" w:hAnsi="Arial" w:cs="Arial"/>
          <w:bCs/>
        </w:rPr>
        <w:t xml:space="preserve">RQ2: What are the salient consumer attributes and behaviors that affect the acceptance of the organic products in digital markets in Bangladesh? </w:t>
      </w:r>
    </w:p>
    <w:p w14:paraId="635867BA" w14:textId="1B3C37A3" w:rsidR="009A20E5" w:rsidRPr="0044793F" w:rsidRDefault="009A20E5" w:rsidP="00330022">
      <w:pPr>
        <w:pStyle w:val="Heading3"/>
        <w:rPr>
          <w:rFonts w:ascii="Arial" w:hAnsi="Arial" w:cs="Arial"/>
        </w:rPr>
      </w:pPr>
      <w:r w:rsidRPr="0044793F">
        <w:rPr>
          <w:rFonts w:ascii="Arial" w:hAnsi="Arial" w:cs="Arial"/>
        </w:rPr>
        <w:t>4.3.1 Health Consciousness: Dominant Motivator</w:t>
      </w:r>
    </w:p>
    <w:p w14:paraId="3BDFF6BF"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Health awareness is the most prominent and prevalent motivator in various studies in Bangladesh (Kabir and Islam, 2022; Zheng et al., 2021; IJFMR BANG study, 2024). Such health-related motivations significantly outnumber concerns about the environment, especially so in situations with a heavy load of known food safety issues. Comparative analysis shows that health motivations are more prominent in Bangladesh than developed </w:t>
      </w:r>
      <w:r w:rsidRPr="0044793F">
        <w:rPr>
          <w:rFonts w:ascii="Arial" w:hAnsi="Arial" w:cs="Arial"/>
        </w:rPr>
        <w:lastRenderedPageBreak/>
        <w:t xml:space="preserve">markets where the environmental motivations are increasingly coming into parity with health, </w:t>
      </w:r>
      <w:proofErr w:type="spellStart"/>
      <w:r w:rsidRPr="0044793F">
        <w:rPr>
          <w:rFonts w:ascii="Arial" w:hAnsi="Arial" w:cs="Arial"/>
        </w:rPr>
        <w:t>Gundala</w:t>
      </w:r>
      <w:proofErr w:type="spellEnd"/>
      <w:r w:rsidRPr="0044793F">
        <w:rPr>
          <w:rFonts w:ascii="Arial" w:hAnsi="Arial" w:cs="Arial"/>
        </w:rPr>
        <w:t xml:space="preserve"> and Singh (2021) found health and environmental motivations to be co-equal in their study in U.S.</w:t>
      </w:r>
    </w:p>
    <w:p w14:paraId="1A09CFA9"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Contextual driver: Paul et al. (2025) reported 43% of vegetable samples were found to have health risk quotients &gt;1 for children due to exceeding maximum residues. </w:t>
      </w:r>
      <w:proofErr w:type="spellStart"/>
      <w:r w:rsidRPr="0044793F">
        <w:rPr>
          <w:rFonts w:ascii="Arial" w:hAnsi="Arial" w:cs="Arial"/>
        </w:rPr>
        <w:t>Momtaz</w:t>
      </w:r>
      <w:proofErr w:type="spellEnd"/>
      <w:r w:rsidRPr="0044793F">
        <w:rPr>
          <w:rFonts w:ascii="Arial" w:hAnsi="Arial" w:cs="Arial"/>
        </w:rPr>
        <w:t xml:space="preserve"> and Khan (2024) detected 38% samples with chlorpyrifos concentration of 2-5x safe limits. The trend of increasing contamination was recorded in </w:t>
      </w:r>
      <w:proofErr w:type="spellStart"/>
      <w:r w:rsidRPr="0044793F">
        <w:rPr>
          <w:rFonts w:ascii="Arial" w:hAnsi="Arial" w:cs="Arial"/>
        </w:rPr>
        <w:t>Heliyon</w:t>
      </w:r>
      <w:proofErr w:type="spellEnd"/>
      <w:r w:rsidRPr="0044793F">
        <w:rPr>
          <w:rFonts w:ascii="Arial" w:hAnsi="Arial" w:cs="Arial"/>
        </w:rPr>
        <w:t xml:space="preserve"> systematic review (2023): 34% exceeded limits in 2013, to 47% in 2022 – there is an emergency health situation. Such documented contamination makes it clear that there are great health-based demands for certified alternatives. Health concerns were shown to be a valid concern as opposed to a preference; </w:t>
      </w:r>
      <w:proofErr w:type="spellStart"/>
      <w:r w:rsidRPr="0044793F">
        <w:rPr>
          <w:rFonts w:ascii="Arial" w:hAnsi="Arial" w:cs="Arial"/>
        </w:rPr>
        <w:t>Alam</w:t>
      </w:r>
      <w:proofErr w:type="spellEnd"/>
      <w:r w:rsidRPr="0044793F">
        <w:rPr>
          <w:rFonts w:ascii="Arial" w:hAnsi="Arial" w:cs="Arial"/>
        </w:rPr>
        <w:t xml:space="preserve"> (2024) found 73% to be concerned about pesticide residues.</w:t>
      </w:r>
    </w:p>
    <w:p w14:paraId="58361B41" w14:textId="77777777" w:rsidR="00A90EBC" w:rsidRPr="0044793F" w:rsidRDefault="00A90EBC" w:rsidP="00A90EBC">
      <w:pPr>
        <w:spacing w:line="360" w:lineRule="auto"/>
        <w:jc w:val="both"/>
        <w:rPr>
          <w:rFonts w:ascii="Arial" w:hAnsi="Arial" w:cs="Arial"/>
        </w:rPr>
      </w:pPr>
      <w:r w:rsidRPr="0044793F">
        <w:rPr>
          <w:rFonts w:ascii="Arial" w:hAnsi="Arial" w:cs="Arial"/>
        </w:rPr>
        <w:t>For practice: this means that digital campaigns that focus on health, food safety, are in tune with primary consumer motivations and documented contextual realities. Yet claims need to be supported with evidence: Tandon et al. (2020) reported that trust is a moderator of the relationship between organic purchase and the claim, and that claims that are not supported with evidence will not build credibility. Given the health messaging of the tea study on ScienceDirect (2022), where the results were clearly communicated and based on credible information, it is possible that the premium price would be acceptable.</w:t>
      </w:r>
    </w:p>
    <w:p w14:paraId="0AB8FA7C" w14:textId="3FF29475" w:rsidR="009A20E5" w:rsidRPr="0044793F" w:rsidRDefault="009A20E5" w:rsidP="00330022">
      <w:pPr>
        <w:pStyle w:val="Heading3"/>
        <w:rPr>
          <w:rFonts w:ascii="Arial" w:hAnsi="Arial" w:cs="Arial"/>
        </w:rPr>
      </w:pPr>
      <w:r w:rsidRPr="0044793F">
        <w:rPr>
          <w:rFonts w:ascii="Arial" w:hAnsi="Arial" w:cs="Arial"/>
        </w:rPr>
        <w:t>4.3.2 Persistent Attitude-</w:t>
      </w:r>
      <w:proofErr w:type="spellStart"/>
      <w:r w:rsidRPr="0044793F">
        <w:rPr>
          <w:rFonts w:ascii="Arial" w:hAnsi="Arial" w:cs="Arial"/>
        </w:rPr>
        <w:t>Behaviour</w:t>
      </w:r>
      <w:proofErr w:type="spellEnd"/>
      <w:r w:rsidRPr="0044793F">
        <w:rPr>
          <w:rFonts w:ascii="Arial" w:hAnsi="Arial" w:cs="Arial"/>
        </w:rPr>
        <w:t xml:space="preserve"> Gap</w:t>
      </w:r>
    </w:p>
    <w:p w14:paraId="53255FE5" w14:textId="77777777" w:rsidR="00A90EBC" w:rsidRPr="0044793F" w:rsidRDefault="00A90EBC" w:rsidP="00A90EBC">
      <w:pPr>
        <w:spacing w:line="360" w:lineRule="auto"/>
        <w:jc w:val="both"/>
        <w:rPr>
          <w:rFonts w:ascii="Arial" w:hAnsi="Arial" w:cs="Arial"/>
        </w:rPr>
      </w:pPr>
      <w:r w:rsidRPr="0044793F">
        <w:rPr>
          <w:rFonts w:ascii="Arial" w:hAnsi="Arial" w:cs="Arial"/>
        </w:rPr>
        <w:t>Despite the positive attitudes documented attitude-</w:t>
      </w:r>
      <w:proofErr w:type="spellStart"/>
      <w:r w:rsidRPr="0044793F">
        <w:rPr>
          <w:rFonts w:ascii="Arial" w:hAnsi="Arial" w:cs="Arial"/>
        </w:rPr>
        <w:t>behaviour</w:t>
      </w:r>
      <w:proofErr w:type="spellEnd"/>
      <w:r w:rsidRPr="0044793F">
        <w:rPr>
          <w:rFonts w:ascii="Arial" w:hAnsi="Arial" w:cs="Arial"/>
        </w:rPr>
        <w:t xml:space="preserve"> gap (</w:t>
      </w:r>
      <w:proofErr w:type="spellStart"/>
      <w:r w:rsidRPr="0044793F">
        <w:rPr>
          <w:rFonts w:ascii="Arial" w:hAnsi="Arial" w:cs="Arial"/>
        </w:rPr>
        <w:t>Aertsens</w:t>
      </w:r>
      <w:proofErr w:type="spellEnd"/>
      <w:r w:rsidRPr="0044793F">
        <w:rPr>
          <w:rFonts w:ascii="Arial" w:hAnsi="Arial" w:cs="Arial"/>
        </w:rPr>
        <w:t xml:space="preserve"> et al., 2009) is low. A study conducted by MDPI Portugal (2023) found that 42% of the population who had the intention to buy do not actually purchase the product, the primary conversion barriers being the availability of the product and its price. This disparity is evident in contexts, and especially in markets in emerging countries in which structural impediments are more significant.</w:t>
      </w:r>
    </w:p>
    <w:p w14:paraId="5BDCB872"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Price barriers: Across a variety of contexts, perceived high price is the most prominent barrier to adoption, as seen in the studies in Bangladesh (Kabir and Islam, 2022), other emerging markets (ResearchGate study, 2021), and by the study of </w:t>
      </w:r>
      <w:proofErr w:type="spellStart"/>
      <w:r w:rsidRPr="0044793F">
        <w:rPr>
          <w:rFonts w:ascii="Arial" w:hAnsi="Arial" w:cs="Arial"/>
        </w:rPr>
        <w:t>Elhaty</w:t>
      </w:r>
      <w:proofErr w:type="spellEnd"/>
      <w:r w:rsidRPr="0044793F">
        <w:rPr>
          <w:rFonts w:ascii="Arial" w:hAnsi="Arial" w:cs="Arial"/>
        </w:rPr>
        <w:t xml:space="preserve"> et al. (2022)). </w:t>
      </w:r>
      <w:r w:rsidRPr="0044793F">
        <w:rPr>
          <w:rFonts w:ascii="Arial" w:hAnsi="Arial" w:cs="Arial"/>
        </w:rPr>
        <w:lastRenderedPageBreak/>
        <w:t>Amin and Tarun (2020) pointed out that the price premium of organic products is between 30 to 100% which makes them luxury products. Moreover, Wang et al., (2020) pointed out the importance of price sensitivity in the link between perceived quality and intention; even if the digital marketing is successful in increasing the perceived quality of a product, high price sensitivity will prevent the final conversion.</w:t>
      </w:r>
    </w:p>
    <w:p w14:paraId="247A6DF1"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Availability barriers: If consumer attitudes towards the product are very positive, but the physical availability of the product is limited, then purchasing </w:t>
      </w:r>
      <w:proofErr w:type="spellStart"/>
      <w:r w:rsidRPr="0044793F">
        <w:rPr>
          <w:rFonts w:ascii="Arial" w:hAnsi="Arial" w:cs="Arial"/>
        </w:rPr>
        <w:t>behaviour</w:t>
      </w:r>
      <w:proofErr w:type="spellEnd"/>
      <w:r w:rsidRPr="0044793F">
        <w:rPr>
          <w:rFonts w:ascii="Arial" w:hAnsi="Arial" w:cs="Arial"/>
        </w:rPr>
        <w:t xml:space="preserve"> is restricted. Researchers have found that convenience issues are overcome through digital access and this is one of the key factors of successful adoption (Kabir and Islam, 2022; ResearchGate study, 2021).</w:t>
      </w:r>
    </w:p>
    <w:p w14:paraId="196D4669" w14:textId="474F8568" w:rsidR="00A90EBC" w:rsidRPr="0044793F" w:rsidRDefault="00A90EBC" w:rsidP="00A90EBC">
      <w:pPr>
        <w:spacing w:line="360" w:lineRule="auto"/>
        <w:jc w:val="both"/>
        <w:rPr>
          <w:rFonts w:ascii="Arial" w:hAnsi="Arial" w:cs="Arial"/>
        </w:rPr>
      </w:pPr>
      <w:r w:rsidRPr="0044793F">
        <w:rPr>
          <w:rFonts w:ascii="Arial" w:hAnsi="Arial" w:cs="Arial"/>
        </w:rPr>
        <w:t xml:space="preserve">Consumer skepticism: Ashraf et al. (2019) concluded that consumer skepticism is a good indicator of the avoidance behavior of organic products. In addition to doubts on product authenticity, a lack of trust exists among certification bodies, even among those that are health-conscious (IJFMR study, 2024). Collectively, these pieces of evidence suggest that digital marketing can overcome attitudinal and informational barriers (awareness and education, perception) but </w:t>
      </w:r>
      <w:proofErr w:type="spellStart"/>
      <w:r w:rsidRPr="0044793F">
        <w:rPr>
          <w:rFonts w:ascii="Arial" w:hAnsi="Arial" w:cs="Arial"/>
        </w:rPr>
        <w:t>not</w:t>
      </w:r>
      <w:proofErr w:type="spellEnd"/>
      <w:r w:rsidRPr="0044793F">
        <w:rPr>
          <w:rFonts w:ascii="Arial" w:hAnsi="Arial" w:cs="Arial"/>
        </w:rPr>
        <w:t xml:space="preserve"> other barriers such as practical (affordability, physical availability) or institutional (low quality certification systems). Complementary investments in the supply chain, pricing, certification... can be necessary for effectiveness - without them, the isolated digital marketing investment will have limited results.</w:t>
      </w:r>
    </w:p>
    <w:p w14:paraId="0CF097C9" w14:textId="07D88B86" w:rsidR="009A20E5" w:rsidRPr="0044793F" w:rsidRDefault="009A20E5" w:rsidP="00330022">
      <w:pPr>
        <w:pStyle w:val="Heading3"/>
        <w:rPr>
          <w:rFonts w:ascii="Arial" w:hAnsi="Arial" w:cs="Arial"/>
        </w:rPr>
      </w:pPr>
      <w:r w:rsidRPr="0044793F">
        <w:rPr>
          <w:rFonts w:ascii="Arial" w:hAnsi="Arial" w:cs="Arial"/>
        </w:rPr>
        <w:t>4.3.3 Trust as Central Mediating Mechanism</w:t>
      </w:r>
    </w:p>
    <w:p w14:paraId="20982B8D"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Trust has proven to be a key mediator across all finding domains, impacting digital engagement into </w:t>
      </w:r>
      <w:proofErr w:type="spellStart"/>
      <w:r w:rsidRPr="0044793F">
        <w:rPr>
          <w:rFonts w:ascii="Arial" w:hAnsi="Arial" w:cs="Arial"/>
        </w:rPr>
        <w:t>behaviour</w:t>
      </w:r>
      <w:proofErr w:type="spellEnd"/>
      <w:r w:rsidRPr="0044793F">
        <w:rPr>
          <w:rFonts w:ascii="Arial" w:hAnsi="Arial" w:cs="Arial"/>
        </w:rPr>
        <w:t>. There are a number of levels of trust, which produce complicated demands:</w:t>
      </w:r>
    </w:p>
    <w:p w14:paraId="08CB78CC" w14:textId="77777777" w:rsidR="00A90EBC" w:rsidRPr="0044793F" w:rsidRDefault="00A90EBC" w:rsidP="00A90EBC">
      <w:pPr>
        <w:spacing w:line="360" w:lineRule="auto"/>
        <w:jc w:val="both"/>
        <w:rPr>
          <w:rFonts w:ascii="Arial" w:hAnsi="Arial" w:cs="Arial"/>
        </w:rPr>
      </w:pPr>
      <w:r w:rsidRPr="0044793F">
        <w:rPr>
          <w:rFonts w:ascii="Arial" w:hAnsi="Arial" w:cs="Arial"/>
        </w:rPr>
        <w:t>Institutional trust is a very important factor of organic purchasing, as they were identified by Certification trust: Kabir and Islam (2022). The weaknesses of the certification systems in Bangladesh introduce doubts in the system that can be mitigated by transparent information to fill gaps in the system.</w:t>
      </w:r>
    </w:p>
    <w:p w14:paraId="00E5E2E9"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The security of the payment, reliability in delivery, and assurance of the authenticity of the product are all essential in order for people to adopt e-commerce on the platform (Kundu </w:t>
      </w:r>
      <w:r w:rsidRPr="0044793F">
        <w:rPr>
          <w:rFonts w:ascii="Arial" w:hAnsi="Arial" w:cs="Arial"/>
        </w:rPr>
        <w:lastRenderedPageBreak/>
        <w:t>et al., 2024). For example, policies and speed of returns, and refunds are essential elements that engender consumer confidence (ResearchGate study 2024). Moreover, Hafez (2021) found that trust would be a critical mediator that is fundamental in converting the activities in social media marketing into real brand equity.</w:t>
      </w:r>
    </w:p>
    <w:p w14:paraId="0E3EABFC" w14:textId="77777777" w:rsidR="00A90EBC" w:rsidRPr="0044793F" w:rsidRDefault="00A90EBC" w:rsidP="00A90EBC">
      <w:pPr>
        <w:spacing w:line="360" w:lineRule="auto"/>
        <w:jc w:val="both"/>
        <w:rPr>
          <w:rFonts w:ascii="Arial" w:hAnsi="Arial" w:cs="Arial"/>
        </w:rPr>
      </w:pPr>
      <w:r w:rsidRPr="0044793F">
        <w:rPr>
          <w:rFonts w:ascii="Arial" w:hAnsi="Arial" w:cs="Arial"/>
        </w:rPr>
        <w:t>Exemplification of source credibility effects from communication theory is influencer trust, which Babu et al. (2025) found to be the strongest determinant of purchase intention from the influencers.</w:t>
      </w:r>
    </w:p>
    <w:p w14:paraId="3E3A8782" w14:textId="77777777" w:rsidR="00A90EBC" w:rsidRPr="0044793F" w:rsidRDefault="00A90EBC" w:rsidP="00A90EBC">
      <w:pPr>
        <w:spacing w:line="360" w:lineRule="auto"/>
        <w:jc w:val="both"/>
        <w:rPr>
          <w:rFonts w:ascii="Arial" w:hAnsi="Arial" w:cs="Arial"/>
        </w:rPr>
      </w:pPr>
      <w:r w:rsidRPr="0044793F">
        <w:rPr>
          <w:rFonts w:ascii="Arial" w:hAnsi="Arial" w:cs="Arial"/>
        </w:rPr>
        <w:t>All of the evidence suggests that trust is not just another consumer attribute, but the key driver of digital marketing's impact on adoption. This study is a critical extension of the Technology Acceptance Model (TAM) as it shows that trust is an important third construct in addition to perceived usefulness and ease of use, especially in emerging markets with institutional trust deficits (Islam et al., 2023).</w:t>
      </w:r>
    </w:p>
    <w:p w14:paraId="6047BFE4" w14:textId="0494096F" w:rsidR="009A20E5" w:rsidRPr="0044793F" w:rsidRDefault="009A20E5" w:rsidP="00330022">
      <w:pPr>
        <w:pStyle w:val="Heading2"/>
        <w:rPr>
          <w:rFonts w:ascii="Arial" w:hAnsi="Arial" w:cs="Arial"/>
        </w:rPr>
      </w:pPr>
      <w:r w:rsidRPr="0044793F">
        <w:rPr>
          <w:rFonts w:ascii="Arial" w:hAnsi="Arial" w:cs="Arial"/>
        </w:rPr>
        <w:t>4.4 Findings Related to Research Question 3: Effectiveness of Digital Marketing Strategies</w:t>
      </w:r>
    </w:p>
    <w:p w14:paraId="10520FF5" w14:textId="77777777" w:rsidR="00A90EBC" w:rsidRPr="0044793F" w:rsidRDefault="00A90EBC" w:rsidP="00404048">
      <w:pPr>
        <w:spacing w:line="360" w:lineRule="auto"/>
        <w:jc w:val="both"/>
        <w:rPr>
          <w:rFonts w:ascii="Arial" w:hAnsi="Arial" w:cs="Arial"/>
          <w:bCs/>
        </w:rPr>
      </w:pPr>
      <w:r w:rsidRPr="0044793F">
        <w:rPr>
          <w:rFonts w:ascii="Arial" w:hAnsi="Arial" w:cs="Arial"/>
          <w:bCs/>
        </w:rPr>
        <w:t>RQ3: How effective are the certain digital marketing tools in promoting “Organic products” adoption among consumers in Bangladesh?</w:t>
      </w:r>
    </w:p>
    <w:p w14:paraId="0BC567C6" w14:textId="597C4AE5" w:rsidR="009A20E5" w:rsidRPr="0044793F" w:rsidRDefault="009A20E5" w:rsidP="00330022">
      <w:pPr>
        <w:pStyle w:val="Heading3"/>
        <w:rPr>
          <w:rFonts w:ascii="Arial" w:hAnsi="Arial" w:cs="Arial"/>
        </w:rPr>
      </w:pPr>
      <w:r w:rsidRPr="0044793F">
        <w:rPr>
          <w:rFonts w:ascii="Arial" w:hAnsi="Arial" w:cs="Arial"/>
        </w:rPr>
        <w:t>4.4.1 Differential Effectiveness Across Consumer Decision Stages</w:t>
      </w:r>
    </w:p>
    <w:p w14:paraId="05F08091" w14:textId="77777777" w:rsidR="00A90EBC" w:rsidRPr="0044793F" w:rsidRDefault="00A90EBC" w:rsidP="00A90EBC">
      <w:pPr>
        <w:spacing w:line="360" w:lineRule="auto"/>
        <w:jc w:val="both"/>
        <w:rPr>
          <w:rFonts w:ascii="Arial" w:hAnsi="Arial" w:cs="Arial"/>
        </w:rPr>
      </w:pPr>
      <w:r w:rsidRPr="0044793F">
        <w:rPr>
          <w:rFonts w:ascii="Arial" w:hAnsi="Arial" w:cs="Arial"/>
        </w:rPr>
        <w:t>An important comparison of evidence reveals that digital strategies are not equally effective throughout the consumers' decision journey, but have differential effectiveness which has implications for resource allocation.</w:t>
      </w:r>
    </w:p>
    <w:p w14:paraId="7680DFFD" w14:textId="77777777" w:rsidR="00A90EBC" w:rsidRPr="0044793F" w:rsidRDefault="00A90EBC" w:rsidP="00A90EBC">
      <w:pPr>
        <w:spacing w:line="360" w:lineRule="auto"/>
        <w:jc w:val="both"/>
        <w:rPr>
          <w:rFonts w:ascii="Arial" w:hAnsi="Arial" w:cs="Arial"/>
        </w:rPr>
      </w:pPr>
      <w:r w:rsidRPr="0044793F">
        <w:rPr>
          <w:rFonts w:ascii="Arial" w:hAnsi="Arial" w:cs="Arial"/>
        </w:rPr>
        <w:t>Raising awareness: Very good on social media. Among the SMEs in Bangladesh, Mustaqeem and Sarder (2024) found that 52% of the brands were able to improve their brand awareness and 63% of their customers were reached with digital marketing. The results of this study by Eti et al. (2021) have been verified as the effects of awareness and engagement are significant. Facebook cost per impression is much lower than traditional media which is the best awareness platform for resource-light brands and businesses to leverage.</w:t>
      </w:r>
    </w:p>
    <w:p w14:paraId="491DD848" w14:textId="77777777" w:rsidR="00A90EBC" w:rsidRPr="0044793F" w:rsidRDefault="00A90EBC" w:rsidP="00A90EBC">
      <w:pPr>
        <w:spacing w:line="360" w:lineRule="auto"/>
        <w:jc w:val="both"/>
        <w:rPr>
          <w:rFonts w:ascii="Arial" w:hAnsi="Arial" w:cs="Arial"/>
        </w:rPr>
      </w:pPr>
      <w:r w:rsidRPr="0044793F">
        <w:rPr>
          <w:rFonts w:ascii="Arial" w:hAnsi="Arial" w:cs="Arial"/>
        </w:rPr>
        <w:lastRenderedPageBreak/>
        <w:t>Content marketing is most effective during the information/evaluation stage. There is content that is educative to fill knowledge gaps (Science Publishing Group study, 2013 – 32% aware of the concept) and fosters informed attitudes. Kaur and Kaur (2020) also observed that educational messages played significant impact on the attitudes and intentions. Content that appeals to information-seeking consumers is more effective than promotional content, such as YouTube videos about the certification process and blog posts and infographics about health benefits.</w:t>
      </w:r>
    </w:p>
    <w:p w14:paraId="18FF273D" w14:textId="77777777" w:rsidR="00A90EBC" w:rsidRPr="0044793F" w:rsidRDefault="00A90EBC" w:rsidP="00A90EBC">
      <w:pPr>
        <w:spacing w:line="360" w:lineRule="auto"/>
        <w:jc w:val="both"/>
        <w:rPr>
          <w:rFonts w:ascii="Arial" w:hAnsi="Arial" w:cs="Arial"/>
        </w:rPr>
      </w:pPr>
      <w:r w:rsidRPr="0044793F">
        <w:rPr>
          <w:rFonts w:ascii="Arial" w:hAnsi="Arial" w:cs="Arial"/>
        </w:rPr>
        <w:t>Credibility/trust stage: Influencer marketing and social proof are very effective at this stage. As pointed out by Babu et al. (2025), consumers' response to an influencer is highly dependent on their credibility of an individual influencer as well as the platform they follow, with micro-influencers being more trusted than mega-influencers. Also, user reviews and testimonials give the endorsement of peers that is crucial in collectivist cultures (PMC Bangladesh study, 2023). This is in line with the results of the study by Science Publishing Group (2025) which found that trustworthy food categories are those that are influenced by genuine endorsements from influencers.</w:t>
      </w:r>
    </w:p>
    <w:p w14:paraId="0F9103EA" w14:textId="77777777" w:rsidR="00A90EBC" w:rsidRPr="0044793F" w:rsidRDefault="00A90EBC" w:rsidP="00A90EBC">
      <w:pPr>
        <w:spacing w:line="360" w:lineRule="auto"/>
        <w:jc w:val="both"/>
        <w:rPr>
          <w:rFonts w:ascii="Arial" w:hAnsi="Arial" w:cs="Arial"/>
        </w:rPr>
      </w:pPr>
      <w:r w:rsidRPr="0044793F">
        <w:rPr>
          <w:rFonts w:ascii="Arial" w:hAnsi="Arial" w:cs="Arial"/>
        </w:rPr>
        <w:t>At the purchase stage, E-commerce with robust trust mechanisms is an enabler for conversion. The functional value, defined by providing detailed information on the products and facilitating checkout, is one of the major determinants of online organic purchase intention, as mentioned by Prince et al. (2024).</w:t>
      </w:r>
    </w:p>
    <w:p w14:paraId="767BF43A"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Post-purchase/loyalty stage: Delivery of quality and confirmation of expectations leads to continuance. Sohel and </w:t>
      </w:r>
      <w:proofErr w:type="spellStart"/>
      <w:r w:rsidRPr="0044793F">
        <w:rPr>
          <w:rFonts w:ascii="Arial" w:hAnsi="Arial" w:cs="Arial"/>
        </w:rPr>
        <w:t>Sifullah</w:t>
      </w:r>
      <w:proofErr w:type="spellEnd"/>
      <w:r w:rsidRPr="0044793F">
        <w:rPr>
          <w:rFonts w:ascii="Arial" w:hAnsi="Arial" w:cs="Arial"/>
        </w:rPr>
        <w:t xml:space="preserve"> (2025) found that the satisfaction of customers and confirmation of the customers' expectations of health benefits are high predictors of customer re-purchasing.</w:t>
      </w:r>
    </w:p>
    <w:p w14:paraId="1D384814" w14:textId="16EBFE00" w:rsidR="009A20E5" w:rsidRPr="0044793F" w:rsidRDefault="009A20E5" w:rsidP="00330022">
      <w:pPr>
        <w:pStyle w:val="Heading3"/>
        <w:rPr>
          <w:rFonts w:ascii="Arial" w:hAnsi="Arial" w:cs="Arial"/>
        </w:rPr>
      </w:pPr>
      <w:r w:rsidRPr="0044793F">
        <w:rPr>
          <w:rFonts w:ascii="Arial" w:hAnsi="Arial" w:cs="Arial"/>
        </w:rPr>
        <w:t>4.4.2 Integration Effects and Strategic Implications</w:t>
      </w:r>
    </w:p>
    <w:p w14:paraId="3CE28BCD" w14:textId="77777777" w:rsidR="00A90EBC" w:rsidRPr="0044793F" w:rsidRDefault="00A90EBC" w:rsidP="00A90EBC">
      <w:pPr>
        <w:spacing w:line="360" w:lineRule="auto"/>
        <w:jc w:val="both"/>
        <w:rPr>
          <w:rFonts w:ascii="Arial" w:hAnsi="Arial" w:cs="Arial"/>
        </w:rPr>
      </w:pPr>
      <w:r w:rsidRPr="0044793F">
        <w:rPr>
          <w:rFonts w:ascii="Arial" w:hAnsi="Arial" w:cs="Arial"/>
        </w:rPr>
        <w:t>The evidence shows that the costs and benefits of the multi-channel solutions are synergic; that is, they have an impact larger than the sum of the parts, but many companies are still working with single channels and aren't getting the synergy benefits.</w:t>
      </w:r>
    </w:p>
    <w:p w14:paraId="5A1A022D"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Resource allocation implication: strategic sequencing may be the better approach rather than implementing too many channels at once: build a social media presence and build </w:t>
      </w:r>
      <w:r w:rsidRPr="0044793F">
        <w:rPr>
          <w:rFonts w:ascii="Arial" w:hAnsi="Arial" w:cs="Arial"/>
        </w:rPr>
        <w:lastRenderedPageBreak/>
        <w:t>a foundation of content (awareness, information) then gradually add in influencers (credibility), then more traffic to e-commerce (conversion), then invest in post-purchase systems (loyalty). This staged approach is in line with diffusion of innovations (DIO) with organizational level (Rogers, 2003), which is the progressive adoption of integrated capabilities.</w:t>
      </w:r>
    </w:p>
    <w:p w14:paraId="60EEC934" w14:textId="77777777" w:rsidR="00A90EBC" w:rsidRPr="0044793F" w:rsidRDefault="00A90EBC" w:rsidP="00A90EBC">
      <w:pPr>
        <w:spacing w:line="360" w:lineRule="auto"/>
        <w:jc w:val="both"/>
        <w:rPr>
          <w:rFonts w:ascii="Arial" w:hAnsi="Arial" w:cs="Arial"/>
        </w:rPr>
      </w:pPr>
      <w:r w:rsidRPr="0044793F">
        <w:rPr>
          <w:rFonts w:ascii="Arial" w:hAnsi="Arial" w:cs="Arial"/>
        </w:rPr>
        <w:t xml:space="preserve">Effectiveness measurement: The data needed for each stage should be used to measure the success of the stage's objectives; Awareness should be measured by the reach and engagement of the content, Education by comprehension of the information and change in attitudes, Credibility by trust indicators, E-Commerce by conversion rates, </w:t>
      </w:r>
      <w:proofErr w:type="gramStart"/>
      <w:r w:rsidRPr="0044793F">
        <w:rPr>
          <w:rFonts w:ascii="Arial" w:hAnsi="Arial" w:cs="Arial"/>
        </w:rPr>
        <w:t>Post-purchase</w:t>
      </w:r>
      <w:proofErr w:type="gramEnd"/>
      <w:r w:rsidRPr="0044793F">
        <w:rPr>
          <w:rFonts w:ascii="Arial" w:hAnsi="Arial" w:cs="Arial"/>
        </w:rPr>
        <w:t xml:space="preserve"> by retention and advocacy. The Cogent study (2025) which shows social media marketing accounts for 58% variance in intention shows a significant impact, but it's not enough: there's not enough full funnel measurement of the process from awareness to repeat purchase.</w:t>
      </w:r>
    </w:p>
    <w:p w14:paraId="0F734B79" w14:textId="4A34A6C6" w:rsidR="009A20E5" w:rsidRPr="0044793F" w:rsidRDefault="009A20E5" w:rsidP="00330022">
      <w:pPr>
        <w:pStyle w:val="Heading2"/>
        <w:rPr>
          <w:rFonts w:ascii="Arial" w:hAnsi="Arial" w:cs="Arial"/>
        </w:rPr>
      </w:pPr>
      <w:r w:rsidRPr="0044793F">
        <w:rPr>
          <w:rFonts w:ascii="Arial" w:hAnsi="Arial" w:cs="Arial"/>
        </w:rPr>
        <w:t>4.5 Findings Related to Research Question 4: Contextual Factors in Bangladesh</w:t>
      </w:r>
    </w:p>
    <w:p w14:paraId="4F2D888C" w14:textId="77777777" w:rsidR="00E01211" w:rsidRPr="0044793F" w:rsidRDefault="00E01211" w:rsidP="00404048">
      <w:pPr>
        <w:spacing w:line="360" w:lineRule="auto"/>
        <w:jc w:val="both"/>
        <w:rPr>
          <w:rFonts w:ascii="Arial" w:hAnsi="Arial" w:cs="Arial"/>
          <w:bCs/>
        </w:rPr>
      </w:pPr>
      <w:r w:rsidRPr="0044793F">
        <w:rPr>
          <w:rFonts w:ascii="Arial" w:hAnsi="Arial" w:cs="Arial"/>
          <w:bCs/>
        </w:rPr>
        <w:t>RQ4: What are the contextual challenges and enablers to digital marketing and adoption of organic products in Bangladesh?</w:t>
      </w:r>
    </w:p>
    <w:p w14:paraId="40A53789" w14:textId="42339024" w:rsidR="009A20E5" w:rsidRPr="0044793F" w:rsidRDefault="009A20E5" w:rsidP="00E84E40">
      <w:pPr>
        <w:pStyle w:val="Heading3"/>
        <w:rPr>
          <w:rFonts w:ascii="Arial" w:hAnsi="Arial" w:cs="Arial"/>
        </w:rPr>
      </w:pPr>
      <w:r w:rsidRPr="0044793F">
        <w:rPr>
          <w:rFonts w:ascii="Arial" w:hAnsi="Arial" w:cs="Arial"/>
        </w:rPr>
        <w:t>4.5.1 Paradox of High Opportunity and High Friction</w:t>
      </w:r>
    </w:p>
    <w:p w14:paraId="0C183E1D" w14:textId="77777777" w:rsidR="00E84E40" w:rsidRPr="0044793F" w:rsidRDefault="00E84E40" w:rsidP="00E84E40">
      <w:pPr>
        <w:spacing w:line="360" w:lineRule="auto"/>
        <w:jc w:val="both"/>
        <w:rPr>
          <w:rFonts w:ascii="Arial" w:hAnsi="Arial" w:cs="Arial"/>
        </w:rPr>
      </w:pPr>
      <w:r w:rsidRPr="0044793F">
        <w:rPr>
          <w:rFonts w:ascii="Arial" w:hAnsi="Arial" w:cs="Arial"/>
        </w:rPr>
        <w:t xml:space="preserve">The review of literature shows a highly paradoxical context for digital marketing in Bangladesh where there are enormous opportunities for digital marketing as well as severe structural constraints. The literature clearly presents the rapid </w:t>
      </w:r>
      <w:proofErr w:type="spellStart"/>
      <w:r w:rsidRPr="0044793F">
        <w:rPr>
          <w:rFonts w:ascii="Arial" w:hAnsi="Arial" w:cs="Arial"/>
        </w:rPr>
        <w:t>digitalisation</w:t>
      </w:r>
      <w:proofErr w:type="spellEnd"/>
      <w:r w:rsidRPr="0044793F">
        <w:rPr>
          <w:rFonts w:ascii="Arial" w:hAnsi="Arial" w:cs="Arial"/>
        </w:rPr>
        <w:t xml:space="preserve"> process and the internet penetration to mobile first infrastructure highlighting smartphone’s dependence in Bangladesh (Hossain et al., 2020; Bangladesh Telecommunication Regulatory Commission, 2022). This means that platforms such as Facebook have an unprecedented reach (Statista, 2022). A critical examination of literature, however, shows that a lot of the time this reach is confused with the effectiveness of marketing. Many studies have ignored the strong digital divides that divide the market despite recognizing the potential of social media to leverage the rising awareness and concern for health care among the middle-class population (Kabir and Islam, 2022). Most of the literature examines the urban and/or educated population, and </w:t>
      </w:r>
      <w:r w:rsidRPr="0044793F">
        <w:rPr>
          <w:rFonts w:ascii="Arial" w:hAnsi="Arial" w:cs="Arial"/>
        </w:rPr>
        <w:lastRenderedPageBreak/>
        <w:t>there is, however, a gap in the knowledge on how digital strategies may be able to engage rural and/or less tech-savvy audiences (Tamirat, 2023).</w:t>
      </w:r>
    </w:p>
    <w:p w14:paraId="5EE5C60C" w14:textId="19139755" w:rsidR="00E84E40" w:rsidRPr="0044793F" w:rsidRDefault="00E84E40" w:rsidP="00E84E40">
      <w:pPr>
        <w:spacing w:line="360" w:lineRule="auto"/>
        <w:jc w:val="both"/>
        <w:rPr>
          <w:rFonts w:ascii="Arial" w:hAnsi="Arial" w:cs="Arial"/>
        </w:rPr>
      </w:pPr>
      <w:r w:rsidRPr="0044793F">
        <w:rPr>
          <w:rFonts w:ascii="Arial" w:hAnsi="Arial" w:cs="Arial"/>
        </w:rPr>
        <w:t>Moreover, high price sensitivity (Amin and Tarun, 2020; Zheng et al., 2021) and poor certification systems (Ashraf et al., 2019) are two significant challenges that have been identified in previous studies; however, they have not taken into account how these issues deliberately affect the implementation of digital marketing. Digital campaigns, for example, can help to create brand awareness, but the skepticism of consumers due to weak national organic standards and high price premiums can stop this awareness from translating to sales (Wang et al., 2020). These barriers are usually overlooked as background factors in the current literature but in Bangladesh, barriers to e-commerce, such as trust issues (Kundu et al., 2024) and logistical difficulties like unreliable cold-chain delivery (Rahman et al., 2021) undermines the perceived value of e-commerce organic markets.</w:t>
      </w:r>
    </w:p>
    <w:p w14:paraId="1D505D96" w14:textId="77777777" w:rsidR="009A20E5" w:rsidRPr="0044793F" w:rsidRDefault="009A20E5" w:rsidP="00E84E40">
      <w:pPr>
        <w:pStyle w:val="Heading3"/>
        <w:rPr>
          <w:rFonts w:ascii="Arial" w:hAnsi="Arial" w:cs="Arial"/>
        </w:rPr>
      </w:pPr>
      <w:r w:rsidRPr="0044793F">
        <w:rPr>
          <w:rFonts w:ascii="Arial" w:hAnsi="Arial" w:cs="Arial"/>
        </w:rPr>
        <w:t>4.5.2 Moderating Effects of Context</w:t>
      </w:r>
    </w:p>
    <w:p w14:paraId="0D57AED0" w14:textId="77777777" w:rsidR="00E01211" w:rsidRPr="0044793F" w:rsidRDefault="00E01211" w:rsidP="00E01211">
      <w:pPr>
        <w:spacing w:line="360" w:lineRule="auto"/>
        <w:jc w:val="both"/>
        <w:rPr>
          <w:rFonts w:ascii="Arial" w:hAnsi="Arial" w:cs="Arial"/>
        </w:rPr>
      </w:pPr>
      <w:r w:rsidRPr="0044793F">
        <w:rPr>
          <w:rFonts w:ascii="Arial" w:hAnsi="Arial" w:cs="Arial"/>
        </w:rPr>
        <w:t>There are specific contexts in which digital marketing is more or less effective, and the strategies need to be adapted:</w:t>
      </w:r>
    </w:p>
    <w:p w14:paraId="77DA17A8" w14:textId="77777777" w:rsidR="00E01211" w:rsidRPr="0044793F" w:rsidRDefault="00E01211" w:rsidP="00E01211">
      <w:pPr>
        <w:spacing w:line="360" w:lineRule="auto"/>
        <w:jc w:val="both"/>
        <w:rPr>
          <w:rFonts w:ascii="Arial" w:hAnsi="Arial" w:cs="Arial"/>
        </w:rPr>
      </w:pPr>
      <w:r w:rsidRPr="0044793F">
        <w:rPr>
          <w:rFonts w:ascii="Arial" w:hAnsi="Arial" w:cs="Arial"/>
        </w:rPr>
        <w:t>Infrastructure moderation: With mobile-first infrastructure, mobile content is a must, but rich media is not always as effective when speed is limited—there will be a balance to be struck between visual appeal and speed. Hossain et al. (2020) reported the internet connectivity speed difference between urban and rural areas that impacts content delivery.</w:t>
      </w:r>
    </w:p>
    <w:p w14:paraId="04CA8DC8" w14:textId="77777777" w:rsidR="00E01211" w:rsidRPr="0044793F" w:rsidRDefault="00E01211" w:rsidP="00E01211">
      <w:pPr>
        <w:spacing w:line="360" w:lineRule="auto"/>
        <w:jc w:val="both"/>
        <w:rPr>
          <w:rFonts w:ascii="Arial" w:hAnsi="Arial" w:cs="Arial"/>
        </w:rPr>
      </w:pPr>
      <w:r w:rsidRPr="0044793F">
        <w:rPr>
          <w:rFonts w:ascii="Arial" w:hAnsi="Arial" w:cs="Arial"/>
        </w:rPr>
        <w:t xml:space="preserve">Collectivism increases social influence effects on individuals, resulting in the importance of peer recommendations, family-focused messaging and community-building. Moreover, religious values play a significant role in consumer </w:t>
      </w:r>
      <w:proofErr w:type="spellStart"/>
      <w:r w:rsidRPr="0044793F">
        <w:rPr>
          <w:rFonts w:ascii="Arial" w:hAnsi="Arial" w:cs="Arial"/>
        </w:rPr>
        <w:t>behaviour</w:t>
      </w:r>
      <w:proofErr w:type="spellEnd"/>
      <w:r w:rsidRPr="0044793F">
        <w:rPr>
          <w:rFonts w:ascii="Arial" w:hAnsi="Arial" w:cs="Arial"/>
        </w:rPr>
        <w:t xml:space="preserve"> in Bangladesh (PMC Bangladesh study, 2023) which indicates that the messages that resonate with the concepts of purity and wholesome consumption have a stronger effect on marketing effectiveness.</w:t>
      </w:r>
    </w:p>
    <w:p w14:paraId="69ADEDF9" w14:textId="77777777" w:rsidR="00E01211" w:rsidRPr="0044793F" w:rsidRDefault="00E01211" w:rsidP="00E01211">
      <w:pPr>
        <w:spacing w:line="360" w:lineRule="auto"/>
        <w:jc w:val="both"/>
        <w:rPr>
          <w:rFonts w:ascii="Arial" w:hAnsi="Arial" w:cs="Arial"/>
        </w:rPr>
      </w:pPr>
      <w:r w:rsidRPr="0044793F">
        <w:rPr>
          <w:rFonts w:ascii="Arial" w:hAnsi="Arial" w:cs="Arial"/>
        </w:rPr>
        <w:t xml:space="preserve">Economic moderation: if the price sensitivity is high, the ability of digital marketing to overcome the basic affordability barrier does not depend on the quality of communication. </w:t>
      </w:r>
      <w:r w:rsidRPr="0044793F">
        <w:rPr>
          <w:rFonts w:ascii="Arial" w:hAnsi="Arial" w:cs="Arial"/>
        </w:rPr>
        <w:lastRenderedPageBreak/>
        <w:t>The price sensitivity moderates the quality-intention relationship greatly, as noted by Wang et al. (2020): even if digital strategies can raise the level of perceived quality of a product, the conversion will be prevented if the perceived price is too high for the consumer group.</w:t>
      </w:r>
    </w:p>
    <w:p w14:paraId="508F4BC3" w14:textId="77777777" w:rsidR="00E01211" w:rsidRPr="0044793F" w:rsidRDefault="00E01211" w:rsidP="00E01211">
      <w:pPr>
        <w:spacing w:line="360" w:lineRule="auto"/>
        <w:jc w:val="both"/>
        <w:rPr>
          <w:rFonts w:ascii="Arial" w:hAnsi="Arial" w:cs="Arial"/>
        </w:rPr>
      </w:pPr>
      <w:r w:rsidRPr="0044793F">
        <w:rPr>
          <w:rFonts w:ascii="Arial" w:hAnsi="Arial" w:cs="Arial"/>
        </w:rPr>
        <w:t>Weak certification systems: Digital marketing needs to find its way to compensate for lack of institutional trust with transparency and verification systems. To replace lost institutional assurance, businesses need to invest in the development of their supply chain traceability, third party verification and communication transparency, thereby adding to marketing complexity and costs.</w:t>
      </w:r>
    </w:p>
    <w:p w14:paraId="51E052FF" w14:textId="25DCE471" w:rsidR="00E01211" w:rsidRPr="0044793F" w:rsidRDefault="00E01211" w:rsidP="00E01211">
      <w:pPr>
        <w:spacing w:line="360" w:lineRule="auto"/>
        <w:jc w:val="both"/>
        <w:rPr>
          <w:rFonts w:ascii="Arial" w:hAnsi="Arial" w:cs="Arial"/>
        </w:rPr>
      </w:pPr>
      <w:r w:rsidRPr="0044793F">
        <w:rPr>
          <w:rFonts w:ascii="Arial" w:hAnsi="Arial" w:cs="Arial"/>
        </w:rPr>
        <w:t>Opportunity-constraint interaction: Opportunities and barriers are interactive – opportunities for mobile infrastructure to provide reach, but constraints of digital literacy to make the sophisticated strategy effective; opportunities for social media engagement, but constraints of trust that prevent engagement; Opportunity of health concerns creating demand, but price constraints limiting actualization. You need to operate this intricate environment strategically in order to achieve success.</w:t>
      </w:r>
    </w:p>
    <w:p w14:paraId="2CEBCE9F" w14:textId="77777777" w:rsidR="009A20E5" w:rsidRPr="0044793F" w:rsidRDefault="009A20E5" w:rsidP="00E84E40">
      <w:pPr>
        <w:pStyle w:val="Heading2"/>
        <w:rPr>
          <w:rFonts w:ascii="Arial" w:hAnsi="Arial" w:cs="Arial"/>
        </w:rPr>
      </w:pPr>
      <w:r w:rsidRPr="0044793F">
        <w:rPr>
          <w:rFonts w:ascii="Arial" w:hAnsi="Arial" w:cs="Arial"/>
        </w:rPr>
        <w:t>4.6 Findings Related to Research Question 5: Evidence-Based Recommendations</w:t>
      </w:r>
    </w:p>
    <w:p w14:paraId="3A66A3CD" w14:textId="77777777" w:rsidR="00E01211" w:rsidRPr="0044793F" w:rsidRDefault="00E01211" w:rsidP="00404048">
      <w:pPr>
        <w:spacing w:line="360" w:lineRule="auto"/>
        <w:jc w:val="both"/>
        <w:rPr>
          <w:rFonts w:ascii="Arial" w:hAnsi="Arial" w:cs="Arial"/>
          <w:bCs/>
        </w:rPr>
      </w:pPr>
      <w:r w:rsidRPr="0044793F">
        <w:rPr>
          <w:rFonts w:ascii="Arial" w:hAnsi="Arial" w:cs="Arial"/>
          <w:bCs/>
        </w:rPr>
        <w:t>RQ5: What are the recommendations based on evidence for effective digital marketing to support the promotion of organic product adoption in Bangladesh?</w:t>
      </w:r>
    </w:p>
    <w:p w14:paraId="743AA0D3" w14:textId="2E5CD510" w:rsidR="009A20E5" w:rsidRPr="0044793F" w:rsidRDefault="009A20E5" w:rsidP="00E84E40">
      <w:pPr>
        <w:pStyle w:val="Heading2"/>
        <w:rPr>
          <w:rFonts w:ascii="Arial" w:hAnsi="Arial" w:cs="Arial"/>
        </w:rPr>
      </w:pPr>
      <w:r w:rsidRPr="0044793F">
        <w:rPr>
          <w:rFonts w:ascii="Arial" w:hAnsi="Arial" w:cs="Arial"/>
        </w:rPr>
        <w:t>4.7 Critical Analysis and Theoretical Linkages</w:t>
      </w:r>
    </w:p>
    <w:p w14:paraId="5D72FB60" w14:textId="77777777" w:rsidR="00E01211" w:rsidRPr="0044793F" w:rsidRDefault="00E01211" w:rsidP="00E01211">
      <w:pPr>
        <w:spacing w:line="360" w:lineRule="auto"/>
        <w:jc w:val="both"/>
        <w:rPr>
          <w:rFonts w:ascii="Arial" w:hAnsi="Arial" w:cs="Arial"/>
        </w:rPr>
      </w:pPr>
      <w:r w:rsidRPr="0044793F">
        <w:rPr>
          <w:rFonts w:ascii="Arial" w:hAnsi="Arial" w:cs="Arial"/>
        </w:rPr>
        <w:t>The findings confirm, expand, and, in some instances, refute theoretical frameworks presented in Chapter 2, which illustrate universal patterns and contingencies of local context:</w:t>
      </w:r>
    </w:p>
    <w:p w14:paraId="1F227190" w14:textId="77777777" w:rsidR="00E01211" w:rsidRPr="0044793F" w:rsidRDefault="00E01211" w:rsidP="00E01211">
      <w:pPr>
        <w:spacing w:line="360" w:lineRule="auto"/>
        <w:jc w:val="both"/>
        <w:rPr>
          <w:rFonts w:ascii="Arial" w:hAnsi="Arial" w:cs="Arial"/>
        </w:rPr>
      </w:pPr>
      <w:r w:rsidRPr="0044793F">
        <w:rPr>
          <w:rFonts w:ascii="Arial" w:hAnsi="Arial" w:cs="Arial"/>
        </w:rPr>
        <w:t xml:space="preserve">Theory of Planned </w:t>
      </w:r>
      <w:proofErr w:type="spellStart"/>
      <w:r w:rsidRPr="0044793F">
        <w:rPr>
          <w:rFonts w:ascii="Arial" w:hAnsi="Arial" w:cs="Arial"/>
        </w:rPr>
        <w:t>Behaviour</w:t>
      </w:r>
      <w:proofErr w:type="spellEnd"/>
      <w:r w:rsidRPr="0044793F">
        <w:rPr>
          <w:rFonts w:ascii="Arial" w:hAnsi="Arial" w:cs="Arial"/>
        </w:rPr>
        <w:t xml:space="preserve"> (Ajzen, 1991): Attitudes, subjective norms and perceived </w:t>
      </w:r>
      <w:proofErr w:type="spellStart"/>
      <w:r w:rsidRPr="0044793F">
        <w:rPr>
          <w:rFonts w:ascii="Arial" w:hAnsi="Arial" w:cs="Arial"/>
        </w:rPr>
        <w:t>behavioural</w:t>
      </w:r>
      <w:proofErr w:type="spellEnd"/>
      <w:r w:rsidRPr="0044793F">
        <w:rPr>
          <w:rFonts w:ascii="Arial" w:hAnsi="Arial" w:cs="Arial"/>
        </w:rPr>
        <w:t xml:space="preserve"> control accounted for intention in a number of studies conducted in Bangladesh (Kabir and Islam, 2022; Indian Journal study, 2023; Nguyen-Viet, 2022 in Vietnam) and this theory has been well validated. All three antecedents are influenced by digital marketing: </w:t>
      </w:r>
      <w:proofErr w:type="gramStart"/>
      <w:r w:rsidRPr="0044793F">
        <w:rPr>
          <w:rFonts w:ascii="Arial" w:hAnsi="Arial" w:cs="Arial"/>
        </w:rPr>
        <w:t>Educational</w:t>
      </w:r>
      <w:proofErr w:type="gramEnd"/>
      <w:r w:rsidRPr="0044793F">
        <w:rPr>
          <w:rFonts w:ascii="Arial" w:hAnsi="Arial" w:cs="Arial"/>
        </w:rPr>
        <w:t xml:space="preserve"> content can influence attitudes, Social media and influencer marketing can influence subjective norm, and e-commerce platform features can </w:t>
      </w:r>
      <w:r w:rsidRPr="0044793F">
        <w:rPr>
          <w:rFonts w:ascii="Arial" w:hAnsi="Arial" w:cs="Arial"/>
        </w:rPr>
        <w:lastRenderedPageBreak/>
        <w:t xml:space="preserve">influence perceived </w:t>
      </w:r>
      <w:proofErr w:type="spellStart"/>
      <w:r w:rsidRPr="0044793F">
        <w:rPr>
          <w:rFonts w:ascii="Arial" w:hAnsi="Arial" w:cs="Arial"/>
        </w:rPr>
        <w:t>behavioural</w:t>
      </w:r>
      <w:proofErr w:type="spellEnd"/>
      <w:r w:rsidRPr="0044793F">
        <w:rPr>
          <w:rFonts w:ascii="Arial" w:hAnsi="Arial" w:cs="Arial"/>
        </w:rPr>
        <w:t xml:space="preserve"> control (ease of purchase). Beyond TPB constructs, however, there are other barriers that need to be addressed, as revealed by the study MDPI Portugal (2023): critical extension: persistent intention-</w:t>
      </w:r>
      <w:proofErr w:type="spellStart"/>
      <w:r w:rsidRPr="0044793F">
        <w:rPr>
          <w:rFonts w:ascii="Arial" w:hAnsi="Arial" w:cs="Arial"/>
        </w:rPr>
        <w:t>behaviour</w:t>
      </w:r>
      <w:proofErr w:type="spellEnd"/>
      <w:r w:rsidRPr="0044793F">
        <w:rPr>
          <w:rFonts w:ascii="Arial" w:hAnsi="Arial" w:cs="Arial"/>
        </w:rPr>
        <w:t xml:space="preserve"> gap (42% with intention don't purchase). Adding additional predictors such as extensions of trust (Nguyen-Viet, 2022), moral norms (Indian Journal study, 2023: R² increased from 0.52 to 0.58), and health consciousness (several studies) increases the explanatory power, highlighting that TPB alone is not sufficient for the organic purchase context.</w:t>
      </w:r>
    </w:p>
    <w:p w14:paraId="076B5312" w14:textId="77777777" w:rsidR="00E01211" w:rsidRPr="0044793F" w:rsidRDefault="00E01211" w:rsidP="00E01211">
      <w:pPr>
        <w:spacing w:line="360" w:lineRule="auto"/>
        <w:jc w:val="both"/>
        <w:rPr>
          <w:rFonts w:ascii="Arial" w:hAnsi="Arial" w:cs="Arial"/>
        </w:rPr>
      </w:pPr>
      <w:r w:rsidRPr="0044793F">
        <w:rPr>
          <w:rFonts w:ascii="Arial" w:hAnsi="Arial" w:cs="Arial"/>
        </w:rPr>
        <w:t xml:space="preserve">The Technology Acceptance Model (Davis, 1989): It was validated in e-commerce setting (Islam et al., 2023: usefulness β=0.52, ease of use β=0.41 predict intention) and requires critical extension of trust (β=0.38) in Bangladesh context. This is an extension of simple TAM, which shows that when there </w:t>
      </w:r>
      <w:proofErr w:type="gramStart"/>
      <w:r w:rsidRPr="0044793F">
        <w:rPr>
          <w:rFonts w:ascii="Arial" w:hAnsi="Arial" w:cs="Arial"/>
        </w:rPr>
        <w:t>are</w:t>
      </w:r>
      <w:proofErr w:type="gramEnd"/>
      <w:r w:rsidRPr="0044793F">
        <w:rPr>
          <w:rFonts w:ascii="Arial" w:hAnsi="Arial" w:cs="Arial"/>
        </w:rPr>
        <w:t xml:space="preserve"> a lack of trust in institutions and credence goods attributes, trust needs to be explicitly added to usefulness and usability. In the context of emerging markets, finding is consistent with the finding of Gefen et al. (2003) on the extension of TAM in the context of e-commerce.</w:t>
      </w:r>
    </w:p>
    <w:p w14:paraId="3B5E7E08" w14:textId="77777777" w:rsidR="00E01211" w:rsidRPr="0044793F" w:rsidRDefault="00E01211" w:rsidP="00E01211">
      <w:pPr>
        <w:spacing w:line="360" w:lineRule="auto"/>
        <w:jc w:val="both"/>
        <w:rPr>
          <w:rFonts w:ascii="Arial" w:hAnsi="Arial" w:cs="Arial"/>
        </w:rPr>
      </w:pPr>
      <w:r w:rsidRPr="0044793F">
        <w:rPr>
          <w:rFonts w:ascii="Arial" w:hAnsi="Arial" w:cs="Arial"/>
        </w:rPr>
        <w:t>Trust theories (Zucker, 1986): Trust is not viewed in isolation but rather as a central mechanism of trust in action, which could be at different levels: institutional (certification systems), characteristic-based (seller attributes), and process-based (transaction reliability). Findings build upon Zucker's framework by showing that in situations where there is a trust deficit in the institutions (weak certification in Bangladesh as mentioned by Ashraf et al., 2019), characteristic-based trust (influencer credibility, transparency of sellers) and process-based trust (security of platform, reliability of delivery) must compensate. In environments where institutional trust is not prevalent (as is the case in emerging markets), digital marketing's main role is to foster these other means of trust.</w:t>
      </w:r>
    </w:p>
    <w:p w14:paraId="3315BDFE" w14:textId="77777777" w:rsidR="00E01211" w:rsidRPr="0044793F" w:rsidRDefault="00E01211" w:rsidP="00E01211">
      <w:pPr>
        <w:spacing w:line="360" w:lineRule="auto"/>
        <w:jc w:val="both"/>
        <w:rPr>
          <w:rFonts w:ascii="Arial" w:hAnsi="Arial" w:cs="Arial"/>
        </w:rPr>
      </w:pPr>
      <w:r w:rsidRPr="0044793F">
        <w:rPr>
          <w:rFonts w:ascii="Arial" w:hAnsi="Arial" w:cs="Arial"/>
        </w:rPr>
        <w:t>Elaboration Likelihood Model (Petty and Cacioppo, 1986): Results suggest that high involvement purchases of organic products involve central route processing (elaborative processing of health claims, nutritional claims, production practices, etc.), while peripheral route processing takes place (heuristic processing, visual appeal, influencers, etc.). A good digital marketing uses both the educational approach (central processing) and the social proof and credibility approach (peripheral processing) and multiple information routes make multiple persuasion routes.</w:t>
      </w:r>
    </w:p>
    <w:p w14:paraId="7819C929" w14:textId="77777777" w:rsidR="00E01211" w:rsidRPr="0044793F" w:rsidRDefault="00E01211" w:rsidP="00E01211">
      <w:pPr>
        <w:spacing w:line="360" w:lineRule="auto"/>
        <w:jc w:val="both"/>
        <w:rPr>
          <w:rFonts w:ascii="Arial" w:hAnsi="Arial" w:cs="Arial"/>
        </w:rPr>
      </w:pPr>
      <w:r w:rsidRPr="0044793F">
        <w:rPr>
          <w:rFonts w:ascii="Arial" w:hAnsi="Arial" w:cs="Arial"/>
        </w:rPr>
        <w:lastRenderedPageBreak/>
        <w:t>In the context of Diffusion of Innovations (</w:t>
      </w:r>
      <w:proofErr w:type="spellStart"/>
      <w:r w:rsidRPr="0044793F">
        <w:rPr>
          <w:rFonts w:ascii="Arial" w:hAnsi="Arial" w:cs="Arial"/>
        </w:rPr>
        <w:t>DoI</w:t>
      </w:r>
      <w:proofErr w:type="spellEnd"/>
      <w:r w:rsidRPr="0044793F">
        <w:rPr>
          <w:rFonts w:ascii="Arial" w:hAnsi="Arial" w:cs="Arial"/>
        </w:rPr>
        <w:t xml:space="preserve">) theory (Rogers, 2003), the adoption of organic products in Bangladesh can be identified as an early adoption stage, where adopters are mostly the innovators and early adopters, who are more urban, educated and are of higher income (as per Kabir and Islam, 2022). Digital marketing can help to facilitate diffusion by appealing to relative advantage (the health benefits), compatibility (how it fits into health values), observability (enabling social media sharing, giving reviews), and complexity (educating people about what organic means, etc.). Food products are, however, more difficult to </w:t>
      </w:r>
      <w:proofErr w:type="spellStart"/>
      <w:r w:rsidRPr="0044793F">
        <w:rPr>
          <w:rFonts w:ascii="Arial" w:hAnsi="Arial" w:cs="Arial"/>
        </w:rPr>
        <w:t>trialable</w:t>
      </w:r>
      <w:proofErr w:type="spellEnd"/>
      <w:r w:rsidRPr="0044793F">
        <w:rPr>
          <w:rFonts w:ascii="Arial" w:hAnsi="Arial" w:cs="Arial"/>
        </w:rPr>
        <w:t xml:space="preserve"> and price premium is a barrier to diffusion beyond the early adopters. To mainstream, the challenge is to take care of structural barriers other than digital communication.</w:t>
      </w:r>
    </w:p>
    <w:p w14:paraId="5787E42C" w14:textId="33DE7420" w:rsidR="009A20E5" w:rsidRPr="0044793F" w:rsidRDefault="009A20E5" w:rsidP="00E84E40">
      <w:pPr>
        <w:pStyle w:val="Heading2"/>
        <w:rPr>
          <w:rFonts w:ascii="Arial" w:hAnsi="Arial" w:cs="Arial"/>
        </w:rPr>
      </w:pPr>
      <w:r w:rsidRPr="0044793F">
        <w:rPr>
          <w:rFonts w:ascii="Arial" w:hAnsi="Arial" w:cs="Arial"/>
        </w:rPr>
        <w:t>4.8 Synthesis and Implications</w:t>
      </w:r>
    </w:p>
    <w:p w14:paraId="7207A573" w14:textId="77777777" w:rsidR="00E01211" w:rsidRPr="0044793F" w:rsidRDefault="00E01211" w:rsidP="00E01211">
      <w:pPr>
        <w:spacing w:line="360" w:lineRule="auto"/>
        <w:jc w:val="both"/>
        <w:rPr>
          <w:rFonts w:ascii="Arial" w:hAnsi="Arial" w:cs="Arial"/>
        </w:rPr>
      </w:pPr>
      <w:r w:rsidRPr="0044793F">
        <w:rPr>
          <w:rFonts w:ascii="Arial" w:hAnsi="Arial" w:cs="Arial"/>
        </w:rPr>
        <w:t>Overall, there are a number of common conclusions that can be drawn from the results of all the research questions:</w:t>
      </w:r>
    </w:p>
    <w:p w14:paraId="2A6314B4" w14:textId="77777777" w:rsidR="00E01211" w:rsidRPr="0044793F" w:rsidRDefault="00E01211" w:rsidP="00E01211">
      <w:pPr>
        <w:spacing w:line="360" w:lineRule="auto"/>
        <w:jc w:val="both"/>
        <w:rPr>
          <w:rFonts w:ascii="Arial" w:hAnsi="Arial" w:cs="Arial"/>
        </w:rPr>
      </w:pPr>
      <w:r w:rsidRPr="0044793F">
        <w:rPr>
          <w:rFonts w:ascii="Arial" w:hAnsi="Arial" w:cs="Arial"/>
        </w:rPr>
        <w:t>Digital marketing as an ecosystem, not as a tactic: Success will come from a coordinated multi-channel ecosystem at various stages of the journey vs. individual tactics. Social media, content, influencers, and ecommerce all play a clear role in the pathway to awareness to loyalty, with the absence of one or more creating a potential bottlenecked path with reduced effectiveness when it comes to overall results.</w:t>
      </w:r>
    </w:p>
    <w:p w14:paraId="361E14D5" w14:textId="77777777" w:rsidR="00E01211" w:rsidRPr="0044793F" w:rsidRDefault="00E01211" w:rsidP="00E01211">
      <w:pPr>
        <w:spacing w:line="360" w:lineRule="auto"/>
        <w:jc w:val="both"/>
        <w:rPr>
          <w:rFonts w:ascii="Arial" w:hAnsi="Arial" w:cs="Arial"/>
        </w:rPr>
      </w:pPr>
      <w:r w:rsidRPr="0044793F">
        <w:rPr>
          <w:rFonts w:ascii="Arial" w:hAnsi="Arial" w:cs="Arial"/>
        </w:rPr>
        <w:t xml:space="preserve">Trust as universal mediator: All consumer segments across all strategies, in all contexts, is a mechanism that determines digital engagement to </w:t>
      </w:r>
      <w:proofErr w:type="spellStart"/>
      <w:r w:rsidRPr="0044793F">
        <w:rPr>
          <w:rFonts w:ascii="Arial" w:hAnsi="Arial" w:cs="Arial"/>
        </w:rPr>
        <w:t>behaviour</w:t>
      </w:r>
      <w:proofErr w:type="spellEnd"/>
      <w:r w:rsidRPr="0044793F">
        <w:rPr>
          <w:rFonts w:ascii="Arial" w:hAnsi="Arial" w:cs="Arial"/>
        </w:rPr>
        <w:t>. This brings trust-building from an enhanced value to a strategical necessity.</w:t>
      </w:r>
    </w:p>
    <w:p w14:paraId="3B12083F" w14:textId="77777777" w:rsidR="00E01211" w:rsidRPr="0044793F" w:rsidRDefault="00E01211" w:rsidP="00E01211">
      <w:pPr>
        <w:spacing w:line="360" w:lineRule="auto"/>
        <w:jc w:val="both"/>
        <w:rPr>
          <w:rFonts w:ascii="Arial" w:hAnsi="Arial" w:cs="Arial"/>
        </w:rPr>
      </w:pPr>
      <w:r w:rsidRPr="0044793F">
        <w:rPr>
          <w:rFonts w:ascii="Arial" w:hAnsi="Arial" w:cs="Arial"/>
        </w:rPr>
        <w:t>Attitude-</w:t>
      </w:r>
      <w:proofErr w:type="spellStart"/>
      <w:r w:rsidRPr="0044793F">
        <w:rPr>
          <w:rFonts w:ascii="Arial" w:hAnsi="Arial" w:cs="Arial"/>
        </w:rPr>
        <w:t>behaviour</w:t>
      </w:r>
      <w:proofErr w:type="spellEnd"/>
      <w:r w:rsidRPr="0044793F">
        <w:rPr>
          <w:rFonts w:ascii="Arial" w:hAnsi="Arial" w:cs="Arial"/>
        </w:rPr>
        <w:t xml:space="preserve"> gap as key problem: Positive attitudes, significant intentions, and high level of digital engagement does not necessarily lead to purchase </w:t>
      </w:r>
      <w:proofErr w:type="spellStart"/>
      <w:r w:rsidRPr="0044793F">
        <w:rPr>
          <w:rFonts w:ascii="Arial" w:hAnsi="Arial" w:cs="Arial"/>
        </w:rPr>
        <w:t>behaviour</w:t>
      </w:r>
      <w:proofErr w:type="spellEnd"/>
      <w:r w:rsidRPr="0044793F">
        <w:rPr>
          <w:rFonts w:ascii="Arial" w:hAnsi="Arial" w:cs="Arial"/>
        </w:rPr>
        <w:t>. The gap is bridged by price affordability, product availability, trust credibility and ease of purchase – digital marketing needs to tackle all of the aspects besides just the attitudinal one.</w:t>
      </w:r>
    </w:p>
    <w:p w14:paraId="3DD31CB3" w14:textId="77777777" w:rsidR="00E01211" w:rsidRPr="0044793F" w:rsidRDefault="00E01211" w:rsidP="00E01211">
      <w:pPr>
        <w:spacing w:line="360" w:lineRule="auto"/>
        <w:jc w:val="both"/>
        <w:rPr>
          <w:rFonts w:ascii="Arial" w:hAnsi="Arial" w:cs="Arial"/>
        </w:rPr>
      </w:pPr>
      <w:r w:rsidRPr="0044793F">
        <w:rPr>
          <w:rFonts w:ascii="Arial" w:hAnsi="Arial" w:cs="Arial"/>
        </w:rPr>
        <w:t>Health messaging in Bangladesh context: Bangladesh context requires to change the emphasis from environmental messages to health and food safety as in developed markets where the environmental messages are working, Bangladesh context has its documented health issues due to contamination.</w:t>
      </w:r>
    </w:p>
    <w:p w14:paraId="6700C143" w14:textId="77777777" w:rsidR="00E01211" w:rsidRPr="0044793F" w:rsidRDefault="00E01211" w:rsidP="00E01211">
      <w:pPr>
        <w:spacing w:line="360" w:lineRule="auto"/>
        <w:jc w:val="both"/>
        <w:rPr>
          <w:rFonts w:ascii="Arial" w:hAnsi="Arial" w:cs="Arial"/>
        </w:rPr>
      </w:pPr>
      <w:r w:rsidRPr="0044793F">
        <w:rPr>
          <w:rFonts w:ascii="Arial" w:hAnsi="Arial" w:cs="Arial"/>
        </w:rPr>
        <w:lastRenderedPageBreak/>
        <w:t xml:space="preserve">Context conditionality: The effectiveness of strategies in developed markets needs to be adapted for emerging markets. Compensatory mechanisms for institutional trust deficits, </w:t>
      </w:r>
      <w:proofErr w:type="spellStart"/>
      <w:r w:rsidRPr="0044793F">
        <w:rPr>
          <w:rFonts w:ascii="Arial" w:hAnsi="Arial" w:cs="Arial"/>
        </w:rPr>
        <w:t>optimising</w:t>
      </w:r>
      <w:proofErr w:type="spellEnd"/>
      <w:r w:rsidRPr="0044793F">
        <w:rPr>
          <w:rFonts w:ascii="Arial" w:hAnsi="Arial" w:cs="Arial"/>
        </w:rPr>
        <w:t xml:space="preserve"> the infrastructure of mobility, positioning to premiums limited by price sensitivity, social strategies compounded by collectivism – contextual intelligence for effectiveness.</w:t>
      </w:r>
    </w:p>
    <w:p w14:paraId="1EBB21CF" w14:textId="2303170F" w:rsidR="009A20E5" w:rsidRPr="0044793F" w:rsidRDefault="00E01211" w:rsidP="00E01211">
      <w:pPr>
        <w:spacing w:line="360" w:lineRule="auto"/>
        <w:jc w:val="both"/>
        <w:rPr>
          <w:rFonts w:ascii="Arial" w:hAnsi="Arial" w:cs="Arial"/>
        </w:rPr>
      </w:pPr>
      <w:r w:rsidRPr="0044793F">
        <w:rPr>
          <w:rFonts w:ascii="Arial" w:hAnsi="Arial" w:cs="Arial"/>
        </w:rPr>
        <w:t>The structural development has to be integrated with digital marketing: Digital marketing enables but does not replace basic market development. The greatest impact when digital strategies supported by strengthening certification, developing supply chains, investing in infrastructure, and policy support, build an enabling ecosystem.</w:t>
      </w:r>
    </w:p>
    <w:p w14:paraId="5F9F7423" w14:textId="77777777" w:rsidR="009A20E5" w:rsidRPr="0044793F" w:rsidRDefault="009A20E5" w:rsidP="00E84E40">
      <w:pPr>
        <w:pStyle w:val="Heading2"/>
        <w:rPr>
          <w:rFonts w:ascii="Arial" w:hAnsi="Arial" w:cs="Arial"/>
        </w:rPr>
      </w:pPr>
      <w:r w:rsidRPr="0044793F">
        <w:rPr>
          <w:rFonts w:ascii="Arial" w:hAnsi="Arial" w:cs="Arial"/>
        </w:rPr>
        <w:t>4.9 Conclusion</w:t>
      </w:r>
    </w:p>
    <w:p w14:paraId="03375117" w14:textId="1EB82A66" w:rsidR="00FF6565" w:rsidRPr="0044793F" w:rsidRDefault="00E01211" w:rsidP="00404048">
      <w:pPr>
        <w:spacing w:line="360" w:lineRule="auto"/>
        <w:jc w:val="both"/>
        <w:rPr>
          <w:rFonts w:ascii="Arial" w:hAnsi="Arial" w:cs="Arial"/>
        </w:rPr>
      </w:pPr>
      <w:r w:rsidRPr="0044793F">
        <w:rPr>
          <w:rFonts w:ascii="Arial" w:hAnsi="Arial" w:cs="Arial"/>
        </w:rPr>
        <w:t>The systematic synthesis reveals that the process of digital marketing has led to the process of organic-products adoption in Bangladesh by interacting informational, psychological, social and transactional process. Finally, educational content, credibility signals, social media and influencers, and e-commerce enhance purchase convenience, filling gaps in knowledge, earning trust through credibility signals, and influencing attitudes. But it requires cultural alignment, infrastructure, consumer trust, channel integration, and interventions to overcome structural barriers to be effective. To succeed, a social media awareness, an educational communication, but also credible influencers, e-commerce accessibility and after sales engagement must be combined. Strategies need to be tailored to the context of a mobile-first country, concerns over food safety, collectivist values, price sensitivity, and institutional trust deficits, which do not exist in developed markets. While opportunities exist due to digital transformation and health awareness, trust, affordability, availability and digital divides are challenges. Overall, certification in conjunction with reliable supply chains, affordability, infrastructure and consumer engagement, is a great enabler for digital marketing.</w:t>
      </w:r>
    </w:p>
    <w:p w14:paraId="7C2E81D2" w14:textId="77777777" w:rsidR="005677DC" w:rsidRPr="0044793F" w:rsidRDefault="005677DC" w:rsidP="00404048">
      <w:pPr>
        <w:spacing w:line="360" w:lineRule="auto"/>
        <w:rPr>
          <w:rFonts w:ascii="Arial" w:hAnsi="Arial" w:cs="Arial"/>
        </w:rPr>
      </w:pPr>
      <w:r w:rsidRPr="0044793F">
        <w:rPr>
          <w:rFonts w:ascii="Arial" w:hAnsi="Arial" w:cs="Arial"/>
        </w:rPr>
        <w:br w:type="page"/>
      </w:r>
    </w:p>
    <w:p w14:paraId="1F37446A" w14:textId="77777777" w:rsidR="00120F25" w:rsidRPr="0044793F" w:rsidRDefault="00120F25" w:rsidP="00E84E40">
      <w:pPr>
        <w:pStyle w:val="Heading1"/>
        <w:rPr>
          <w:rFonts w:ascii="Arial" w:hAnsi="Arial" w:cs="Arial"/>
        </w:rPr>
      </w:pPr>
      <w:r w:rsidRPr="0044793F">
        <w:rPr>
          <w:rFonts w:ascii="Arial" w:hAnsi="Arial" w:cs="Arial"/>
        </w:rPr>
        <w:lastRenderedPageBreak/>
        <w:t>CHAPTER 5: CONCLUSIONS AND RECOMMENDATIONS</w:t>
      </w:r>
    </w:p>
    <w:p w14:paraId="264848F0" w14:textId="77777777" w:rsidR="00DA42E8" w:rsidRPr="0044793F" w:rsidRDefault="00DA42E8" w:rsidP="00E84E40">
      <w:pPr>
        <w:pStyle w:val="Heading2"/>
        <w:rPr>
          <w:rFonts w:ascii="Arial" w:hAnsi="Arial" w:cs="Arial"/>
        </w:rPr>
      </w:pPr>
      <w:r w:rsidRPr="0044793F">
        <w:rPr>
          <w:rFonts w:ascii="Arial" w:hAnsi="Arial" w:cs="Arial"/>
        </w:rPr>
        <w:t>5.1 Introduction</w:t>
      </w:r>
    </w:p>
    <w:p w14:paraId="5AD261F5" w14:textId="77777777" w:rsidR="007D77B4" w:rsidRPr="0044793F" w:rsidRDefault="007D77B4" w:rsidP="00DA42E8">
      <w:pPr>
        <w:spacing w:line="360" w:lineRule="auto"/>
        <w:rPr>
          <w:rFonts w:ascii="Arial" w:hAnsi="Arial" w:cs="Arial"/>
        </w:rPr>
      </w:pPr>
      <w:r w:rsidRPr="0044793F">
        <w:rPr>
          <w:rFonts w:ascii="Arial" w:hAnsi="Arial" w:cs="Arial"/>
        </w:rPr>
        <w:t>In this last chapter, the core of critical insights, theories, and industry evaluations that have been created during the course of this dissertation are combined to culminate a grand synthesis of the effect digital marketing strategies have on the acceptance of organic products in Bangladesh. The critical thematic analysis detailed in Chapter 4 and the systematic literature research (SLR) presented in chapter 2 and 3 is consolidated in this chapter, to form the overall story of the research. It systematically answers the five core research questions, drawing conclusions on consumer behavior, the lack of trust and daily life operations of small and medium-sized businesses (SMEs) in an emerging economy. Moreover, in this chapter, separate recommendations based on evidence are given that are geared towards both theoretical academic development and practical industry use. Lastly, it openly recognizes the methodological and scope restrictions of the present study and suggests thoroughly planned research trajectories for future empirical studies on the topic of digital marketing, sustainable consumption and new market dynamics.</w:t>
      </w:r>
    </w:p>
    <w:p w14:paraId="3E22DC08" w14:textId="00F890A9" w:rsidR="00DA42E8" w:rsidRPr="0044793F" w:rsidRDefault="00DA42E8" w:rsidP="00E84E40">
      <w:pPr>
        <w:pStyle w:val="Heading2"/>
        <w:rPr>
          <w:rFonts w:ascii="Arial" w:hAnsi="Arial" w:cs="Arial"/>
        </w:rPr>
      </w:pPr>
      <w:r w:rsidRPr="0044793F">
        <w:rPr>
          <w:rFonts w:ascii="Arial" w:hAnsi="Arial" w:cs="Arial"/>
        </w:rPr>
        <w:t>5.2 Summary of Main Findings</w:t>
      </w:r>
    </w:p>
    <w:p w14:paraId="6C26B567" w14:textId="77777777" w:rsidR="007D77B4" w:rsidRPr="0044793F" w:rsidRDefault="007D77B4" w:rsidP="007D77B4">
      <w:pPr>
        <w:spacing w:line="360" w:lineRule="auto"/>
        <w:rPr>
          <w:rFonts w:ascii="Arial" w:hAnsi="Arial" w:cs="Arial"/>
        </w:rPr>
      </w:pPr>
      <w:r w:rsidRPr="0044793F">
        <w:rPr>
          <w:rFonts w:ascii="Arial" w:hAnsi="Arial" w:cs="Arial"/>
        </w:rPr>
        <w:t>This dissertation concludes that digital marketing is an effective enabler of organic products' adoption in Bangladesh but can't be a sole solution. When it comes to the market's “attitude-</w:t>
      </w:r>
      <w:proofErr w:type="spellStart"/>
      <w:r w:rsidRPr="0044793F">
        <w:rPr>
          <w:rFonts w:ascii="Arial" w:hAnsi="Arial" w:cs="Arial"/>
        </w:rPr>
        <w:t>behaviour</w:t>
      </w:r>
      <w:proofErr w:type="spellEnd"/>
      <w:r w:rsidRPr="0044793F">
        <w:rPr>
          <w:rFonts w:ascii="Arial" w:hAnsi="Arial" w:cs="Arial"/>
        </w:rPr>
        <w:t xml:space="preserve"> gap” (</w:t>
      </w:r>
      <w:proofErr w:type="spellStart"/>
      <w:r w:rsidRPr="0044793F">
        <w:rPr>
          <w:rFonts w:ascii="Arial" w:hAnsi="Arial" w:cs="Arial"/>
        </w:rPr>
        <w:t>Aertsens</w:t>
      </w:r>
      <w:proofErr w:type="spellEnd"/>
      <w:r w:rsidRPr="0044793F">
        <w:rPr>
          <w:rFonts w:ascii="Arial" w:hAnsi="Arial" w:cs="Arial"/>
        </w:rPr>
        <w:t xml:space="preserve"> et al., 2009), a mere deployment of digital advertisements and/or social media campaigns is not enough to close it. Rather, trust in digital marketing can only be mediated through both institutional and interpersonal trust (Zheng et al., 2021; Kabir and Islam, 2022).</w:t>
      </w:r>
    </w:p>
    <w:p w14:paraId="240A12CD" w14:textId="77777777" w:rsidR="007D77B4" w:rsidRPr="0044793F" w:rsidRDefault="007D77B4" w:rsidP="007D77B4">
      <w:pPr>
        <w:spacing w:line="360" w:lineRule="auto"/>
        <w:rPr>
          <w:rFonts w:ascii="Arial" w:hAnsi="Arial" w:cs="Arial"/>
        </w:rPr>
      </w:pPr>
      <w:r w:rsidRPr="0044793F">
        <w:rPr>
          <w:rFonts w:ascii="Arial" w:hAnsi="Arial" w:cs="Arial"/>
        </w:rPr>
        <w:t xml:space="preserve">A number of themes arose from the systematic review of the </w:t>
      </w:r>
      <w:proofErr w:type="gramStart"/>
      <w:r w:rsidRPr="0044793F">
        <w:rPr>
          <w:rFonts w:ascii="Arial" w:hAnsi="Arial" w:cs="Arial"/>
        </w:rPr>
        <w:t>high quality</w:t>
      </w:r>
      <w:proofErr w:type="gramEnd"/>
      <w:r w:rsidRPr="0044793F">
        <w:rPr>
          <w:rFonts w:ascii="Arial" w:hAnsi="Arial" w:cs="Arial"/>
        </w:rPr>
        <w:t xml:space="preserve"> academic sources. The first one is the dependence of Bangladesh's strategic space on social media which is used mostly in a mobile first direction, mainly Facebook (Bangladesh Telecommunication Regulatory Commission, 2022). But upon closer examination, it is found that many of the SMEs lack an understanding of the medium and are using it as a </w:t>
      </w:r>
      <w:r w:rsidRPr="0044793F">
        <w:rPr>
          <w:rFonts w:ascii="Arial" w:hAnsi="Arial" w:cs="Arial"/>
        </w:rPr>
        <w:lastRenderedPageBreak/>
        <w:t>leaflet for promoting their product or service instead of a medium that can be used to build trust and transparency (Shareef et al., 2019). Secondly, there are some differences in the motivational factors for organic foods in Bangladesh compared to the western world. Well-</w:t>
      </w:r>
      <w:proofErr w:type="spellStart"/>
      <w:r w:rsidRPr="0044793F">
        <w:rPr>
          <w:rFonts w:ascii="Arial" w:hAnsi="Arial" w:cs="Arial"/>
        </w:rPr>
        <w:t>recognised</w:t>
      </w:r>
      <w:proofErr w:type="spellEnd"/>
      <w:r w:rsidRPr="0044793F">
        <w:rPr>
          <w:rFonts w:ascii="Arial" w:hAnsi="Arial" w:cs="Arial"/>
        </w:rPr>
        <w:t xml:space="preserve"> issues of pesticide residues in conventional farming (Paul et al., 2025; </w:t>
      </w:r>
      <w:proofErr w:type="spellStart"/>
      <w:r w:rsidRPr="0044793F">
        <w:rPr>
          <w:rFonts w:ascii="Arial" w:hAnsi="Arial" w:cs="Arial"/>
        </w:rPr>
        <w:t>Momtaz</w:t>
      </w:r>
      <w:proofErr w:type="spellEnd"/>
      <w:r w:rsidRPr="0044793F">
        <w:rPr>
          <w:rFonts w:ascii="Arial" w:hAnsi="Arial" w:cs="Arial"/>
        </w:rPr>
        <w:t xml:space="preserve"> and Khan, 2024) are the main drivers when Bangladeshi consumers make their choice of food, and these drivers are primarily for biological self-preservation, health and food safety rather than for the environment (</w:t>
      </w:r>
      <w:proofErr w:type="spellStart"/>
      <w:r w:rsidRPr="0044793F">
        <w:rPr>
          <w:rFonts w:ascii="Arial" w:hAnsi="Arial" w:cs="Arial"/>
        </w:rPr>
        <w:t>Alam</w:t>
      </w:r>
      <w:proofErr w:type="spellEnd"/>
      <w:r w:rsidRPr="0044793F">
        <w:rPr>
          <w:rFonts w:ascii="Arial" w:hAnsi="Arial" w:cs="Arial"/>
        </w:rPr>
        <w:t>, 2024).</w:t>
      </w:r>
    </w:p>
    <w:p w14:paraId="550B1FE5" w14:textId="77777777" w:rsidR="007D77B4" w:rsidRPr="0044793F" w:rsidRDefault="007D77B4" w:rsidP="007D77B4">
      <w:pPr>
        <w:spacing w:line="360" w:lineRule="auto"/>
        <w:rPr>
          <w:rFonts w:ascii="Arial" w:hAnsi="Arial" w:cs="Arial"/>
        </w:rPr>
      </w:pPr>
      <w:r w:rsidRPr="0044793F">
        <w:rPr>
          <w:rFonts w:ascii="Arial" w:hAnsi="Arial" w:cs="Arial"/>
        </w:rPr>
        <w:t>But despite the robust health motives, digital conversion is limited, as the cost of services is very sensitive and consumers have high doubts of digital services (Ashraf et al., 2019; Amin and Tarun, 2020). The organic claims are often not trusted by consumers because of poor national systems of certification. Therefore, digital marketing strategies that involve using "proof-of-process" marketing (content of long-forms, videos of supply chain transparency and credible micro-influencers) and breaking through the "perceived risk" facilitate the success of digital marketing (Babu et al., 2025). In conclusion, digital marketing can only be effective in Bangladesh if it is supported by quality assurance, communication and logistics that can be verified in the offline environment (Rahman et al., 2021).</w:t>
      </w:r>
    </w:p>
    <w:p w14:paraId="5A5FE543" w14:textId="17E55C1A" w:rsidR="00DA42E8" w:rsidRPr="0044793F" w:rsidRDefault="00DA42E8" w:rsidP="00E84E40">
      <w:pPr>
        <w:pStyle w:val="Heading2"/>
        <w:rPr>
          <w:rFonts w:ascii="Arial" w:hAnsi="Arial" w:cs="Arial"/>
        </w:rPr>
      </w:pPr>
      <w:r w:rsidRPr="0044793F">
        <w:rPr>
          <w:rFonts w:ascii="Arial" w:hAnsi="Arial" w:cs="Arial"/>
        </w:rPr>
        <w:t>5.3 Conclusion Based on the Research Questions</w:t>
      </w:r>
    </w:p>
    <w:p w14:paraId="11B60DD9" w14:textId="77777777" w:rsidR="007D77B4" w:rsidRPr="0044793F" w:rsidRDefault="007D77B4" w:rsidP="00DA42E8">
      <w:pPr>
        <w:spacing w:line="360" w:lineRule="auto"/>
        <w:rPr>
          <w:rFonts w:ascii="Arial" w:hAnsi="Arial" w:cs="Arial"/>
        </w:rPr>
      </w:pPr>
      <w:r w:rsidRPr="0044793F">
        <w:rPr>
          <w:rFonts w:ascii="Arial" w:hAnsi="Arial" w:cs="Arial"/>
        </w:rPr>
        <w:t>Five interrelated focus questions were used for guiding the research. These are outlined systematically below for each of the conclusions.</w:t>
      </w:r>
    </w:p>
    <w:p w14:paraId="77D15243" w14:textId="44768416" w:rsidR="00DA42E8" w:rsidRPr="0044793F" w:rsidRDefault="00DA42E8" w:rsidP="00E84E40">
      <w:pPr>
        <w:pStyle w:val="Heading3"/>
        <w:rPr>
          <w:rFonts w:ascii="Arial" w:hAnsi="Arial" w:cs="Arial"/>
        </w:rPr>
      </w:pPr>
      <w:r w:rsidRPr="0044793F">
        <w:rPr>
          <w:rFonts w:ascii="Arial" w:hAnsi="Arial" w:cs="Arial"/>
        </w:rPr>
        <w:t>5.3.1 Conclusion for RQ1: Existing Digital Marketing Strategies and Platforms</w:t>
      </w:r>
    </w:p>
    <w:p w14:paraId="7A1B2095" w14:textId="77777777" w:rsidR="007D77B4" w:rsidRPr="0044793F" w:rsidRDefault="007D77B4" w:rsidP="00DA42E8">
      <w:pPr>
        <w:spacing w:line="360" w:lineRule="auto"/>
        <w:rPr>
          <w:rFonts w:ascii="Arial" w:hAnsi="Arial" w:cs="Arial"/>
        </w:rPr>
      </w:pPr>
      <w:r w:rsidRPr="0044793F">
        <w:rPr>
          <w:rFonts w:ascii="Arial" w:hAnsi="Arial" w:cs="Arial"/>
        </w:rPr>
        <w:t xml:space="preserve">The research found that the digital marketing environment of the organic SMEs in Bangladesh is multi-layered but biased towards social media platforms in reply to RQ1. F-commerce (Facebook) is a crucial low entry digital channel of market access, which works as a marketing tool as well as a channel for online transactions (Kabir, 2021; Kamal and Chowdhury, 2022). The function of content marketing is to educate consumers about credence goods which have attributes that are difficult to be verified before consumption, hence information and trust would be important to consumers' purchase decision (Zheng et al., 2021; Akter et al., 2023). Additionally, there is a strong </w:t>
      </w:r>
      <w:r w:rsidRPr="0044793F">
        <w:rPr>
          <w:rFonts w:ascii="Arial" w:hAnsi="Arial" w:cs="Arial"/>
        </w:rPr>
        <w:lastRenderedPageBreak/>
        <w:t xml:space="preserve">push on e-commerce integration either through their own e-SME sites or through already existing grocery aggregators such as </w:t>
      </w:r>
      <w:proofErr w:type="spellStart"/>
      <w:r w:rsidRPr="0044793F">
        <w:rPr>
          <w:rFonts w:ascii="Arial" w:hAnsi="Arial" w:cs="Arial"/>
        </w:rPr>
        <w:t>Chaldal</w:t>
      </w:r>
      <w:proofErr w:type="spellEnd"/>
      <w:r w:rsidRPr="0044793F">
        <w:rPr>
          <w:rFonts w:ascii="Arial" w:hAnsi="Arial" w:cs="Arial"/>
        </w:rPr>
        <w:t xml:space="preserve">. While it is a growing trend, influencer marketing has taken a definite turn for the better, moving away from celebrity endorsers who are looked down upon for their lack of authenticity and credibility, and toward more niche, very credible influencers, like a dietitian, pediatrician, or local chef. </w:t>
      </w:r>
      <w:proofErr w:type="gramStart"/>
      <w:r w:rsidRPr="0044793F">
        <w:rPr>
          <w:rFonts w:ascii="Arial" w:hAnsi="Arial" w:cs="Arial"/>
        </w:rPr>
        <w:t>But,</w:t>
      </w:r>
      <w:proofErr w:type="gramEnd"/>
      <w:r w:rsidRPr="0044793F">
        <w:rPr>
          <w:rFonts w:ascii="Arial" w:hAnsi="Arial" w:cs="Arial"/>
        </w:rPr>
        <w:t xml:space="preserve"> the results suggest a high level of uptake of these tools, but a low level of strategic maturity of use by independent agricultural SMEs, which results in a limited market impact.</w:t>
      </w:r>
    </w:p>
    <w:p w14:paraId="344DDA9D" w14:textId="4BC25A9D" w:rsidR="00DA42E8" w:rsidRPr="0044793F" w:rsidRDefault="00DA42E8" w:rsidP="00E84E40">
      <w:pPr>
        <w:pStyle w:val="Heading3"/>
        <w:rPr>
          <w:rFonts w:ascii="Arial" w:hAnsi="Arial" w:cs="Arial"/>
        </w:rPr>
      </w:pPr>
      <w:r w:rsidRPr="0044793F">
        <w:rPr>
          <w:rFonts w:ascii="Arial" w:hAnsi="Arial" w:cs="Arial"/>
        </w:rPr>
        <w:t xml:space="preserve">5.3.2 Conclusion for RQ2: Consumer </w:t>
      </w:r>
      <w:proofErr w:type="spellStart"/>
      <w:r w:rsidRPr="0044793F">
        <w:rPr>
          <w:rFonts w:ascii="Arial" w:hAnsi="Arial" w:cs="Arial"/>
        </w:rPr>
        <w:t>Behaviours</w:t>
      </w:r>
      <w:proofErr w:type="spellEnd"/>
      <w:r w:rsidRPr="0044793F">
        <w:rPr>
          <w:rFonts w:ascii="Arial" w:hAnsi="Arial" w:cs="Arial"/>
        </w:rPr>
        <w:t xml:space="preserve"> and Market Acceptance</w:t>
      </w:r>
    </w:p>
    <w:p w14:paraId="64C62925" w14:textId="77777777" w:rsidR="00151CF0" w:rsidRPr="0044793F" w:rsidRDefault="00151CF0" w:rsidP="00151CF0">
      <w:pPr>
        <w:spacing w:line="360" w:lineRule="auto"/>
        <w:rPr>
          <w:rFonts w:ascii="Arial" w:hAnsi="Arial" w:cs="Arial"/>
        </w:rPr>
      </w:pPr>
      <w:r w:rsidRPr="0044793F">
        <w:rPr>
          <w:rFonts w:ascii="Arial" w:hAnsi="Arial" w:cs="Arial"/>
        </w:rPr>
        <w:t xml:space="preserve">Comprising a delicate equilibrium between high levels of health and food safety messages from consumers and high levels of market </w:t>
      </w:r>
      <w:proofErr w:type="spellStart"/>
      <w:r w:rsidRPr="0044793F">
        <w:rPr>
          <w:rFonts w:ascii="Arial" w:hAnsi="Arial" w:cs="Arial"/>
        </w:rPr>
        <w:t>scepticism</w:t>
      </w:r>
      <w:proofErr w:type="spellEnd"/>
      <w:r w:rsidRPr="0044793F">
        <w:rPr>
          <w:rFonts w:ascii="Arial" w:hAnsi="Arial" w:cs="Arial"/>
        </w:rPr>
        <w:t xml:space="preserve">, the study finds that consumer acceptance is regulated by this delicate equilibrium (Zheng et al., 2021; Akter et al., 2023). The research is based on the Theory of Planned behavior (TPB), which makes the attitudes, subjective norms (SN) and perceived </w:t>
      </w:r>
      <w:proofErr w:type="spellStart"/>
      <w:r w:rsidRPr="0044793F">
        <w:rPr>
          <w:rFonts w:ascii="Arial" w:hAnsi="Arial" w:cs="Arial"/>
        </w:rPr>
        <w:t>behavioural</w:t>
      </w:r>
      <w:proofErr w:type="spellEnd"/>
      <w:r w:rsidRPr="0044793F">
        <w:rPr>
          <w:rFonts w:ascii="Arial" w:hAnsi="Arial" w:cs="Arial"/>
        </w:rPr>
        <w:t xml:space="preserve"> control (PBC) key constructs to understand </w:t>
      </w:r>
      <w:proofErr w:type="spellStart"/>
      <w:r w:rsidRPr="0044793F">
        <w:rPr>
          <w:rFonts w:ascii="Arial" w:hAnsi="Arial" w:cs="Arial"/>
        </w:rPr>
        <w:t>behaviour</w:t>
      </w:r>
      <w:proofErr w:type="spellEnd"/>
      <w:r w:rsidRPr="0044793F">
        <w:rPr>
          <w:rFonts w:ascii="Arial" w:hAnsi="Arial" w:cs="Arial"/>
        </w:rPr>
        <w:t xml:space="preserve"> intention (BI) (Ajzen, 1991). Given the specific context of organic food in Bangladesh, health consciousness and food-safety consciousness are crucial factors that could be responsible for influencing the conversion of intention into </w:t>
      </w:r>
      <w:proofErr w:type="spellStart"/>
      <w:r w:rsidRPr="0044793F">
        <w:rPr>
          <w:rFonts w:ascii="Arial" w:hAnsi="Arial" w:cs="Arial"/>
        </w:rPr>
        <w:t>behaviour</w:t>
      </w:r>
      <w:proofErr w:type="spellEnd"/>
      <w:r w:rsidRPr="0044793F">
        <w:rPr>
          <w:rFonts w:ascii="Arial" w:hAnsi="Arial" w:cs="Arial"/>
        </w:rPr>
        <w:t>, while price consciousness may only be a limiting factor (Zheng et al., 2021).</w:t>
      </w:r>
    </w:p>
    <w:p w14:paraId="6CD7C9BB" w14:textId="77777777" w:rsidR="00151CF0" w:rsidRPr="0044793F" w:rsidRDefault="00151CF0" w:rsidP="00151CF0">
      <w:pPr>
        <w:spacing w:line="360" w:lineRule="auto"/>
        <w:rPr>
          <w:rFonts w:ascii="Arial" w:hAnsi="Arial" w:cs="Arial"/>
        </w:rPr>
      </w:pPr>
      <w:r w:rsidRPr="0044793F">
        <w:rPr>
          <w:rFonts w:ascii="Arial" w:hAnsi="Arial" w:cs="Arial"/>
        </w:rPr>
        <w:t xml:space="preserve">But crucially the study shows that a key moderator is trust. In Bangladesh, purchasing </w:t>
      </w:r>
      <w:proofErr w:type="spellStart"/>
      <w:r w:rsidRPr="0044793F">
        <w:rPr>
          <w:rFonts w:ascii="Arial" w:hAnsi="Arial" w:cs="Arial"/>
        </w:rPr>
        <w:t>behaviour</w:t>
      </w:r>
      <w:proofErr w:type="spellEnd"/>
      <w:r w:rsidRPr="0044793F">
        <w:rPr>
          <w:rFonts w:ascii="Arial" w:hAnsi="Arial" w:cs="Arial"/>
        </w:rPr>
        <w:t xml:space="preserve"> of the organic food of last mile consumers is significantly moderated by the trust (Zheng et al., 2021). The psychology of the Bangladeshi consumers towards digital marketing of organic food is skeptical. In the absence of any certifiable organic authenticity (as often there isn't any trusted national certification), consumers tend to rely on their conventional buying patterns and look at the produce first hand at local wet markets (Kacha Bazar). </w:t>
      </w:r>
      <w:proofErr w:type="gramStart"/>
      <w:r w:rsidRPr="0044793F">
        <w:rPr>
          <w:rFonts w:ascii="Arial" w:hAnsi="Arial" w:cs="Arial"/>
        </w:rPr>
        <w:t>Thus</w:t>
      </w:r>
      <w:proofErr w:type="gramEnd"/>
      <w:r w:rsidRPr="0044793F">
        <w:rPr>
          <w:rFonts w:ascii="Arial" w:hAnsi="Arial" w:cs="Arial"/>
        </w:rPr>
        <w:t xml:space="preserve"> the nature of the consumer </w:t>
      </w:r>
      <w:proofErr w:type="spellStart"/>
      <w:r w:rsidRPr="0044793F">
        <w:rPr>
          <w:rFonts w:ascii="Arial" w:hAnsi="Arial" w:cs="Arial"/>
        </w:rPr>
        <w:t>behaviour</w:t>
      </w:r>
      <w:proofErr w:type="spellEnd"/>
      <w:r w:rsidRPr="0044793F">
        <w:rPr>
          <w:rFonts w:ascii="Arial" w:hAnsi="Arial" w:cs="Arial"/>
        </w:rPr>
        <w:t xml:space="preserve"> in the digital organic market is highly active in digital engagement (likes/ shares/ inquiries) with low transactional conversion.</w:t>
      </w:r>
    </w:p>
    <w:p w14:paraId="67755ABD" w14:textId="2E96DE38" w:rsidR="00DA42E8" w:rsidRPr="0044793F" w:rsidRDefault="00DA42E8" w:rsidP="00E84E40">
      <w:pPr>
        <w:pStyle w:val="Heading3"/>
        <w:rPr>
          <w:rFonts w:ascii="Arial" w:hAnsi="Arial" w:cs="Arial"/>
        </w:rPr>
      </w:pPr>
      <w:r w:rsidRPr="0044793F">
        <w:rPr>
          <w:rFonts w:ascii="Arial" w:hAnsi="Arial" w:cs="Arial"/>
        </w:rPr>
        <w:lastRenderedPageBreak/>
        <w:t>5.3.3 Conclusion for RQ3: Effectiveness of Strategies, Successes, and Failures</w:t>
      </w:r>
    </w:p>
    <w:p w14:paraId="6F7E935D" w14:textId="77777777" w:rsidR="00151CF0" w:rsidRPr="0044793F" w:rsidRDefault="00151CF0" w:rsidP="00DA42E8">
      <w:pPr>
        <w:spacing w:line="360" w:lineRule="auto"/>
        <w:rPr>
          <w:rFonts w:ascii="Arial" w:hAnsi="Arial" w:cs="Arial"/>
        </w:rPr>
      </w:pPr>
      <w:r w:rsidRPr="0044793F">
        <w:rPr>
          <w:rFonts w:ascii="Arial" w:hAnsi="Arial" w:cs="Arial"/>
        </w:rPr>
        <w:t xml:space="preserve">As to RQ3, the study clearly finds that the effectiveness of digital marketing is heavily dependent upon the consumer's readiness from awareness stage to credible trust stage. Trust and credible certification have been found to play a role in minimizing perceived uncertainty when it comes to organic-food consumption, according to </w:t>
      </w:r>
      <w:proofErr w:type="spellStart"/>
      <w:proofErr w:type="gramStart"/>
      <w:r w:rsidRPr="0044793F">
        <w:rPr>
          <w:rFonts w:ascii="Arial" w:hAnsi="Arial" w:cs="Arial"/>
        </w:rPr>
        <w:t>research.Research</w:t>
      </w:r>
      <w:proofErr w:type="spellEnd"/>
      <w:proofErr w:type="gramEnd"/>
      <w:r w:rsidRPr="0044793F">
        <w:rPr>
          <w:rFonts w:ascii="Arial" w:hAnsi="Arial" w:cs="Arial"/>
        </w:rPr>
        <w:t xml:space="preserve"> on organic-food consumption indicates that trust and credible certification are important to minimize perceived uncertainty (Zheng et al., 2021; Akter et al., 2023). If you're trying to implement strategies that are educational and transparent, they will work. For instance, Facebook Live videos showing farm to table sourcing or even content marketing that candidly admits that a crop failed and the natural controls implemented to resolve the issue are effective, are good ways to create brand love and consumer loyalty. These strategies work to actively undermine consumer's perception of risk.</w:t>
      </w:r>
    </w:p>
    <w:p w14:paraId="1B54F91D" w14:textId="08423882" w:rsidR="00DA42E8" w:rsidRPr="0044793F" w:rsidRDefault="00DA42E8" w:rsidP="00E84E40">
      <w:pPr>
        <w:pStyle w:val="Heading3"/>
        <w:rPr>
          <w:rFonts w:ascii="Arial" w:hAnsi="Arial" w:cs="Arial"/>
        </w:rPr>
      </w:pPr>
      <w:r w:rsidRPr="0044793F">
        <w:rPr>
          <w:rFonts w:ascii="Arial" w:hAnsi="Arial" w:cs="Arial"/>
        </w:rPr>
        <w:t>5.3.4 Conclusion for RQ4: Contextual Market Barriers and Enablers</w:t>
      </w:r>
    </w:p>
    <w:p w14:paraId="408F8960" w14:textId="77777777" w:rsidR="00151CF0" w:rsidRPr="0044793F" w:rsidRDefault="00151CF0" w:rsidP="00DA42E8">
      <w:pPr>
        <w:spacing w:line="360" w:lineRule="auto"/>
        <w:rPr>
          <w:rFonts w:ascii="Arial" w:hAnsi="Arial" w:cs="Arial"/>
        </w:rPr>
      </w:pPr>
      <w:r w:rsidRPr="0044793F">
        <w:rPr>
          <w:rFonts w:ascii="Arial" w:hAnsi="Arial" w:cs="Arial"/>
        </w:rPr>
        <w:t>The study suggests in the socio-economic and technological setting of Bangladesh, Digital marketing essentially changes its fundamental scenario. The dominant enabler is the wide-spread access and use of internet and smart phones that has facilitated the growth of ‘F-commerce' and digital transactions in Bangladesh (Kabir, 2021; Kamal and Chowdhury, 2022). In addition, social support is an important aspect of culture, and the decisions made by families are often based on this, creating an opportunity for digital campaigns to focus on community health and child safety.</w:t>
      </w:r>
    </w:p>
    <w:p w14:paraId="715F3894" w14:textId="6CE8F86E" w:rsidR="00DA42E8" w:rsidRPr="0044793F" w:rsidRDefault="00DA42E8" w:rsidP="00E84E40">
      <w:pPr>
        <w:pStyle w:val="Heading3"/>
        <w:rPr>
          <w:rFonts w:ascii="Arial" w:hAnsi="Arial" w:cs="Arial"/>
        </w:rPr>
      </w:pPr>
      <w:r w:rsidRPr="0044793F">
        <w:rPr>
          <w:rFonts w:ascii="Arial" w:hAnsi="Arial" w:cs="Arial"/>
        </w:rPr>
        <w:t>5.3.5 Conclusion for RQ5: Strategic Recommendations</w:t>
      </w:r>
    </w:p>
    <w:p w14:paraId="3F4F55D9" w14:textId="77777777" w:rsidR="00151CF0" w:rsidRPr="0044793F" w:rsidRDefault="00151CF0" w:rsidP="00DA42E8">
      <w:pPr>
        <w:spacing w:line="360" w:lineRule="auto"/>
        <w:rPr>
          <w:rFonts w:ascii="Arial" w:hAnsi="Arial" w:cs="Arial"/>
        </w:rPr>
      </w:pPr>
      <w:r w:rsidRPr="0044793F">
        <w:rPr>
          <w:rFonts w:ascii="Arial" w:hAnsi="Arial" w:cs="Arial"/>
        </w:rPr>
        <w:t xml:space="preserve">The final for RQ5 smoothly leads to the organized recommendations outlined in Section 5.4. The findings from literature and industry evaluations suggest that more than just promotional communication, a trust-based marketing approach backed by credible certification, production information transparency and reliable fulfillment is needed from the perspective of the </w:t>
      </w:r>
      <w:proofErr w:type="spellStart"/>
      <w:r w:rsidRPr="0044793F">
        <w:rPr>
          <w:rFonts w:ascii="Arial" w:hAnsi="Arial" w:cs="Arial"/>
        </w:rPr>
        <w:t>stakeholders.The</w:t>
      </w:r>
      <w:proofErr w:type="spellEnd"/>
      <w:r w:rsidRPr="0044793F">
        <w:rPr>
          <w:rFonts w:ascii="Arial" w:hAnsi="Arial" w:cs="Arial"/>
        </w:rPr>
        <w:t xml:space="preserve"> literature and industry evaluations indicate that stakeholders need more than just promotional communication and there is a need for a </w:t>
      </w:r>
      <w:r w:rsidRPr="0044793F">
        <w:rPr>
          <w:rFonts w:ascii="Arial" w:hAnsi="Arial" w:cs="Arial"/>
        </w:rPr>
        <w:lastRenderedPageBreak/>
        <w:t>trust-based marketing approach with credible certification, transparent production information and reliable fulfilment (Zheng et al., 2021; Akter et al., 2023).</w:t>
      </w:r>
    </w:p>
    <w:p w14:paraId="6D0A6D77" w14:textId="6563C37C" w:rsidR="00DA42E8" w:rsidRPr="0044793F" w:rsidRDefault="00DA42E8" w:rsidP="00E84E40">
      <w:pPr>
        <w:pStyle w:val="Heading3"/>
        <w:rPr>
          <w:rFonts w:ascii="Arial" w:hAnsi="Arial" w:cs="Arial"/>
        </w:rPr>
      </w:pPr>
      <w:r w:rsidRPr="0044793F">
        <w:rPr>
          <w:rFonts w:ascii="Arial" w:hAnsi="Arial" w:cs="Arial"/>
        </w:rPr>
        <w:t>5.4 Recommendations (Practical and Theoretical)</w:t>
      </w:r>
    </w:p>
    <w:p w14:paraId="768131CD" w14:textId="77777777" w:rsidR="00151CF0" w:rsidRPr="0044793F" w:rsidRDefault="00151CF0" w:rsidP="00DA42E8">
      <w:pPr>
        <w:spacing w:line="360" w:lineRule="auto"/>
        <w:rPr>
          <w:rFonts w:ascii="Arial" w:hAnsi="Arial" w:cs="Arial"/>
        </w:rPr>
      </w:pPr>
      <w:r w:rsidRPr="0044793F">
        <w:rPr>
          <w:rFonts w:ascii="Arial" w:hAnsi="Arial" w:cs="Arial"/>
        </w:rPr>
        <w:t>The following recommendations are made on the basis of the thorough critical appraisal of the literature, industry successes and the problems the industry has identified. These are divided into industry practical recommendations for SMEs, marketers and policymakers and academic recommendations for further theory development.</w:t>
      </w:r>
    </w:p>
    <w:p w14:paraId="4416570E" w14:textId="60CB68D2" w:rsidR="00DA42E8" w:rsidRPr="0044793F" w:rsidRDefault="00DA42E8" w:rsidP="00E84E40">
      <w:pPr>
        <w:pStyle w:val="Heading3"/>
        <w:rPr>
          <w:rFonts w:ascii="Arial" w:hAnsi="Arial" w:cs="Arial"/>
        </w:rPr>
      </w:pPr>
      <w:r w:rsidRPr="0044793F">
        <w:rPr>
          <w:rFonts w:ascii="Arial" w:hAnsi="Arial" w:cs="Arial"/>
        </w:rPr>
        <w:t>5.4.1 Practical Recommendations for Industry and Policymakers</w:t>
      </w:r>
    </w:p>
    <w:p w14:paraId="28F11492" w14:textId="77777777" w:rsidR="00151CF0" w:rsidRPr="0044793F" w:rsidRDefault="00151CF0" w:rsidP="00151CF0">
      <w:pPr>
        <w:spacing w:line="360" w:lineRule="auto"/>
        <w:rPr>
          <w:rFonts w:ascii="Arial" w:hAnsi="Arial" w:cs="Arial"/>
          <w:bCs/>
        </w:rPr>
      </w:pPr>
      <w:r w:rsidRPr="0044793F">
        <w:rPr>
          <w:rFonts w:ascii="Arial" w:hAnsi="Arial" w:cs="Arial"/>
          <w:bCs/>
        </w:rPr>
        <w:t>Make the shift to "Proof-of-Process" Content Marketing:</w:t>
      </w:r>
    </w:p>
    <w:p w14:paraId="43AEFD88" w14:textId="77777777" w:rsidR="00151CF0" w:rsidRPr="0044793F" w:rsidRDefault="00151CF0" w:rsidP="00151CF0">
      <w:pPr>
        <w:spacing w:line="360" w:lineRule="auto"/>
        <w:rPr>
          <w:rFonts w:ascii="Arial" w:hAnsi="Arial" w:cs="Arial"/>
          <w:bCs/>
        </w:rPr>
      </w:pPr>
      <w:r w:rsidRPr="0044793F">
        <w:rPr>
          <w:rFonts w:ascii="Arial" w:hAnsi="Arial" w:cs="Arial"/>
          <w:bCs/>
        </w:rPr>
        <w:t>In Bangladesh, organic small and medium enterprises (SMEs) should completely overhaul their digital ads approach, which is aimed at aesthetics and has no relation to the brand. When there is no supporting evidence with a weak level of certification and traceability, consumers might be skeptical, and Bangladeshi studies show that authenticity and certification are important aspects of consumers' trust to organic products (Zheng et al., 2021; Akter et al., 2023). Rather, marketing tactics need to turn the corner to radical transparency. Brands should take advantage of video to highlight exactly how they farm, introduce their farmers by name and be open and honest about the problems of organic farming (lower yields or pest problems etc.). This is the openness and vulnerability that make the brand human, and create the strong interpersonal bond that's the basis of the price premium.</w:t>
      </w:r>
    </w:p>
    <w:p w14:paraId="2B4111BD" w14:textId="4A848657" w:rsidR="00151CF0" w:rsidRPr="0044793F" w:rsidRDefault="00151CF0" w:rsidP="00151CF0">
      <w:pPr>
        <w:spacing w:line="360" w:lineRule="auto"/>
        <w:rPr>
          <w:rFonts w:ascii="Arial" w:hAnsi="Arial" w:cs="Arial"/>
          <w:bCs/>
        </w:rPr>
      </w:pPr>
      <w:r w:rsidRPr="0044793F">
        <w:rPr>
          <w:rFonts w:ascii="Arial" w:hAnsi="Arial" w:cs="Arial"/>
          <w:bCs/>
        </w:rPr>
        <w:t>Repurpose and Reuse Content:</w:t>
      </w:r>
    </w:p>
    <w:p w14:paraId="7A525680" w14:textId="77777777" w:rsidR="00151CF0" w:rsidRPr="0044793F" w:rsidRDefault="00151CF0" w:rsidP="00151CF0">
      <w:pPr>
        <w:spacing w:line="360" w:lineRule="auto"/>
        <w:rPr>
          <w:rFonts w:ascii="Arial" w:hAnsi="Arial" w:cs="Arial"/>
          <w:bCs/>
        </w:rPr>
      </w:pPr>
      <w:r w:rsidRPr="0044793F">
        <w:rPr>
          <w:rFonts w:ascii="Arial" w:hAnsi="Arial" w:cs="Arial"/>
          <w:bCs/>
        </w:rPr>
        <w:t xml:space="preserve">Brands have to steer clear of using the celebrity influencers who have a wide reach but are costly to the Bangladeshi market. Rather, marketing funds ought to be shifted to believable micro-influencers who have intrinsic authority and a voice in health and safety. Collaborating with reputable and relevant micro-influencers can give social proof, enhance perceived credibility and boost consumer reactions and purchase intentions as evidenced recently, in which influencer credibility and trustworthiness can positively influence consumers' reaction and purchase intention (Dema, </w:t>
      </w:r>
      <w:proofErr w:type="spellStart"/>
      <w:r w:rsidRPr="0044793F">
        <w:rPr>
          <w:rFonts w:ascii="Arial" w:hAnsi="Arial" w:cs="Arial"/>
          <w:bCs/>
        </w:rPr>
        <w:t>Mutiarawati</w:t>
      </w:r>
      <w:proofErr w:type="spellEnd"/>
      <w:r w:rsidRPr="0044793F">
        <w:rPr>
          <w:rFonts w:ascii="Arial" w:hAnsi="Arial" w:cs="Arial"/>
          <w:bCs/>
        </w:rPr>
        <w:t xml:space="preserve"> and Billy, 2025; Adaba, Frimpong and </w:t>
      </w:r>
      <w:proofErr w:type="spellStart"/>
      <w:r w:rsidRPr="0044793F">
        <w:rPr>
          <w:rFonts w:ascii="Arial" w:hAnsi="Arial" w:cs="Arial"/>
          <w:bCs/>
        </w:rPr>
        <w:t>Mwainyekule</w:t>
      </w:r>
      <w:proofErr w:type="spellEnd"/>
      <w:r w:rsidRPr="0044793F">
        <w:rPr>
          <w:rFonts w:ascii="Arial" w:hAnsi="Arial" w:cs="Arial"/>
          <w:bCs/>
        </w:rPr>
        <w:t>, 2025).</w:t>
      </w:r>
    </w:p>
    <w:p w14:paraId="43CD5A58" w14:textId="4A53179A" w:rsidR="00151CF0" w:rsidRPr="0044793F" w:rsidRDefault="00151CF0" w:rsidP="00151CF0">
      <w:pPr>
        <w:spacing w:line="360" w:lineRule="auto"/>
        <w:rPr>
          <w:rFonts w:ascii="Arial" w:hAnsi="Arial" w:cs="Arial"/>
          <w:bCs/>
        </w:rPr>
      </w:pPr>
      <w:r w:rsidRPr="0044793F">
        <w:rPr>
          <w:rFonts w:ascii="Arial" w:hAnsi="Arial" w:cs="Arial"/>
          <w:bCs/>
        </w:rPr>
        <w:lastRenderedPageBreak/>
        <w:t>Strategic E Commerce Aggregation of Independent Silos:</w:t>
      </w:r>
    </w:p>
    <w:p w14:paraId="380FC6E6" w14:textId="77777777" w:rsidR="00151CF0" w:rsidRPr="0044793F" w:rsidRDefault="00151CF0" w:rsidP="00151CF0">
      <w:pPr>
        <w:spacing w:line="360" w:lineRule="auto"/>
        <w:rPr>
          <w:rFonts w:ascii="Arial" w:hAnsi="Arial" w:cs="Arial"/>
          <w:bCs/>
        </w:rPr>
      </w:pPr>
      <w:r w:rsidRPr="0044793F">
        <w:rPr>
          <w:rFonts w:ascii="Arial" w:hAnsi="Arial" w:cs="Arial"/>
          <w:bCs/>
        </w:rPr>
        <w:t>However, in the context of Bangladesh, the internet of things might be the relatively less challenging path for the small businesses to enter the market as F-commerce (Kabir, 2021; Kamal and Chowdhury, 2022) offers them the opportunity of developing their own digital infrastructure. Hence, small organic farmers are advised to enter into strategic collaborations with digital grocery and marketplace platforms (</w:t>
      </w:r>
      <w:proofErr w:type="gramStart"/>
      <w:r w:rsidRPr="0044793F">
        <w:rPr>
          <w:rFonts w:ascii="Arial" w:hAnsi="Arial" w:cs="Arial"/>
          <w:bCs/>
        </w:rPr>
        <w:t>e.g.</w:t>
      </w:r>
      <w:proofErr w:type="gramEnd"/>
      <w:r w:rsidRPr="0044793F">
        <w:rPr>
          <w:rFonts w:ascii="Arial" w:hAnsi="Arial" w:cs="Arial"/>
          <w:bCs/>
        </w:rPr>
        <w:t xml:space="preserve"> </w:t>
      </w:r>
      <w:proofErr w:type="spellStart"/>
      <w:r w:rsidRPr="0044793F">
        <w:rPr>
          <w:rFonts w:ascii="Arial" w:hAnsi="Arial" w:cs="Arial"/>
          <w:bCs/>
        </w:rPr>
        <w:t>Chaldal</w:t>
      </w:r>
      <w:proofErr w:type="spellEnd"/>
      <w:r w:rsidRPr="0044793F">
        <w:rPr>
          <w:rFonts w:ascii="Arial" w:hAnsi="Arial" w:cs="Arial"/>
          <w:bCs/>
        </w:rPr>
        <w:t xml:space="preserve"> and </w:t>
      </w:r>
      <w:proofErr w:type="spellStart"/>
      <w:r w:rsidRPr="0044793F">
        <w:rPr>
          <w:rFonts w:ascii="Arial" w:hAnsi="Arial" w:cs="Arial"/>
          <w:bCs/>
        </w:rPr>
        <w:t>Daraz</w:t>
      </w:r>
      <w:proofErr w:type="spellEnd"/>
      <w:r w:rsidRPr="0044793F">
        <w:rPr>
          <w:rFonts w:ascii="Arial" w:hAnsi="Arial" w:cs="Arial"/>
          <w:bCs/>
        </w:rPr>
        <w:t>) that already have online ordering systems, marketplace access and delivery setup (</w:t>
      </w:r>
      <w:proofErr w:type="spellStart"/>
      <w:r w:rsidRPr="0044793F">
        <w:rPr>
          <w:rFonts w:ascii="Arial" w:hAnsi="Arial" w:cs="Arial"/>
          <w:bCs/>
        </w:rPr>
        <w:t>Chaldal</w:t>
      </w:r>
      <w:proofErr w:type="spellEnd"/>
      <w:r w:rsidRPr="0044793F">
        <w:rPr>
          <w:rFonts w:ascii="Arial" w:hAnsi="Arial" w:cs="Arial"/>
          <w:bCs/>
        </w:rPr>
        <w:t xml:space="preserve">, </w:t>
      </w:r>
      <w:proofErr w:type="spellStart"/>
      <w:r w:rsidRPr="0044793F">
        <w:rPr>
          <w:rFonts w:ascii="Arial" w:hAnsi="Arial" w:cs="Arial"/>
          <w:bCs/>
        </w:rPr>
        <w:t>Daraz</w:t>
      </w:r>
      <w:proofErr w:type="spellEnd"/>
      <w:r w:rsidRPr="0044793F">
        <w:rPr>
          <w:rFonts w:ascii="Arial" w:hAnsi="Arial" w:cs="Arial"/>
          <w:bCs/>
        </w:rPr>
        <w:t>, 2026). With an aggregator's platform, the SME immediately gains the trust of their consumers, TAM-compliant interfaces, and their strong delivery network, enabling them to concentrate only on their agricultural quality and brand story.</w:t>
      </w:r>
    </w:p>
    <w:p w14:paraId="504E32BB" w14:textId="7A96A7C0" w:rsidR="00151CF0" w:rsidRPr="0044793F" w:rsidRDefault="00151CF0" w:rsidP="00151CF0">
      <w:pPr>
        <w:spacing w:line="360" w:lineRule="auto"/>
        <w:rPr>
          <w:rFonts w:ascii="Arial" w:hAnsi="Arial" w:cs="Arial"/>
          <w:bCs/>
        </w:rPr>
      </w:pPr>
      <w:r w:rsidRPr="0044793F">
        <w:rPr>
          <w:rFonts w:ascii="Arial" w:hAnsi="Arial" w:cs="Arial"/>
          <w:bCs/>
        </w:rPr>
        <w:t>The government is implementing the policy of digital certification.</w:t>
      </w:r>
    </w:p>
    <w:p w14:paraId="62FD0D38" w14:textId="77777777" w:rsidR="00151CF0" w:rsidRPr="0044793F" w:rsidRDefault="00151CF0" w:rsidP="00151CF0">
      <w:pPr>
        <w:spacing w:line="360" w:lineRule="auto"/>
        <w:rPr>
          <w:rFonts w:ascii="Arial" w:hAnsi="Arial" w:cs="Arial"/>
          <w:bCs/>
        </w:rPr>
      </w:pPr>
      <w:r w:rsidRPr="0044793F">
        <w:rPr>
          <w:rFonts w:ascii="Arial" w:hAnsi="Arial" w:cs="Arial"/>
          <w:bCs/>
        </w:rPr>
        <w:t>One of the main challenges found in the research is the lack of trust in the institutions stemming from issues of organic authenticity and certification and regulatory control (Zheng et al., 2021; Akter et al., 2023). Policy makers and ministry of agriculture must come into play in creating a strict and uniform digital certification system. This should include developing QR codes backed by the government and being put on organic packaging and incorporated into digital marketing material. The QR code should be linked to a government database when scanned by a consumer's smart phone, which should show lab test results (recent) for the absence of chlorpyrifos and heavy metals, and geographical origin of the farm. This policy and market integration would be digital and remove greenwashing and legitimate the sector on the spot.</w:t>
      </w:r>
    </w:p>
    <w:p w14:paraId="3F978DBB" w14:textId="77777777" w:rsidR="00151CF0" w:rsidRPr="0044793F" w:rsidRDefault="00151CF0" w:rsidP="00151CF0">
      <w:pPr>
        <w:spacing w:line="360" w:lineRule="auto"/>
        <w:rPr>
          <w:rFonts w:ascii="Arial" w:hAnsi="Arial" w:cs="Arial"/>
          <w:bCs/>
        </w:rPr>
      </w:pPr>
      <w:r w:rsidRPr="0044793F">
        <w:rPr>
          <w:rFonts w:ascii="Arial" w:hAnsi="Arial" w:cs="Arial"/>
          <w:bCs/>
        </w:rPr>
        <w:t xml:space="preserve">Community-Centric F-Commerce Strategies: </w:t>
      </w:r>
    </w:p>
    <w:p w14:paraId="1C7EA653" w14:textId="00AE73A7" w:rsidR="00151CF0" w:rsidRPr="0044793F" w:rsidRDefault="00151CF0" w:rsidP="00151CF0">
      <w:pPr>
        <w:spacing w:line="360" w:lineRule="auto"/>
        <w:rPr>
          <w:rFonts w:ascii="Arial" w:hAnsi="Arial" w:cs="Arial"/>
          <w:bCs/>
        </w:rPr>
      </w:pPr>
      <w:r w:rsidRPr="0044793F">
        <w:rPr>
          <w:rFonts w:ascii="Arial" w:hAnsi="Arial" w:cs="Arial"/>
          <w:bCs/>
        </w:rPr>
        <w:t>SMEs on Facebook need to move away from the idea of “broadcasting” and towards “community building” if they want to avoid algorithmic echo chambers which limit reach. Rather than businesses having just public business pages, brands should create their own private Facebook Group for safe food education, parenting and healthy living. Subjective norms (peer to peer recommendations) and costs for customer acquisition are reduced and customer engagement is high with these community groups.</w:t>
      </w:r>
    </w:p>
    <w:p w14:paraId="165C5491" w14:textId="62A985CB" w:rsidR="00DA42E8" w:rsidRPr="0044793F" w:rsidRDefault="00DA42E8" w:rsidP="00E84E40">
      <w:pPr>
        <w:pStyle w:val="Heading3"/>
        <w:rPr>
          <w:rFonts w:ascii="Arial" w:hAnsi="Arial" w:cs="Arial"/>
        </w:rPr>
      </w:pPr>
      <w:r w:rsidRPr="0044793F">
        <w:rPr>
          <w:rFonts w:ascii="Arial" w:hAnsi="Arial" w:cs="Arial"/>
        </w:rPr>
        <w:lastRenderedPageBreak/>
        <w:t>5.4.2 Theoretical Recommendations for Academic Scholarship</w:t>
      </w:r>
    </w:p>
    <w:p w14:paraId="665510EB" w14:textId="5184ED60" w:rsidR="00151CF0" w:rsidRPr="0044793F" w:rsidRDefault="00151CF0" w:rsidP="00151CF0">
      <w:pPr>
        <w:pStyle w:val="ListParagraph"/>
        <w:numPr>
          <w:ilvl w:val="0"/>
          <w:numId w:val="40"/>
        </w:numPr>
        <w:spacing w:line="360" w:lineRule="auto"/>
        <w:rPr>
          <w:rFonts w:ascii="Arial" w:hAnsi="Arial" w:cs="Arial"/>
          <w:bCs/>
        </w:rPr>
      </w:pPr>
      <w:r w:rsidRPr="0044793F">
        <w:rPr>
          <w:rFonts w:ascii="Arial" w:hAnsi="Arial" w:cs="Arial"/>
          <w:bCs/>
        </w:rPr>
        <w:t>Theories and Concepts;</w:t>
      </w:r>
    </w:p>
    <w:p w14:paraId="6876FD3B" w14:textId="3A33B799" w:rsidR="00151CF0" w:rsidRPr="0044793F" w:rsidRDefault="00151CF0" w:rsidP="00151CF0">
      <w:pPr>
        <w:pStyle w:val="ListParagraph"/>
        <w:numPr>
          <w:ilvl w:val="0"/>
          <w:numId w:val="40"/>
        </w:numPr>
        <w:spacing w:line="360" w:lineRule="auto"/>
        <w:rPr>
          <w:rFonts w:ascii="Arial" w:hAnsi="Arial" w:cs="Arial"/>
          <w:bCs/>
        </w:rPr>
      </w:pPr>
      <w:r w:rsidRPr="0044793F">
        <w:rPr>
          <w:rFonts w:ascii="Arial" w:hAnsi="Arial" w:cs="Arial"/>
          <w:bCs/>
        </w:rPr>
        <w:t>Modification of the Technology Acceptance Model (TAM) to consider Offline Logistics:</w:t>
      </w:r>
    </w:p>
    <w:p w14:paraId="3970FD7D" w14:textId="39EE04F3" w:rsidR="00151CF0" w:rsidRPr="0044793F" w:rsidRDefault="00151CF0" w:rsidP="00151CF0">
      <w:pPr>
        <w:pStyle w:val="ListParagraph"/>
        <w:numPr>
          <w:ilvl w:val="0"/>
          <w:numId w:val="40"/>
        </w:numPr>
        <w:spacing w:line="360" w:lineRule="auto"/>
        <w:rPr>
          <w:rFonts w:ascii="Arial" w:hAnsi="Arial" w:cs="Arial"/>
          <w:bCs/>
        </w:rPr>
      </w:pPr>
      <w:r w:rsidRPr="0044793F">
        <w:rPr>
          <w:rFonts w:ascii="Arial" w:hAnsi="Arial" w:cs="Arial"/>
          <w:bCs/>
        </w:rPr>
        <w:t>Green Marketing" Motives redefined:</w:t>
      </w:r>
    </w:p>
    <w:p w14:paraId="4B482EB2" w14:textId="4F98F161" w:rsidR="00DA42E8" w:rsidRPr="0044793F" w:rsidRDefault="00DA42E8" w:rsidP="00E84E40">
      <w:pPr>
        <w:pStyle w:val="Heading2"/>
        <w:rPr>
          <w:rFonts w:ascii="Arial" w:hAnsi="Arial" w:cs="Arial"/>
        </w:rPr>
      </w:pPr>
      <w:r w:rsidRPr="0044793F">
        <w:rPr>
          <w:rFonts w:ascii="Arial" w:hAnsi="Arial" w:cs="Arial"/>
        </w:rPr>
        <w:t>5.5 Limitations of Research</w:t>
      </w:r>
    </w:p>
    <w:p w14:paraId="324C5985" w14:textId="77777777" w:rsidR="00151CF0" w:rsidRPr="0044793F" w:rsidRDefault="00151CF0" w:rsidP="00DA42E8">
      <w:pPr>
        <w:spacing w:line="360" w:lineRule="auto"/>
        <w:rPr>
          <w:rFonts w:ascii="Arial" w:hAnsi="Arial" w:cs="Arial"/>
        </w:rPr>
      </w:pPr>
      <w:r w:rsidRPr="0044793F">
        <w:rPr>
          <w:rFonts w:ascii="Arial" w:hAnsi="Arial" w:cs="Arial"/>
        </w:rPr>
        <w:t>This dissertation has been pursued in a methodologically sound way, but certain limitations need to be clearly indicated so as to provide a context for the results and to guide future research.</w:t>
      </w:r>
    </w:p>
    <w:p w14:paraId="0CB76169" w14:textId="27CE5980" w:rsidR="00DA42E8" w:rsidRPr="0044793F" w:rsidRDefault="00DA42E8" w:rsidP="00E84E40">
      <w:pPr>
        <w:pStyle w:val="Heading2"/>
        <w:rPr>
          <w:rFonts w:ascii="Arial" w:hAnsi="Arial" w:cs="Arial"/>
        </w:rPr>
      </w:pPr>
      <w:r w:rsidRPr="0044793F">
        <w:rPr>
          <w:rFonts w:ascii="Arial" w:hAnsi="Arial" w:cs="Arial"/>
        </w:rPr>
        <w:t>5.6 Recommendation for Future Work</w:t>
      </w:r>
    </w:p>
    <w:p w14:paraId="134BE4ED" w14:textId="77777777" w:rsidR="00151CF0" w:rsidRPr="0044793F" w:rsidRDefault="00151CF0" w:rsidP="00151CF0">
      <w:pPr>
        <w:spacing w:line="360" w:lineRule="auto"/>
        <w:rPr>
          <w:rFonts w:ascii="Arial" w:hAnsi="Arial" w:cs="Arial"/>
        </w:rPr>
      </w:pPr>
      <w:r w:rsidRPr="0044793F">
        <w:rPr>
          <w:rFonts w:ascii="Arial" w:hAnsi="Arial" w:cs="Arial"/>
        </w:rPr>
        <w:t>The need to overcome the limitations of the above and the importance of the findings of this dissertation have made several different directions of research highly desirable.</w:t>
      </w:r>
    </w:p>
    <w:p w14:paraId="619A14A3" w14:textId="77777777" w:rsidR="00151CF0" w:rsidRPr="0044793F" w:rsidRDefault="00151CF0" w:rsidP="00151CF0">
      <w:pPr>
        <w:pStyle w:val="ListParagraph"/>
        <w:numPr>
          <w:ilvl w:val="0"/>
          <w:numId w:val="41"/>
        </w:numPr>
        <w:spacing w:line="360" w:lineRule="auto"/>
        <w:rPr>
          <w:rFonts w:ascii="Arial" w:hAnsi="Arial" w:cs="Arial"/>
        </w:rPr>
      </w:pPr>
      <w:r w:rsidRPr="0044793F">
        <w:rPr>
          <w:rFonts w:ascii="Arial" w:hAnsi="Arial" w:cs="Arial"/>
        </w:rPr>
        <w:t>Primary Quantitative Testing of the Modified TPB/TAM Model:</w:t>
      </w:r>
    </w:p>
    <w:p w14:paraId="6F16A86C" w14:textId="77777777" w:rsidR="00151CF0" w:rsidRPr="0044793F" w:rsidRDefault="00151CF0" w:rsidP="00151CF0">
      <w:pPr>
        <w:pStyle w:val="ListParagraph"/>
        <w:numPr>
          <w:ilvl w:val="0"/>
          <w:numId w:val="41"/>
        </w:numPr>
        <w:spacing w:line="360" w:lineRule="auto"/>
        <w:rPr>
          <w:rFonts w:ascii="Arial" w:hAnsi="Arial" w:cs="Arial"/>
        </w:rPr>
      </w:pPr>
      <w:r w:rsidRPr="0044793F">
        <w:rPr>
          <w:rFonts w:ascii="Arial" w:hAnsi="Arial" w:cs="Arial"/>
        </w:rPr>
        <w:t>Longitudinal studies of Post Pandemic Ecommerce Retention:</w:t>
      </w:r>
    </w:p>
    <w:p w14:paraId="53483710" w14:textId="77777777" w:rsidR="00151CF0" w:rsidRPr="0044793F" w:rsidRDefault="00151CF0" w:rsidP="00151CF0">
      <w:pPr>
        <w:pStyle w:val="ListParagraph"/>
        <w:numPr>
          <w:ilvl w:val="0"/>
          <w:numId w:val="41"/>
        </w:numPr>
        <w:spacing w:line="360" w:lineRule="auto"/>
        <w:rPr>
          <w:rFonts w:ascii="Arial" w:hAnsi="Arial" w:cs="Arial"/>
        </w:rPr>
      </w:pPr>
      <w:r w:rsidRPr="0044793F">
        <w:rPr>
          <w:rFonts w:ascii="Arial" w:hAnsi="Arial" w:cs="Arial"/>
        </w:rPr>
        <w:t xml:space="preserve">A comparative study of urban and rural </w:t>
      </w:r>
      <w:proofErr w:type="spellStart"/>
      <w:proofErr w:type="gramStart"/>
      <w:r w:rsidRPr="0044793F">
        <w:rPr>
          <w:rFonts w:ascii="Arial" w:hAnsi="Arial" w:cs="Arial"/>
        </w:rPr>
        <w:t>areas.Comparative</w:t>
      </w:r>
      <w:proofErr w:type="spellEnd"/>
      <w:proofErr w:type="gramEnd"/>
      <w:r w:rsidRPr="0044793F">
        <w:rPr>
          <w:rFonts w:ascii="Arial" w:hAnsi="Arial" w:cs="Arial"/>
        </w:rPr>
        <w:t xml:space="preserve"> Urban vs. Rural Studies.</w:t>
      </w:r>
    </w:p>
    <w:p w14:paraId="1F45138F" w14:textId="1FC6A11E" w:rsidR="00151CF0" w:rsidRPr="0044793F" w:rsidRDefault="00151CF0" w:rsidP="00151CF0">
      <w:pPr>
        <w:pStyle w:val="ListParagraph"/>
        <w:numPr>
          <w:ilvl w:val="0"/>
          <w:numId w:val="41"/>
        </w:numPr>
        <w:spacing w:line="360" w:lineRule="auto"/>
        <w:rPr>
          <w:rFonts w:ascii="Arial" w:hAnsi="Arial" w:cs="Arial"/>
        </w:rPr>
      </w:pPr>
      <w:r w:rsidRPr="0044793F">
        <w:rPr>
          <w:rFonts w:ascii="Arial" w:hAnsi="Arial" w:cs="Arial"/>
        </w:rPr>
        <w:t>Algorithmic bias's influence on the survival of SMEs:</w:t>
      </w:r>
    </w:p>
    <w:p w14:paraId="26ECFEED" w14:textId="6FAB7219" w:rsidR="00DA42E8" w:rsidRPr="0044793F" w:rsidRDefault="00DA42E8" w:rsidP="00E84E40">
      <w:pPr>
        <w:pStyle w:val="Heading2"/>
        <w:rPr>
          <w:rFonts w:ascii="Arial" w:hAnsi="Arial" w:cs="Arial"/>
        </w:rPr>
      </w:pPr>
      <w:r w:rsidRPr="0044793F">
        <w:rPr>
          <w:rFonts w:ascii="Arial" w:hAnsi="Arial" w:cs="Arial"/>
        </w:rPr>
        <w:t>5.7 Concluding Remarks</w:t>
      </w:r>
    </w:p>
    <w:p w14:paraId="6CFC965F" w14:textId="04882E33" w:rsidR="00120F25" w:rsidRPr="0044793F" w:rsidRDefault="00151CF0" w:rsidP="00DA42E8">
      <w:pPr>
        <w:spacing w:line="360" w:lineRule="auto"/>
        <w:rPr>
          <w:rFonts w:ascii="Arial" w:hAnsi="Arial" w:cs="Arial"/>
        </w:rPr>
      </w:pPr>
      <w:r w:rsidRPr="0044793F">
        <w:rPr>
          <w:rFonts w:ascii="Arial" w:hAnsi="Arial" w:cs="Arial"/>
        </w:rPr>
        <w:t xml:space="preserve">Finally, the digital marketing and sustainable agriculture landscape in Bangladesh is a dynamic with promising opportunities and multiple issues of concern related to infrastructure, economy and psychology (Zheng et al., 2021; Akter et al., 2023). Digital marketing has the potential to be unmatched in its power to educate consumers, eliminate information asymmetry and offer small farmers direct access to a large health-conscious urban market. But this dissertation clearly establishes that there is more to digital visibility than meets the eye. For sustainable adoption of organic products, businesses need to go past conventional promotional strategies. These need to use digital tools to create radical transparency, establish unassailable institutional trust and flawlessly marry online promises with logistical reality in the offline world. To make </w:t>
      </w:r>
      <w:r w:rsidRPr="0044793F">
        <w:rPr>
          <w:rFonts w:ascii="Arial" w:hAnsi="Arial" w:cs="Arial"/>
        </w:rPr>
        <w:lastRenderedPageBreak/>
        <w:t>digital marketing the mainstream of the Bangladesh organic sector for public health and sustainable consumption, the trust deficit needs to be addressed first.</w:t>
      </w:r>
      <w:r w:rsidR="00120F25" w:rsidRPr="0044793F">
        <w:rPr>
          <w:rFonts w:ascii="Arial" w:hAnsi="Arial" w:cs="Arial"/>
        </w:rPr>
        <w:br w:type="page"/>
      </w:r>
    </w:p>
    <w:p w14:paraId="3121B745" w14:textId="77777777" w:rsidR="005677DC" w:rsidRPr="0044793F" w:rsidRDefault="005677DC" w:rsidP="00E84E40">
      <w:pPr>
        <w:pStyle w:val="Heading1"/>
        <w:rPr>
          <w:rFonts w:ascii="Arial" w:hAnsi="Arial" w:cs="Arial"/>
        </w:rPr>
      </w:pPr>
      <w:r w:rsidRPr="0044793F">
        <w:rPr>
          <w:rFonts w:ascii="Arial" w:hAnsi="Arial" w:cs="Arial"/>
        </w:rPr>
        <w:lastRenderedPageBreak/>
        <w:t>References</w:t>
      </w:r>
    </w:p>
    <w:p w14:paraId="7580962C"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Adaba, G.B., Frimpong, F. and </w:t>
      </w:r>
      <w:proofErr w:type="spellStart"/>
      <w:r w:rsidRPr="0044793F">
        <w:rPr>
          <w:rFonts w:ascii="Arial" w:hAnsi="Arial" w:cs="Arial"/>
        </w:rPr>
        <w:t>Mwainyekule</w:t>
      </w:r>
      <w:proofErr w:type="spellEnd"/>
      <w:r w:rsidRPr="0044793F">
        <w:rPr>
          <w:rFonts w:ascii="Arial" w:hAnsi="Arial" w:cs="Arial"/>
        </w:rPr>
        <w:t xml:space="preserve">, L. (2025) ‘Empirical analysis of social media influencers’ effect on consumer purchase intentions and behavior’, </w:t>
      </w:r>
      <w:r w:rsidRPr="0044793F">
        <w:rPr>
          <w:rFonts w:ascii="Arial" w:hAnsi="Arial" w:cs="Arial"/>
          <w:i/>
          <w:iCs/>
        </w:rPr>
        <w:t>Platforms</w:t>
      </w:r>
      <w:r w:rsidRPr="0044793F">
        <w:rPr>
          <w:rFonts w:ascii="Arial" w:hAnsi="Arial" w:cs="Arial"/>
        </w:rPr>
        <w:t xml:space="preserve">, 3(3), p. 11. Available at: </w:t>
      </w:r>
      <w:hyperlink r:id="rId59" w:tgtFrame="_blank" w:history="1">
        <w:r w:rsidRPr="0044793F">
          <w:rPr>
            <w:rStyle w:val="Hyperlink"/>
            <w:rFonts w:ascii="Arial" w:hAnsi="Arial" w:cs="Arial"/>
          </w:rPr>
          <w:t>https://doi.org/10.3390/platforms3030011</w:t>
        </w:r>
      </w:hyperlink>
      <w:r w:rsidRPr="0044793F">
        <w:rPr>
          <w:rFonts w:ascii="Arial" w:hAnsi="Arial" w:cs="Arial"/>
        </w:rPr>
        <w:t xml:space="preserve"> (Accessed: 20 August 2026). </w:t>
      </w:r>
    </w:p>
    <w:p w14:paraId="610E1A75"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Ajzen, I. (1991) ‘The theory of planned behavior’, </w:t>
      </w:r>
      <w:r w:rsidRPr="0044793F">
        <w:rPr>
          <w:rFonts w:ascii="Arial" w:hAnsi="Arial" w:cs="Arial"/>
          <w:i/>
          <w:iCs/>
        </w:rPr>
        <w:t>Organizational Behavior and Human Decision Processes</w:t>
      </w:r>
      <w:r w:rsidRPr="0044793F">
        <w:rPr>
          <w:rFonts w:ascii="Arial" w:hAnsi="Arial" w:cs="Arial"/>
        </w:rPr>
        <w:t xml:space="preserve">, 50(2), pp. 179–211. Available at: </w:t>
      </w:r>
      <w:hyperlink r:id="rId60" w:tgtFrame="_blank" w:history="1">
        <w:r w:rsidRPr="0044793F">
          <w:rPr>
            <w:rStyle w:val="Hyperlink"/>
            <w:rFonts w:ascii="Arial" w:hAnsi="Arial" w:cs="Arial"/>
          </w:rPr>
          <w:t>https://doi.org/10.1016/0749-5978(91)90020-T</w:t>
        </w:r>
      </w:hyperlink>
      <w:r w:rsidRPr="0044793F">
        <w:rPr>
          <w:rFonts w:ascii="Arial" w:hAnsi="Arial" w:cs="Arial"/>
        </w:rPr>
        <w:t xml:space="preserve"> (Accessed: 20 August 2026). </w:t>
      </w:r>
    </w:p>
    <w:p w14:paraId="7519D9BC"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Bansal, P. and Roth, K. (2000) ‘Why companies go green: A model of ecological responsiveness’, </w:t>
      </w:r>
      <w:r w:rsidRPr="0044793F">
        <w:rPr>
          <w:rFonts w:ascii="Arial" w:hAnsi="Arial" w:cs="Arial"/>
          <w:i/>
          <w:iCs/>
        </w:rPr>
        <w:t>Academy of Management Journal</w:t>
      </w:r>
      <w:r w:rsidRPr="0044793F">
        <w:rPr>
          <w:rFonts w:ascii="Arial" w:hAnsi="Arial" w:cs="Arial"/>
        </w:rPr>
        <w:t>, 43(4), pp. 717–736.</w:t>
      </w:r>
    </w:p>
    <w:p w14:paraId="7BC2FC53"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Bingler, J.A., Kraus, M., </w:t>
      </w:r>
      <w:proofErr w:type="spellStart"/>
      <w:r w:rsidRPr="0044793F">
        <w:rPr>
          <w:rFonts w:ascii="Arial" w:hAnsi="Arial" w:cs="Arial"/>
        </w:rPr>
        <w:t>Leippold</w:t>
      </w:r>
      <w:proofErr w:type="spellEnd"/>
      <w:r w:rsidRPr="0044793F">
        <w:rPr>
          <w:rFonts w:ascii="Arial" w:hAnsi="Arial" w:cs="Arial"/>
        </w:rPr>
        <w:t xml:space="preserve">, M. and </w:t>
      </w:r>
      <w:proofErr w:type="spellStart"/>
      <w:r w:rsidRPr="0044793F">
        <w:rPr>
          <w:rFonts w:ascii="Arial" w:hAnsi="Arial" w:cs="Arial"/>
        </w:rPr>
        <w:t>Webersinke</w:t>
      </w:r>
      <w:proofErr w:type="spellEnd"/>
      <w:r w:rsidRPr="0044793F">
        <w:rPr>
          <w:rFonts w:ascii="Arial" w:hAnsi="Arial" w:cs="Arial"/>
        </w:rPr>
        <w:t xml:space="preserve">, N. (2023) ‘Cheap talk and cherry-picking: What </w:t>
      </w:r>
      <w:proofErr w:type="spellStart"/>
      <w:r w:rsidRPr="0044793F">
        <w:rPr>
          <w:rFonts w:ascii="Arial" w:hAnsi="Arial" w:cs="Arial"/>
        </w:rPr>
        <w:t>ClimateBERT</w:t>
      </w:r>
      <w:proofErr w:type="spellEnd"/>
      <w:r w:rsidRPr="0044793F">
        <w:rPr>
          <w:rFonts w:ascii="Arial" w:hAnsi="Arial" w:cs="Arial"/>
        </w:rPr>
        <w:t xml:space="preserve"> has to say on corporate climate risk disclosures’, </w:t>
      </w:r>
      <w:r w:rsidRPr="0044793F">
        <w:rPr>
          <w:rFonts w:ascii="Arial" w:hAnsi="Arial" w:cs="Arial"/>
          <w:i/>
          <w:iCs/>
        </w:rPr>
        <w:t>Finance Research Letters</w:t>
      </w:r>
      <w:r w:rsidRPr="0044793F">
        <w:rPr>
          <w:rFonts w:ascii="Arial" w:hAnsi="Arial" w:cs="Arial"/>
        </w:rPr>
        <w:t>, 47, 102776.</w:t>
      </w:r>
    </w:p>
    <w:p w14:paraId="02570640"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Birchall, J. (2013) </w:t>
      </w:r>
      <w:r w:rsidRPr="0044793F">
        <w:rPr>
          <w:rFonts w:ascii="Arial" w:hAnsi="Arial" w:cs="Arial"/>
          <w:i/>
          <w:iCs/>
        </w:rPr>
        <w:t>Resilience in a Downturn: The Power of Financial Cooperatives</w:t>
      </w:r>
      <w:r w:rsidRPr="0044793F">
        <w:rPr>
          <w:rFonts w:ascii="Arial" w:hAnsi="Arial" w:cs="Arial"/>
        </w:rPr>
        <w:t xml:space="preserve">. Geneva: International </w:t>
      </w:r>
      <w:proofErr w:type="spellStart"/>
      <w:r w:rsidRPr="0044793F">
        <w:rPr>
          <w:rFonts w:ascii="Arial" w:hAnsi="Arial" w:cs="Arial"/>
        </w:rPr>
        <w:t>Labour</w:t>
      </w:r>
      <w:proofErr w:type="spellEnd"/>
      <w:r w:rsidRPr="0044793F">
        <w:rPr>
          <w:rFonts w:ascii="Arial" w:hAnsi="Arial" w:cs="Arial"/>
        </w:rPr>
        <w:t xml:space="preserve"> Office.</w:t>
      </w:r>
    </w:p>
    <w:p w14:paraId="5F976FBC"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Blythman, J. (2017) ‘Comparing UK food retailers’ corporate social responsibility </w:t>
      </w:r>
      <w:proofErr w:type="gramStart"/>
      <w:r w:rsidRPr="0044793F">
        <w:rPr>
          <w:rFonts w:ascii="Arial" w:hAnsi="Arial" w:cs="Arial"/>
        </w:rPr>
        <w:t>strategies’</w:t>
      </w:r>
      <w:proofErr w:type="gramEnd"/>
      <w:r w:rsidRPr="0044793F">
        <w:rPr>
          <w:rFonts w:ascii="Arial" w:hAnsi="Arial" w:cs="Arial"/>
        </w:rPr>
        <w:t>.</w:t>
      </w:r>
    </w:p>
    <w:p w14:paraId="4FA658C3" w14:textId="77777777" w:rsidR="00005CF2" w:rsidRPr="0044793F" w:rsidRDefault="00005CF2" w:rsidP="001C627C">
      <w:pPr>
        <w:spacing w:line="360" w:lineRule="auto"/>
        <w:jc w:val="both"/>
        <w:rPr>
          <w:rFonts w:ascii="Arial" w:hAnsi="Arial" w:cs="Arial"/>
        </w:rPr>
      </w:pPr>
      <w:proofErr w:type="spellStart"/>
      <w:r w:rsidRPr="0044793F">
        <w:rPr>
          <w:rFonts w:ascii="Arial" w:hAnsi="Arial" w:cs="Arial"/>
        </w:rPr>
        <w:t>Boiral</w:t>
      </w:r>
      <w:proofErr w:type="spellEnd"/>
      <w:r w:rsidRPr="0044793F">
        <w:rPr>
          <w:rFonts w:ascii="Arial" w:hAnsi="Arial" w:cs="Arial"/>
        </w:rPr>
        <w:t>, O., Heras-</w:t>
      </w:r>
      <w:proofErr w:type="spellStart"/>
      <w:r w:rsidRPr="0044793F">
        <w:rPr>
          <w:rFonts w:ascii="Arial" w:hAnsi="Arial" w:cs="Arial"/>
        </w:rPr>
        <w:t>Saizarbitoria</w:t>
      </w:r>
      <w:proofErr w:type="spellEnd"/>
      <w:r w:rsidRPr="0044793F">
        <w:rPr>
          <w:rFonts w:ascii="Arial" w:hAnsi="Arial" w:cs="Arial"/>
        </w:rPr>
        <w:t xml:space="preserve">, I. and Brotherton, M.-C. (2019) ‘Assessing and improving the quality of sustainability reports: The auditors’ perspective’, </w:t>
      </w:r>
      <w:r w:rsidRPr="0044793F">
        <w:rPr>
          <w:rFonts w:ascii="Arial" w:hAnsi="Arial" w:cs="Arial"/>
          <w:i/>
          <w:iCs/>
        </w:rPr>
        <w:t>Journal of Cleaner Production</w:t>
      </w:r>
      <w:r w:rsidRPr="0044793F">
        <w:rPr>
          <w:rFonts w:ascii="Arial" w:hAnsi="Arial" w:cs="Arial"/>
        </w:rPr>
        <w:t>, 214, pp. 102–114.</w:t>
      </w:r>
    </w:p>
    <w:p w14:paraId="3BA81D09"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Bose, S., Khan, H.Z. and Bashir, H.A. (2024) ‘Identifying greenwashing in corporate-social responsibility reports using natural-language processing’, </w:t>
      </w:r>
      <w:r w:rsidRPr="0044793F">
        <w:rPr>
          <w:rFonts w:ascii="Arial" w:hAnsi="Arial" w:cs="Arial"/>
          <w:i/>
          <w:iCs/>
        </w:rPr>
        <w:t>European Journal of Finance</w:t>
      </w:r>
      <w:r w:rsidRPr="0044793F">
        <w:rPr>
          <w:rFonts w:ascii="Arial" w:hAnsi="Arial" w:cs="Arial"/>
        </w:rPr>
        <w:t>.</w:t>
      </w:r>
    </w:p>
    <w:p w14:paraId="3B6EC733"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Braun, V. and Clarke, V. (2006) ‘Using thematic analysis in psychology’, </w:t>
      </w:r>
      <w:r w:rsidRPr="0044793F">
        <w:rPr>
          <w:rFonts w:ascii="Arial" w:hAnsi="Arial" w:cs="Arial"/>
          <w:i/>
          <w:iCs/>
        </w:rPr>
        <w:t>Qualitative Research in Psychology</w:t>
      </w:r>
      <w:r w:rsidRPr="0044793F">
        <w:rPr>
          <w:rFonts w:ascii="Arial" w:hAnsi="Arial" w:cs="Arial"/>
        </w:rPr>
        <w:t>, 3(2), pp. 77–101.</w:t>
      </w:r>
    </w:p>
    <w:p w14:paraId="23DCBCB5"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Carlson, A. and Jaenicke, E.C. (2016) </w:t>
      </w:r>
      <w:r w:rsidRPr="0044793F">
        <w:rPr>
          <w:rFonts w:ascii="Arial" w:hAnsi="Arial" w:cs="Arial"/>
          <w:i/>
          <w:iCs/>
        </w:rPr>
        <w:t>Changes in retail organic price premiums from 2004 to 2010</w:t>
      </w:r>
      <w:r w:rsidRPr="0044793F">
        <w:rPr>
          <w:rFonts w:ascii="Arial" w:hAnsi="Arial" w:cs="Arial"/>
        </w:rPr>
        <w:t xml:space="preserve">. Economic Research Report No. 209. Washington, DC: U.S. Department of </w:t>
      </w:r>
      <w:r w:rsidRPr="0044793F">
        <w:rPr>
          <w:rFonts w:ascii="Arial" w:hAnsi="Arial" w:cs="Arial"/>
        </w:rPr>
        <w:lastRenderedPageBreak/>
        <w:t xml:space="preserve">Agriculture, Economic Research Service. Available at: </w:t>
      </w:r>
      <w:hyperlink r:id="rId61" w:tgtFrame="_blank" w:history="1">
        <w:r w:rsidRPr="0044793F">
          <w:rPr>
            <w:rStyle w:val="Hyperlink"/>
            <w:rFonts w:ascii="Arial" w:hAnsi="Arial" w:cs="Arial"/>
          </w:rPr>
          <w:t>USDA Economic Research Service report</w:t>
        </w:r>
      </w:hyperlink>
      <w:r w:rsidRPr="0044793F">
        <w:rPr>
          <w:rFonts w:ascii="Arial" w:hAnsi="Arial" w:cs="Arial"/>
        </w:rPr>
        <w:t xml:space="preserve"> (Accessed: 20 August 2026). </w:t>
      </w:r>
    </w:p>
    <w:p w14:paraId="664022AD"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Carroll, A.B. and Shabana, K.M. (2010) ‘The business case for corporate social responsibility: A review of concepts, research and practice’, </w:t>
      </w:r>
      <w:r w:rsidRPr="0044793F">
        <w:rPr>
          <w:rFonts w:ascii="Arial" w:hAnsi="Arial" w:cs="Arial"/>
          <w:i/>
          <w:iCs/>
        </w:rPr>
        <w:t>International Journal of Management Reviews</w:t>
      </w:r>
      <w:r w:rsidRPr="0044793F">
        <w:rPr>
          <w:rFonts w:ascii="Arial" w:hAnsi="Arial" w:cs="Arial"/>
        </w:rPr>
        <w:t>, 12(1), pp. 85–105.</w:t>
      </w:r>
    </w:p>
    <w:p w14:paraId="457F2628"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CDP (2023) </w:t>
      </w:r>
      <w:r w:rsidRPr="0044793F">
        <w:rPr>
          <w:rFonts w:ascii="Arial" w:hAnsi="Arial" w:cs="Arial"/>
          <w:i/>
          <w:iCs/>
        </w:rPr>
        <w:t>CDP Global Climate Change Report 2023</w:t>
      </w:r>
      <w:r w:rsidRPr="0044793F">
        <w:rPr>
          <w:rFonts w:ascii="Arial" w:hAnsi="Arial" w:cs="Arial"/>
        </w:rPr>
        <w:t>. London: CDP.</w:t>
      </w:r>
    </w:p>
    <w:p w14:paraId="39E7A82B"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Chen, X. and Ma, Y. (2024) ‘Climate-related disclosures under the TCFD framework and business green innovation: Evidence from China A-share </w:t>
      </w:r>
      <w:proofErr w:type="gramStart"/>
      <w:r w:rsidRPr="0044793F">
        <w:rPr>
          <w:rFonts w:ascii="Arial" w:hAnsi="Arial" w:cs="Arial"/>
        </w:rPr>
        <w:t>companies’</w:t>
      </w:r>
      <w:proofErr w:type="gramEnd"/>
      <w:r w:rsidRPr="0044793F">
        <w:rPr>
          <w:rFonts w:ascii="Arial" w:hAnsi="Arial" w:cs="Arial"/>
        </w:rPr>
        <w:t>.</w:t>
      </w:r>
    </w:p>
    <w:p w14:paraId="072B5915" w14:textId="77777777" w:rsidR="00005CF2" w:rsidRPr="0044793F" w:rsidRDefault="00005CF2" w:rsidP="001C627C">
      <w:pPr>
        <w:spacing w:line="360" w:lineRule="auto"/>
        <w:jc w:val="both"/>
        <w:rPr>
          <w:rFonts w:ascii="Arial" w:hAnsi="Arial" w:cs="Arial"/>
        </w:rPr>
      </w:pPr>
      <w:proofErr w:type="spellStart"/>
      <w:r w:rsidRPr="0044793F">
        <w:rPr>
          <w:rFonts w:ascii="Arial" w:hAnsi="Arial" w:cs="Arial"/>
        </w:rPr>
        <w:t>Chouaibi</w:t>
      </w:r>
      <w:proofErr w:type="spellEnd"/>
      <w:r w:rsidRPr="0044793F">
        <w:rPr>
          <w:rFonts w:ascii="Arial" w:hAnsi="Arial" w:cs="Arial"/>
        </w:rPr>
        <w:t>, J. and Zouari, G. (2025) ‘Unveiling the connection between ESG performance and corporate competitiveness: Evidence from industrial firms in Europe and the UK’.</w:t>
      </w:r>
    </w:p>
    <w:p w14:paraId="25053DD7"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Christensen, H.B., Hail, L. and </w:t>
      </w:r>
      <w:proofErr w:type="spellStart"/>
      <w:r w:rsidRPr="0044793F">
        <w:rPr>
          <w:rFonts w:ascii="Arial" w:hAnsi="Arial" w:cs="Arial"/>
        </w:rPr>
        <w:t>Leuz</w:t>
      </w:r>
      <w:proofErr w:type="spellEnd"/>
      <w:r w:rsidRPr="0044793F">
        <w:rPr>
          <w:rFonts w:ascii="Arial" w:hAnsi="Arial" w:cs="Arial"/>
        </w:rPr>
        <w:t xml:space="preserve">, C. (2021) ‘Mandatory CSR and sustainability reporting: Economic analysis and literature review’, </w:t>
      </w:r>
      <w:r w:rsidRPr="0044793F">
        <w:rPr>
          <w:rFonts w:ascii="Arial" w:hAnsi="Arial" w:cs="Arial"/>
          <w:i/>
          <w:iCs/>
        </w:rPr>
        <w:t>Review of Accounting Studies</w:t>
      </w:r>
      <w:r w:rsidRPr="0044793F">
        <w:rPr>
          <w:rFonts w:ascii="Arial" w:hAnsi="Arial" w:cs="Arial"/>
        </w:rPr>
        <w:t>, 26, pp. 1176–1248.</w:t>
      </w:r>
    </w:p>
    <w:p w14:paraId="55223852" w14:textId="77777777" w:rsidR="00005CF2" w:rsidRPr="0044793F" w:rsidRDefault="00005CF2" w:rsidP="001C627C">
      <w:pPr>
        <w:spacing w:line="360" w:lineRule="auto"/>
        <w:jc w:val="both"/>
        <w:rPr>
          <w:rFonts w:ascii="Arial" w:hAnsi="Arial" w:cs="Arial"/>
        </w:rPr>
      </w:pPr>
      <w:proofErr w:type="spellStart"/>
      <w:r w:rsidRPr="0044793F">
        <w:rPr>
          <w:rFonts w:ascii="Arial" w:hAnsi="Arial" w:cs="Arial"/>
        </w:rPr>
        <w:t>Citterio</w:t>
      </w:r>
      <w:proofErr w:type="spellEnd"/>
      <w:r w:rsidRPr="0044793F">
        <w:rPr>
          <w:rFonts w:ascii="Arial" w:hAnsi="Arial" w:cs="Arial"/>
        </w:rPr>
        <w:t>, C. and King, T. (2024) ‘Not all that glitters is green: Empirical evidence from the Eurostoxx600 on greenwashing perception’.</w:t>
      </w:r>
    </w:p>
    <w:p w14:paraId="1CD78C1D" w14:textId="77777777" w:rsidR="00005CF2" w:rsidRPr="0044793F" w:rsidRDefault="00005CF2" w:rsidP="001C627C">
      <w:pPr>
        <w:spacing w:line="360" w:lineRule="auto"/>
        <w:jc w:val="both"/>
        <w:rPr>
          <w:rFonts w:ascii="Arial" w:hAnsi="Arial" w:cs="Arial"/>
        </w:rPr>
      </w:pPr>
      <w:r w:rsidRPr="0044793F">
        <w:rPr>
          <w:rFonts w:ascii="Arial" w:hAnsi="Arial" w:cs="Arial"/>
        </w:rPr>
        <w:t>Clarke, N., et al. (2012) ‘Moving towards sustainable food retailing?’.</w:t>
      </w:r>
    </w:p>
    <w:p w14:paraId="142704B6"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Crane, A., Palazzo, G., Spence, L.J. and Matten, D. (2014) ‘Contesting the value of “creating shared value”’, </w:t>
      </w:r>
      <w:r w:rsidRPr="0044793F">
        <w:rPr>
          <w:rFonts w:ascii="Arial" w:hAnsi="Arial" w:cs="Arial"/>
          <w:i/>
          <w:iCs/>
        </w:rPr>
        <w:t>California Management Review</w:t>
      </w:r>
      <w:r w:rsidRPr="0044793F">
        <w:rPr>
          <w:rFonts w:ascii="Arial" w:hAnsi="Arial" w:cs="Arial"/>
        </w:rPr>
        <w:t>, 56(2), pp. 130–153.</w:t>
      </w:r>
    </w:p>
    <w:p w14:paraId="37EC7B3B" w14:textId="77777777" w:rsidR="00005CF2" w:rsidRPr="0044793F" w:rsidRDefault="00005CF2" w:rsidP="001C627C">
      <w:pPr>
        <w:spacing w:line="360" w:lineRule="auto"/>
        <w:jc w:val="both"/>
        <w:rPr>
          <w:rFonts w:ascii="Arial" w:hAnsi="Arial" w:cs="Arial"/>
        </w:rPr>
      </w:pPr>
      <w:proofErr w:type="spellStart"/>
      <w:r w:rsidRPr="0044793F">
        <w:rPr>
          <w:rFonts w:ascii="Arial" w:hAnsi="Arial" w:cs="Arial"/>
        </w:rPr>
        <w:t>Dauvergne</w:t>
      </w:r>
      <w:proofErr w:type="spellEnd"/>
      <w:r w:rsidRPr="0044793F">
        <w:rPr>
          <w:rFonts w:ascii="Arial" w:hAnsi="Arial" w:cs="Arial"/>
        </w:rPr>
        <w:t xml:space="preserve">, P. and Lister, J. (2013) </w:t>
      </w:r>
      <w:r w:rsidRPr="0044793F">
        <w:rPr>
          <w:rFonts w:ascii="Arial" w:hAnsi="Arial" w:cs="Arial"/>
          <w:i/>
          <w:iCs/>
        </w:rPr>
        <w:t>Eco-Business: A Big-Brand Takeover of Sustainability</w:t>
      </w:r>
      <w:r w:rsidRPr="0044793F">
        <w:rPr>
          <w:rFonts w:ascii="Arial" w:hAnsi="Arial" w:cs="Arial"/>
        </w:rPr>
        <w:t>. Cambridge, MA: MIT Press.</w:t>
      </w:r>
    </w:p>
    <w:p w14:paraId="06405A5B"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Davis, F.D. (1989) ‘Perceived usefulness, perceived ease of use, and user acceptance of information technology’, </w:t>
      </w:r>
      <w:r w:rsidRPr="0044793F">
        <w:rPr>
          <w:rFonts w:ascii="Arial" w:hAnsi="Arial" w:cs="Arial"/>
          <w:i/>
          <w:iCs/>
        </w:rPr>
        <w:t>MIS Quarterly</w:t>
      </w:r>
      <w:r w:rsidRPr="0044793F">
        <w:rPr>
          <w:rFonts w:ascii="Arial" w:hAnsi="Arial" w:cs="Arial"/>
        </w:rPr>
        <w:t xml:space="preserve">, 13(3), pp. 319–340. Available at: </w:t>
      </w:r>
      <w:hyperlink r:id="rId62" w:tgtFrame="_blank" w:history="1">
        <w:r w:rsidRPr="0044793F">
          <w:rPr>
            <w:rStyle w:val="Hyperlink"/>
            <w:rFonts w:ascii="Arial" w:hAnsi="Arial" w:cs="Arial"/>
          </w:rPr>
          <w:t>https://doi.org/10.2307/249008</w:t>
        </w:r>
      </w:hyperlink>
      <w:r w:rsidRPr="0044793F">
        <w:rPr>
          <w:rFonts w:ascii="Arial" w:hAnsi="Arial" w:cs="Arial"/>
        </w:rPr>
        <w:t xml:space="preserve"> (Accessed: 20 August 2026). </w:t>
      </w:r>
    </w:p>
    <w:p w14:paraId="6DD71951"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de Freitas Netto, S.V., Sobral, M.F.F., Ribeiro, A.R.B. and Soares, G.R.L. (2020) ‘Concepts and forms of greenwashing: A systematic review’, </w:t>
      </w:r>
      <w:r w:rsidRPr="0044793F">
        <w:rPr>
          <w:rFonts w:ascii="Arial" w:hAnsi="Arial" w:cs="Arial"/>
          <w:i/>
          <w:iCs/>
        </w:rPr>
        <w:t>Environmental Sciences Europe</w:t>
      </w:r>
      <w:r w:rsidRPr="0044793F">
        <w:rPr>
          <w:rFonts w:ascii="Arial" w:hAnsi="Arial" w:cs="Arial"/>
        </w:rPr>
        <w:t>, 32, 19.</w:t>
      </w:r>
    </w:p>
    <w:p w14:paraId="6FF32478" w14:textId="77777777" w:rsidR="00005CF2" w:rsidRPr="0044793F" w:rsidRDefault="00005CF2" w:rsidP="001C627C">
      <w:pPr>
        <w:spacing w:line="360" w:lineRule="auto"/>
        <w:jc w:val="both"/>
        <w:rPr>
          <w:rFonts w:ascii="Arial" w:hAnsi="Arial" w:cs="Arial"/>
        </w:rPr>
      </w:pPr>
      <w:r w:rsidRPr="0044793F">
        <w:rPr>
          <w:rFonts w:ascii="Arial" w:hAnsi="Arial" w:cs="Arial"/>
        </w:rPr>
        <w:lastRenderedPageBreak/>
        <w:t xml:space="preserve">Delmas, M.A. and Burbano, V.C. (2011) ‘The drivers of greenwashing’, </w:t>
      </w:r>
      <w:r w:rsidRPr="0044793F">
        <w:rPr>
          <w:rFonts w:ascii="Arial" w:hAnsi="Arial" w:cs="Arial"/>
          <w:i/>
          <w:iCs/>
        </w:rPr>
        <w:t>California Management Review</w:t>
      </w:r>
      <w:r w:rsidRPr="0044793F">
        <w:rPr>
          <w:rFonts w:ascii="Arial" w:hAnsi="Arial" w:cs="Arial"/>
        </w:rPr>
        <w:t>, 54(1), pp. 64–87.</w:t>
      </w:r>
    </w:p>
    <w:p w14:paraId="5DCB0D19"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Dema, Y., </w:t>
      </w:r>
      <w:proofErr w:type="spellStart"/>
      <w:r w:rsidRPr="0044793F">
        <w:rPr>
          <w:rFonts w:ascii="Arial" w:hAnsi="Arial" w:cs="Arial"/>
        </w:rPr>
        <w:t>Mutiarawati</w:t>
      </w:r>
      <w:proofErr w:type="spellEnd"/>
      <w:r w:rsidRPr="0044793F">
        <w:rPr>
          <w:rFonts w:ascii="Arial" w:hAnsi="Arial" w:cs="Arial"/>
        </w:rPr>
        <w:t xml:space="preserve">, E.V. and Billy, Y.L. (2025) ‘The role of micro-influencers in social media marketing: a quantitative study on purchase intent using source credibility theory’, </w:t>
      </w:r>
      <w:proofErr w:type="spellStart"/>
      <w:r w:rsidRPr="0044793F">
        <w:rPr>
          <w:rFonts w:ascii="Arial" w:hAnsi="Arial" w:cs="Arial"/>
          <w:i/>
          <w:iCs/>
        </w:rPr>
        <w:t>Jurnal</w:t>
      </w:r>
      <w:proofErr w:type="spellEnd"/>
      <w:r w:rsidRPr="0044793F">
        <w:rPr>
          <w:rFonts w:ascii="Arial" w:hAnsi="Arial" w:cs="Arial"/>
          <w:i/>
          <w:iCs/>
        </w:rPr>
        <w:t xml:space="preserve"> </w:t>
      </w:r>
      <w:proofErr w:type="spellStart"/>
      <w:r w:rsidRPr="0044793F">
        <w:rPr>
          <w:rFonts w:ascii="Arial" w:hAnsi="Arial" w:cs="Arial"/>
          <w:i/>
          <w:iCs/>
        </w:rPr>
        <w:t>Ekonomi</w:t>
      </w:r>
      <w:proofErr w:type="spellEnd"/>
      <w:r w:rsidRPr="0044793F">
        <w:rPr>
          <w:rFonts w:ascii="Arial" w:hAnsi="Arial" w:cs="Arial"/>
          <w:i/>
          <w:iCs/>
        </w:rPr>
        <w:t xml:space="preserve"> Perusahaan</w:t>
      </w:r>
      <w:r w:rsidRPr="0044793F">
        <w:rPr>
          <w:rFonts w:ascii="Arial" w:hAnsi="Arial" w:cs="Arial"/>
        </w:rPr>
        <w:t xml:space="preserve">, 32(1), pp. 8–26. Available at: https://doi.org/10.46806/jep.v32i1.1424 (Accessed: 20 August 2026). </w:t>
      </w:r>
    </w:p>
    <w:p w14:paraId="51C25B83"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DiMaggio, P.J. and Powell, W.W. (1983) ‘The iron cage revisited: Institutional isomorphism and collective rationality in organizational fields’, </w:t>
      </w:r>
      <w:r w:rsidRPr="0044793F">
        <w:rPr>
          <w:rFonts w:ascii="Arial" w:hAnsi="Arial" w:cs="Arial"/>
          <w:i/>
          <w:iCs/>
        </w:rPr>
        <w:t>American Sociological Review</w:t>
      </w:r>
      <w:r w:rsidRPr="0044793F">
        <w:rPr>
          <w:rFonts w:ascii="Arial" w:hAnsi="Arial" w:cs="Arial"/>
        </w:rPr>
        <w:t>, 48(2), pp. 147–160.</w:t>
      </w:r>
    </w:p>
    <w:p w14:paraId="283D8BDB"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Donaldson, T. and Preston, L.E. (1995) ‘The stakeholder theory of the corporation: Concepts, evidence, and implications’, </w:t>
      </w:r>
      <w:r w:rsidRPr="0044793F">
        <w:rPr>
          <w:rFonts w:ascii="Arial" w:hAnsi="Arial" w:cs="Arial"/>
          <w:i/>
          <w:iCs/>
        </w:rPr>
        <w:t>Academy of Management Review</w:t>
      </w:r>
      <w:r w:rsidRPr="0044793F">
        <w:rPr>
          <w:rFonts w:ascii="Arial" w:hAnsi="Arial" w:cs="Arial"/>
        </w:rPr>
        <w:t>, 20(1), pp. 65–91.</w:t>
      </w:r>
    </w:p>
    <w:p w14:paraId="5C2B0D2D"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Eisenhardt, K.M. (1989) ‘Building theories from case study research’, </w:t>
      </w:r>
      <w:r w:rsidRPr="0044793F">
        <w:rPr>
          <w:rFonts w:ascii="Arial" w:hAnsi="Arial" w:cs="Arial"/>
          <w:i/>
          <w:iCs/>
        </w:rPr>
        <w:t>Academy of Management Review</w:t>
      </w:r>
      <w:r w:rsidRPr="0044793F">
        <w:rPr>
          <w:rFonts w:ascii="Arial" w:hAnsi="Arial" w:cs="Arial"/>
        </w:rPr>
        <w:t>, 14(4), pp. 532–550.</w:t>
      </w:r>
    </w:p>
    <w:p w14:paraId="7AA54F29"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Eisenhardt, K.M. and Graebner, M.E. (2007) ‘Theory building from cases: Opportunities and challenges’, </w:t>
      </w:r>
      <w:r w:rsidRPr="0044793F">
        <w:rPr>
          <w:rFonts w:ascii="Arial" w:hAnsi="Arial" w:cs="Arial"/>
          <w:i/>
          <w:iCs/>
        </w:rPr>
        <w:t>Academy of Management Journal</w:t>
      </w:r>
      <w:r w:rsidRPr="0044793F">
        <w:rPr>
          <w:rFonts w:ascii="Arial" w:hAnsi="Arial" w:cs="Arial"/>
        </w:rPr>
        <w:t>, 50(1), pp. 25–32.</w:t>
      </w:r>
    </w:p>
    <w:p w14:paraId="32DAD39A"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Font, X., </w:t>
      </w:r>
      <w:proofErr w:type="spellStart"/>
      <w:r w:rsidRPr="0044793F">
        <w:rPr>
          <w:rFonts w:ascii="Arial" w:hAnsi="Arial" w:cs="Arial"/>
        </w:rPr>
        <w:t>Elgammal</w:t>
      </w:r>
      <w:proofErr w:type="spellEnd"/>
      <w:r w:rsidRPr="0044793F">
        <w:rPr>
          <w:rFonts w:ascii="Arial" w:hAnsi="Arial" w:cs="Arial"/>
        </w:rPr>
        <w:t xml:space="preserve">, I. and Lamond, I. (2017) ‘Greenwashing: The definition and taxonomy’, </w:t>
      </w:r>
      <w:r w:rsidRPr="0044793F">
        <w:rPr>
          <w:rFonts w:ascii="Arial" w:hAnsi="Arial" w:cs="Arial"/>
          <w:i/>
          <w:iCs/>
        </w:rPr>
        <w:t>Journal of Sustainable Tourism</w:t>
      </w:r>
      <w:r w:rsidRPr="0044793F">
        <w:rPr>
          <w:rFonts w:ascii="Arial" w:hAnsi="Arial" w:cs="Arial"/>
        </w:rPr>
        <w:t>, 25(7), pp. 1005–1021.</w:t>
      </w:r>
    </w:p>
    <w:p w14:paraId="0FF49097"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Freeman, R.E. (1984) </w:t>
      </w:r>
      <w:r w:rsidRPr="0044793F">
        <w:rPr>
          <w:rFonts w:ascii="Arial" w:hAnsi="Arial" w:cs="Arial"/>
          <w:i/>
          <w:iCs/>
        </w:rPr>
        <w:t>Strategic Management: A Stakeholder Approach</w:t>
      </w:r>
      <w:r w:rsidRPr="0044793F">
        <w:rPr>
          <w:rFonts w:ascii="Arial" w:hAnsi="Arial" w:cs="Arial"/>
        </w:rPr>
        <w:t>. Boston, MA: Pitman.</w:t>
      </w:r>
    </w:p>
    <w:p w14:paraId="345BBBEF"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Freeman, R.E., Phillips, R. and Sisodia, R. (2020) ‘Tensions in stakeholder theory’, </w:t>
      </w:r>
      <w:r w:rsidRPr="0044793F">
        <w:rPr>
          <w:rFonts w:ascii="Arial" w:hAnsi="Arial" w:cs="Arial"/>
          <w:i/>
          <w:iCs/>
        </w:rPr>
        <w:t>Business &amp; Society</w:t>
      </w:r>
      <w:r w:rsidRPr="0044793F">
        <w:rPr>
          <w:rFonts w:ascii="Arial" w:hAnsi="Arial" w:cs="Arial"/>
        </w:rPr>
        <w:t>, 59(2), pp. 213–231.</w:t>
      </w:r>
    </w:p>
    <w:p w14:paraId="3E4599D0"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Geertz, C. (1973) </w:t>
      </w:r>
      <w:r w:rsidRPr="0044793F">
        <w:rPr>
          <w:rFonts w:ascii="Arial" w:hAnsi="Arial" w:cs="Arial"/>
          <w:i/>
          <w:iCs/>
        </w:rPr>
        <w:t>The Interpretation of Cultures</w:t>
      </w:r>
      <w:r w:rsidRPr="0044793F">
        <w:rPr>
          <w:rFonts w:ascii="Arial" w:hAnsi="Arial" w:cs="Arial"/>
        </w:rPr>
        <w:t>. New York: Basic Books.</w:t>
      </w:r>
    </w:p>
    <w:p w14:paraId="0F2AA02D" w14:textId="77777777" w:rsidR="00005CF2" w:rsidRPr="0044793F" w:rsidRDefault="00005CF2" w:rsidP="001C627C">
      <w:pPr>
        <w:spacing w:line="360" w:lineRule="auto"/>
        <w:jc w:val="both"/>
        <w:rPr>
          <w:rFonts w:ascii="Arial" w:hAnsi="Arial" w:cs="Arial"/>
        </w:rPr>
      </w:pPr>
      <w:r w:rsidRPr="0044793F">
        <w:rPr>
          <w:rFonts w:ascii="Arial" w:hAnsi="Arial" w:cs="Arial"/>
        </w:rPr>
        <w:t>Goelzer, A. and Wilkinson, A. (2024) ‘Greenwashing or striving to persist: An alternative explanation of a loose coupling’.</w:t>
      </w:r>
    </w:p>
    <w:p w14:paraId="714F8921" w14:textId="77777777" w:rsidR="00005CF2" w:rsidRPr="0044793F" w:rsidRDefault="00005CF2" w:rsidP="001C627C">
      <w:pPr>
        <w:spacing w:line="360" w:lineRule="auto"/>
        <w:jc w:val="both"/>
        <w:rPr>
          <w:rFonts w:ascii="Arial" w:hAnsi="Arial" w:cs="Arial"/>
        </w:rPr>
      </w:pPr>
      <w:r w:rsidRPr="0044793F">
        <w:rPr>
          <w:rFonts w:ascii="Arial" w:hAnsi="Arial" w:cs="Arial"/>
        </w:rPr>
        <w:lastRenderedPageBreak/>
        <w:t xml:space="preserve">Gond, J.-P., El Akremi, A., Swaen, V. and Babu, N. (2020) ‘The psychological </w:t>
      </w:r>
      <w:proofErr w:type="spellStart"/>
      <w:r w:rsidRPr="0044793F">
        <w:rPr>
          <w:rFonts w:ascii="Arial" w:hAnsi="Arial" w:cs="Arial"/>
        </w:rPr>
        <w:t>microfoundations</w:t>
      </w:r>
      <w:proofErr w:type="spellEnd"/>
      <w:r w:rsidRPr="0044793F">
        <w:rPr>
          <w:rFonts w:ascii="Arial" w:hAnsi="Arial" w:cs="Arial"/>
        </w:rPr>
        <w:t xml:space="preserve"> of corporate social responsibility: A person-centric systematic review’, </w:t>
      </w:r>
      <w:r w:rsidRPr="0044793F">
        <w:rPr>
          <w:rFonts w:ascii="Arial" w:hAnsi="Arial" w:cs="Arial"/>
          <w:i/>
          <w:iCs/>
        </w:rPr>
        <w:t>Journal of Organizational Behavior</w:t>
      </w:r>
      <w:r w:rsidRPr="0044793F">
        <w:rPr>
          <w:rFonts w:ascii="Arial" w:hAnsi="Arial" w:cs="Arial"/>
        </w:rPr>
        <w:t>, 41(2), pp. 113–129.</w:t>
      </w:r>
    </w:p>
    <w:p w14:paraId="134CAC54"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Hahn, R. and </w:t>
      </w:r>
      <w:proofErr w:type="spellStart"/>
      <w:r w:rsidRPr="0044793F">
        <w:rPr>
          <w:rFonts w:ascii="Arial" w:hAnsi="Arial" w:cs="Arial"/>
        </w:rPr>
        <w:t>Kühnen</w:t>
      </w:r>
      <w:proofErr w:type="spellEnd"/>
      <w:r w:rsidRPr="0044793F">
        <w:rPr>
          <w:rFonts w:ascii="Arial" w:hAnsi="Arial" w:cs="Arial"/>
        </w:rPr>
        <w:t xml:space="preserve">, M. (2013) ‘Determinants of sustainability reporting: A review of results, trends, theory, and opportunities in an expanding field of research’, </w:t>
      </w:r>
      <w:r w:rsidRPr="0044793F">
        <w:rPr>
          <w:rFonts w:ascii="Arial" w:hAnsi="Arial" w:cs="Arial"/>
          <w:i/>
          <w:iCs/>
        </w:rPr>
        <w:t>Journal of Cleaner Production</w:t>
      </w:r>
      <w:r w:rsidRPr="0044793F">
        <w:rPr>
          <w:rFonts w:ascii="Arial" w:hAnsi="Arial" w:cs="Arial"/>
        </w:rPr>
        <w:t>, 59, pp. 5–21.</w:t>
      </w:r>
    </w:p>
    <w:p w14:paraId="7F7BD75F" w14:textId="77777777" w:rsidR="00005CF2" w:rsidRPr="0044793F" w:rsidRDefault="00005CF2" w:rsidP="001C627C">
      <w:pPr>
        <w:spacing w:line="360" w:lineRule="auto"/>
        <w:jc w:val="both"/>
        <w:rPr>
          <w:rFonts w:ascii="Arial" w:hAnsi="Arial" w:cs="Arial"/>
        </w:rPr>
      </w:pPr>
      <w:r w:rsidRPr="0044793F">
        <w:rPr>
          <w:rFonts w:ascii="Arial" w:hAnsi="Arial" w:cs="Arial"/>
        </w:rPr>
        <w:t>Hernández-</w:t>
      </w:r>
      <w:proofErr w:type="spellStart"/>
      <w:r w:rsidRPr="0044793F">
        <w:rPr>
          <w:rFonts w:ascii="Arial" w:hAnsi="Arial" w:cs="Arial"/>
        </w:rPr>
        <w:t>Espallardo</w:t>
      </w:r>
      <w:proofErr w:type="spellEnd"/>
      <w:r w:rsidRPr="0044793F">
        <w:rPr>
          <w:rFonts w:ascii="Arial" w:hAnsi="Arial" w:cs="Arial"/>
        </w:rPr>
        <w:t xml:space="preserve">, M., </w:t>
      </w:r>
      <w:proofErr w:type="spellStart"/>
      <w:r w:rsidRPr="0044793F">
        <w:rPr>
          <w:rFonts w:ascii="Arial" w:hAnsi="Arial" w:cs="Arial"/>
        </w:rPr>
        <w:t>Arcas</w:t>
      </w:r>
      <w:proofErr w:type="spellEnd"/>
      <w:r w:rsidRPr="0044793F">
        <w:rPr>
          <w:rFonts w:ascii="Arial" w:hAnsi="Arial" w:cs="Arial"/>
        </w:rPr>
        <w:t>-Lario, N. and Marcos-</w:t>
      </w:r>
      <w:proofErr w:type="spellStart"/>
      <w:r w:rsidRPr="0044793F">
        <w:rPr>
          <w:rFonts w:ascii="Arial" w:hAnsi="Arial" w:cs="Arial"/>
        </w:rPr>
        <w:t>Matás</w:t>
      </w:r>
      <w:proofErr w:type="spellEnd"/>
      <w:r w:rsidRPr="0044793F">
        <w:rPr>
          <w:rFonts w:ascii="Arial" w:hAnsi="Arial" w:cs="Arial"/>
        </w:rPr>
        <w:t>, G. (2021) ‘Cooperative governance under increasing member diversity: Towards a new theoretical framework’.</w:t>
      </w:r>
    </w:p>
    <w:p w14:paraId="4D0254F1"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Hobbs, J.E. (2021) ‘The COVID-19 pandemic and the transformation of food systems’, </w:t>
      </w:r>
      <w:r w:rsidRPr="0044793F">
        <w:rPr>
          <w:rFonts w:ascii="Arial" w:hAnsi="Arial" w:cs="Arial"/>
          <w:i/>
          <w:iCs/>
        </w:rPr>
        <w:t>Canadian Journal of Agricultural Economics</w:t>
      </w:r>
      <w:r w:rsidRPr="0044793F">
        <w:rPr>
          <w:rFonts w:ascii="Arial" w:hAnsi="Arial" w:cs="Arial"/>
        </w:rPr>
        <w:t>, 69(2), pp. 171–176.</w:t>
      </w:r>
    </w:p>
    <w:p w14:paraId="6D817E16" w14:textId="77777777" w:rsidR="00005CF2" w:rsidRPr="0044793F" w:rsidRDefault="00005CF2" w:rsidP="001C627C">
      <w:pPr>
        <w:spacing w:line="360" w:lineRule="auto"/>
        <w:jc w:val="both"/>
        <w:rPr>
          <w:rFonts w:ascii="Arial" w:hAnsi="Arial" w:cs="Arial"/>
        </w:rPr>
      </w:pPr>
      <w:r w:rsidRPr="0044793F">
        <w:rPr>
          <w:rFonts w:ascii="Arial" w:hAnsi="Arial" w:cs="Arial"/>
        </w:rPr>
        <w:t>Hobbs, J.E. and Rude, J. (2022) ‘Agri-food supply chain resilience strategies for preparing, responding, recovering, and adapting: A cross-country comparative analysis from the COVID-19 pandemic’.</w:t>
      </w:r>
    </w:p>
    <w:p w14:paraId="1BCEF859"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Jamali, D. and Karam, C. (2018) ‘Corporate social responsibility in developing countries as an emerging field of study’, </w:t>
      </w:r>
      <w:r w:rsidRPr="0044793F">
        <w:rPr>
          <w:rFonts w:ascii="Arial" w:hAnsi="Arial" w:cs="Arial"/>
          <w:i/>
          <w:iCs/>
        </w:rPr>
        <w:t>International Journal of Management Reviews</w:t>
      </w:r>
      <w:r w:rsidRPr="0044793F">
        <w:rPr>
          <w:rFonts w:ascii="Arial" w:hAnsi="Arial" w:cs="Arial"/>
        </w:rPr>
        <w:t>, 20(1), pp. 32–61.</w:t>
      </w:r>
    </w:p>
    <w:p w14:paraId="6E1A269A"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Jones, P., Comfort, D., Hillier, D. and Eastwood, I. (2005) ‘Corporate social responsibility: A case study of the UK’s leading food retailers’, </w:t>
      </w:r>
      <w:r w:rsidRPr="0044793F">
        <w:rPr>
          <w:rFonts w:ascii="Arial" w:hAnsi="Arial" w:cs="Arial"/>
          <w:i/>
          <w:iCs/>
        </w:rPr>
        <w:t>British Food Journal</w:t>
      </w:r>
      <w:r w:rsidRPr="0044793F">
        <w:rPr>
          <w:rFonts w:ascii="Arial" w:hAnsi="Arial" w:cs="Arial"/>
        </w:rPr>
        <w:t xml:space="preserve">, 107(6), pp. 423–435. https://doi.org/10.1108/00070700510602192. </w:t>
      </w:r>
    </w:p>
    <w:p w14:paraId="7C47CB97"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Kabir, E. (2021) ‘Prospects and problems of Facebook commerce in Bangladesh: magnitudes of business exchange’, </w:t>
      </w:r>
      <w:r w:rsidRPr="0044793F">
        <w:rPr>
          <w:rFonts w:ascii="Arial" w:hAnsi="Arial" w:cs="Arial"/>
          <w:i/>
          <w:iCs/>
        </w:rPr>
        <w:t>IAR Journal of Tourism and Business Management</w:t>
      </w:r>
      <w:r w:rsidRPr="0044793F">
        <w:rPr>
          <w:rFonts w:ascii="Arial" w:hAnsi="Arial" w:cs="Arial"/>
        </w:rPr>
        <w:t xml:space="preserve">, 1(1), pp. 1–6. Available at: https://doi.org/10.47310/iarjtbm.2021.v01i01.003 (Accessed: 20 August 2026). </w:t>
      </w:r>
    </w:p>
    <w:p w14:paraId="695A648D"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Kamal, R.S. and Chowdhury, S. (2022) ‘Formalization of F-commerce in Bangladesh: implications for female-owned SMEs’, </w:t>
      </w:r>
      <w:r w:rsidRPr="0044793F">
        <w:rPr>
          <w:rFonts w:ascii="Arial" w:hAnsi="Arial" w:cs="Arial"/>
          <w:i/>
          <w:iCs/>
        </w:rPr>
        <w:t>BRAC Institute of Governance and Development</w:t>
      </w:r>
      <w:r w:rsidRPr="0044793F">
        <w:rPr>
          <w:rFonts w:ascii="Arial" w:hAnsi="Arial" w:cs="Arial"/>
        </w:rPr>
        <w:t xml:space="preserve">, 7 September. Available at: </w:t>
      </w:r>
      <w:hyperlink r:id="rId63" w:tgtFrame="_blank" w:history="1">
        <w:r w:rsidRPr="0044793F">
          <w:rPr>
            <w:rStyle w:val="Hyperlink"/>
            <w:rFonts w:ascii="Arial" w:hAnsi="Arial" w:cs="Arial"/>
          </w:rPr>
          <w:t>BRAC Institute of Governance and Development</w:t>
        </w:r>
      </w:hyperlink>
      <w:r w:rsidRPr="0044793F">
        <w:rPr>
          <w:rFonts w:ascii="Arial" w:hAnsi="Arial" w:cs="Arial"/>
        </w:rPr>
        <w:t xml:space="preserve"> (Accessed: 20 August 2026). </w:t>
      </w:r>
    </w:p>
    <w:p w14:paraId="4BD06970" w14:textId="77777777" w:rsidR="00005CF2" w:rsidRPr="0044793F" w:rsidRDefault="00005CF2" w:rsidP="001C627C">
      <w:pPr>
        <w:spacing w:line="360" w:lineRule="auto"/>
        <w:jc w:val="both"/>
        <w:rPr>
          <w:rFonts w:ascii="Arial" w:hAnsi="Arial" w:cs="Arial"/>
        </w:rPr>
      </w:pPr>
      <w:r w:rsidRPr="0044793F">
        <w:rPr>
          <w:rFonts w:ascii="Arial" w:hAnsi="Arial" w:cs="Arial"/>
        </w:rPr>
        <w:lastRenderedPageBreak/>
        <w:t xml:space="preserve">Khan, N. and </w:t>
      </w:r>
      <w:proofErr w:type="spellStart"/>
      <w:r w:rsidRPr="0044793F">
        <w:rPr>
          <w:rFonts w:ascii="Arial" w:hAnsi="Arial" w:cs="Arial"/>
        </w:rPr>
        <w:t>Kakabadse</w:t>
      </w:r>
      <w:proofErr w:type="spellEnd"/>
      <w:r w:rsidRPr="0044793F">
        <w:rPr>
          <w:rFonts w:ascii="Arial" w:hAnsi="Arial" w:cs="Arial"/>
        </w:rPr>
        <w:t xml:space="preserve">, N. (2014) ‘CSR: The co-evolution of grocery multiples in the UK (2005–2010)’, </w:t>
      </w:r>
      <w:r w:rsidRPr="0044793F">
        <w:rPr>
          <w:rFonts w:ascii="Arial" w:hAnsi="Arial" w:cs="Arial"/>
          <w:i/>
          <w:iCs/>
        </w:rPr>
        <w:t>Social Responsibility Journal</w:t>
      </w:r>
      <w:r w:rsidRPr="0044793F">
        <w:rPr>
          <w:rFonts w:ascii="Arial" w:hAnsi="Arial" w:cs="Arial"/>
        </w:rPr>
        <w:t>, 10(1), pp. 137–160.</w:t>
      </w:r>
    </w:p>
    <w:p w14:paraId="1569BCF7"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Khatun, P., Islam, A., Sachi, S., Islam, M.Z. and Islam, P. (2023) ‘Pesticides in vegetable production in Bangladesh: a systemic review of contamination levels and associated health risks in the last decade’, </w:t>
      </w:r>
      <w:r w:rsidRPr="0044793F">
        <w:rPr>
          <w:rFonts w:ascii="Arial" w:hAnsi="Arial" w:cs="Arial"/>
          <w:i/>
          <w:iCs/>
        </w:rPr>
        <w:t>Toxicology Reports</w:t>
      </w:r>
      <w:r w:rsidRPr="0044793F">
        <w:rPr>
          <w:rFonts w:ascii="Arial" w:hAnsi="Arial" w:cs="Arial"/>
        </w:rPr>
        <w:t xml:space="preserve">, 11, pp. 199–211. Available at: </w:t>
      </w:r>
      <w:hyperlink r:id="rId64" w:tgtFrame="_blank" w:history="1">
        <w:r w:rsidRPr="0044793F">
          <w:rPr>
            <w:rStyle w:val="Hyperlink"/>
            <w:rFonts w:ascii="Arial" w:hAnsi="Arial" w:cs="Arial"/>
          </w:rPr>
          <w:t>https://doi.org/10.1016/j.toxrep.2023.09.003</w:t>
        </w:r>
      </w:hyperlink>
      <w:r w:rsidRPr="0044793F">
        <w:rPr>
          <w:rFonts w:ascii="Arial" w:hAnsi="Arial" w:cs="Arial"/>
        </w:rPr>
        <w:t xml:space="preserve"> (Accessed: 20 August 2026). </w:t>
      </w:r>
    </w:p>
    <w:p w14:paraId="148309F4" w14:textId="77777777" w:rsidR="00005CF2" w:rsidRPr="0044793F" w:rsidRDefault="00005CF2" w:rsidP="001C627C">
      <w:pPr>
        <w:spacing w:line="360" w:lineRule="auto"/>
        <w:jc w:val="both"/>
        <w:rPr>
          <w:rFonts w:ascii="Arial" w:hAnsi="Arial" w:cs="Arial"/>
        </w:rPr>
      </w:pPr>
      <w:proofErr w:type="spellStart"/>
      <w:r w:rsidRPr="0044793F">
        <w:rPr>
          <w:rFonts w:ascii="Arial" w:hAnsi="Arial" w:cs="Arial"/>
        </w:rPr>
        <w:t>Kusumawardani</w:t>
      </w:r>
      <w:proofErr w:type="spellEnd"/>
      <w:r w:rsidRPr="0044793F">
        <w:rPr>
          <w:rFonts w:ascii="Arial" w:hAnsi="Arial" w:cs="Arial"/>
        </w:rPr>
        <w:t xml:space="preserve">, D. and </w:t>
      </w:r>
      <w:proofErr w:type="spellStart"/>
      <w:r w:rsidRPr="0044793F">
        <w:rPr>
          <w:rFonts w:ascii="Arial" w:hAnsi="Arial" w:cs="Arial"/>
        </w:rPr>
        <w:t>Dwiridotjahjono</w:t>
      </w:r>
      <w:proofErr w:type="spellEnd"/>
      <w:r w:rsidRPr="0044793F">
        <w:rPr>
          <w:rFonts w:ascii="Arial" w:hAnsi="Arial" w:cs="Arial"/>
        </w:rPr>
        <w:t>, J. (2024) ‘Does sustainability report assurance matter? Symbolic versus substantive ESG greenwashing’.</w:t>
      </w:r>
    </w:p>
    <w:p w14:paraId="02218E4A"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Laplume, A.O., </w:t>
      </w:r>
      <w:proofErr w:type="spellStart"/>
      <w:r w:rsidRPr="0044793F">
        <w:rPr>
          <w:rFonts w:ascii="Arial" w:hAnsi="Arial" w:cs="Arial"/>
        </w:rPr>
        <w:t>Sonpar</w:t>
      </w:r>
      <w:proofErr w:type="spellEnd"/>
      <w:r w:rsidRPr="0044793F">
        <w:rPr>
          <w:rFonts w:ascii="Arial" w:hAnsi="Arial" w:cs="Arial"/>
        </w:rPr>
        <w:t xml:space="preserve">, K. and Litz, R.A. (2008) ‘Stakeholder theory: Reviewing a theory that moves us’, </w:t>
      </w:r>
      <w:r w:rsidRPr="0044793F">
        <w:rPr>
          <w:rFonts w:ascii="Arial" w:hAnsi="Arial" w:cs="Arial"/>
          <w:i/>
          <w:iCs/>
        </w:rPr>
        <w:t>Journal of Management</w:t>
      </w:r>
      <w:r w:rsidRPr="0044793F">
        <w:rPr>
          <w:rFonts w:ascii="Arial" w:hAnsi="Arial" w:cs="Arial"/>
        </w:rPr>
        <w:t>, 34(6), pp. 1152–1189.</w:t>
      </w:r>
    </w:p>
    <w:p w14:paraId="5C5C6CA5"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LeBaron, G. and Lister, J. (2022) </w:t>
      </w:r>
      <w:r w:rsidRPr="0044793F">
        <w:rPr>
          <w:rFonts w:ascii="Arial" w:hAnsi="Arial" w:cs="Arial"/>
          <w:i/>
          <w:iCs/>
        </w:rPr>
        <w:t xml:space="preserve">The Global Business of Forced </w:t>
      </w:r>
      <w:proofErr w:type="spellStart"/>
      <w:r w:rsidRPr="0044793F">
        <w:rPr>
          <w:rFonts w:ascii="Arial" w:hAnsi="Arial" w:cs="Arial"/>
          <w:i/>
          <w:iCs/>
        </w:rPr>
        <w:t>Labour</w:t>
      </w:r>
      <w:proofErr w:type="spellEnd"/>
      <w:r w:rsidRPr="0044793F">
        <w:rPr>
          <w:rFonts w:ascii="Arial" w:hAnsi="Arial" w:cs="Arial"/>
          <w:i/>
          <w:iCs/>
        </w:rPr>
        <w:t xml:space="preserve">: </w:t>
      </w:r>
      <w:proofErr w:type="spellStart"/>
      <w:r w:rsidRPr="0044793F">
        <w:rPr>
          <w:rFonts w:ascii="Arial" w:hAnsi="Arial" w:cs="Arial"/>
          <w:i/>
          <w:iCs/>
        </w:rPr>
        <w:t>Labour</w:t>
      </w:r>
      <w:proofErr w:type="spellEnd"/>
      <w:r w:rsidRPr="0044793F">
        <w:rPr>
          <w:rFonts w:ascii="Arial" w:hAnsi="Arial" w:cs="Arial"/>
          <w:i/>
          <w:iCs/>
        </w:rPr>
        <w:t xml:space="preserve"> Governance, Corporate Responsibility and Modern Slavery</w:t>
      </w:r>
      <w:r w:rsidRPr="0044793F">
        <w:rPr>
          <w:rFonts w:ascii="Arial" w:hAnsi="Arial" w:cs="Arial"/>
        </w:rPr>
        <w:t>. Cambridge: Cambridge University Press.</w:t>
      </w:r>
    </w:p>
    <w:p w14:paraId="60C0E5E3"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LeBaron, G., Lister, J. and </w:t>
      </w:r>
      <w:proofErr w:type="spellStart"/>
      <w:r w:rsidRPr="0044793F">
        <w:rPr>
          <w:rFonts w:ascii="Arial" w:hAnsi="Arial" w:cs="Arial"/>
        </w:rPr>
        <w:t>Dauvergne</w:t>
      </w:r>
      <w:proofErr w:type="spellEnd"/>
      <w:r w:rsidRPr="0044793F">
        <w:rPr>
          <w:rFonts w:ascii="Arial" w:hAnsi="Arial" w:cs="Arial"/>
        </w:rPr>
        <w:t>, P. (2021) ‘Governing global supply chains: Insights from the UK Modern Slavery Act’.</w:t>
      </w:r>
    </w:p>
    <w:p w14:paraId="63400E2E"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Lincoln, Y.S. and Guba, E.G. (1985) </w:t>
      </w:r>
      <w:r w:rsidRPr="0044793F">
        <w:rPr>
          <w:rFonts w:ascii="Arial" w:hAnsi="Arial" w:cs="Arial"/>
          <w:i/>
          <w:iCs/>
        </w:rPr>
        <w:t>Naturalistic Inquiry</w:t>
      </w:r>
      <w:r w:rsidRPr="0044793F">
        <w:rPr>
          <w:rFonts w:ascii="Arial" w:hAnsi="Arial" w:cs="Arial"/>
        </w:rPr>
        <w:t>. Beverly Hills, CA: Sage.</w:t>
      </w:r>
    </w:p>
    <w:p w14:paraId="2B6CD6F3"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Liu, J., et al. (2024) ‘ESG performance and corporate carbon emission intensity: Panel data analysis of A-share listed </w:t>
      </w:r>
      <w:proofErr w:type="gramStart"/>
      <w:r w:rsidRPr="0044793F">
        <w:rPr>
          <w:rFonts w:ascii="Arial" w:hAnsi="Arial" w:cs="Arial"/>
        </w:rPr>
        <w:t>companies’</w:t>
      </w:r>
      <w:proofErr w:type="gramEnd"/>
      <w:r w:rsidRPr="0044793F">
        <w:rPr>
          <w:rFonts w:ascii="Arial" w:hAnsi="Arial" w:cs="Arial"/>
        </w:rPr>
        <w:t>.</w:t>
      </w:r>
    </w:p>
    <w:p w14:paraId="097EF2C2"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Lyon, T.P. and Maxwell, J.W. (2011) ‘Greenwash: Corporate environmental disclosure under threat of audit’, </w:t>
      </w:r>
      <w:r w:rsidRPr="0044793F">
        <w:rPr>
          <w:rFonts w:ascii="Arial" w:hAnsi="Arial" w:cs="Arial"/>
          <w:i/>
          <w:iCs/>
        </w:rPr>
        <w:t>Journal of Economics &amp; Management Strategy</w:t>
      </w:r>
      <w:r w:rsidRPr="0044793F">
        <w:rPr>
          <w:rFonts w:ascii="Arial" w:hAnsi="Arial" w:cs="Arial"/>
        </w:rPr>
        <w:t>, 20(1), pp. 3–41.</w:t>
      </w:r>
    </w:p>
    <w:p w14:paraId="6633C514"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Marquis, C., Toffel, M.W. and Zhou, Y. (2016) ‘Scrutiny, norms, and selective disclosure: A global study of greenwashing’, </w:t>
      </w:r>
      <w:r w:rsidRPr="0044793F">
        <w:rPr>
          <w:rFonts w:ascii="Arial" w:hAnsi="Arial" w:cs="Arial"/>
          <w:i/>
          <w:iCs/>
        </w:rPr>
        <w:t>Organization Science</w:t>
      </w:r>
      <w:r w:rsidRPr="0044793F">
        <w:rPr>
          <w:rFonts w:ascii="Arial" w:hAnsi="Arial" w:cs="Arial"/>
        </w:rPr>
        <w:t>, 27(2), pp. 483–504.</w:t>
      </w:r>
    </w:p>
    <w:p w14:paraId="6B1C90D7"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Matten, D. and Moon, J. (2008) ‘“Implicit” and “explicit” CSR: A conceptual framework for a comparative understanding of corporate social responsibility’, </w:t>
      </w:r>
      <w:r w:rsidRPr="0044793F">
        <w:rPr>
          <w:rFonts w:ascii="Arial" w:hAnsi="Arial" w:cs="Arial"/>
          <w:i/>
          <w:iCs/>
        </w:rPr>
        <w:t>Academy of Management Review</w:t>
      </w:r>
      <w:r w:rsidRPr="0044793F">
        <w:rPr>
          <w:rFonts w:ascii="Arial" w:hAnsi="Arial" w:cs="Arial"/>
        </w:rPr>
        <w:t>, 33(2), pp. 404–424.</w:t>
      </w:r>
    </w:p>
    <w:p w14:paraId="41ED7C9F"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Meehan, J. and </w:t>
      </w:r>
      <w:proofErr w:type="spellStart"/>
      <w:r w:rsidRPr="0044793F">
        <w:rPr>
          <w:rFonts w:ascii="Arial" w:hAnsi="Arial" w:cs="Arial"/>
        </w:rPr>
        <w:t>Pinnington</w:t>
      </w:r>
      <w:proofErr w:type="spellEnd"/>
      <w:r w:rsidRPr="0044793F">
        <w:rPr>
          <w:rFonts w:ascii="Arial" w:hAnsi="Arial" w:cs="Arial"/>
        </w:rPr>
        <w:t>, B.D. (2022) ‘Modern slavery in supply chains: A systematic literature review’.</w:t>
      </w:r>
    </w:p>
    <w:p w14:paraId="4ED2A49F" w14:textId="77777777" w:rsidR="00005CF2" w:rsidRPr="0044793F" w:rsidRDefault="00005CF2" w:rsidP="001C627C">
      <w:pPr>
        <w:spacing w:line="360" w:lineRule="auto"/>
        <w:jc w:val="both"/>
        <w:rPr>
          <w:rFonts w:ascii="Arial" w:hAnsi="Arial" w:cs="Arial"/>
        </w:rPr>
      </w:pPr>
      <w:r w:rsidRPr="0044793F">
        <w:rPr>
          <w:rFonts w:ascii="Arial" w:hAnsi="Arial" w:cs="Arial"/>
        </w:rPr>
        <w:lastRenderedPageBreak/>
        <w:t xml:space="preserve">Mehmood, A., et al. (2025) ‘Mapping the greenwashing research landscape: A theoretical and field </w:t>
      </w:r>
      <w:proofErr w:type="gramStart"/>
      <w:r w:rsidRPr="0044793F">
        <w:rPr>
          <w:rFonts w:ascii="Arial" w:hAnsi="Arial" w:cs="Arial"/>
        </w:rPr>
        <w:t>analysis’</w:t>
      </w:r>
      <w:proofErr w:type="gramEnd"/>
      <w:r w:rsidRPr="0044793F">
        <w:rPr>
          <w:rFonts w:ascii="Arial" w:hAnsi="Arial" w:cs="Arial"/>
        </w:rPr>
        <w:t>.</w:t>
      </w:r>
    </w:p>
    <w:p w14:paraId="02023ED5"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Michelon, G., </w:t>
      </w:r>
      <w:proofErr w:type="spellStart"/>
      <w:r w:rsidRPr="0044793F">
        <w:rPr>
          <w:rFonts w:ascii="Arial" w:hAnsi="Arial" w:cs="Arial"/>
        </w:rPr>
        <w:t>Pilonato</w:t>
      </w:r>
      <w:proofErr w:type="spellEnd"/>
      <w:r w:rsidRPr="0044793F">
        <w:rPr>
          <w:rFonts w:ascii="Arial" w:hAnsi="Arial" w:cs="Arial"/>
        </w:rPr>
        <w:t xml:space="preserve">, S. and </w:t>
      </w:r>
      <w:proofErr w:type="spellStart"/>
      <w:r w:rsidRPr="0044793F">
        <w:rPr>
          <w:rFonts w:ascii="Arial" w:hAnsi="Arial" w:cs="Arial"/>
        </w:rPr>
        <w:t>Ricceri</w:t>
      </w:r>
      <w:proofErr w:type="spellEnd"/>
      <w:r w:rsidRPr="0044793F">
        <w:rPr>
          <w:rFonts w:ascii="Arial" w:hAnsi="Arial" w:cs="Arial"/>
        </w:rPr>
        <w:t xml:space="preserve">, F. (2015) ‘CSR reporting practices and the quality of disclosure: An empirical analysis’, </w:t>
      </w:r>
      <w:r w:rsidRPr="0044793F">
        <w:rPr>
          <w:rFonts w:ascii="Arial" w:hAnsi="Arial" w:cs="Arial"/>
          <w:i/>
          <w:iCs/>
        </w:rPr>
        <w:t>Critical Perspectives on Accounting</w:t>
      </w:r>
      <w:r w:rsidRPr="0044793F">
        <w:rPr>
          <w:rFonts w:ascii="Arial" w:hAnsi="Arial" w:cs="Arial"/>
        </w:rPr>
        <w:t>, 33, pp. 59–78.</w:t>
      </w:r>
    </w:p>
    <w:p w14:paraId="2B312767"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Michelon, G., </w:t>
      </w:r>
      <w:proofErr w:type="spellStart"/>
      <w:r w:rsidRPr="0044793F">
        <w:rPr>
          <w:rFonts w:ascii="Arial" w:hAnsi="Arial" w:cs="Arial"/>
        </w:rPr>
        <w:t>Pilonato</w:t>
      </w:r>
      <w:proofErr w:type="spellEnd"/>
      <w:r w:rsidRPr="0044793F">
        <w:rPr>
          <w:rFonts w:ascii="Arial" w:hAnsi="Arial" w:cs="Arial"/>
        </w:rPr>
        <w:t xml:space="preserve">, S. and </w:t>
      </w:r>
      <w:proofErr w:type="spellStart"/>
      <w:r w:rsidRPr="0044793F">
        <w:rPr>
          <w:rFonts w:ascii="Arial" w:hAnsi="Arial" w:cs="Arial"/>
        </w:rPr>
        <w:t>Ricceri</w:t>
      </w:r>
      <w:proofErr w:type="spellEnd"/>
      <w:r w:rsidRPr="0044793F">
        <w:rPr>
          <w:rFonts w:ascii="Arial" w:hAnsi="Arial" w:cs="Arial"/>
        </w:rPr>
        <w:t>, F. (2020) [CSR/sustainability reporting source cited in the dissertation].</w:t>
      </w:r>
    </w:p>
    <w:p w14:paraId="17C172D7"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Miles, S. (2017) ‘The relationship between stakeholder theory and corporate social responsibility’, </w:t>
      </w:r>
      <w:r w:rsidRPr="0044793F">
        <w:rPr>
          <w:rFonts w:ascii="Arial" w:hAnsi="Arial" w:cs="Arial"/>
          <w:i/>
          <w:iCs/>
        </w:rPr>
        <w:t>Journal of Management Studies</w:t>
      </w:r>
      <w:r w:rsidRPr="0044793F">
        <w:rPr>
          <w:rFonts w:ascii="Arial" w:hAnsi="Arial" w:cs="Arial"/>
        </w:rPr>
        <w:t>, 54(7), pp. 1040–1066.</w:t>
      </w:r>
    </w:p>
    <w:p w14:paraId="735F531B"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Mitchell, R.K., Agle, B.R. and Wood, D.J. (1997) ‘Toward a theory of stakeholder identification and salience: Defining the principle of who and what really counts’, </w:t>
      </w:r>
      <w:r w:rsidRPr="0044793F">
        <w:rPr>
          <w:rFonts w:ascii="Arial" w:hAnsi="Arial" w:cs="Arial"/>
          <w:i/>
          <w:iCs/>
        </w:rPr>
        <w:t>Academy of Management Review</w:t>
      </w:r>
      <w:r w:rsidRPr="0044793F">
        <w:rPr>
          <w:rFonts w:ascii="Arial" w:hAnsi="Arial" w:cs="Arial"/>
        </w:rPr>
        <w:t>, 22(4), pp. 853–886.</w:t>
      </w:r>
    </w:p>
    <w:p w14:paraId="2B042B12"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Ncube, L.K., Ude, A.U., </w:t>
      </w:r>
      <w:proofErr w:type="spellStart"/>
      <w:r w:rsidRPr="0044793F">
        <w:rPr>
          <w:rFonts w:ascii="Arial" w:hAnsi="Arial" w:cs="Arial"/>
        </w:rPr>
        <w:t>Ogunmuyiwa</w:t>
      </w:r>
      <w:proofErr w:type="spellEnd"/>
      <w:r w:rsidRPr="0044793F">
        <w:rPr>
          <w:rFonts w:ascii="Arial" w:hAnsi="Arial" w:cs="Arial"/>
        </w:rPr>
        <w:t>, E.N., Zulkifli, R. and Beas, I.N. (2020) ‘An overview of plastic waste generation and management in food packaging industry’.</w:t>
      </w:r>
    </w:p>
    <w:p w14:paraId="59F5198B"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Nicholls, N. and Opal, N. (2014) </w:t>
      </w:r>
      <w:r w:rsidRPr="0044793F">
        <w:rPr>
          <w:rFonts w:ascii="Arial" w:hAnsi="Arial" w:cs="Arial"/>
          <w:bCs/>
        </w:rPr>
        <w:t>Note:</w:t>
      </w:r>
      <w:r w:rsidRPr="0044793F">
        <w:rPr>
          <w:rFonts w:ascii="Arial" w:hAnsi="Arial" w:cs="Arial"/>
        </w:rPr>
        <w:t xml:space="preserve"> the source material gives this citation as </w:t>
      </w:r>
      <w:r w:rsidRPr="0044793F">
        <w:rPr>
          <w:rFonts w:ascii="Arial" w:hAnsi="Arial" w:cs="Arial"/>
          <w:i/>
          <w:iCs/>
        </w:rPr>
        <w:t>Nicholls &amp; Opal (2014)</w:t>
      </w:r>
      <w:r w:rsidRPr="0044793F">
        <w:rPr>
          <w:rFonts w:ascii="Arial" w:hAnsi="Arial" w:cs="Arial"/>
        </w:rPr>
        <w:t xml:space="preserve">, but the underlying publication record identifies the authors as </w:t>
      </w:r>
      <w:r w:rsidRPr="0044793F">
        <w:rPr>
          <w:rFonts w:ascii="Arial" w:hAnsi="Arial" w:cs="Arial"/>
          <w:bCs/>
        </w:rPr>
        <w:t xml:space="preserve">Khan, N. and </w:t>
      </w:r>
      <w:proofErr w:type="spellStart"/>
      <w:r w:rsidRPr="0044793F">
        <w:rPr>
          <w:rFonts w:ascii="Arial" w:hAnsi="Arial" w:cs="Arial"/>
          <w:bCs/>
        </w:rPr>
        <w:t>Kakabadse</w:t>
      </w:r>
      <w:proofErr w:type="spellEnd"/>
      <w:r w:rsidRPr="0044793F">
        <w:rPr>
          <w:rFonts w:ascii="Arial" w:hAnsi="Arial" w:cs="Arial"/>
          <w:bCs/>
        </w:rPr>
        <w:t>, N.K.</w:t>
      </w:r>
      <w:r w:rsidRPr="0044793F">
        <w:rPr>
          <w:rFonts w:ascii="Arial" w:hAnsi="Arial" w:cs="Arial"/>
        </w:rPr>
        <w:t xml:space="preserve"> (2014), ‘CSR: The co-evolution of grocery multiples in the UK (2005–2010)’, </w:t>
      </w:r>
      <w:r w:rsidRPr="0044793F">
        <w:rPr>
          <w:rFonts w:ascii="Arial" w:hAnsi="Arial" w:cs="Arial"/>
          <w:i/>
          <w:iCs/>
        </w:rPr>
        <w:t>Social Responsibility Journal</w:t>
      </w:r>
      <w:r w:rsidRPr="0044793F">
        <w:rPr>
          <w:rFonts w:ascii="Arial" w:hAnsi="Arial" w:cs="Arial"/>
        </w:rPr>
        <w:t xml:space="preserve">, 10(1), pp. 137–160. </w:t>
      </w:r>
    </w:p>
    <w:p w14:paraId="2AE1D8B1"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Nowell, L.S., Norris, J.M., White, D.E. and Moules, N.J. (2017) ‘Thematic analysis: Striving to meet the trustworthiness criteria’, </w:t>
      </w:r>
      <w:r w:rsidRPr="0044793F">
        <w:rPr>
          <w:rFonts w:ascii="Arial" w:hAnsi="Arial" w:cs="Arial"/>
          <w:i/>
          <w:iCs/>
        </w:rPr>
        <w:t>International Journal of Qualitative Methods</w:t>
      </w:r>
      <w:r w:rsidRPr="0044793F">
        <w:rPr>
          <w:rFonts w:ascii="Arial" w:hAnsi="Arial" w:cs="Arial"/>
        </w:rPr>
        <w:t>, 16, pp. 1–13.</w:t>
      </w:r>
    </w:p>
    <w:p w14:paraId="3542C70F"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OECD (2003) </w:t>
      </w:r>
      <w:r w:rsidRPr="0044793F">
        <w:rPr>
          <w:rFonts w:ascii="Arial" w:hAnsi="Arial" w:cs="Arial"/>
          <w:i/>
          <w:iCs/>
        </w:rPr>
        <w:t>Organic agriculture: sustainability, markets and policies</w:t>
      </w:r>
      <w:r w:rsidRPr="0044793F">
        <w:rPr>
          <w:rFonts w:ascii="Arial" w:hAnsi="Arial" w:cs="Arial"/>
        </w:rPr>
        <w:t xml:space="preserve">. Paris: OECD Publishing. Available at: </w:t>
      </w:r>
      <w:hyperlink r:id="rId65" w:tgtFrame="_blank" w:history="1">
        <w:r w:rsidRPr="0044793F">
          <w:rPr>
            <w:rStyle w:val="Hyperlink"/>
            <w:rFonts w:ascii="Arial" w:hAnsi="Arial" w:cs="Arial"/>
          </w:rPr>
          <w:t>OECD Organic Agriculture report</w:t>
        </w:r>
      </w:hyperlink>
      <w:r w:rsidRPr="0044793F">
        <w:rPr>
          <w:rFonts w:ascii="Arial" w:hAnsi="Arial" w:cs="Arial"/>
        </w:rPr>
        <w:t xml:space="preserve"> (Accessed: 20 August 2026). </w:t>
      </w:r>
    </w:p>
    <w:p w14:paraId="5DDB4C3C"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Pantano, E., Pizzi, G., </w:t>
      </w:r>
      <w:proofErr w:type="spellStart"/>
      <w:r w:rsidRPr="0044793F">
        <w:rPr>
          <w:rFonts w:ascii="Arial" w:hAnsi="Arial" w:cs="Arial"/>
        </w:rPr>
        <w:t>Scarpi</w:t>
      </w:r>
      <w:proofErr w:type="spellEnd"/>
      <w:r w:rsidRPr="0044793F">
        <w:rPr>
          <w:rFonts w:ascii="Arial" w:hAnsi="Arial" w:cs="Arial"/>
        </w:rPr>
        <w:t xml:space="preserve">, D. and Dennis, C. (2020) ‘Competing during a pandemic? Retailing in the COVID-19 outbreak’, </w:t>
      </w:r>
      <w:r w:rsidRPr="0044793F">
        <w:rPr>
          <w:rFonts w:ascii="Arial" w:hAnsi="Arial" w:cs="Arial"/>
          <w:i/>
          <w:iCs/>
        </w:rPr>
        <w:t>Journal of Business Research</w:t>
      </w:r>
      <w:r w:rsidRPr="0044793F">
        <w:rPr>
          <w:rFonts w:ascii="Arial" w:hAnsi="Arial" w:cs="Arial"/>
        </w:rPr>
        <w:t>, 116, pp. 209–213.</w:t>
      </w:r>
    </w:p>
    <w:p w14:paraId="41088612"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Patton, M.Q. (2015) </w:t>
      </w:r>
      <w:r w:rsidRPr="0044793F">
        <w:rPr>
          <w:rFonts w:ascii="Arial" w:hAnsi="Arial" w:cs="Arial"/>
          <w:i/>
          <w:iCs/>
        </w:rPr>
        <w:t>Qualitative Research &amp; Evaluation Methods</w:t>
      </w:r>
      <w:r w:rsidRPr="0044793F">
        <w:rPr>
          <w:rFonts w:ascii="Arial" w:hAnsi="Arial" w:cs="Arial"/>
        </w:rPr>
        <w:t xml:space="preserve">. 4th </w:t>
      </w:r>
      <w:proofErr w:type="spellStart"/>
      <w:r w:rsidRPr="0044793F">
        <w:rPr>
          <w:rFonts w:ascii="Arial" w:hAnsi="Arial" w:cs="Arial"/>
        </w:rPr>
        <w:t>edn</w:t>
      </w:r>
      <w:proofErr w:type="spellEnd"/>
      <w:r w:rsidRPr="0044793F">
        <w:rPr>
          <w:rFonts w:ascii="Arial" w:hAnsi="Arial" w:cs="Arial"/>
        </w:rPr>
        <w:t>. Thousand Oaks, CA: Sage.</w:t>
      </w:r>
    </w:p>
    <w:p w14:paraId="7F0C2612" w14:textId="77777777" w:rsidR="00005CF2" w:rsidRPr="0044793F" w:rsidRDefault="00005CF2" w:rsidP="001C627C">
      <w:pPr>
        <w:spacing w:line="360" w:lineRule="auto"/>
        <w:jc w:val="both"/>
        <w:rPr>
          <w:rFonts w:ascii="Arial" w:hAnsi="Arial" w:cs="Arial"/>
        </w:rPr>
      </w:pPr>
      <w:r w:rsidRPr="0044793F">
        <w:rPr>
          <w:rFonts w:ascii="Arial" w:hAnsi="Arial" w:cs="Arial"/>
        </w:rPr>
        <w:lastRenderedPageBreak/>
        <w:t xml:space="preserve">Porter, M.E. and Kramer, M.R. (2011) ‘Creating shared value’, </w:t>
      </w:r>
      <w:r w:rsidRPr="0044793F">
        <w:rPr>
          <w:rFonts w:ascii="Arial" w:hAnsi="Arial" w:cs="Arial"/>
          <w:i/>
          <w:iCs/>
        </w:rPr>
        <w:t>Harvard Business Review</w:t>
      </w:r>
      <w:r w:rsidRPr="0044793F">
        <w:rPr>
          <w:rFonts w:ascii="Arial" w:hAnsi="Arial" w:cs="Arial"/>
        </w:rPr>
        <w:t>, 89(1–2), pp. 62–77.</w:t>
      </w:r>
    </w:p>
    <w:p w14:paraId="101D6FF6"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Quazi, A.M. and O’Brien, D. (2000) ‘An empirical test of a two-dimensional model of managerial perception of corporate social responsibility’, </w:t>
      </w:r>
      <w:r w:rsidRPr="0044793F">
        <w:rPr>
          <w:rFonts w:ascii="Arial" w:hAnsi="Arial" w:cs="Arial"/>
          <w:i/>
          <w:iCs/>
        </w:rPr>
        <w:t>Journal of Business Ethics</w:t>
      </w:r>
      <w:r w:rsidRPr="0044793F">
        <w:rPr>
          <w:rFonts w:ascii="Arial" w:hAnsi="Arial" w:cs="Arial"/>
        </w:rPr>
        <w:t>, 25, pp. 33–51.</w:t>
      </w:r>
    </w:p>
    <w:p w14:paraId="545CE7BD"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Ribeiro, I., et al. (2023) ‘Identifying the drivers of circular food packaging: A comprehensive review for the current state of the food supply chain’, </w:t>
      </w:r>
      <w:r w:rsidRPr="0044793F">
        <w:rPr>
          <w:rFonts w:ascii="Arial" w:hAnsi="Arial" w:cs="Arial"/>
          <w:i/>
          <w:iCs/>
        </w:rPr>
        <w:t>Sustainability</w:t>
      </w:r>
      <w:r w:rsidRPr="0044793F">
        <w:rPr>
          <w:rFonts w:ascii="Arial" w:hAnsi="Arial" w:cs="Arial"/>
        </w:rPr>
        <w:t>, 15(15), 11703.</w:t>
      </w:r>
    </w:p>
    <w:p w14:paraId="0B33206B" w14:textId="77777777" w:rsidR="00005CF2" w:rsidRPr="0044793F" w:rsidRDefault="00005CF2" w:rsidP="001C627C">
      <w:pPr>
        <w:spacing w:line="360" w:lineRule="auto"/>
        <w:jc w:val="both"/>
        <w:rPr>
          <w:rFonts w:ascii="Arial" w:hAnsi="Arial" w:cs="Arial"/>
        </w:rPr>
      </w:pPr>
      <w:r w:rsidRPr="0044793F">
        <w:rPr>
          <w:rFonts w:ascii="Arial" w:hAnsi="Arial" w:cs="Arial"/>
        </w:rPr>
        <w:t>Richards, A. (2023) [UK food-retail business-model source cited in the dissertation].</w:t>
      </w:r>
    </w:p>
    <w:p w14:paraId="436F6BC8" w14:textId="77777777" w:rsidR="00005CF2" w:rsidRPr="0044793F" w:rsidRDefault="00005CF2" w:rsidP="001C627C">
      <w:pPr>
        <w:spacing w:line="360" w:lineRule="auto"/>
        <w:jc w:val="both"/>
        <w:rPr>
          <w:rFonts w:ascii="Arial" w:hAnsi="Arial" w:cs="Arial"/>
        </w:rPr>
      </w:pPr>
      <w:r w:rsidRPr="0044793F">
        <w:rPr>
          <w:rFonts w:ascii="Arial" w:hAnsi="Arial" w:cs="Arial"/>
        </w:rPr>
        <w:t>Robinson, E., et al. (2025) ‘Supermarket nutritionists’ perspectives on affordability interventions for healthier, sustainable food purchasing in UK retail’.</w:t>
      </w:r>
    </w:p>
    <w:p w14:paraId="2486B95D" w14:textId="77777777" w:rsidR="00005CF2" w:rsidRPr="0044793F" w:rsidRDefault="00005CF2" w:rsidP="001C627C">
      <w:pPr>
        <w:spacing w:line="360" w:lineRule="auto"/>
        <w:jc w:val="both"/>
        <w:rPr>
          <w:rFonts w:ascii="Arial" w:hAnsi="Arial" w:cs="Arial"/>
        </w:rPr>
      </w:pPr>
      <w:r w:rsidRPr="0044793F">
        <w:rPr>
          <w:rFonts w:ascii="Arial" w:hAnsi="Arial" w:cs="Arial"/>
        </w:rPr>
        <w:t>Sacks, G., Swinburn, B. and Kraak, V. (2020) [Food retail/public-health policy source cited in the dissertation].</w:t>
      </w:r>
    </w:p>
    <w:p w14:paraId="5F81F93A" w14:textId="77777777" w:rsidR="00005CF2" w:rsidRPr="0044793F" w:rsidRDefault="00005CF2" w:rsidP="001C627C">
      <w:pPr>
        <w:spacing w:line="360" w:lineRule="auto"/>
        <w:jc w:val="both"/>
        <w:rPr>
          <w:rFonts w:ascii="Arial" w:hAnsi="Arial" w:cs="Arial"/>
        </w:rPr>
      </w:pPr>
      <w:r w:rsidRPr="0044793F">
        <w:rPr>
          <w:rFonts w:ascii="Arial" w:hAnsi="Arial" w:cs="Arial"/>
        </w:rPr>
        <w:t>Saini, N. and Arif, M. (2022) [CSR implementation-gap source cited in the dissertation].</w:t>
      </w:r>
    </w:p>
    <w:p w14:paraId="18431B1C"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Saldaña, J. (2015) </w:t>
      </w:r>
      <w:r w:rsidRPr="0044793F">
        <w:rPr>
          <w:rFonts w:ascii="Arial" w:hAnsi="Arial" w:cs="Arial"/>
          <w:i/>
          <w:iCs/>
        </w:rPr>
        <w:t>The Coding Manual for Qualitative Researchers</w:t>
      </w:r>
      <w:r w:rsidRPr="0044793F">
        <w:rPr>
          <w:rFonts w:ascii="Arial" w:hAnsi="Arial" w:cs="Arial"/>
        </w:rPr>
        <w:t xml:space="preserve">. 3rd </w:t>
      </w:r>
      <w:proofErr w:type="spellStart"/>
      <w:r w:rsidRPr="0044793F">
        <w:rPr>
          <w:rFonts w:ascii="Arial" w:hAnsi="Arial" w:cs="Arial"/>
        </w:rPr>
        <w:t>edn</w:t>
      </w:r>
      <w:proofErr w:type="spellEnd"/>
      <w:r w:rsidRPr="0044793F">
        <w:rPr>
          <w:rFonts w:ascii="Arial" w:hAnsi="Arial" w:cs="Arial"/>
        </w:rPr>
        <w:t>. London: Sage.</w:t>
      </w:r>
    </w:p>
    <w:p w14:paraId="6173D05F" w14:textId="77777777" w:rsidR="00005CF2" w:rsidRPr="0044793F" w:rsidRDefault="00005CF2" w:rsidP="001C627C">
      <w:pPr>
        <w:spacing w:line="360" w:lineRule="auto"/>
        <w:jc w:val="both"/>
        <w:rPr>
          <w:rFonts w:ascii="Arial" w:hAnsi="Arial" w:cs="Arial"/>
        </w:rPr>
      </w:pPr>
      <w:r w:rsidRPr="0044793F">
        <w:rPr>
          <w:rFonts w:ascii="Arial" w:hAnsi="Arial" w:cs="Arial"/>
        </w:rPr>
        <w:t>Sardana, D., et al. (2024) ‘Corporate social responsibility and stakeholder theory: An integrated review’.</w:t>
      </w:r>
    </w:p>
    <w:p w14:paraId="330DA621" w14:textId="77777777" w:rsidR="00005CF2" w:rsidRPr="0044793F" w:rsidRDefault="00005CF2" w:rsidP="001C627C">
      <w:pPr>
        <w:spacing w:line="360" w:lineRule="auto"/>
        <w:jc w:val="both"/>
        <w:rPr>
          <w:rFonts w:ascii="Arial" w:hAnsi="Arial" w:cs="Arial"/>
        </w:rPr>
      </w:pPr>
      <w:r w:rsidRPr="0044793F">
        <w:rPr>
          <w:rFonts w:ascii="Arial" w:hAnsi="Arial" w:cs="Arial"/>
        </w:rPr>
        <w:t>Sarfaty, G.A. and Zhang, J. (2025) ‘</w:t>
      </w:r>
      <w:proofErr w:type="spellStart"/>
      <w:r w:rsidRPr="0044793F">
        <w:rPr>
          <w:rFonts w:ascii="Arial" w:hAnsi="Arial" w:cs="Arial"/>
        </w:rPr>
        <w:t>Labour</w:t>
      </w:r>
      <w:proofErr w:type="spellEnd"/>
      <w:r w:rsidRPr="0044793F">
        <w:rPr>
          <w:rFonts w:ascii="Arial" w:hAnsi="Arial" w:cs="Arial"/>
        </w:rPr>
        <w:t xml:space="preserve"> rights movements and modern slavery audit disclosures within global supply chains: A political mediation perspective’.</w:t>
      </w:r>
    </w:p>
    <w:p w14:paraId="2DAAFCC2" w14:textId="77777777" w:rsidR="00005CF2" w:rsidRPr="0044793F" w:rsidRDefault="00005CF2" w:rsidP="001C627C">
      <w:pPr>
        <w:spacing w:line="360" w:lineRule="auto"/>
        <w:jc w:val="both"/>
        <w:rPr>
          <w:rFonts w:ascii="Arial" w:hAnsi="Arial" w:cs="Arial"/>
        </w:rPr>
      </w:pPr>
      <w:r w:rsidRPr="0044793F">
        <w:rPr>
          <w:rFonts w:ascii="Arial" w:hAnsi="Arial" w:cs="Arial"/>
        </w:rPr>
        <w:t>Sarkis, J., Cohen, M.J., Dewick, P. and Schröder, P. (2021) [COVID-19/supply-chain resilience source cited in the dissertation].</w:t>
      </w:r>
    </w:p>
    <w:p w14:paraId="13AF5DDE"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Saunders, M., Lewis, P. and Thornhill, A. (2019) </w:t>
      </w:r>
      <w:r w:rsidRPr="0044793F">
        <w:rPr>
          <w:rFonts w:ascii="Arial" w:hAnsi="Arial" w:cs="Arial"/>
          <w:i/>
          <w:iCs/>
        </w:rPr>
        <w:t>Research Methods for Business Students</w:t>
      </w:r>
      <w:r w:rsidRPr="0044793F">
        <w:rPr>
          <w:rFonts w:ascii="Arial" w:hAnsi="Arial" w:cs="Arial"/>
        </w:rPr>
        <w:t xml:space="preserve">. 8th </w:t>
      </w:r>
      <w:proofErr w:type="spellStart"/>
      <w:r w:rsidRPr="0044793F">
        <w:rPr>
          <w:rFonts w:ascii="Arial" w:hAnsi="Arial" w:cs="Arial"/>
        </w:rPr>
        <w:t>edn</w:t>
      </w:r>
      <w:proofErr w:type="spellEnd"/>
      <w:r w:rsidRPr="0044793F">
        <w:rPr>
          <w:rFonts w:ascii="Arial" w:hAnsi="Arial" w:cs="Arial"/>
        </w:rPr>
        <w:t>. Harlow: Pearson.</w:t>
      </w:r>
    </w:p>
    <w:p w14:paraId="49B0DAC0" w14:textId="77777777" w:rsidR="00005CF2" w:rsidRPr="0044793F" w:rsidRDefault="00005CF2" w:rsidP="001C627C">
      <w:pPr>
        <w:spacing w:line="360" w:lineRule="auto"/>
        <w:jc w:val="both"/>
        <w:rPr>
          <w:rFonts w:ascii="Arial" w:hAnsi="Arial" w:cs="Arial"/>
        </w:rPr>
      </w:pPr>
      <w:r w:rsidRPr="0044793F">
        <w:rPr>
          <w:rFonts w:ascii="Arial" w:hAnsi="Arial" w:cs="Arial"/>
        </w:rPr>
        <w:t>Schons, L. and Steinmeier, M. (2016) [Stakeholder/CSR source cited in the wider dissertation material].</w:t>
      </w:r>
    </w:p>
    <w:p w14:paraId="20C4CE12" w14:textId="77777777" w:rsidR="00005CF2" w:rsidRPr="0044793F" w:rsidRDefault="00005CF2" w:rsidP="001C627C">
      <w:pPr>
        <w:spacing w:line="360" w:lineRule="auto"/>
        <w:jc w:val="both"/>
        <w:rPr>
          <w:rFonts w:ascii="Arial" w:hAnsi="Arial" w:cs="Arial"/>
        </w:rPr>
      </w:pPr>
      <w:proofErr w:type="spellStart"/>
      <w:r w:rsidRPr="0044793F">
        <w:rPr>
          <w:rFonts w:ascii="Arial" w:hAnsi="Arial" w:cs="Arial"/>
        </w:rPr>
        <w:lastRenderedPageBreak/>
        <w:t>ShareAction</w:t>
      </w:r>
      <w:proofErr w:type="spellEnd"/>
      <w:r w:rsidRPr="0044793F">
        <w:rPr>
          <w:rFonts w:ascii="Arial" w:hAnsi="Arial" w:cs="Arial"/>
        </w:rPr>
        <w:t xml:space="preserve"> (2023) </w:t>
      </w:r>
      <w:r w:rsidRPr="0044793F">
        <w:rPr>
          <w:rFonts w:ascii="Arial" w:hAnsi="Arial" w:cs="Arial"/>
          <w:i/>
          <w:iCs/>
        </w:rPr>
        <w:t>[Retail/food-health and sustainability assessment report cited in the dissertation]</w:t>
      </w:r>
      <w:r w:rsidRPr="0044793F">
        <w:rPr>
          <w:rFonts w:ascii="Arial" w:hAnsi="Arial" w:cs="Arial"/>
        </w:rPr>
        <w:t xml:space="preserve">. London: </w:t>
      </w:r>
      <w:proofErr w:type="spellStart"/>
      <w:r w:rsidRPr="0044793F">
        <w:rPr>
          <w:rFonts w:ascii="Arial" w:hAnsi="Arial" w:cs="Arial"/>
        </w:rPr>
        <w:t>ShareAction</w:t>
      </w:r>
      <w:proofErr w:type="spellEnd"/>
      <w:r w:rsidRPr="0044793F">
        <w:rPr>
          <w:rFonts w:ascii="Arial" w:hAnsi="Arial" w:cs="Arial"/>
        </w:rPr>
        <w:t>.</w:t>
      </w:r>
    </w:p>
    <w:p w14:paraId="3922459B" w14:textId="77777777" w:rsidR="00005CF2" w:rsidRPr="0044793F" w:rsidRDefault="00005CF2" w:rsidP="001C627C">
      <w:pPr>
        <w:spacing w:line="360" w:lineRule="auto"/>
        <w:jc w:val="both"/>
        <w:rPr>
          <w:rFonts w:ascii="Arial" w:hAnsi="Arial" w:cs="Arial"/>
        </w:rPr>
      </w:pPr>
      <w:r w:rsidRPr="0044793F">
        <w:rPr>
          <w:rFonts w:ascii="Arial" w:hAnsi="Arial" w:cs="Arial"/>
        </w:rPr>
        <w:t>Sharma, A., et al. (2022) [CSR source cited in Chapter 1].</w:t>
      </w:r>
    </w:p>
    <w:p w14:paraId="72D52692"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Sharma, G., et al. (2024) ‘Stakeholders, stakeholder theory and Corporate Social Responsibility (CSR)’, </w:t>
      </w:r>
      <w:r w:rsidRPr="0044793F">
        <w:rPr>
          <w:rFonts w:ascii="Arial" w:hAnsi="Arial" w:cs="Arial"/>
          <w:i/>
          <w:iCs/>
        </w:rPr>
        <w:t>Journal of Corporate Social Responsibility</w:t>
      </w:r>
      <w:r w:rsidRPr="0044793F">
        <w:rPr>
          <w:rFonts w:ascii="Arial" w:hAnsi="Arial" w:cs="Arial"/>
        </w:rPr>
        <w:t>, 4.</w:t>
      </w:r>
    </w:p>
    <w:p w14:paraId="76359204"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Siano, A., Vollero, A., Conte, F. and Amabile, S. (2017) ‘“More than words”: Expanding the taxonomy of greenwashing after the Volkswagen scandal’, </w:t>
      </w:r>
      <w:r w:rsidRPr="0044793F">
        <w:rPr>
          <w:rFonts w:ascii="Arial" w:hAnsi="Arial" w:cs="Arial"/>
          <w:i/>
          <w:iCs/>
        </w:rPr>
        <w:t>Journal of Business Research</w:t>
      </w:r>
      <w:r w:rsidRPr="0044793F">
        <w:rPr>
          <w:rFonts w:ascii="Arial" w:hAnsi="Arial" w:cs="Arial"/>
        </w:rPr>
        <w:t>, 71, pp. 27–37.</w:t>
      </w:r>
    </w:p>
    <w:p w14:paraId="002FA1B6" w14:textId="77777777" w:rsidR="00005CF2" w:rsidRPr="0044793F" w:rsidRDefault="00005CF2" w:rsidP="001C627C">
      <w:pPr>
        <w:spacing w:line="360" w:lineRule="auto"/>
        <w:jc w:val="both"/>
        <w:rPr>
          <w:rFonts w:ascii="Arial" w:hAnsi="Arial" w:cs="Arial"/>
        </w:rPr>
      </w:pPr>
      <w:r w:rsidRPr="0044793F">
        <w:rPr>
          <w:rFonts w:ascii="Arial" w:hAnsi="Arial" w:cs="Arial"/>
        </w:rPr>
        <w:t>Stanny, E. and Ely, K. (2024) ‘Quantifying firm-level greenwashing: A systematic literature review’.</w:t>
      </w:r>
    </w:p>
    <w:p w14:paraId="3E5B7924" w14:textId="77777777" w:rsidR="00005CF2" w:rsidRPr="0044793F" w:rsidRDefault="00005CF2" w:rsidP="001C627C">
      <w:pPr>
        <w:spacing w:line="360" w:lineRule="auto"/>
        <w:jc w:val="both"/>
        <w:rPr>
          <w:rFonts w:ascii="Arial" w:hAnsi="Arial" w:cs="Arial"/>
        </w:rPr>
      </w:pPr>
      <w:r w:rsidRPr="0044793F">
        <w:rPr>
          <w:rFonts w:ascii="Arial" w:hAnsi="Arial" w:cs="Arial"/>
        </w:rPr>
        <w:t>Stevenson, M. and Cole, R. (2021) ‘Modern slavery statements: From regulation to substantive supply chain reporting’.</w:t>
      </w:r>
    </w:p>
    <w:p w14:paraId="5643327E" w14:textId="77777777" w:rsidR="00005CF2" w:rsidRPr="0044793F" w:rsidRDefault="00005CF2" w:rsidP="001C627C">
      <w:pPr>
        <w:spacing w:line="360" w:lineRule="auto"/>
        <w:jc w:val="both"/>
        <w:rPr>
          <w:rFonts w:ascii="Arial" w:hAnsi="Arial" w:cs="Arial"/>
        </w:rPr>
      </w:pPr>
      <w:proofErr w:type="spellStart"/>
      <w:r w:rsidRPr="0044793F">
        <w:rPr>
          <w:rFonts w:ascii="Arial" w:hAnsi="Arial" w:cs="Arial"/>
        </w:rPr>
        <w:t>Suardi</w:t>
      </w:r>
      <w:proofErr w:type="spellEnd"/>
      <w:r w:rsidRPr="0044793F">
        <w:rPr>
          <w:rFonts w:ascii="Arial" w:hAnsi="Arial" w:cs="Arial"/>
        </w:rPr>
        <w:t xml:space="preserve">, S. and </w:t>
      </w:r>
      <w:proofErr w:type="spellStart"/>
      <w:r w:rsidRPr="0044793F">
        <w:rPr>
          <w:rFonts w:ascii="Arial" w:hAnsi="Arial" w:cs="Arial"/>
        </w:rPr>
        <w:t>Fiandrino</w:t>
      </w:r>
      <w:proofErr w:type="spellEnd"/>
      <w:r w:rsidRPr="0044793F">
        <w:rPr>
          <w:rFonts w:ascii="Arial" w:hAnsi="Arial" w:cs="Arial"/>
        </w:rPr>
        <w:t>, S. (2025) ‘Quality, determinants and financial consequences of climate change disclosures: A structured review’.</w:t>
      </w:r>
    </w:p>
    <w:p w14:paraId="6AF500E2" w14:textId="77777777" w:rsidR="00005CF2" w:rsidRPr="0044793F" w:rsidRDefault="00005CF2" w:rsidP="001C627C">
      <w:pPr>
        <w:spacing w:line="360" w:lineRule="auto"/>
        <w:jc w:val="both"/>
        <w:rPr>
          <w:rFonts w:ascii="Arial" w:hAnsi="Arial" w:cs="Arial"/>
        </w:rPr>
      </w:pPr>
      <w:proofErr w:type="spellStart"/>
      <w:r w:rsidRPr="0044793F">
        <w:rPr>
          <w:rFonts w:ascii="Arial" w:hAnsi="Arial" w:cs="Arial"/>
        </w:rPr>
        <w:t>Taillie</w:t>
      </w:r>
      <w:proofErr w:type="spellEnd"/>
      <w:r w:rsidRPr="0044793F">
        <w:rPr>
          <w:rFonts w:ascii="Arial" w:hAnsi="Arial" w:cs="Arial"/>
        </w:rPr>
        <w:t>, L.S., Busey, E., Stoltze, F.M. and Dillman Carpentier, F.R. (2020) [Food marketing/ultra-processed food source cited in the dissertation].</w:t>
      </w:r>
    </w:p>
    <w:p w14:paraId="542FDAA2"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Torelli, R., </w:t>
      </w:r>
      <w:proofErr w:type="spellStart"/>
      <w:r w:rsidRPr="0044793F">
        <w:rPr>
          <w:rFonts w:ascii="Arial" w:hAnsi="Arial" w:cs="Arial"/>
        </w:rPr>
        <w:t>Balluchi</w:t>
      </w:r>
      <w:proofErr w:type="spellEnd"/>
      <w:r w:rsidRPr="0044793F">
        <w:rPr>
          <w:rFonts w:ascii="Arial" w:hAnsi="Arial" w:cs="Arial"/>
        </w:rPr>
        <w:t xml:space="preserve">, F. and </w:t>
      </w:r>
      <w:proofErr w:type="spellStart"/>
      <w:r w:rsidRPr="0044793F">
        <w:rPr>
          <w:rFonts w:ascii="Arial" w:hAnsi="Arial" w:cs="Arial"/>
        </w:rPr>
        <w:t>Lazzini</w:t>
      </w:r>
      <w:proofErr w:type="spellEnd"/>
      <w:r w:rsidRPr="0044793F">
        <w:rPr>
          <w:rFonts w:ascii="Arial" w:hAnsi="Arial" w:cs="Arial"/>
        </w:rPr>
        <w:t>, A. (2019) ‘Greenwashing and environmental communication: A review’.</w:t>
      </w:r>
    </w:p>
    <w:p w14:paraId="4AE34E7F"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Torelli, R., </w:t>
      </w:r>
      <w:proofErr w:type="spellStart"/>
      <w:r w:rsidRPr="0044793F">
        <w:rPr>
          <w:rFonts w:ascii="Arial" w:hAnsi="Arial" w:cs="Arial"/>
        </w:rPr>
        <w:t>Balluchi</w:t>
      </w:r>
      <w:proofErr w:type="spellEnd"/>
      <w:r w:rsidRPr="0044793F">
        <w:rPr>
          <w:rFonts w:ascii="Arial" w:hAnsi="Arial" w:cs="Arial"/>
        </w:rPr>
        <w:t xml:space="preserve">, F. and </w:t>
      </w:r>
      <w:proofErr w:type="spellStart"/>
      <w:r w:rsidRPr="0044793F">
        <w:rPr>
          <w:rFonts w:ascii="Arial" w:hAnsi="Arial" w:cs="Arial"/>
        </w:rPr>
        <w:t>Lazzini</w:t>
      </w:r>
      <w:proofErr w:type="spellEnd"/>
      <w:r w:rsidRPr="0044793F">
        <w:rPr>
          <w:rFonts w:ascii="Arial" w:hAnsi="Arial" w:cs="Arial"/>
        </w:rPr>
        <w:t>, A. (2020) [Greenwashing/CSR source cited in the dissertation].</w:t>
      </w:r>
    </w:p>
    <w:p w14:paraId="0D472938"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UK Government (2021) </w:t>
      </w:r>
      <w:r w:rsidRPr="0044793F">
        <w:rPr>
          <w:rFonts w:ascii="Arial" w:hAnsi="Arial" w:cs="Arial"/>
          <w:i/>
          <w:iCs/>
        </w:rPr>
        <w:t>Net Zero Strategy: Build Back Greener</w:t>
      </w:r>
      <w:r w:rsidRPr="0044793F">
        <w:rPr>
          <w:rFonts w:ascii="Arial" w:hAnsi="Arial" w:cs="Arial"/>
        </w:rPr>
        <w:t>. London: HM Government.</w:t>
      </w:r>
    </w:p>
    <w:p w14:paraId="7E04FCF7" w14:textId="77777777" w:rsidR="00005CF2" w:rsidRPr="0044793F" w:rsidRDefault="00005CF2" w:rsidP="001C627C">
      <w:pPr>
        <w:spacing w:line="360" w:lineRule="auto"/>
        <w:jc w:val="both"/>
        <w:rPr>
          <w:rFonts w:ascii="Arial" w:hAnsi="Arial" w:cs="Arial"/>
        </w:rPr>
      </w:pPr>
      <w:r w:rsidRPr="0044793F">
        <w:rPr>
          <w:rFonts w:ascii="Arial" w:hAnsi="Arial" w:cs="Arial"/>
        </w:rPr>
        <w:t>Velte, P. (2025) ‘The impact of institutional ownership structure on corporate ESG performance: Empirical evidence for the European capital market’.</w:t>
      </w:r>
    </w:p>
    <w:p w14:paraId="206995B4" w14:textId="77777777" w:rsidR="00005CF2" w:rsidRPr="0044793F" w:rsidRDefault="00005CF2" w:rsidP="001C627C">
      <w:pPr>
        <w:spacing w:line="360" w:lineRule="auto"/>
        <w:jc w:val="both"/>
        <w:rPr>
          <w:rFonts w:ascii="Arial" w:hAnsi="Arial" w:cs="Arial"/>
        </w:rPr>
      </w:pPr>
      <w:r w:rsidRPr="0044793F">
        <w:rPr>
          <w:rFonts w:ascii="Arial" w:hAnsi="Arial" w:cs="Arial"/>
        </w:rPr>
        <w:t>Viere, T., et al. (2025) ‘Food packaging business models as drivers for sustainability in the food packaging industry’.</w:t>
      </w:r>
    </w:p>
    <w:p w14:paraId="0DA0EB8B" w14:textId="77777777" w:rsidR="00005CF2" w:rsidRPr="0044793F" w:rsidRDefault="00005CF2" w:rsidP="001C627C">
      <w:pPr>
        <w:spacing w:line="360" w:lineRule="auto"/>
        <w:jc w:val="both"/>
        <w:rPr>
          <w:rFonts w:ascii="Arial" w:hAnsi="Arial" w:cs="Arial"/>
        </w:rPr>
      </w:pPr>
      <w:r w:rsidRPr="0044793F">
        <w:rPr>
          <w:rFonts w:ascii="Arial" w:hAnsi="Arial" w:cs="Arial"/>
        </w:rPr>
        <w:lastRenderedPageBreak/>
        <w:t xml:space="preserve">Walker, K. and Wan, F. (2012) ‘The harm of symbolic actions and green-washing: Corporate actions and communications on environmental performance and their financial implications’, </w:t>
      </w:r>
      <w:r w:rsidRPr="0044793F">
        <w:rPr>
          <w:rFonts w:ascii="Arial" w:hAnsi="Arial" w:cs="Arial"/>
          <w:i/>
          <w:iCs/>
        </w:rPr>
        <w:t>Journal of Business Ethics</w:t>
      </w:r>
      <w:r w:rsidRPr="0044793F">
        <w:rPr>
          <w:rFonts w:ascii="Arial" w:hAnsi="Arial" w:cs="Arial"/>
        </w:rPr>
        <w:t>, 109, pp. 227–242.</w:t>
      </w:r>
    </w:p>
    <w:p w14:paraId="7178DC1B" w14:textId="77777777" w:rsidR="00005CF2" w:rsidRPr="0044793F" w:rsidRDefault="00005CF2" w:rsidP="001C627C">
      <w:pPr>
        <w:spacing w:line="360" w:lineRule="auto"/>
        <w:jc w:val="both"/>
        <w:rPr>
          <w:rFonts w:ascii="Arial" w:hAnsi="Arial" w:cs="Arial"/>
        </w:rPr>
      </w:pPr>
      <w:r w:rsidRPr="0044793F">
        <w:rPr>
          <w:rFonts w:ascii="Arial" w:hAnsi="Arial" w:cs="Arial"/>
        </w:rPr>
        <w:t>White, K., Hardisty, D.J. and Habib, R. (2019/2020) [Sustainability/consumer source cited in Chapter 1].</w:t>
      </w:r>
    </w:p>
    <w:p w14:paraId="44A0E2E2" w14:textId="77777777" w:rsidR="00005CF2" w:rsidRPr="0044793F" w:rsidRDefault="00005CF2" w:rsidP="001C627C">
      <w:pPr>
        <w:spacing w:line="360" w:lineRule="auto"/>
        <w:jc w:val="both"/>
        <w:rPr>
          <w:rFonts w:ascii="Arial" w:hAnsi="Arial" w:cs="Arial"/>
        </w:rPr>
      </w:pPr>
      <w:r w:rsidRPr="0044793F">
        <w:rPr>
          <w:rFonts w:ascii="Arial" w:hAnsi="Arial" w:cs="Arial"/>
        </w:rPr>
        <w:t>Yang, Z., et al. (2025) ‘Symbolic versus substantive ESG practices: A systematic review and integrative framework’.</w:t>
      </w:r>
    </w:p>
    <w:p w14:paraId="6B2CC14E"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Yin, R.K. (2018) </w:t>
      </w:r>
      <w:r w:rsidRPr="0044793F">
        <w:rPr>
          <w:rFonts w:ascii="Arial" w:hAnsi="Arial" w:cs="Arial"/>
          <w:i/>
          <w:iCs/>
        </w:rPr>
        <w:t>Case Study Research and Applications: Design and Methods</w:t>
      </w:r>
      <w:r w:rsidRPr="0044793F">
        <w:rPr>
          <w:rFonts w:ascii="Arial" w:hAnsi="Arial" w:cs="Arial"/>
        </w:rPr>
        <w:t xml:space="preserve">. 6th </w:t>
      </w:r>
      <w:proofErr w:type="spellStart"/>
      <w:r w:rsidRPr="0044793F">
        <w:rPr>
          <w:rFonts w:ascii="Arial" w:hAnsi="Arial" w:cs="Arial"/>
        </w:rPr>
        <w:t>edn</w:t>
      </w:r>
      <w:proofErr w:type="spellEnd"/>
      <w:r w:rsidRPr="0044793F">
        <w:rPr>
          <w:rFonts w:ascii="Arial" w:hAnsi="Arial" w:cs="Arial"/>
        </w:rPr>
        <w:t>. Thousand Oaks, CA: Sage.</w:t>
      </w:r>
    </w:p>
    <w:p w14:paraId="2F00B8EF" w14:textId="77777777" w:rsidR="00005CF2" w:rsidRPr="0044793F" w:rsidRDefault="00005CF2" w:rsidP="001C627C">
      <w:pPr>
        <w:spacing w:line="360" w:lineRule="auto"/>
        <w:jc w:val="both"/>
        <w:rPr>
          <w:rFonts w:ascii="Arial" w:hAnsi="Arial" w:cs="Arial"/>
        </w:rPr>
      </w:pPr>
      <w:r w:rsidRPr="0044793F">
        <w:rPr>
          <w:rFonts w:ascii="Arial" w:hAnsi="Arial" w:cs="Arial"/>
        </w:rPr>
        <w:t>Zhao, Y., et al. (2025) ‘Market competitiveness and corporate ESG performance’.</w:t>
      </w:r>
    </w:p>
    <w:p w14:paraId="49C37C5E" w14:textId="77777777" w:rsidR="00005CF2" w:rsidRPr="0044793F" w:rsidRDefault="00005CF2" w:rsidP="001C627C">
      <w:pPr>
        <w:spacing w:line="360" w:lineRule="auto"/>
        <w:jc w:val="both"/>
        <w:rPr>
          <w:rFonts w:ascii="Arial" w:hAnsi="Arial" w:cs="Arial"/>
        </w:rPr>
      </w:pPr>
      <w:r w:rsidRPr="0044793F">
        <w:rPr>
          <w:rFonts w:ascii="Arial" w:hAnsi="Arial" w:cs="Arial"/>
        </w:rPr>
        <w:t xml:space="preserve">Zheng, G.-W., Akter, N., </w:t>
      </w:r>
      <w:proofErr w:type="spellStart"/>
      <w:r w:rsidRPr="0044793F">
        <w:rPr>
          <w:rFonts w:ascii="Arial" w:hAnsi="Arial" w:cs="Arial"/>
        </w:rPr>
        <w:t>Siddik</w:t>
      </w:r>
      <w:proofErr w:type="spellEnd"/>
      <w:r w:rsidRPr="0044793F">
        <w:rPr>
          <w:rFonts w:ascii="Arial" w:hAnsi="Arial" w:cs="Arial"/>
        </w:rPr>
        <w:t xml:space="preserve">, A.B. and </w:t>
      </w:r>
      <w:proofErr w:type="spellStart"/>
      <w:r w:rsidRPr="0044793F">
        <w:rPr>
          <w:rFonts w:ascii="Arial" w:hAnsi="Arial" w:cs="Arial"/>
        </w:rPr>
        <w:t>Masukujjaman</w:t>
      </w:r>
      <w:proofErr w:type="spellEnd"/>
      <w:r w:rsidRPr="0044793F">
        <w:rPr>
          <w:rFonts w:ascii="Arial" w:hAnsi="Arial" w:cs="Arial"/>
        </w:rPr>
        <w:t xml:space="preserve">, M. (2021) ‘Organic foods purchase behavior among Generation Y of Bangladesh: the moderation effect of trust and price consciousness’, </w:t>
      </w:r>
      <w:r w:rsidRPr="0044793F">
        <w:rPr>
          <w:rFonts w:ascii="Arial" w:hAnsi="Arial" w:cs="Arial"/>
          <w:i/>
          <w:iCs/>
        </w:rPr>
        <w:t>Foods</w:t>
      </w:r>
      <w:r w:rsidRPr="0044793F">
        <w:rPr>
          <w:rFonts w:ascii="Arial" w:hAnsi="Arial" w:cs="Arial"/>
        </w:rPr>
        <w:t xml:space="preserve">, 10(10), p. 2278. Available at: </w:t>
      </w:r>
      <w:hyperlink r:id="rId66" w:tgtFrame="_blank" w:history="1">
        <w:r w:rsidRPr="0044793F">
          <w:rPr>
            <w:rStyle w:val="Hyperlink"/>
            <w:rFonts w:ascii="Arial" w:hAnsi="Arial" w:cs="Arial"/>
          </w:rPr>
          <w:t>https://doi.org/10.3390/foods10102278</w:t>
        </w:r>
      </w:hyperlink>
      <w:r w:rsidRPr="0044793F">
        <w:rPr>
          <w:rFonts w:ascii="Arial" w:hAnsi="Arial" w:cs="Arial"/>
        </w:rPr>
        <w:t xml:space="preserve"> (Accessed: 20 August 2026). </w:t>
      </w:r>
    </w:p>
    <w:p w14:paraId="6B87104A" w14:textId="77777777" w:rsidR="003267CE" w:rsidRPr="0044793F" w:rsidRDefault="003267CE" w:rsidP="00404048">
      <w:pPr>
        <w:spacing w:line="360" w:lineRule="auto"/>
        <w:rPr>
          <w:rFonts w:ascii="Arial" w:hAnsi="Arial" w:cs="Arial"/>
        </w:rPr>
      </w:pPr>
    </w:p>
    <w:sectPr w:rsidR="003267CE" w:rsidRPr="0044793F" w:rsidSect="00123BF1">
      <w:footerReference w:type="default" r:id="rId6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E0D50" w14:textId="77777777" w:rsidR="00A62CAE" w:rsidRDefault="00A62CAE" w:rsidP="00123BF1">
      <w:pPr>
        <w:spacing w:after="0" w:line="240" w:lineRule="auto"/>
      </w:pPr>
      <w:r>
        <w:separator/>
      </w:r>
    </w:p>
  </w:endnote>
  <w:endnote w:type="continuationSeparator" w:id="0">
    <w:p w14:paraId="43F27B6C" w14:textId="77777777" w:rsidR="00A62CAE" w:rsidRDefault="00A62CAE" w:rsidP="00123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2892196"/>
      <w:docPartObj>
        <w:docPartGallery w:val="Page Numbers (Bottom of Page)"/>
        <w:docPartUnique/>
      </w:docPartObj>
    </w:sdtPr>
    <w:sdtEndPr>
      <w:rPr>
        <w:noProof/>
      </w:rPr>
    </w:sdtEndPr>
    <w:sdtContent>
      <w:p w14:paraId="7B462952" w14:textId="719E626F" w:rsidR="00123BF1" w:rsidRDefault="00123B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6F7E56" w14:textId="77777777" w:rsidR="00123BF1" w:rsidRDefault="00123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09D70" w14:textId="77777777" w:rsidR="00A62CAE" w:rsidRDefault="00A62CAE" w:rsidP="00123BF1">
      <w:pPr>
        <w:spacing w:after="0" w:line="240" w:lineRule="auto"/>
      </w:pPr>
      <w:r>
        <w:separator/>
      </w:r>
    </w:p>
  </w:footnote>
  <w:footnote w:type="continuationSeparator" w:id="0">
    <w:p w14:paraId="1A1182DA" w14:textId="77777777" w:rsidR="00A62CAE" w:rsidRDefault="00A62CAE" w:rsidP="00123B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17D8"/>
    <w:multiLevelType w:val="multilevel"/>
    <w:tmpl w:val="F918C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36392D"/>
    <w:multiLevelType w:val="multilevel"/>
    <w:tmpl w:val="66C63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5637F3"/>
    <w:multiLevelType w:val="multilevel"/>
    <w:tmpl w:val="3488B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573371"/>
    <w:multiLevelType w:val="multilevel"/>
    <w:tmpl w:val="84F40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0144BE"/>
    <w:multiLevelType w:val="multilevel"/>
    <w:tmpl w:val="D2DE1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AA125E"/>
    <w:multiLevelType w:val="multilevel"/>
    <w:tmpl w:val="CC8E1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AA79EA"/>
    <w:multiLevelType w:val="multilevel"/>
    <w:tmpl w:val="9B0A4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656242"/>
    <w:multiLevelType w:val="hybridMultilevel"/>
    <w:tmpl w:val="A7BA1F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D8411A5"/>
    <w:multiLevelType w:val="multilevel"/>
    <w:tmpl w:val="2AE4D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134465"/>
    <w:multiLevelType w:val="multilevel"/>
    <w:tmpl w:val="12A25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8B025D"/>
    <w:multiLevelType w:val="multilevel"/>
    <w:tmpl w:val="A4502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FB4E03"/>
    <w:multiLevelType w:val="multilevel"/>
    <w:tmpl w:val="2FBCA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002474"/>
    <w:multiLevelType w:val="hybridMultilevel"/>
    <w:tmpl w:val="4698AD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09E636B"/>
    <w:multiLevelType w:val="multilevel"/>
    <w:tmpl w:val="77E0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B2370A"/>
    <w:multiLevelType w:val="multilevel"/>
    <w:tmpl w:val="88DCC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0E1E68"/>
    <w:multiLevelType w:val="multilevel"/>
    <w:tmpl w:val="828A5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941386A"/>
    <w:multiLevelType w:val="multilevel"/>
    <w:tmpl w:val="ED927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BD105BF"/>
    <w:multiLevelType w:val="multilevel"/>
    <w:tmpl w:val="2FDEC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D65067A"/>
    <w:multiLevelType w:val="multilevel"/>
    <w:tmpl w:val="69D22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DE13E4"/>
    <w:multiLevelType w:val="multilevel"/>
    <w:tmpl w:val="820C7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C5509C"/>
    <w:multiLevelType w:val="multilevel"/>
    <w:tmpl w:val="5032E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0C78A1"/>
    <w:multiLevelType w:val="multilevel"/>
    <w:tmpl w:val="F508D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9269DF"/>
    <w:multiLevelType w:val="multilevel"/>
    <w:tmpl w:val="A4609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C5B796B"/>
    <w:multiLevelType w:val="multilevel"/>
    <w:tmpl w:val="8A4AD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BB59F3"/>
    <w:multiLevelType w:val="multilevel"/>
    <w:tmpl w:val="0D224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E282A45"/>
    <w:multiLevelType w:val="multilevel"/>
    <w:tmpl w:val="9F505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0E36D7D"/>
    <w:multiLevelType w:val="multilevel"/>
    <w:tmpl w:val="32E87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4016CBB"/>
    <w:multiLevelType w:val="multilevel"/>
    <w:tmpl w:val="0DB65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73A144B"/>
    <w:multiLevelType w:val="hybridMultilevel"/>
    <w:tmpl w:val="7EC0F1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A7C0551"/>
    <w:multiLevelType w:val="multilevel"/>
    <w:tmpl w:val="6908C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EE535EF"/>
    <w:multiLevelType w:val="multilevel"/>
    <w:tmpl w:val="A5DA4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1FF522A"/>
    <w:multiLevelType w:val="hybridMultilevel"/>
    <w:tmpl w:val="9AA88DB6"/>
    <w:lvl w:ilvl="0" w:tplc="9662C37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58B3F50"/>
    <w:multiLevelType w:val="multilevel"/>
    <w:tmpl w:val="1C3A3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2A7400"/>
    <w:multiLevelType w:val="multilevel"/>
    <w:tmpl w:val="048CCD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FB126FE"/>
    <w:multiLevelType w:val="multilevel"/>
    <w:tmpl w:val="17383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2F44C5A"/>
    <w:multiLevelType w:val="multilevel"/>
    <w:tmpl w:val="9D509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4727CCF"/>
    <w:multiLevelType w:val="multilevel"/>
    <w:tmpl w:val="A4B2BF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8CE49E4"/>
    <w:multiLevelType w:val="multilevel"/>
    <w:tmpl w:val="D93EB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C272FD5"/>
    <w:multiLevelType w:val="multilevel"/>
    <w:tmpl w:val="50E8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E6C5512"/>
    <w:multiLevelType w:val="hybridMultilevel"/>
    <w:tmpl w:val="C67AB4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F663F55"/>
    <w:multiLevelType w:val="multilevel"/>
    <w:tmpl w:val="9C308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31"/>
  </w:num>
  <w:num w:numId="3">
    <w:abstractNumId w:val="32"/>
  </w:num>
  <w:num w:numId="4">
    <w:abstractNumId w:val="36"/>
  </w:num>
  <w:num w:numId="5">
    <w:abstractNumId w:val="29"/>
  </w:num>
  <w:num w:numId="6">
    <w:abstractNumId w:val="9"/>
  </w:num>
  <w:num w:numId="7">
    <w:abstractNumId w:val="27"/>
  </w:num>
  <w:num w:numId="8">
    <w:abstractNumId w:val="5"/>
  </w:num>
  <w:num w:numId="9">
    <w:abstractNumId w:val="26"/>
  </w:num>
  <w:num w:numId="10">
    <w:abstractNumId w:val="23"/>
  </w:num>
  <w:num w:numId="11">
    <w:abstractNumId w:val="10"/>
  </w:num>
  <w:num w:numId="12">
    <w:abstractNumId w:val="13"/>
  </w:num>
  <w:num w:numId="13">
    <w:abstractNumId w:val="1"/>
  </w:num>
  <w:num w:numId="14">
    <w:abstractNumId w:val="15"/>
  </w:num>
  <w:num w:numId="15">
    <w:abstractNumId w:val="37"/>
  </w:num>
  <w:num w:numId="16">
    <w:abstractNumId w:val="24"/>
  </w:num>
  <w:num w:numId="17">
    <w:abstractNumId w:val="35"/>
  </w:num>
  <w:num w:numId="18">
    <w:abstractNumId w:val="2"/>
  </w:num>
  <w:num w:numId="19">
    <w:abstractNumId w:val="6"/>
  </w:num>
  <w:num w:numId="20">
    <w:abstractNumId w:val="22"/>
  </w:num>
  <w:num w:numId="21">
    <w:abstractNumId w:val="25"/>
  </w:num>
  <w:num w:numId="22">
    <w:abstractNumId w:val="20"/>
  </w:num>
  <w:num w:numId="23">
    <w:abstractNumId w:val="18"/>
  </w:num>
  <w:num w:numId="24">
    <w:abstractNumId w:val="21"/>
  </w:num>
  <w:num w:numId="25">
    <w:abstractNumId w:val="34"/>
  </w:num>
  <w:num w:numId="26">
    <w:abstractNumId w:val="8"/>
  </w:num>
  <w:num w:numId="27">
    <w:abstractNumId w:val="19"/>
  </w:num>
  <w:num w:numId="28">
    <w:abstractNumId w:val="0"/>
  </w:num>
  <w:num w:numId="29">
    <w:abstractNumId w:val="38"/>
  </w:num>
  <w:num w:numId="30">
    <w:abstractNumId w:val="30"/>
  </w:num>
  <w:num w:numId="31">
    <w:abstractNumId w:val="11"/>
  </w:num>
  <w:num w:numId="32">
    <w:abstractNumId w:val="33"/>
  </w:num>
  <w:num w:numId="33">
    <w:abstractNumId w:val="16"/>
  </w:num>
  <w:num w:numId="34">
    <w:abstractNumId w:val="3"/>
  </w:num>
  <w:num w:numId="35">
    <w:abstractNumId w:val="14"/>
  </w:num>
  <w:num w:numId="36">
    <w:abstractNumId w:val="17"/>
  </w:num>
  <w:num w:numId="37">
    <w:abstractNumId w:val="40"/>
  </w:num>
  <w:num w:numId="38">
    <w:abstractNumId w:val="4"/>
  </w:num>
  <w:num w:numId="39">
    <w:abstractNumId w:val="39"/>
  </w:num>
  <w:num w:numId="40">
    <w:abstractNumId w:val="28"/>
  </w:num>
  <w:num w:numId="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7CE"/>
    <w:rsid w:val="0000390E"/>
    <w:rsid w:val="00005CF2"/>
    <w:rsid w:val="00026D73"/>
    <w:rsid w:val="00033AFC"/>
    <w:rsid w:val="00045287"/>
    <w:rsid w:val="000A7687"/>
    <w:rsid w:val="000F4B89"/>
    <w:rsid w:val="00120F25"/>
    <w:rsid w:val="00123BF1"/>
    <w:rsid w:val="00123D39"/>
    <w:rsid w:val="00151CF0"/>
    <w:rsid w:val="001C627C"/>
    <w:rsid w:val="001D01E5"/>
    <w:rsid w:val="002545BC"/>
    <w:rsid w:val="00262D8D"/>
    <w:rsid w:val="002A09FB"/>
    <w:rsid w:val="002A6B50"/>
    <w:rsid w:val="003267CE"/>
    <w:rsid w:val="00330022"/>
    <w:rsid w:val="00367A7C"/>
    <w:rsid w:val="003C297A"/>
    <w:rsid w:val="003C7CD4"/>
    <w:rsid w:val="00404048"/>
    <w:rsid w:val="00407A76"/>
    <w:rsid w:val="004126C5"/>
    <w:rsid w:val="0044793F"/>
    <w:rsid w:val="00454955"/>
    <w:rsid w:val="00457BD6"/>
    <w:rsid w:val="004A44BD"/>
    <w:rsid w:val="004B3E7E"/>
    <w:rsid w:val="004C081D"/>
    <w:rsid w:val="004C34BF"/>
    <w:rsid w:val="004C3B4E"/>
    <w:rsid w:val="004D3BC8"/>
    <w:rsid w:val="004F25EB"/>
    <w:rsid w:val="00542BE7"/>
    <w:rsid w:val="0056299A"/>
    <w:rsid w:val="005677DC"/>
    <w:rsid w:val="00574BBD"/>
    <w:rsid w:val="00583986"/>
    <w:rsid w:val="00594165"/>
    <w:rsid w:val="005B1D83"/>
    <w:rsid w:val="006167DD"/>
    <w:rsid w:val="006213A2"/>
    <w:rsid w:val="00647AC7"/>
    <w:rsid w:val="00651EB5"/>
    <w:rsid w:val="0065601C"/>
    <w:rsid w:val="006C0AB9"/>
    <w:rsid w:val="006C193E"/>
    <w:rsid w:val="006E0B34"/>
    <w:rsid w:val="006F59CC"/>
    <w:rsid w:val="007317B7"/>
    <w:rsid w:val="00742DCD"/>
    <w:rsid w:val="007556ED"/>
    <w:rsid w:val="00792198"/>
    <w:rsid w:val="007D77B4"/>
    <w:rsid w:val="00800449"/>
    <w:rsid w:val="00805474"/>
    <w:rsid w:val="00841654"/>
    <w:rsid w:val="00853F5B"/>
    <w:rsid w:val="00861514"/>
    <w:rsid w:val="00887173"/>
    <w:rsid w:val="00906A75"/>
    <w:rsid w:val="009963CA"/>
    <w:rsid w:val="009A20E5"/>
    <w:rsid w:val="009B1048"/>
    <w:rsid w:val="009B2283"/>
    <w:rsid w:val="009F34B2"/>
    <w:rsid w:val="00A33BAD"/>
    <w:rsid w:val="00A62CAE"/>
    <w:rsid w:val="00A7469C"/>
    <w:rsid w:val="00A90EBC"/>
    <w:rsid w:val="00B5368A"/>
    <w:rsid w:val="00BB3CCD"/>
    <w:rsid w:val="00BC3440"/>
    <w:rsid w:val="00BD0079"/>
    <w:rsid w:val="00C64D47"/>
    <w:rsid w:val="00CE3AB1"/>
    <w:rsid w:val="00D03D8E"/>
    <w:rsid w:val="00D22555"/>
    <w:rsid w:val="00D464D3"/>
    <w:rsid w:val="00D936FE"/>
    <w:rsid w:val="00DA42E8"/>
    <w:rsid w:val="00DB47CB"/>
    <w:rsid w:val="00DD3646"/>
    <w:rsid w:val="00DE7919"/>
    <w:rsid w:val="00E00891"/>
    <w:rsid w:val="00E01211"/>
    <w:rsid w:val="00E07684"/>
    <w:rsid w:val="00E1092B"/>
    <w:rsid w:val="00E32CEC"/>
    <w:rsid w:val="00E84E40"/>
    <w:rsid w:val="00EC1826"/>
    <w:rsid w:val="00EC2A09"/>
    <w:rsid w:val="00EE02ED"/>
    <w:rsid w:val="00EE4619"/>
    <w:rsid w:val="00FA5351"/>
    <w:rsid w:val="00FC7DC9"/>
    <w:rsid w:val="00FD4E3E"/>
    <w:rsid w:val="00FF65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B550D"/>
  <w15:chartTrackingRefBased/>
  <w15:docId w15:val="{8D4F00CB-0968-44C6-B916-CE841FFCA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D73"/>
  </w:style>
  <w:style w:type="paragraph" w:styleId="Heading1">
    <w:name w:val="heading 1"/>
    <w:basedOn w:val="Normal"/>
    <w:next w:val="Normal"/>
    <w:link w:val="Heading1Char"/>
    <w:uiPriority w:val="9"/>
    <w:qFormat/>
    <w:rsid w:val="003267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67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67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67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67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67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67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67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67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7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67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67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7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7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7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7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7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7CE"/>
    <w:rPr>
      <w:rFonts w:eastAsiaTheme="majorEastAsia" w:cstheme="majorBidi"/>
      <w:color w:val="272727" w:themeColor="text1" w:themeTint="D8"/>
    </w:rPr>
  </w:style>
  <w:style w:type="paragraph" w:styleId="Title">
    <w:name w:val="Title"/>
    <w:basedOn w:val="Normal"/>
    <w:next w:val="Normal"/>
    <w:link w:val="TitleChar"/>
    <w:uiPriority w:val="10"/>
    <w:qFormat/>
    <w:rsid w:val="003267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7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7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67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7CE"/>
    <w:pPr>
      <w:spacing w:before="160"/>
      <w:jc w:val="center"/>
    </w:pPr>
    <w:rPr>
      <w:i/>
      <w:iCs/>
      <w:color w:val="404040" w:themeColor="text1" w:themeTint="BF"/>
    </w:rPr>
  </w:style>
  <w:style w:type="character" w:customStyle="1" w:styleId="QuoteChar">
    <w:name w:val="Quote Char"/>
    <w:basedOn w:val="DefaultParagraphFont"/>
    <w:link w:val="Quote"/>
    <w:uiPriority w:val="29"/>
    <w:rsid w:val="003267CE"/>
    <w:rPr>
      <w:i/>
      <w:iCs/>
      <w:color w:val="404040" w:themeColor="text1" w:themeTint="BF"/>
    </w:rPr>
  </w:style>
  <w:style w:type="paragraph" w:styleId="ListParagraph">
    <w:name w:val="List Paragraph"/>
    <w:basedOn w:val="Normal"/>
    <w:uiPriority w:val="34"/>
    <w:qFormat/>
    <w:rsid w:val="003267CE"/>
    <w:pPr>
      <w:ind w:left="720"/>
      <w:contextualSpacing/>
    </w:pPr>
  </w:style>
  <w:style w:type="character" w:styleId="IntenseEmphasis">
    <w:name w:val="Intense Emphasis"/>
    <w:basedOn w:val="DefaultParagraphFont"/>
    <w:uiPriority w:val="21"/>
    <w:qFormat/>
    <w:rsid w:val="003267CE"/>
    <w:rPr>
      <w:i/>
      <w:iCs/>
      <w:color w:val="0F4761" w:themeColor="accent1" w:themeShade="BF"/>
    </w:rPr>
  </w:style>
  <w:style w:type="paragraph" w:styleId="IntenseQuote">
    <w:name w:val="Intense Quote"/>
    <w:basedOn w:val="Normal"/>
    <w:next w:val="Normal"/>
    <w:link w:val="IntenseQuoteChar"/>
    <w:uiPriority w:val="30"/>
    <w:qFormat/>
    <w:rsid w:val="003267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67CE"/>
    <w:rPr>
      <w:i/>
      <w:iCs/>
      <w:color w:val="0F4761" w:themeColor="accent1" w:themeShade="BF"/>
    </w:rPr>
  </w:style>
  <w:style w:type="character" w:styleId="IntenseReference">
    <w:name w:val="Intense Reference"/>
    <w:basedOn w:val="DefaultParagraphFont"/>
    <w:uiPriority w:val="32"/>
    <w:qFormat/>
    <w:rsid w:val="003267CE"/>
    <w:rPr>
      <w:b/>
      <w:bCs/>
      <w:smallCaps/>
      <w:color w:val="0F4761" w:themeColor="accent1" w:themeShade="BF"/>
      <w:spacing w:val="5"/>
    </w:rPr>
  </w:style>
  <w:style w:type="character" w:styleId="Hyperlink">
    <w:name w:val="Hyperlink"/>
    <w:basedOn w:val="DefaultParagraphFont"/>
    <w:uiPriority w:val="99"/>
    <w:unhideWhenUsed/>
    <w:rsid w:val="00026D73"/>
    <w:rPr>
      <w:color w:val="467886" w:themeColor="hyperlink"/>
      <w:u w:val="single"/>
    </w:rPr>
  </w:style>
  <w:style w:type="table" w:styleId="TableGrid">
    <w:name w:val="Table Grid"/>
    <w:basedOn w:val="TableNormal"/>
    <w:uiPriority w:val="39"/>
    <w:rsid w:val="00FF65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5368A"/>
    <w:rPr>
      <w:color w:val="605E5C"/>
      <w:shd w:val="clear" w:color="auto" w:fill="E1DFDD"/>
    </w:rPr>
  </w:style>
  <w:style w:type="paragraph" w:styleId="Header">
    <w:name w:val="header"/>
    <w:basedOn w:val="Normal"/>
    <w:link w:val="HeaderChar"/>
    <w:uiPriority w:val="99"/>
    <w:unhideWhenUsed/>
    <w:rsid w:val="00123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BF1"/>
  </w:style>
  <w:style w:type="paragraph" w:styleId="Footer">
    <w:name w:val="footer"/>
    <w:basedOn w:val="Normal"/>
    <w:link w:val="FooterChar"/>
    <w:uiPriority w:val="99"/>
    <w:unhideWhenUsed/>
    <w:rsid w:val="00123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B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8947/journal.kpry56" TargetMode="External"/><Relationship Id="rId21" Type="http://schemas.openxmlformats.org/officeDocument/2006/relationships/hyperlink" Target="https://www.sciencepublishinggroup.com/article/10.11648/j.jbed.20251003.13" TargetMode="External"/><Relationship Id="rId42" Type="http://schemas.openxmlformats.org/officeDocument/2006/relationships/hyperlink" Target="https://www.sciencedirect.com/science/article/abs/pii/S0950329322000842" TargetMode="External"/><Relationship Id="rId47" Type="http://schemas.openxmlformats.org/officeDocument/2006/relationships/hyperlink" Target="https://pmc.ncbi.nlm.nih.gov/articles/PMC10225783/" TargetMode="External"/><Relationship Id="rId63" Type="http://schemas.openxmlformats.org/officeDocument/2006/relationships/hyperlink" Target="https://bigd.bracu.ac.bd/?p=11765&amp;utm_source=chatgpt.com" TargetMode="External"/><Relationship Id="rId68"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2688/f1000research.176435.2" TargetMode="External"/><Relationship Id="rId29" Type="http://schemas.openxmlformats.org/officeDocument/2006/relationships/hyperlink" Target="https://www.sciencedirect.com/science/article/pii/S2666154325008270" TargetMode="External"/><Relationship Id="rId11" Type="http://schemas.openxmlformats.org/officeDocument/2006/relationships/hyperlink" Target="https://www.rsisinternational.org/journals/ijrsi/digital-library/volume-11-issue-9/807-816.pdf" TargetMode="External"/><Relationship Id="rId24" Type="http://schemas.openxmlformats.org/officeDocument/2006/relationships/hyperlink" Target="https://doi.org/10.1108/IJBM-02-2021-0067" TargetMode="External"/><Relationship Id="rId32" Type="http://schemas.openxmlformats.org/officeDocument/2006/relationships/hyperlink" Target="https://doi.org/10.1108/MEQ-01-2020-0014" TargetMode="External"/><Relationship Id="rId37" Type="http://schemas.openxmlformats.org/officeDocument/2006/relationships/hyperlink" Target="https://doi.org/10.3390/su14105868" TargetMode="External"/><Relationship Id="rId40" Type="http://schemas.openxmlformats.org/officeDocument/2006/relationships/hyperlink" Target="https://doi.org/10.1016/j.clrc.2023.100121" TargetMode="External"/><Relationship Id="rId45" Type="http://schemas.openxmlformats.org/officeDocument/2006/relationships/hyperlink" Target="https://doi.org/10.3390/foods10102278" TargetMode="External"/><Relationship Id="rId53" Type="http://schemas.openxmlformats.org/officeDocument/2006/relationships/hyperlink" Target="https://www.ijfmr.com/research-paper.php?id=75854" TargetMode="External"/><Relationship Id="rId58" Type="http://schemas.openxmlformats.org/officeDocument/2006/relationships/hyperlink" Target="https://doi.org/10.3329/ralf.v11i1.72975" TargetMode="External"/><Relationship Id="rId66" Type="http://schemas.openxmlformats.org/officeDocument/2006/relationships/hyperlink" Target="https://doi.org/10.3390/foods10102278?utm_source=chatgpt.com" TargetMode="External"/><Relationship Id="rId5" Type="http://schemas.openxmlformats.org/officeDocument/2006/relationships/footnotes" Target="footnotes.xml"/><Relationship Id="rId61" Type="http://schemas.openxmlformats.org/officeDocument/2006/relationships/hyperlink" Target="https://www.ers.usda.gov/publications/45550?utm_source=chatgpt.com" TargetMode="External"/><Relationship Id="rId19" Type="http://schemas.openxmlformats.org/officeDocument/2006/relationships/hyperlink" Target="https://doi.org/10.20525/ijrbs.v10i1.1011" TargetMode="External"/><Relationship Id="rId14" Type="http://schemas.openxmlformats.org/officeDocument/2006/relationships/hyperlink" Target="https://doi.org/10.1111/jpim.12741" TargetMode="External"/><Relationship Id="rId22" Type="http://schemas.openxmlformats.org/officeDocument/2006/relationships/hyperlink" Target="https://doi.org/10.1371/journal.pone.0338423" TargetMode="External"/><Relationship Id="rId27" Type="http://schemas.openxmlformats.org/officeDocument/2006/relationships/hyperlink" Target="https://www.researchgate.net/publication/385111119" TargetMode="External"/><Relationship Id="rId30" Type="http://schemas.openxmlformats.org/officeDocument/2006/relationships/hyperlink" Target="https://doi.org/10.1145/3715335.3735495" TargetMode="External"/><Relationship Id="rId35" Type="http://schemas.openxmlformats.org/officeDocument/2006/relationships/hyperlink" Target="https://doi.org/10.1371/journal.pone.0257288" TargetMode="External"/><Relationship Id="rId43" Type="http://schemas.openxmlformats.org/officeDocument/2006/relationships/hyperlink" Target="https://doi.org/10.1108/BFJ-05-2021-0472" TargetMode="External"/><Relationship Id="rId48" Type="http://schemas.openxmlformats.org/officeDocument/2006/relationships/hyperlink" Target="https://www.sciencedirect.com/science/article/pii/S2199853122002797" TargetMode="External"/><Relationship Id="rId56" Type="http://schemas.openxmlformats.org/officeDocument/2006/relationships/hyperlink" Target="https://doi.org/10.1016/j.heliyon.2023.e18744" TargetMode="External"/><Relationship Id="rId64" Type="http://schemas.openxmlformats.org/officeDocument/2006/relationships/hyperlink" Target="https://doi.org/10.1016/j.toxrep.2023.09.003?utm_source=chatgpt.com" TargetMode="External"/><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indianjournaloffinance.co.in/index.php/ijom/article/view/174688" TargetMode="External"/><Relationship Id="rId3" Type="http://schemas.openxmlformats.org/officeDocument/2006/relationships/settings" Target="settings.xml"/><Relationship Id="rId12" Type="http://schemas.openxmlformats.org/officeDocument/2006/relationships/hyperlink" Target="https://www.emerald.com/apjie/article/18/3/251/1214392" TargetMode="External"/><Relationship Id="rId17" Type="http://schemas.openxmlformats.org/officeDocument/2006/relationships/hyperlink" Target="https://doi.org/10.1080/10696679.2025.2602445" TargetMode="External"/><Relationship Id="rId25" Type="http://schemas.openxmlformats.org/officeDocument/2006/relationships/hyperlink" Target="https://doi.org/10.1177/21582440231197495" TargetMode="External"/><Relationship Id="rId33" Type="http://schemas.openxmlformats.org/officeDocument/2006/relationships/hyperlink" Target="https://doi.org/10.3390/ijerph17030850" TargetMode="External"/><Relationship Id="rId38" Type="http://schemas.openxmlformats.org/officeDocument/2006/relationships/hyperlink" Target="https://doi.org/10.3389/fsufs.2023.1180612" TargetMode="External"/><Relationship Id="rId46" Type="http://schemas.openxmlformats.org/officeDocument/2006/relationships/hyperlink" Target="https://www.researchgate.net/publication/352222167" TargetMode="External"/><Relationship Id="rId59" Type="http://schemas.openxmlformats.org/officeDocument/2006/relationships/hyperlink" Target="https://doi.org/10.3390/platforms3030011?utm_source=chatgpt.com" TargetMode="External"/><Relationship Id="rId67" Type="http://schemas.openxmlformats.org/officeDocument/2006/relationships/footer" Target="footer1.xml"/><Relationship Id="rId20" Type="http://schemas.openxmlformats.org/officeDocument/2006/relationships/hyperlink" Target="https://doi.org/10.1080/23311886.2025.2459881" TargetMode="External"/><Relationship Id="rId41" Type="http://schemas.openxmlformats.org/officeDocument/2006/relationships/hyperlink" Target="https://www.mdpi.com/2071-1050/15/12/9670" TargetMode="External"/><Relationship Id="rId54" Type="http://schemas.openxmlformats.org/officeDocument/2006/relationships/hyperlink" Target="https://doi.org/10.3390/foods13111780" TargetMode="External"/><Relationship Id="rId62" Type="http://schemas.openxmlformats.org/officeDocument/2006/relationships/hyperlink" Target="https://doi.org/10.2307/249008?utm_source=chatgpt.com"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sciencedirect.com/science/article/pii/S2199853124002087" TargetMode="External"/><Relationship Id="rId23" Type="http://schemas.openxmlformats.org/officeDocument/2006/relationships/hyperlink" Target="https://www.sciencedirect.com/science/article/pii/S1947963821000423" TargetMode="External"/><Relationship Id="rId28" Type="http://schemas.openxmlformats.org/officeDocument/2006/relationships/hyperlink" Target="https://doi.org/10.47813/2782-5280-2024-3-4-0218-0240" TargetMode="External"/><Relationship Id="rId36" Type="http://schemas.openxmlformats.org/officeDocument/2006/relationships/hyperlink" Target="https://doi.org/10.1002/fsn3.4015" TargetMode="External"/><Relationship Id="rId49" Type="http://schemas.openxmlformats.org/officeDocument/2006/relationships/hyperlink" Target="https://jracr.com/index.php/jracr/article/view/468" TargetMode="External"/><Relationship Id="rId57" Type="http://schemas.openxmlformats.org/officeDocument/2006/relationships/hyperlink" Target="https://doi.org/10.3390/agronomy11091804" TargetMode="External"/><Relationship Id="rId10" Type="http://schemas.openxmlformats.org/officeDocument/2006/relationships/hyperlink" Target="https://doi.org/10.54663/2182-9306.2023.v11.n21.48-67" TargetMode="External"/><Relationship Id="rId31" Type="http://schemas.openxmlformats.org/officeDocument/2006/relationships/hyperlink" Target="https://doi.org/10.1016/j.jretconser.2017.06.004" TargetMode="External"/><Relationship Id="rId44" Type="http://schemas.openxmlformats.org/officeDocument/2006/relationships/hyperlink" Target="https://doi.org/10.1186/s12889-025-23724-x" TargetMode="External"/><Relationship Id="rId52" Type="http://schemas.openxmlformats.org/officeDocument/2006/relationships/hyperlink" Target="https://doi.org/10.1108/BFJ-02-2018-0072" TargetMode="External"/><Relationship Id="rId60" Type="http://schemas.openxmlformats.org/officeDocument/2006/relationships/hyperlink" Target="https://doi.org/10.1016/0749-5978(91)90020-T?utm_source=chatgpt.com" TargetMode="External"/><Relationship Id="rId65" Type="http://schemas.openxmlformats.org/officeDocument/2006/relationships/hyperlink" Target="https://www.oecd.org/content/dam/oecd/en/publications/reports/2003/06/organic-agriculture_g1gh348e/9789264101517-en.pdf?utm_source=chatgpt.com" TargetMode="External"/><Relationship Id="rId4" Type="http://schemas.openxmlformats.org/officeDocument/2006/relationships/webSettings" Target="webSettings.xml"/><Relationship Id="rId9" Type="http://schemas.openxmlformats.org/officeDocument/2006/relationships/hyperlink" Target="https://doi.org/10.1016/j.ijresmar.2016.11.006" TargetMode="External"/><Relationship Id="rId13" Type="http://schemas.openxmlformats.org/officeDocument/2006/relationships/hyperlink" Target="https://doi.org/10.1007/s43039-023-00067-2" TargetMode="External"/><Relationship Id="rId18" Type="http://schemas.openxmlformats.org/officeDocument/2006/relationships/hyperlink" Target="https://www.nature.com/articles/s41599-026-07126-x" TargetMode="External"/><Relationship Id="rId39" Type="http://schemas.openxmlformats.org/officeDocument/2006/relationships/hyperlink" Target="https://doi.org/10.3390/su13116023" TargetMode="External"/><Relationship Id="rId34" Type="http://schemas.openxmlformats.org/officeDocument/2006/relationships/hyperlink" Target="https://doi.org/10.3390/su14010242" TargetMode="External"/><Relationship Id="rId50" Type="http://schemas.openxmlformats.org/officeDocument/2006/relationships/hyperlink" Target="https://pubs.sciepub.com/jbms/1/5/5/index.html" TargetMode="External"/><Relationship Id="rId55" Type="http://schemas.openxmlformats.org/officeDocument/2006/relationships/hyperlink" Target="https://doi.org/10.1080/19393210.2024.2404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100</Pages>
  <Words>23310</Words>
  <Characters>132872</Characters>
  <Application>Microsoft Office Word</Application>
  <DocSecurity>0</DocSecurity>
  <Lines>1107</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Sifat Al Galib</cp:lastModifiedBy>
  <cp:revision>2</cp:revision>
  <dcterms:created xsi:type="dcterms:W3CDTF">2026-08-28T03:03:00Z</dcterms:created>
  <dcterms:modified xsi:type="dcterms:W3CDTF">2026-08-28T03:03:00Z</dcterms:modified>
</cp:coreProperties>
</file>