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809F1" w14:textId="77777777" w:rsidR="0077735F" w:rsidRDefault="0077735F">
      <w:r>
        <w:rPr>
          <w:noProof/>
        </w:rPr>
        <w:drawing>
          <wp:anchor distT="0" distB="0" distL="114300" distR="114300" simplePos="0" relativeHeight="251658240" behindDoc="0" locked="0" layoutInCell="1" allowOverlap="1" wp14:anchorId="269B4CE6" wp14:editId="2EE1EA79">
            <wp:simplePos x="0" y="0"/>
            <wp:positionH relativeFrom="column">
              <wp:posOffset>-47625</wp:posOffset>
            </wp:positionH>
            <wp:positionV relativeFrom="paragraph">
              <wp:posOffset>-523875</wp:posOffset>
            </wp:positionV>
            <wp:extent cx="2200910" cy="743585"/>
            <wp:effectExtent l="0" t="0" r="8890" b="0"/>
            <wp:wrapNone/>
            <wp:docPr id="686736830"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736830" name="Picture 1" descr="A black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0910" cy="743585"/>
                    </a:xfrm>
                    <a:prstGeom prst="rect">
                      <a:avLst/>
                    </a:prstGeom>
                    <a:noFill/>
                  </pic:spPr>
                </pic:pic>
              </a:graphicData>
            </a:graphic>
          </wp:anchor>
        </w:drawing>
      </w:r>
    </w:p>
    <w:p w14:paraId="76122EAD" w14:textId="77777777" w:rsidR="0077735F" w:rsidRDefault="0077735F" w:rsidP="0077735F">
      <w:pPr>
        <w:suppressAutoHyphens/>
        <w:spacing w:before="120" w:after="120" w:line="360" w:lineRule="auto"/>
        <w:jc w:val="both"/>
        <w:rPr>
          <w:rFonts w:ascii="Segoe UI" w:hAnsi="Segoe UI" w:cs="Segoe UI"/>
          <w:b/>
          <w:bCs/>
          <w:color w:val="212529"/>
          <w:sz w:val="28"/>
          <w:szCs w:val="28"/>
        </w:rPr>
      </w:pPr>
      <w:r w:rsidRPr="006A2CD8">
        <w:rPr>
          <w:rFonts w:ascii="Segoe UI" w:hAnsi="Segoe UI" w:cs="Segoe UI"/>
          <w:b/>
          <w:bCs/>
          <w:color w:val="212529"/>
          <w:sz w:val="28"/>
          <w:szCs w:val="28"/>
        </w:rPr>
        <w:t>Doctorate in Professional Practice</w:t>
      </w:r>
    </w:p>
    <w:tbl>
      <w:tblPr>
        <w:tblStyle w:val="TableGrid"/>
        <w:tblpPr w:leftFromText="180" w:rightFromText="180" w:vertAnchor="text" w:horzAnchor="margin" w:tblpY="9"/>
        <w:tblW w:w="936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92"/>
        <w:gridCol w:w="5968"/>
      </w:tblGrid>
      <w:tr w:rsidR="0077735F" w:rsidRPr="006A2CD8" w14:paraId="7E981450" w14:textId="77777777" w:rsidTr="0077735F">
        <w:trPr>
          <w:trHeight w:val="300"/>
        </w:trPr>
        <w:tc>
          <w:tcPr>
            <w:tcW w:w="33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329591AB" w14:textId="77777777" w:rsidR="0077735F" w:rsidRPr="006A2CD8" w:rsidRDefault="0077735F" w:rsidP="0077735F">
            <w:pPr>
              <w:suppressAutoHyphens/>
              <w:spacing w:before="120" w:after="120" w:line="360" w:lineRule="auto"/>
              <w:rPr>
                <w:rFonts w:asciiTheme="minorHAnsi" w:eastAsia="Tahoma" w:hAnsiTheme="minorHAnsi" w:cstheme="minorHAnsi"/>
                <w:color w:val="000000"/>
                <w:sz w:val="28"/>
                <w:szCs w:val="28"/>
                <w:lang w:eastAsia="ar-SA"/>
              </w:rPr>
            </w:pPr>
            <w:r w:rsidRPr="006A2CD8">
              <w:rPr>
                <w:rFonts w:asciiTheme="minorHAnsi" w:eastAsia="Tahoma" w:hAnsiTheme="minorHAnsi" w:cstheme="minorHAnsi"/>
                <w:color w:val="000000"/>
                <w:sz w:val="28"/>
                <w:szCs w:val="28"/>
                <w:lang w:eastAsia="ar-SA"/>
              </w:rPr>
              <w:t>Student Name:</w:t>
            </w:r>
          </w:p>
        </w:tc>
        <w:tc>
          <w:tcPr>
            <w:tcW w:w="59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021979" w14:textId="77777777" w:rsidR="0077735F" w:rsidRPr="006A2CD8" w:rsidRDefault="0077735F" w:rsidP="0077735F">
            <w:pPr>
              <w:suppressAutoHyphens/>
              <w:spacing w:before="120" w:after="120" w:line="360" w:lineRule="auto"/>
              <w:rPr>
                <w:rFonts w:asciiTheme="minorHAnsi" w:eastAsia="Arial" w:hAnsiTheme="minorHAnsi" w:cstheme="minorHAnsi"/>
                <w:b/>
                <w:bCs/>
                <w:color w:val="000000"/>
                <w:sz w:val="28"/>
                <w:szCs w:val="28"/>
                <w:lang w:eastAsia="ar-SA"/>
              </w:rPr>
            </w:pPr>
            <w:r w:rsidRPr="006A2CD8">
              <w:rPr>
                <w:rFonts w:asciiTheme="minorHAnsi" w:eastAsia="Arial" w:hAnsiTheme="minorHAnsi" w:cstheme="minorHAnsi"/>
                <w:b/>
                <w:bCs/>
                <w:color w:val="000000"/>
                <w:sz w:val="28"/>
                <w:szCs w:val="28"/>
                <w:lang w:eastAsia="ar-SA"/>
              </w:rPr>
              <w:t>Karine Williams</w:t>
            </w:r>
          </w:p>
        </w:tc>
      </w:tr>
      <w:tr w:rsidR="0077735F" w:rsidRPr="006A2CD8" w14:paraId="1F6E88FD" w14:textId="77777777" w:rsidTr="0077735F">
        <w:trPr>
          <w:trHeight w:val="300"/>
        </w:trPr>
        <w:tc>
          <w:tcPr>
            <w:tcW w:w="33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2B504DB4" w14:textId="77777777" w:rsidR="0077735F" w:rsidRPr="006A2CD8" w:rsidRDefault="0077735F" w:rsidP="0077735F">
            <w:pPr>
              <w:suppressAutoHyphens/>
              <w:spacing w:before="120" w:after="120" w:line="360" w:lineRule="auto"/>
              <w:rPr>
                <w:rFonts w:asciiTheme="minorHAnsi" w:eastAsia="Tahoma" w:hAnsiTheme="minorHAnsi" w:cstheme="minorHAnsi"/>
                <w:color w:val="000000"/>
                <w:sz w:val="28"/>
                <w:szCs w:val="28"/>
                <w:lang w:eastAsia="ar-SA"/>
              </w:rPr>
            </w:pPr>
            <w:r w:rsidRPr="006A2CD8">
              <w:rPr>
                <w:rFonts w:asciiTheme="minorHAnsi" w:eastAsia="Tahoma" w:hAnsiTheme="minorHAnsi" w:cstheme="minorHAnsi"/>
                <w:color w:val="000000"/>
                <w:sz w:val="28"/>
                <w:szCs w:val="28"/>
                <w:lang w:eastAsia="ar-SA"/>
              </w:rPr>
              <w:t>Student Number:</w:t>
            </w:r>
          </w:p>
        </w:tc>
        <w:tc>
          <w:tcPr>
            <w:tcW w:w="59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C1C9FB" w14:textId="77777777" w:rsidR="0077735F" w:rsidRPr="006A2CD8" w:rsidRDefault="0077735F" w:rsidP="0077735F">
            <w:pPr>
              <w:suppressAutoHyphens/>
              <w:spacing w:before="120" w:after="120" w:line="360" w:lineRule="auto"/>
              <w:rPr>
                <w:rFonts w:asciiTheme="minorHAnsi" w:eastAsia="Arial" w:hAnsiTheme="minorHAnsi" w:cstheme="minorHAnsi"/>
                <w:b/>
                <w:bCs/>
                <w:color w:val="000000"/>
                <w:sz w:val="28"/>
                <w:szCs w:val="28"/>
                <w:lang w:eastAsia="ar-SA"/>
              </w:rPr>
            </w:pPr>
            <w:r w:rsidRPr="006A2CD8">
              <w:rPr>
                <w:rFonts w:asciiTheme="minorHAnsi" w:eastAsia="Arial" w:hAnsiTheme="minorHAnsi" w:cstheme="minorHAnsi"/>
                <w:b/>
                <w:bCs/>
                <w:color w:val="000000"/>
                <w:sz w:val="28"/>
                <w:szCs w:val="28"/>
                <w:lang w:eastAsia="ar-SA"/>
              </w:rPr>
              <w:t>2424373</w:t>
            </w:r>
          </w:p>
        </w:tc>
      </w:tr>
      <w:tr w:rsidR="0077735F" w:rsidRPr="006A2CD8" w14:paraId="7FBE8AF1" w14:textId="77777777" w:rsidTr="0077735F">
        <w:trPr>
          <w:trHeight w:val="300"/>
        </w:trPr>
        <w:tc>
          <w:tcPr>
            <w:tcW w:w="33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6E8A0D7A" w14:textId="77777777" w:rsidR="0077735F" w:rsidRPr="006A2CD8" w:rsidRDefault="0077735F" w:rsidP="0077735F">
            <w:pPr>
              <w:suppressAutoHyphens/>
              <w:spacing w:before="120" w:after="120" w:line="360" w:lineRule="auto"/>
              <w:rPr>
                <w:rFonts w:asciiTheme="minorHAnsi" w:eastAsia="Tahoma" w:hAnsiTheme="minorHAnsi" w:cstheme="minorHAnsi"/>
                <w:color w:val="000000"/>
                <w:sz w:val="28"/>
                <w:szCs w:val="28"/>
                <w:lang w:eastAsia="ar-SA"/>
              </w:rPr>
            </w:pPr>
            <w:r w:rsidRPr="006A2CD8">
              <w:rPr>
                <w:rFonts w:asciiTheme="minorHAnsi" w:eastAsia="Tahoma" w:hAnsiTheme="minorHAnsi" w:cstheme="minorHAnsi"/>
                <w:color w:val="000000"/>
                <w:sz w:val="28"/>
                <w:szCs w:val="28"/>
                <w:lang w:eastAsia="ar-SA"/>
              </w:rPr>
              <w:t>Module No:</w:t>
            </w:r>
          </w:p>
        </w:tc>
        <w:tc>
          <w:tcPr>
            <w:tcW w:w="59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33EAAB" w14:textId="77777777" w:rsidR="0077735F" w:rsidRPr="006A2CD8" w:rsidRDefault="0077735F" w:rsidP="0077735F">
            <w:pPr>
              <w:suppressAutoHyphens/>
              <w:spacing w:before="120" w:after="120" w:line="360" w:lineRule="auto"/>
              <w:rPr>
                <w:rFonts w:asciiTheme="minorHAnsi" w:eastAsia="Tahoma" w:hAnsiTheme="minorHAnsi" w:cstheme="minorHAnsi"/>
                <w:b/>
                <w:bCs/>
                <w:color w:val="000000" w:themeColor="text1"/>
                <w:sz w:val="28"/>
                <w:szCs w:val="28"/>
                <w:lang w:eastAsia="ar-SA"/>
              </w:rPr>
            </w:pPr>
            <w:proofErr w:type="spellStart"/>
            <w:r w:rsidRPr="006A2CD8">
              <w:rPr>
                <w:rFonts w:asciiTheme="minorHAnsi" w:eastAsia="Tahoma" w:hAnsiTheme="minorHAnsi" w:cstheme="minorHAnsi"/>
                <w:b/>
                <w:bCs/>
                <w:color w:val="000000" w:themeColor="text1"/>
                <w:sz w:val="28"/>
                <w:szCs w:val="28"/>
                <w:lang w:eastAsia="ar-SA"/>
              </w:rPr>
              <w:t>BMDP</w:t>
            </w:r>
            <w:proofErr w:type="spellEnd"/>
            <w:r w:rsidRPr="006A2CD8">
              <w:rPr>
                <w:rFonts w:asciiTheme="minorHAnsi" w:eastAsia="Tahoma" w:hAnsiTheme="minorHAnsi" w:cstheme="minorHAnsi"/>
                <w:b/>
                <w:bCs/>
                <w:color w:val="000000" w:themeColor="text1"/>
                <w:sz w:val="28"/>
                <w:szCs w:val="28"/>
                <w:lang w:eastAsia="ar-SA"/>
              </w:rPr>
              <w:t xml:space="preserve"> 7000</w:t>
            </w:r>
          </w:p>
        </w:tc>
      </w:tr>
      <w:tr w:rsidR="0077735F" w:rsidRPr="006A2CD8" w14:paraId="6D243FB2" w14:textId="77777777" w:rsidTr="0077735F">
        <w:trPr>
          <w:trHeight w:val="300"/>
        </w:trPr>
        <w:tc>
          <w:tcPr>
            <w:tcW w:w="33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4BE5442C" w14:textId="77777777" w:rsidR="0077735F" w:rsidRPr="006A2CD8" w:rsidRDefault="0077735F" w:rsidP="0077735F">
            <w:pPr>
              <w:suppressAutoHyphens/>
              <w:spacing w:before="120" w:after="120" w:line="360" w:lineRule="auto"/>
              <w:rPr>
                <w:rFonts w:asciiTheme="minorHAnsi" w:eastAsia="Tahoma" w:hAnsiTheme="minorHAnsi" w:cstheme="minorHAnsi"/>
                <w:color w:val="000000"/>
                <w:sz w:val="28"/>
                <w:szCs w:val="28"/>
                <w:lang w:eastAsia="ar-SA"/>
              </w:rPr>
            </w:pPr>
            <w:r w:rsidRPr="006A2CD8">
              <w:rPr>
                <w:rFonts w:asciiTheme="minorHAnsi" w:eastAsia="Tahoma" w:hAnsiTheme="minorHAnsi" w:cstheme="minorHAnsi"/>
                <w:color w:val="000000"/>
                <w:sz w:val="28"/>
                <w:szCs w:val="28"/>
                <w:lang w:eastAsia="ar-SA"/>
              </w:rPr>
              <w:t>Module Title:</w:t>
            </w:r>
          </w:p>
        </w:tc>
        <w:tc>
          <w:tcPr>
            <w:tcW w:w="59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75394E" w14:textId="77777777" w:rsidR="0077735F" w:rsidRPr="006A2CD8" w:rsidRDefault="0077735F" w:rsidP="0077735F">
            <w:pPr>
              <w:suppressAutoHyphens/>
              <w:spacing w:before="120" w:after="120" w:line="360" w:lineRule="auto"/>
              <w:rPr>
                <w:rFonts w:asciiTheme="minorHAnsi" w:eastAsia="Tahoma" w:hAnsiTheme="minorHAnsi" w:cstheme="minorHAnsi"/>
                <w:b/>
                <w:bCs/>
                <w:color w:val="000000" w:themeColor="text1"/>
                <w:sz w:val="28"/>
                <w:szCs w:val="28"/>
                <w:lang w:eastAsia="ar-SA"/>
              </w:rPr>
            </w:pPr>
            <w:r w:rsidRPr="006A2CD8">
              <w:rPr>
                <w:rFonts w:asciiTheme="minorHAnsi" w:eastAsia="Tahoma" w:hAnsiTheme="minorHAnsi" w:cstheme="minorHAnsi"/>
                <w:b/>
                <w:bCs/>
                <w:color w:val="000000" w:themeColor="text1"/>
                <w:sz w:val="28"/>
                <w:szCs w:val="28"/>
                <w:lang w:eastAsia="ar-SA"/>
              </w:rPr>
              <w:t>Approaches to Research and Academic Communication</w:t>
            </w:r>
          </w:p>
        </w:tc>
      </w:tr>
    </w:tbl>
    <w:p w14:paraId="22AC921E" w14:textId="77777777" w:rsidR="0077735F" w:rsidRDefault="0077735F" w:rsidP="0077735F">
      <w:pPr>
        <w:suppressAutoHyphens/>
        <w:spacing w:before="120" w:after="120" w:line="360" w:lineRule="auto"/>
        <w:jc w:val="both"/>
        <w:rPr>
          <w:rFonts w:ascii="Calibri" w:eastAsia="Calibri" w:hAnsi="Calibri" w:cs="Calibri"/>
          <w:b/>
          <w:bCs/>
          <w:color w:val="FF0000"/>
          <w:kern w:val="0"/>
          <w:sz w:val="36"/>
          <w:szCs w:val="36"/>
          <w:lang w:eastAsia="ar-SA"/>
          <w14:ligatures w14:val="none"/>
        </w:rPr>
      </w:pPr>
    </w:p>
    <w:p w14:paraId="516E4584" w14:textId="77777777" w:rsidR="0077735F" w:rsidRPr="00521393" w:rsidRDefault="0077735F" w:rsidP="0077735F">
      <w:pPr>
        <w:suppressAutoHyphens/>
        <w:spacing w:before="120" w:after="120" w:line="360" w:lineRule="auto"/>
        <w:jc w:val="both"/>
        <w:rPr>
          <w:rFonts w:eastAsia="Tahoma" w:cstheme="minorHAnsi"/>
          <w:color w:val="000000" w:themeColor="text1"/>
          <w:kern w:val="0"/>
          <w:lang w:eastAsia="ar-SA"/>
          <w14:ligatures w14:val="none"/>
        </w:rPr>
      </w:pPr>
      <w:r w:rsidRPr="00521393">
        <w:rPr>
          <w:rFonts w:eastAsia="Tahoma" w:cstheme="minorHAnsi"/>
          <w:b/>
          <w:bCs/>
          <w:color w:val="000000" w:themeColor="text1"/>
          <w:kern w:val="0"/>
          <w:lang w:eastAsia="ar-SA"/>
          <w14:ligatures w14:val="none"/>
        </w:rPr>
        <w:t>Statement of Confirmation of Authenticity</w:t>
      </w:r>
    </w:p>
    <w:p w14:paraId="0E6DB0C6" w14:textId="77777777" w:rsidR="0077735F" w:rsidRPr="00521393" w:rsidRDefault="0077735F" w:rsidP="0077735F">
      <w:pPr>
        <w:suppressAutoHyphens/>
        <w:spacing w:before="120" w:after="120" w:line="240" w:lineRule="auto"/>
        <w:jc w:val="both"/>
        <w:rPr>
          <w:rFonts w:eastAsia="Tahoma" w:cstheme="minorHAnsi"/>
          <w:color w:val="000000" w:themeColor="text1"/>
          <w:kern w:val="0"/>
          <w:sz w:val="22"/>
          <w:szCs w:val="22"/>
          <w:lang w:eastAsia="ar-SA"/>
          <w14:ligatures w14:val="none"/>
        </w:rPr>
      </w:pPr>
      <w:r w:rsidRPr="00521393">
        <w:rPr>
          <w:rFonts w:eastAsia="Tahoma" w:cstheme="minorHAnsi"/>
          <w:color w:val="000000" w:themeColor="text1"/>
          <w:kern w:val="0"/>
          <w:sz w:val="22"/>
          <w:szCs w:val="22"/>
          <w:lang w:eastAsia="ar-SA"/>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1234AE9" w14:textId="77777777" w:rsidR="0077735F" w:rsidRDefault="0077735F" w:rsidP="0077735F">
      <w:pPr>
        <w:spacing w:line="240" w:lineRule="auto"/>
        <w:rPr>
          <w:rFonts w:eastAsia="Calibri" w:cstheme="minorHAnsi"/>
          <w:color w:val="000000"/>
          <w:kern w:val="0"/>
          <w:szCs w:val="22"/>
          <w:lang w:eastAsia="ar-SA"/>
          <w14:ligatures w14:val="none"/>
        </w:rPr>
      </w:pPr>
      <w:r w:rsidRPr="00521393">
        <w:rPr>
          <w:rFonts w:eastAsia="Tahoma" w:cstheme="minorHAnsi"/>
          <w:color w:val="000000" w:themeColor="text1"/>
          <w:kern w:val="0"/>
          <w:sz w:val="22"/>
          <w:szCs w:val="22"/>
          <w:lang w:eastAsia="ar-SA"/>
          <w14:ligatures w14:val="none"/>
        </w:rPr>
        <w:t>Attention is drawn to the plagiarism and unfair practice policies of both the University and of ILM.</w:t>
      </w:r>
    </w:p>
    <w:p w14:paraId="61FDA236" w14:textId="77777777" w:rsidR="0077735F" w:rsidRPr="00521393" w:rsidRDefault="0077735F" w:rsidP="0077735F">
      <w:pPr>
        <w:rPr>
          <w:rFonts w:eastAsia="Calibri" w:cstheme="minorHAnsi"/>
          <w:color w:val="000000"/>
          <w:kern w:val="0"/>
          <w:szCs w:val="22"/>
          <w:lang w:eastAsia="ar-SA"/>
          <w14:ligatures w14:val="none"/>
        </w:rPr>
      </w:pPr>
      <w:r w:rsidRPr="00521393">
        <w:rPr>
          <w:rFonts w:eastAsia="Calibri" w:cstheme="minorHAnsi"/>
          <w:color w:val="000000"/>
          <w:kern w:val="0"/>
          <w:sz w:val="22"/>
          <w:szCs w:val="22"/>
          <w:lang w:eastAsia="ar-SA"/>
          <w14:ligatures w14:val="none"/>
        </w:rPr>
        <w:t>I acknowledge the use of Grammarly (https://www.grammarly.com/) on 1</w:t>
      </w:r>
      <w:r>
        <w:rPr>
          <w:rFonts w:eastAsia="Calibri" w:cstheme="minorHAnsi"/>
          <w:color w:val="000000"/>
          <w:kern w:val="0"/>
          <w:sz w:val="22"/>
          <w:szCs w:val="22"/>
          <w:lang w:eastAsia="ar-SA"/>
          <w14:ligatures w14:val="none"/>
        </w:rPr>
        <w:t>6</w:t>
      </w:r>
      <w:r w:rsidRPr="00521393">
        <w:rPr>
          <w:rFonts w:eastAsia="Calibri" w:cstheme="minorHAnsi"/>
          <w:color w:val="000000"/>
          <w:kern w:val="0"/>
          <w:sz w:val="22"/>
          <w:szCs w:val="22"/>
          <w:lang w:eastAsia="ar-SA"/>
          <w14:ligatures w14:val="none"/>
        </w:rPr>
        <w:t xml:space="preserve"> February 202</w:t>
      </w:r>
      <w:r>
        <w:rPr>
          <w:rFonts w:eastAsia="Calibri" w:cstheme="minorHAnsi"/>
          <w:color w:val="000000"/>
          <w:kern w:val="0"/>
          <w:sz w:val="22"/>
          <w:szCs w:val="22"/>
          <w:lang w:eastAsia="ar-SA"/>
          <w14:ligatures w14:val="none"/>
        </w:rPr>
        <w:t>5</w:t>
      </w:r>
      <w:r w:rsidRPr="00521393">
        <w:rPr>
          <w:rFonts w:eastAsia="Calibri" w:cstheme="minorHAnsi"/>
          <w:color w:val="000000"/>
          <w:kern w:val="0"/>
          <w:sz w:val="22"/>
          <w:szCs w:val="22"/>
          <w:lang w:eastAsia="ar-SA"/>
          <w14:ligatures w14:val="none"/>
        </w:rPr>
        <w:t xml:space="preserve"> to check my work using the prompt(s): 1. 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5A44DC17" w14:textId="3C47F2B6" w:rsidR="0077735F" w:rsidRDefault="0077735F" w:rsidP="0077735F">
      <w:pPr>
        <w:rPr>
          <w:rFonts w:eastAsia="Calibri" w:cstheme="minorHAnsi"/>
          <w:color w:val="000000"/>
          <w:kern w:val="0"/>
          <w:sz w:val="22"/>
          <w:szCs w:val="22"/>
          <w:lang w:eastAsia="ar-SA"/>
          <w14:ligatures w14:val="none"/>
        </w:rPr>
      </w:pPr>
      <w:r w:rsidRPr="00521393">
        <w:rPr>
          <w:rFonts w:eastAsia="Calibri" w:cstheme="minorHAnsi"/>
          <w:color w:val="000000"/>
          <w:kern w:val="0"/>
          <w:sz w:val="22"/>
          <w:szCs w:val="22"/>
          <w:lang w:eastAsia="ar-SA"/>
          <w14:ligatures w14:val="none"/>
        </w:rPr>
        <w:t xml:space="preserve">I acknowledge the use of ChatGPT (https://chatgpt.com/) </w:t>
      </w:r>
      <w:r>
        <w:rPr>
          <w:rFonts w:eastAsia="Calibri" w:cstheme="minorHAnsi"/>
          <w:color w:val="000000"/>
          <w:kern w:val="0"/>
          <w:sz w:val="22"/>
          <w:szCs w:val="22"/>
          <w:lang w:eastAsia="ar-SA"/>
          <w14:ligatures w14:val="none"/>
        </w:rPr>
        <w:t>between 6</w:t>
      </w:r>
      <w:r w:rsidRPr="00521393">
        <w:rPr>
          <w:rFonts w:eastAsia="Calibri" w:cstheme="minorHAnsi"/>
          <w:color w:val="000000"/>
          <w:kern w:val="0"/>
          <w:sz w:val="22"/>
          <w:szCs w:val="22"/>
          <w:vertAlign w:val="superscript"/>
          <w:lang w:eastAsia="ar-SA"/>
          <w14:ligatures w14:val="none"/>
        </w:rPr>
        <w:t>th</w:t>
      </w:r>
      <w:r>
        <w:rPr>
          <w:rFonts w:eastAsia="Calibri" w:cstheme="minorHAnsi"/>
          <w:color w:val="000000"/>
          <w:kern w:val="0"/>
          <w:sz w:val="22"/>
          <w:szCs w:val="22"/>
          <w:lang w:eastAsia="ar-SA"/>
          <w14:ligatures w14:val="none"/>
        </w:rPr>
        <w:t xml:space="preserve"> December 2025 – 10</w:t>
      </w:r>
      <w:r w:rsidRPr="00521393">
        <w:rPr>
          <w:rFonts w:eastAsia="Calibri" w:cstheme="minorHAnsi"/>
          <w:color w:val="000000"/>
          <w:kern w:val="0"/>
          <w:sz w:val="22"/>
          <w:szCs w:val="22"/>
          <w:vertAlign w:val="superscript"/>
          <w:lang w:eastAsia="ar-SA"/>
          <w14:ligatures w14:val="none"/>
        </w:rPr>
        <w:t>th</w:t>
      </w:r>
      <w:r>
        <w:rPr>
          <w:rFonts w:eastAsia="Calibri" w:cstheme="minorHAnsi"/>
          <w:color w:val="000000"/>
          <w:kern w:val="0"/>
          <w:sz w:val="22"/>
          <w:szCs w:val="22"/>
          <w:lang w:eastAsia="ar-SA"/>
          <w14:ligatures w14:val="none"/>
        </w:rPr>
        <w:t xml:space="preserve"> February</w:t>
      </w:r>
      <w:r w:rsidRPr="00521393">
        <w:rPr>
          <w:rFonts w:eastAsia="Calibri" w:cstheme="minorHAnsi"/>
          <w:color w:val="000000"/>
          <w:kern w:val="0"/>
          <w:sz w:val="22"/>
          <w:szCs w:val="22"/>
          <w:lang w:eastAsia="ar-SA"/>
          <w14:ligatures w14:val="none"/>
        </w:rPr>
        <w:t xml:space="preserve"> 202</w:t>
      </w:r>
      <w:r>
        <w:rPr>
          <w:rFonts w:eastAsia="Calibri" w:cstheme="minorHAnsi"/>
          <w:color w:val="000000"/>
          <w:kern w:val="0"/>
          <w:sz w:val="22"/>
          <w:szCs w:val="22"/>
          <w:lang w:eastAsia="ar-SA"/>
          <w14:ligatures w14:val="none"/>
        </w:rPr>
        <w:t>5</w:t>
      </w:r>
      <w:r w:rsidRPr="00521393">
        <w:rPr>
          <w:rFonts w:eastAsia="Calibri" w:cstheme="minorHAnsi"/>
          <w:color w:val="000000"/>
          <w:kern w:val="0"/>
          <w:sz w:val="22"/>
          <w:szCs w:val="22"/>
          <w:lang w:eastAsia="ar-SA"/>
          <w14:ligatures w14:val="none"/>
        </w:rPr>
        <w:t xml:space="preserve"> to</w:t>
      </w:r>
      <w:r>
        <w:rPr>
          <w:rFonts w:eastAsia="Calibri" w:cstheme="minorHAnsi"/>
          <w:color w:val="000000"/>
          <w:kern w:val="0"/>
          <w:sz w:val="22"/>
          <w:szCs w:val="22"/>
          <w:lang w:eastAsia="ar-SA"/>
          <w14:ligatures w14:val="none"/>
        </w:rPr>
        <w:t xml:space="preserve"> search for seminal work on the </w:t>
      </w:r>
      <w:r w:rsidRPr="00521393">
        <w:rPr>
          <w:rFonts w:eastAsia="Calibri" w:cstheme="minorHAnsi"/>
          <w:b/>
          <w:bCs/>
          <w:color w:val="000000"/>
          <w:kern w:val="0"/>
          <w:sz w:val="22"/>
          <w:szCs w:val="22"/>
          <w:lang w:eastAsia="ar-SA"/>
          <w14:ligatures w14:val="none"/>
        </w:rPr>
        <w:t>socioeconomic relevance of access to, and successful outcomes in respect of UK HE institutions.</w:t>
      </w:r>
      <w:r>
        <w:rPr>
          <w:rFonts w:eastAsia="Calibri" w:cstheme="minorHAnsi"/>
          <w:color w:val="000000"/>
          <w:kern w:val="0"/>
          <w:sz w:val="22"/>
          <w:szCs w:val="22"/>
          <w:lang w:eastAsia="ar-SA"/>
          <w14:ligatures w14:val="none"/>
        </w:rPr>
        <w:t xml:space="preserve"> A range of time scales (</w:t>
      </w:r>
      <w:r w:rsidR="00C67E35">
        <w:rPr>
          <w:rFonts w:eastAsia="Calibri" w:cstheme="minorHAnsi"/>
          <w:color w:val="000000"/>
          <w:kern w:val="0"/>
          <w:sz w:val="22"/>
          <w:szCs w:val="22"/>
          <w:lang w:eastAsia="ar-SA"/>
          <w14:ligatures w14:val="none"/>
        </w:rPr>
        <w:t>e.g.</w:t>
      </w:r>
      <w:r>
        <w:rPr>
          <w:rFonts w:eastAsia="Calibri" w:cstheme="minorHAnsi"/>
          <w:color w:val="000000"/>
          <w:kern w:val="0"/>
          <w:sz w:val="22"/>
          <w:szCs w:val="22"/>
          <w:lang w:eastAsia="ar-SA"/>
          <w14:ligatures w14:val="none"/>
        </w:rPr>
        <w:t xml:space="preserve"> ‘from the last 5 years’) were used to obtain contemporary research literature. A range of prompts were used to summarise the relevant papers on which to deduce appropriate themes on which the author could make subsequent comparisons of literature.</w:t>
      </w:r>
    </w:p>
    <w:p w14:paraId="1EBC3C78" w14:textId="0E0A4E09" w:rsidR="0077735F" w:rsidRPr="00521393" w:rsidRDefault="0077735F" w:rsidP="0077735F">
      <w:pPr>
        <w:rPr>
          <w:rFonts w:eastAsia="Calibri" w:cstheme="minorHAnsi"/>
          <w:color w:val="000000"/>
          <w:kern w:val="0"/>
          <w:sz w:val="22"/>
          <w:szCs w:val="22"/>
          <w:lang w:eastAsia="ar-SA"/>
          <w14:ligatures w14:val="none"/>
        </w:rPr>
      </w:pPr>
      <w:r w:rsidRPr="00521393">
        <w:rPr>
          <w:rFonts w:eastAsia="Calibri" w:cstheme="minorHAnsi"/>
          <w:color w:val="000000"/>
          <w:kern w:val="0"/>
          <w:sz w:val="22"/>
          <w:szCs w:val="22"/>
          <w:lang w:eastAsia="ar-SA"/>
          <w14:ligatures w14:val="none"/>
        </w:rPr>
        <w:t xml:space="preserve">I confirm that I have not presented any </w:t>
      </w:r>
      <w:r w:rsidR="00C67E35">
        <w:rPr>
          <w:rFonts w:eastAsia="Calibri" w:cstheme="minorHAnsi"/>
          <w:color w:val="000000"/>
          <w:kern w:val="0"/>
          <w:sz w:val="22"/>
          <w:szCs w:val="22"/>
          <w:lang w:eastAsia="ar-SA"/>
          <w14:ligatures w14:val="none"/>
        </w:rPr>
        <w:t>AI-generated</w:t>
      </w:r>
      <w:r w:rsidRPr="00521393">
        <w:rPr>
          <w:rFonts w:eastAsia="Calibri" w:cstheme="minorHAnsi"/>
          <w:color w:val="000000"/>
          <w:kern w:val="0"/>
          <w:sz w:val="22"/>
          <w:szCs w:val="22"/>
          <w:lang w:eastAsia="ar-SA"/>
          <w14:ligatures w14:val="none"/>
        </w:rPr>
        <w:t xml:space="preserve"> text as my own work. I confirm I have copies of my drafts, notes, and other resources I used before and after the use of AI tools which I may be asked to provide in evidence</w:t>
      </w:r>
      <w:r w:rsidR="006B1C79">
        <w:rPr>
          <w:rFonts w:eastAsia="Calibri" w:cstheme="minorHAnsi"/>
          <w:color w:val="000000"/>
          <w:kern w:val="0"/>
          <w:sz w:val="22"/>
          <w:szCs w:val="22"/>
          <w:lang w:eastAsia="ar-SA"/>
          <w14:ligatures w14:val="none"/>
        </w:rPr>
        <w:t>.</w:t>
      </w:r>
    </w:p>
    <w:p w14:paraId="36688077" w14:textId="77777777" w:rsidR="0077735F" w:rsidRDefault="0077735F" w:rsidP="0077735F">
      <w:pPr>
        <w:rPr>
          <w:rFonts w:ascii="Times New Roman" w:eastAsia="Calibri" w:hAnsi="Times New Roman" w:cs="Times New Roman"/>
          <w:color w:val="000000"/>
          <w:kern w:val="0"/>
          <w:szCs w:val="22"/>
          <w:lang w:eastAsia="ar-SA"/>
          <w14:ligatures w14:val="none"/>
        </w:rPr>
      </w:pPr>
    </w:p>
    <w:p w14:paraId="621529E6" w14:textId="77777777" w:rsidR="0077735F" w:rsidRDefault="0077735F" w:rsidP="0077735F">
      <w:pPr>
        <w:rPr>
          <w:rFonts w:ascii="Times New Roman" w:eastAsia="Calibri" w:hAnsi="Times New Roman" w:cs="Times New Roman"/>
          <w:color w:val="000000"/>
          <w:kern w:val="0"/>
          <w:szCs w:val="22"/>
          <w:lang w:eastAsia="ar-SA"/>
          <w14:ligatures w14:val="none"/>
        </w:rPr>
      </w:pPr>
    </w:p>
    <w:p w14:paraId="60F54022" w14:textId="77777777" w:rsidR="0077735F" w:rsidRDefault="0077735F" w:rsidP="0077735F">
      <w:pPr>
        <w:rPr>
          <w:rFonts w:ascii="Times New Roman" w:eastAsia="Calibri" w:hAnsi="Times New Roman" w:cs="Times New Roman"/>
          <w:color w:val="000000"/>
          <w:kern w:val="0"/>
          <w:szCs w:val="22"/>
          <w:lang w:eastAsia="ar-SA"/>
          <w14:ligatures w14:val="none"/>
        </w:rPr>
      </w:pPr>
    </w:p>
    <w:p w14:paraId="0F143331" w14:textId="47107746" w:rsidR="00910A0E" w:rsidRDefault="00910A0E" w:rsidP="00AE3BFD">
      <w:pPr>
        <w:rPr>
          <w:b/>
          <w:bCs/>
          <w:sz w:val="28"/>
          <w:szCs w:val="28"/>
        </w:rPr>
      </w:pPr>
      <w:r w:rsidRPr="00446EAD">
        <w:rPr>
          <w:b/>
          <w:bCs/>
          <w:sz w:val="28"/>
          <w:szCs w:val="28"/>
        </w:rPr>
        <w:t>Inequality in Education:</w:t>
      </w:r>
      <w:r w:rsidR="00133C0F">
        <w:rPr>
          <w:b/>
          <w:bCs/>
          <w:sz w:val="28"/>
          <w:szCs w:val="28"/>
        </w:rPr>
        <w:br/>
      </w:r>
      <w:r w:rsidR="00133C0F" w:rsidRPr="00446EAD">
        <w:rPr>
          <w:b/>
          <w:bCs/>
          <w:sz w:val="28"/>
          <w:szCs w:val="28"/>
        </w:rPr>
        <w:t>Access and Success</w:t>
      </w:r>
      <w:r w:rsidR="00133C0F">
        <w:rPr>
          <w:b/>
          <w:bCs/>
          <w:sz w:val="28"/>
          <w:szCs w:val="28"/>
        </w:rPr>
        <w:t xml:space="preserve"> of Low</w:t>
      </w:r>
      <w:r w:rsidRPr="00446EAD">
        <w:rPr>
          <w:b/>
          <w:bCs/>
          <w:sz w:val="28"/>
          <w:szCs w:val="28"/>
        </w:rPr>
        <w:t xml:space="preserve"> Socioeconomic</w:t>
      </w:r>
      <w:r w:rsidR="00133C0F">
        <w:rPr>
          <w:b/>
          <w:bCs/>
          <w:sz w:val="28"/>
          <w:szCs w:val="28"/>
        </w:rPr>
        <w:t xml:space="preserve"> Status (SES) students</w:t>
      </w:r>
      <w:r w:rsidRPr="00446EAD">
        <w:rPr>
          <w:b/>
          <w:bCs/>
          <w:sz w:val="28"/>
          <w:szCs w:val="28"/>
        </w:rPr>
        <w:t xml:space="preserve"> </w:t>
      </w:r>
      <w:r w:rsidR="00133C0F">
        <w:rPr>
          <w:b/>
          <w:bCs/>
          <w:sz w:val="28"/>
          <w:szCs w:val="28"/>
        </w:rPr>
        <w:t xml:space="preserve">within </w:t>
      </w:r>
      <w:r w:rsidRPr="00446EAD">
        <w:rPr>
          <w:b/>
          <w:bCs/>
          <w:sz w:val="28"/>
          <w:szCs w:val="28"/>
        </w:rPr>
        <w:t xml:space="preserve">UK Higher Education </w:t>
      </w:r>
      <w:r w:rsidR="008958DE">
        <w:rPr>
          <w:b/>
          <w:bCs/>
          <w:sz w:val="28"/>
          <w:szCs w:val="28"/>
        </w:rPr>
        <w:t>(HE)</w:t>
      </w:r>
      <w:r w:rsidRPr="00446EAD">
        <w:rPr>
          <w:b/>
          <w:bCs/>
          <w:sz w:val="28"/>
          <w:szCs w:val="28"/>
        </w:rPr>
        <w:t>.</w:t>
      </w:r>
    </w:p>
    <w:p w14:paraId="53CBE226" w14:textId="70315445" w:rsidR="00133C0F" w:rsidRDefault="00133C0F" w:rsidP="00AE3BFD">
      <w:pPr>
        <w:rPr>
          <w:b/>
          <w:bCs/>
          <w:sz w:val="28"/>
          <w:szCs w:val="28"/>
        </w:rPr>
      </w:pPr>
      <w:r>
        <w:rPr>
          <w:b/>
          <w:bCs/>
          <w:sz w:val="28"/>
          <w:szCs w:val="28"/>
        </w:rPr>
        <w:t>A critical review of Ten Studies</w:t>
      </w:r>
    </w:p>
    <w:p w14:paraId="278EC3DE" w14:textId="77777777" w:rsidR="00133C0F" w:rsidRPr="00446EAD" w:rsidRDefault="00133C0F" w:rsidP="00AE3BFD">
      <w:pPr>
        <w:rPr>
          <w:b/>
          <w:bCs/>
          <w:sz w:val="28"/>
          <w:szCs w:val="28"/>
        </w:rPr>
      </w:pPr>
    </w:p>
    <w:p w14:paraId="5169C8E1" w14:textId="713967C1" w:rsidR="00452963" w:rsidRDefault="00452963" w:rsidP="00452963">
      <w:pPr>
        <w:rPr>
          <w:b/>
          <w:bCs/>
        </w:rPr>
      </w:pPr>
      <w:r w:rsidRPr="00452963">
        <w:rPr>
          <w:b/>
          <w:bCs/>
          <w:i/>
          <w:iCs/>
        </w:rPr>
        <w:t>Keywords</w:t>
      </w:r>
      <w:r w:rsidRPr="00452963">
        <w:rPr>
          <w:b/>
          <w:bCs/>
        </w:rPr>
        <w:t xml:space="preserve">: </w:t>
      </w:r>
      <w:r>
        <w:t>S</w:t>
      </w:r>
      <w:r w:rsidRPr="00452963">
        <w:t xml:space="preserve">ocioeconomic status, </w:t>
      </w:r>
      <w:r>
        <w:t xml:space="preserve">SES, </w:t>
      </w:r>
      <w:r w:rsidRPr="00452963">
        <w:t>higher education</w:t>
      </w:r>
      <w:r w:rsidR="00FC3DA2">
        <w:t xml:space="preserve"> (HE)</w:t>
      </w:r>
      <w:r w:rsidRPr="00452963">
        <w:t>, educational inequality, cultural capital, widening participation, social mobility, financial barriers, equity in education, institutional bias, policy interventions</w:t>
      </w:r>
      <w:r>
        <w:t xml:space="preserve">, </w:t>
      </w:r>
      <w:r w:rsidR="00FC3DA2">
        <w:t xml:space="preserve">intersectionality, </w:t>
      </w:r>
      <w:r>
        <w:t>w</w:t>
      </w:r>
      <w:r w:rsidRPr="00452963">
        <w:t xml:space="preserve">idening </w:t>
      </w:r>
      <w:r w:rsidR="00FC3DA2">
        <w:t>HE p</w:t>
      </w:r>
      <w:r w:rsidRPr="00452963">
        <w:t>articipation</w:t>
      </w:r>
      <w:r w:rsidR="00FC3DA2">
        <w:t>, low-SES.</w:t>
      </w:r>
      <w:r w:rsidRPr="00452963">
        <w:rPr>
          <w:b/>
          <w:bCs/>
          <w:vanish/>
        </w:rPr>
        <w:t>Top of Form</w:t>
      </w:r>
    </w:p>
    <w:p w14:paraId="3F9359E1" w14:textId="77777777" w:rsidR="00452963" w:rsidRDefault="00452963" w:rsidP="00452963">
      <w:pPr>
        <w:rPr>
          <w:b/>
          <w:bCs/>
        </w:rPr>
      </w:pPr>
    </w:p>
    <w:p w14:paraId="7E9D9193" w14:textId="77777777" w:rsidR="00452963" w:rsidRDefault="00452963" w:rsidP="00452963">
      <w:pPr>
        <w:rPr>
          <w:b/>
          <w:bCs/>
        </w:rPr>
      </w:pPr>
    </w:p>
    <w:p w14:paraId="25F0E39C" w14:textId="77777777" w:rsidR="002B7689" w:rsidRDefault="002B7689" w:rsidP="00452963">
      <w:pPr>
        <w:rPr>
          <w:b/>
          <w:bCs/>
        </w:rPr>
      </w:pPr>
    </w:p>
    <w:p w14:paraId="5656E37E" w14:textId="77777777" w:rsidR="002B7689" w:rsidRDefault="002B7689" w:rsidP="00452963">
      <w:pPr>
        <w:rPr>
          <w:b/>
          <w:bCs/>
        </w:rPr>
      </w:pPr>
    </w:p>
    <w:p w14:paraId="7C1C3616" w14:textId="77777777" w:rsidR="002B7689" w:rsidRDefault="002B7689" w:rsidP="00452963">
      <w:pPr>
        <w:rPr>
          <w:b/>
          <w:bCs/>
        </w:rPr>
      </w:pPr>
    </w:p>
    <w:p w14:paraId="6AE1F6C5" w14:textId="77777777" w:rsidR="002B7689" w:rsidRDefault="002B7689" w:rsidP="00452963">
      <w:pPr>
        <w:rPr>
          <w:b/>
          <w:bCs/>
        </w:rPr>
      </w:pPr>
    </w:p>
    <w:p w14:paraId="0D831B02" w14:textId="77777777" w:rsidR="002B7689" w:rsidRDefault="002B7689" w:rsidP="00452963">
      <w:pPr>
        <w:rPr>
          <w:b/>
          <w:bCs/>
        </w:rPr>
      </w:pPr>
    </w:p>
    <w:p w14:paraId="6B0E3425" w14:textId="77777777" w:rsidR="002B7689" w:rsidRDefault="002B7689" w:rsidP="00452963">
      <w:pPr>
        <w:rPr>
          <w:b/>
          <w:bCs/>
        </w:rPr>
      </w:pPr>
    </w:p>
    <w:p w14:paraId="0391126C" w14:textId="77777777" w:rsidR="002B7689" w:rsidRDefault="002B7689" w:rsidP="00452963">
      <w:pPr>
        <w:rPr>
          <w:b/>
          <w:bCs/>
        </w:rPr>
      </w:pPr>
    </w:p>
    <w:p w14:paraId="142F6A9C" w14:textId="77777777" w:rsidR="002B7689" w:rsidRDefault="002B7689" w:rsidP="00452963">
      <w:pPr>
        <w:rPr>
          <w:b/>
          <w:bCs/>
        </w:rPr>
      </w:pPr>
    </w:p>
    <w:p w14:paraId="44B8A96C" w14:textId="77777777" w:rsidR="002B7689" w:rsidRDefault="002B7689" w:rsidP="00452963">
      <w:pPr>
        <w:rPr>
          <w:b/>
          <w:bCs/>
        </w:rPr>
      </w:pPr>
    </w:p>
    <w:p w14:paraId="24BF200F" w14:textId="77777777" w:rsidR="002B7689" w:rsidRDefault="002B7689" w:rsidP="00452963">
      <w:pPr>
        <w:rPr>
          <w:b/>
          <w:bCs/>
        </w:rPr>
      </w:pPr>
    </w:p>
    <w:p w14:paraId="7F763A85" w14:textId="77777777" w:rsidR="002B7689" w:rsidRDefault="002B7689" w:rsidP="00452963">
      <w:pPr>
        <w:rPr>
          <w:b/>
          <w:bCs/>
        </w:rPr>
      </w:pPr>
    </w:p>
    <w:p w14:paraId="7C5B7CB3" w14:textId="77777777" w:rsidR="002B7689" w:rsidRDefault="002B7689" w:rsidP="00452963">
      <w:pPr>
        <w:rPr>
          <w:b/>
          <w:bCs/>
        </w:rPr>
      </w:pPr>
    </w:p>
    <w:p w14:paraId="10AD954F" w14:textId="77777777" w:rsidR="002B7689" w:rsidRDefault="002B7689" w:rsidP="00452963">
      <w:pPr>
        <w:rPr>
          <w:b/>
          <w:bCs/>
        </w:rPr>
      </w:pPr>
    </w:p>
    <w:p w14:paraId="03AA792B" w14:textId="77777777" w:rsidR="002B7689" w:rsidRDefault="002B7689" w:rsidP="00452963">
      <w:pPr>
        <w:rPr>
          <w:b/>
          <w:bCs/>
        </w:rPr>
      </w:pPr>
    </w:p>
    <w:p w14:paraId="4ABF8D9E" w14:textId="77777777" w:rsidR="002B7689" w:rsidRDefault="002B7689" w:rsidP="00452963">
      <w:pPr>
        <w:rPr>
          <w:b/>
          <w:bCs/>
        </w:rPr>
      </w:pPr>
    </w:p>
    <w:p w14:paraId="31F4F50F" w14:textId="77777777" w:rsidR="002B7689" w:rsidRDefault="002B7689" w:rsidP="00452963">
      <w:pPr>
        <w:rPr>
          <w:b/>
          <w:bCs/>
        </w:rPr>
      </w:pPr>
    </w:p>
    <w:p w14:paraId="6D1E1723" w14:textId="77777777" w:rsidR="002B7689" w:rsidRPr="00452963" w:rsidRDefault="002B7689" w:rsidP="00452963">
      <w:pPr>
        <w:rPr>
          <w:b/>
          <w:bCs/>
          <w:vanish/>
        </w:rPr>
      </w:pPr>
    </w:p>
    <w:p w14:paraId="530024E6" w14:textId="77777777" w:rsidR="002B7689" w:rsidRPr="001D7135" w:rsidRDefault="002B7689" w:rsidP="00AE3BFD">
      <w:pPr>
        <w:rPr>
          <w:b/>
          <w:bCs/>
        </w:rPr>
      </w:pPr>
    </w:p>
    <w:sdt>
      <w:sdtPr>
        <w:rPr>
          <w:rFonts w:asciiTheme="minorHAnsi" w:eastAsiaTheme="minorHAnsi" w:hAnsiTheme="minorHAnsi" w:cstheme="minorBidi"/>
          <w:color w:val="auto"/>
          <w:kern w:val="2"/>
          <w:sz w:val="24"/>
          <w:szCs w:val="24"/>
          <w:lang w:val="en-GB"/>
          <w14:ligatures w14:val="standardContextual"/>
        </w:rPr>
        <w:id w:val="289321737"/>
        <w:docPartObj>
          <w:docPartGallery w:val="Table of Contents"/>
          <w:docPartUnique/>
        </w:docPartObj>
      </w:sdtPr>
      <w:sdtEndPr>
        <w:rPr>
          <w:b/>
          <w:bCs/>
          <w:noProof/>
        </w:rPr>
      </w:sdtEndPr>
      <w:sdtContent>
        <w:p w14:paraId="102E89D1" w14:textId="2955A24F" w:rsidR="00AC3F11" w:rsidRPr="00FC31B5" w:rsidRDefault="00AC3F11" w:rsidP="00FC31B5">
          <w:pPr>
            <w:pStyle w:val="TOCHeading"/>
            <w:rPr>
              <w:rFonts w:asciiTheme="minorHAnsi" w:hAnsiTheme="minorHAnsi" w:cstheme="minorHAnsi"/>
              <w:b/>
              <w:bCs/>
              <w:color w:val="auto"/>
              <w:sz w:val="28"/>
              <w:szCs w:val="28"/>
            </w:rPr>
          </w:pPr>
          <w:r w:rsidRPr="00FC31B5">
            <w:rPr>
              <w:rFonts w:asciiTheme="minorHAnsi" w:hAnsiTheme="minorHAnsi" w:cstheme="minorHAnsi"/>
              <w:b/>
              <w:bCs/>
              <w:color w:val="auto"/>
              <w:sz w:val="28"/>
              <w:szCs w:val="28"/>
            </w:rPr>
            <w:t>Table of Contents</w:t>
          </w:r>
          <w:r w:rsidR="00FC31B5">
            <w:rPr>
              <w:rFonts w:asciiTheme="minorHAnsi" w:hAnsiTheme="minorHAnsi" w:cstheme="minorHAnsi"/>
              <w:b/>
              <w:bCs/>
              <w:color w:val="auto"/>
              <w:sz w:val="28"/>
              <w:szCs w:val="28"/>
            </w:rPr>
            <w:br/>
          </w:r>
        </w:p>
        <w:p w14:paraId="2E5278F2" w14:textId="0CD2231B" w:rsidR="00875A63" w:rsidRDefault="00AC3F11">
          <w:pPr>
            <w:pStyle w:val="TOC1"/>
            <w:rPr>
              <w:rFonts w:eastAsiaTheme="minorEastAsia"/>
              <w:b w:val="0"/>
              <w:bCs w:val="0"/>
              <w:lang w:eastAsia="en-GB"/>
            </w:rPr>
          </w:pPr>
          <w:r>
            <w:fldChar w:fldCharType="begin"/>
          </w:r>
          <w:r>
            <w:instrText xml:space="preserve"> TOC \o "1-3" \h \z \u </w:instrText>
          </w:r>
          <w:r>
            <w:fldChar w:fldCharType="separate"/>
          </w:r>
          <w:hyperlink w:anchor="_Toc188210481" w:history="1">
            <w:r w:rsidR="00875A63" w:rsidRPr="003D73B3">
              <w:rPr>
                <w:rStyle w:val="Hyperlink"/>
              </w:rPr>
              <w:t>Introduction</w:t>
            </w:r>
            <w:r w:rsidR="00875A63">
              <w:rPr>
                <w:webHidden/>
              </w:rPr>
              <w:tab/>
            </w:r>
            <w:r w:rsidR="00875A63">
              <w:rPr>
                <w:webHidden/>
              </w:rPr>
              <w:fldChar w:fldCharType="begin"/>
            </w:r>
            <w:r w:rsidR="00875A63">
              <w:rPr>
                <w:webHidden/>
              </w:rPr>
              <w:instrText xml:space="preserve"> PAGEREF _Toc188210481 \h </w:instrText>
            </w:r>
            <w:r w:rsidR="00875A63">
              <w:rPr>
                <w:webHidden/>
              </w:rPr>
            </w:r>
            <w:r w:rsidR="00875A63">
              <w:rPr>
                <w:webHidden/>
              </w:rPr>
              <w:fldChar w:fldCharType="separate"/>
            </w:r>
            <w:r w:rsidR="00875A63">
              <w:rPr>
                <w:webHidden/>
              </w:rPr>
              <w:t>4</w:t>
            </w:r>
            <w:r w:rsidR="00875A63">
              <w:rPr>
                <w:webHidden/>
              </w:rPr>
              <w:fldChar w:fldCharType="end"/>
            </w:r>
          </w:hyperlink>
        </w:p>
        <w:p w14:paraId="2CF6B767" w14:textId="7FEDD4CD" w:rsidR="00875A63" w:rsidRDefault="00875A63">
          <w:pPr>
            <w:pStyle w:val="TOC1"/>
            <w:rPr>
              <w:rFonts w:eastAsiaTheme="minorEastAsia"/>
              <w:b w:val="0"/>
              <w:bCs w:val="0"/>
              <w:lang w:eastAsia="en-GB"/>
            </w:rPr>
          </w:pPr>
          <w:hyperlink w:anchor="_Toc188210482" w:history="1">
            <w:r w:rsidRPr="003D73B3">
              <w:rPr>
                <w:rStyle w:val="Hyperlink"/>
              </w:rPr>
              <w:t>Search Methodology</w:t>
            </w:r>
            <w:r>
              <w:rPr>
                <w:webHidden/>
              </w:rPr>
              <w:tab/>
            </w:r>
            <w:r>
              <w:rPr>
                <w:webHidden/>
              </w:rPr>
              <w:fldChar w:fldCharType="begin"/>
            </w:r>
            <w:r>
              <w:rPr>
                <w:webHidden/>
              </w:rPr>
              <w:instrText xml:space="preserve"> PAGEREF _Toc188210482 \h </w:instrText>
            </w:r>
            <w:r>
              <w:rPr>
                <w:webHidden/>
              </w:rPr>
            </w:r>
            <w:r>
              <w:rPr>
                <w:webHidden/>
              </w:rPr>
              <w:fldChar w:fldCharType="separate"/>
            </w:r>
            <w:r>
              <w:rPr>
                <w:webHidden/>
              </w:rPr>
              <w:t>6</w:t>
            </w:r>
            <w:r>
              <w:rPr>
                <w:webHidden/>
              </w:rPr>
              <w:fldChar w:fldCharType="end"/>
            </w:r>
          </w:hyperlink>
        </w:p>
        <w:p w14:paraId="0FE6BBF1" w14:textId="3D84E639" w:rsidR="00875A63" w:rsidRDefault="00875A63">
          <w:pPr>
            <w:pStyle w:val="TOC1"/>
            <w:rPr>
              <w:rFonts w:eastAsiaTheme="minorEastAsia"/>
              <w:b w:val="0"/>
              <w:bCs w:val="0"/>
              <w:lang w:eastAsia="en-GB"/>
            </w:rPr>
          </w:pPr>
          <w:hyperlink w:anchor="_Toc188210483" w:history="1">
            <w:r w:rsidRPr="003D73B3">
              <w:rPr>
                <w:rStyle w:val="Hyperlink"/>
              </w:rPr>
              <w:t>Philosophical assumptions</w:t>
            </w:r>
            <w:r>
              <w:rPr>
                <w:webHidden/>
              </w:rPr>
              <w:tab/>
            </w:r>
            <w:r>
              <w:rPr>
                <w:webHidden/>
              </w:rPr>
              <w:fldChar w:fldCharType="begin"/>
            </w:r>
            <w:r>
              <w:rPr>
                <w:webHidden/>
              </w:rPr>
              <w:instrText xml:space="preserve"> PAGEREF _Toc188210483 \h </w:instrText>
            </w:r>
            <w:r>
              <w:rPr>
                <w:webHidden/>
              </w:rPr>
            </w:r>
            <w:r>
              <w:rPr>
                <w:webHidden/>
              </w:rPr>
              <w:fldChar w:fldCharType="separate"/>
            </w:r>
            <w:r>
              <w:rPr>
                <w:webHidden/>
              </w:rPr>
              <w:t>7</w:t>
            </w:r>
            <w:r>
              <w:rPr>
                <w:webHidden/>
              </w:rPr>
              <w:fldChar w:fldCharType="end"/>
            </w:r>
          </w:hyperlink>
        </w:p>
        <w:p w14:paraId="21C4D801" w14:textId="7054AA50" w:rsidR="00875A63" w:rsidRDefault="00875A63">
          <w:pPr>
            <w:pStyle w:val="TOC1"/>
            <w:rPr>
              <w:rFonts w:eastAsiaTheme="minorEastAsia"/>
              <w:b w:val="0"/>
              <w:bCs w:val="0"/>
              <w:lang w:eastAsia="en-GB"/>
            </w:rPr>
          </w:pPr>
          <w:hyperlink w:anchor="_Toc188210484" w:history="1">
            <w:r w:rsidRPr="003D73B3">
              <w:rPr>
                <w:rStyle w:val="Hyperlink"/>
              </w:rPr>
              <w:t>Summary Analysis of the 10 individual research papers</w:t>
            </w:r>
            <w:r>
              <w:rPr>
                <w:webHidden/>
              </w:rPr>
              <w:tab/>
            </w:r>
            <w:r>
              <w:rPr>
                <w:webHidden/>
              </w:rPr>
              <w:fldChar w:fldCharType="begin"/>
            </w:r>
            <w:r>
              <w:rPr>
                <w:webHidden/>
              </w:rPr>
              <w:instrText xml:space="preserve"> PAGEREF _Toc188210484 \h </w:instrText>
            </w:r>
            <w:r>
              <w:rPr>
                <w:webHidden/>
              </w:rPr>
            </w:r>
            <w:r>
              <w:rPr>
                <w:webHidden/>
              </w:rPr>
              <w:fldChar w:fldCharType="separate"/>
            </w:r>
            <w:r>
              <w:rPr>
                <w:webHidden/>
              </w:rPr>
              <w:t>8</w:t>
            </w:r>
            <w:r>
              <w:rPr>
                <w:webHidden/>
              </w:rPr>
              <w:fldChar w:fldCharType="end"/>
            </w:r>
          </w:hyperlink>
        </w:p>
        <w:p w14:paraId="179F74D5" w14:textId="282E7FB1" w:rsidR="00875A63" w:rsidRDefault="00875A63">
          <w:pPr>
            <w:pStyle w:val="TOC2"/>
            <w:rPr>
              <w:rFonts w:eastAsiaTheme="minorEastAsia"/>
              <w:b w:val="0"/>
              <w:bCs w:val="0"/>
              <w:sz w:val="24"/>
              <w:szCs w:val="24"/>
              <w:lang w:eastAsia="en-GB"/>
            </w:rPr>
          </w:pPr>
          <w:hyperlink w:anchor="_Toc188210485" w:history="1">
            <w:r w:rsidRPr="003D73B3">
              <w:rPr>
                <w:rStyle w:val="Hyperlink"/>
              </w:rPr>
              <w:t>Which University Degrees Are Best for Intergenerational Mobility? (Britton et al., 2021)</w:t>
            </w:r>
            <w:r>
              <w:rPr>
                <w:webHidden/>
              </w:rPr>
              <w:tab/>
            </w:r>
            <w:r>
              <w:rPr>
                <w:webHidden/>
              </w:rPr>
              <w:fldChar w:fldCharType="begin"/>
            </w:r>
            <w:r>
              <w:rPr>
                <w:webHidden/>
              </w:rPr>
              <w:instrText xml:space="preserve"> PAGEREF _Toc188210485 \h </w:instrText>
            </w:r>
            <w:r>
              <w:rPr>
                <w:webHidden/>
              </w:rPr>
            </w:r>
            <w:r>
              <w:rPr>
                <w:webHidden/>
              </w:rPr>
              <w:fldChar w:fldCharType="separate"/>
            </w:r>
            <w:r>
              <w:rPr>
                <w:webHidden/>
              </w:rPr>
              <w:t>8</w:t>
            </w:r>
            <w:r>
              <w:rPr>
                <w:webHidden/>
              </w:rPr>
              <w:fldChar w:fldCharType="end"/>
            </w:r>
          </w:hyperlink>
        </w:p>
        <w:p w14:paraId="5B51DA61" w14:textId="1F091000" w:rsidR="00875A63" w:rsidRDefault="00875A63">
          <w:pPr>
            <w:pStyle w:val="TOC2"/>
            <w:rPr>
              <w:rFonts w:eastAsiaTheme="minorEastAsia"/>
              <w:b w:val="0"/>
              <w:bCs w:val="0"/>
              <w:sz w:val="24"/>
              <w:szCs w:val="24"/>
              <w:lang w:eastAsia="en-GB"/>
            </w:rPr>
          </w:pPr>
          <w:hyperlink w:anchor="_Toc188210486" w:history="1">
            <w:r w:rsidRPr="003D73B3">
              <w:rPr>
                <w:rStyle w:val="Hyperlink"/>
              </w:rPr>
              <w:t>Determining Factors of Access and Equity in Higher Education: A Systematic Review (Wanti et al., 2022)</w:t>
            </w:r>
            <w:r>
              <w:rPr>
                <w:webHidden/>
              </w:rPr>
              <w:tab/>
            </w:r>
            <w:r>
              <w:rPr>
                <w:webHidden/>
              </w:rPr>
              <w:fldChar w:fldCharType="begin"/>
            </w:r>
            <w:r>
              <w:rPr>
                <w:webHidden/>
              </w:rPr>
              <w:instrText xml:space="preserve"> PAGEREF _Toc188210486 \h </w:instrText>
            </w:r>
            <w:r>
              <w:rPr>
                <w:webHidden/>
              </w:rPr>
            </w:r>
            <w:r>
              <w:rPr>
                <w:webHidden/>
              </w:rPr>
              <w:fldChar w:fldCharType="separate"/>
            </w:r>
            <w:r>
              <w:rPr>
                <w:webHidden/>
              </w:rPr>
              <w:t>9</w:t>
            </w:r>
            <w:r>
              <w:rPr>
                <w:webHidden/>
              </w:rPr>
              <w:fldChar w:fldCharType="end"/>
            </w:r>
          </w:hyperlink>
        </w:p>
        <w:p w14:paraId="6E33B49F" w14:textId="47D25BEC" w:rsidR="00875A63" w:rsidRDefault="00875A63">
          <w:pPr>
            <w:pStyle w:val="TOC2"/>
            <w:rPr>
              <w:rFonts w:eastAsiaTheme="minorEastAsia"/>
              <w:b w:val="0"/>
              <w:bCs w:val="0"/>
              <w:sz w:val="24"/>
              <w:szCs w:val="24"/>
              <w:lang w:eastAsia="en-GB"/>
            </w:rPr>
          </w:pPr>
          <w:hyperlink w:anchor="_Toc188210487" w:history="1">
            <w:r w:rsidRPr="003D73B3">
              <w:rPr>
                <w:rStyle w:val="Hyperlink"/>
              </w:rPr>
              <w:t>Neoliberal Meritocracy: How 'Widening Participation' to Universities in England Reinforces Class Divisions (Cunningham &amp; Samson, 2021)</w:t>
            </w:r>
            <w:r>
              <w:rPr>
                <w:webHidden/>
              </w:rPr>
              <w:tab/>
            </w:r>
            <w:r>
              <w:rPr>
                <w:webHidden/>
              </w:rPr>
              <w:fldChar w:fldCharType="begin"/>
            </w:r>
            <w:r>
              <w:rPr>
                <w:webHidden/>
              </w:rPr>
              <w:instrText xml:space="preserve"> PAGEREF _Toc188210487 \h </w:instrText>
            </w:r>
            <w:r>
              <w:rPr>
                <w:webHidden/>
              </w:rPr>
            </w:r>
            <w:r>
              <w:rPr>
                <w:webHidden/>
              </w:rPr>
              <w:fldChar w:fldCharType="separate"/>
            </w:r>
            <w:r>
              <w:rPr>
                <w:webHidden/>
              </w:rPr>
              <w:t>10</w:t>
            </w:r>
            <w:r>
              <w:rPr>
                <w:webHidden/>
              </w:rPr>
              <w:fldChar w:fldCharType="end"/>
            </w:r>
          </w:hyperlink>
        </w:p>
        <w:p w14:paraId="50A51B7E" w14:textId="54615B93" w:rsidR="00875A63" w:rsidRDefault="00875A63">
          <w:pPr>
            <w:pStyle w:val="TOC2"/>
            <w:rPr>
              <w:rFonts w:eastAsiaTheme="minorEastAsia"/>
              <w:b w:val="0"/>
              <w:bCs w:val="0"/>
              <w:sz w:val="24"/>
              <w:szCs w:val="24"/>
              <w:lang w:eastAsia="en-GB"/>
            </w:rPr>
          </w:pPr>
          <w:hyperlink w:anchor="_Toc188210488" w:history="1">
            <w:r w:rsidRPr="003D73B3">
              <w:rPr>
                <w:rStyle w:val="Hyperlink"/>
              </w:rPr>
              <w:t>The working classes and higher education: Meritocratic fallacies of upward mobility in the United Kingdom (Reay, 2021)</w:t>
            </w:r>
            <w:r>
              <w:rPr>
                <w:webHidden/>
              </w:rPr>
              <w:tab/>
            </w:r>
            <w:r>
              <w:rPr>
                <w:webHidden/>
              </w:rPr>
              <w:fldChar w:fldCharType="begin"/>
            </w:r>
            <w:r>
              <w:rPr>
                <w:webHidden/>
              </w:rPr>
              <w:instrText xml:space="preserve"> PAGEREF _Toc188210488 \h </w:instrText>
            </w:r>
            <w:r>
              <w:rPr>
                <w:webHidden/>
              </w:rPr>
            </w:r>
            <w:r>
              <w:rPr>
                <w:webHidden/>
              </w:rPr>
              <w:fldChar w:fldCharType="separate"/>
            </w:r>
            <w:r>
              <w:rPr>
                <w:webHidden/>
              </w:rPr>
              <w:t>11</w:t>
            </w:r>
            <w:r>
              <w:rPr>
                <w:webHidden/>
              </w:rPr>
              <w:fldChar w:fldCharType="end"/>
            </w:r>
          </w:hyperlink>
        </w:p>
        <w:p w14:paraId="691C819E" w14:textId="72CDDD5C" w:rsidR="00875A63" w:rsidRDefault="00875A63">
          <w:pPr>
            <w:pStyle w:val="TOC2"/>
            <w:rPr>
              <w:rFonts w:eastAsiaTheme="minorEastAsia"/>
              <w:b w:val="0"/>
              <w:bCs w:val="0"/>
              <w:sz w:val="24"/>
              <w:szCs w:val="24"/>
              <w:lang w:eastAsia="en-GB"/>
            </w:rPr>
          </w:pPr>
          <w:hyperlink w:anchor="_Toc188210489" w:history="1">
            <w:r w:rsidRPr="003D73B3">
              <w:rPr>
                <w:rStyle w:val="Hyperlink"/>
              </w:rPr>
              <w:t>Exploring socioeconomic inequalities and access to elite postgraduate education among English graduates (Mateos-González &amp; Wakeling, 2021)</w:t>
            </w:r>
            <w:r>
              <w:rPr>
                <w:webHidden/>
              </w:rPr>
              <w:tab/>
            </w:r>
            <w:r>
              <w:rPr>
                <w:webHidden/>
              </w:rPr>
              <w:fldChar w:fldCharType="begin"/>
            </w:r>
            <w:r>
              <w:rPr>
                <w:webHidden/>
              </w:rPr>
              <w:instrText xml:space="preserve"> PAGEREF _Toc188210489 \h </w:instrText>
            </w:r>
            <w:r>
              <w:rPr>
                <w:webHidden/>
              </w:rPr>
            </w:r>
            <w:r>
              <w:rPr>
                <w:webHidden/>
              </w:rPr>
              <w:fldChar w:fldCharType="separate"/>
            </w:r>
            <w:r>
              <w:rPr>
                <w:webHidden/>
              </w:rPr>
              <w:t>12</w:t>
            </w:r>
            <w:r>
              <w:rPr>
                <w:webHidden/>
              </w:rPr>
              <w:fldChar w:fldCharType="end"/>
            </w:r>
          </w:hyperlink>
        </w:p>
        <w:p w14:paraId="05A58A3B" w14:textId="34C81C55" w:rsidR="00875A63" w:rsidRDefault="00875A63">
          <w:pPr>
            <w:pStyle w:val="TOC2"/>
            <w:rPr>
              <w:rFonts w:eastAsiaTheme="minorEastAsia"/>
              <w:b w:val="0"/>
              <w:bCs w:val="0"/>
              <w:sz w:val="24"/>
              <w:szCs w:val="24"/>
              <w:lang w:eastAsia="en-GB"/>
            </w:rPr>
          </w:pPr>
          <w:hyperlink w:anchor="_Toc188210490" w:history="1">
            <w:r w:rsidRPr="003D73B3">
              <w:rPr>
                <w:rStyle w:val="Hyperlink"/>
              </w:rPr>
              <w:t xml:space="preserve">Students’ sense of belonging and their </w:t>
            </w:r>
            <w:r w:rsidR="000F4DDE">
              <w:rPr>
                <w:rStyle w:val="Hyperlink"/>
              </w:rPr>
              <w:t>socioeconomic</w:t>
            </w:r>
            <w:r w:rsidRPr="003D73B3">
              <w:rPr>
                <w:rStyle w:val="Hyperlink"/>
              </w:rPr>
              <w:t xml:space="preserve"> status in higher education: a quantitative approach (Ahn &amp; Davis, 202</w:t>
            </w:r>
            <w:r w:rsidR="000E757E">
              <w:rPr>
                <w:rStyle w:val="Hyperlink"/>
              </w:rPr>
              <w:t>0</w:t>
            </w:r>
            <w:r w:rsidRPr="003D73B3">
              <w:rPr>
                <w:rStyle w:val="Hyperlink"/>
              </w:rPr>
              <w:t>)</w:t>
            </w:r>
            <w:r>
              <w:rPr>
                <w:webHidden/>
              </w:rPr>
              <w:tab/>
            </w:r>
            <w:r>
              <w:rPr>
                <w:webHidden/>
              </w:rPr>
              <w:fldChar w:fldCharType="begin"/>
            </w:r>
            <w:r>
              <w:rPr>
                <w:webHidden/>
              </w:rPr>
              <w:instrText xml:space="preserve"> PAGEREF _Toc188210490 \h </w:instrText>
            </w:r>
            <w:r>
              <w:rPr>
                <w:webHidden/>
              </w:rPr>
            </w:r>
            <w:r>
              <w:rPr>
                <w:webHidden/>
              </w:rPr>
              <w:fldChar w:fldCharType="separate"/>
            </w:r>
            <w:r>
              <w:rPr>
                <w:webHidden/>
              </w:rPr>
              <w:t>13</w:t>
            </w:r>
            <w:r>
              <w:rPr>
                <w:webHidden/>
              </w:rPr>
              <w:fldChar w:fldCharType="end"/>
            </w:r>
          </w:hyperlink>
        </w:p>
        <w:p w14:paraId="3AB4A844" w14:textId="4B70F5A6" w:rsidR="00875A63" w:rsidRDefault="00875A63">
          <w:pPr>
            <w:pStyle w:val="TOC2"/>
            <w:rPr>
              <w:rFonts w:eastAsiaTheme="minorEastAsia"/>
              <w:b w:val="0"/>
              <w:bCs w:val="0"/>
              <w:sz w:val="24"/>
              <w:szCs w:val="24"/>
              <w:lang w:eastAsia="en-GB"/>
            </w:rPr>
          </w:pPr>
          <w:hyperlink w:anchor="_Toc188210491" w:history="1">
            <w:r w:rsidRPr="003D73B3">
              <w:rPr>
                <w:rStyle w:val="Hyperlink"/>
              </w:rPr>
              <w:t>Do interventions enhancing students’ self‐belief and confidence effectively contribute to widening participation in higher education? A qualitative research study (Bakour, 2024)</w:t>
            </w:r>
            <w:r>
              <w:rPr>
                <w:webHidden/>
              </w:rPr>
              <w:tab/>
            </w:r>
            <w:r>
              <w:rPr>
                <w:webHidden/>
              </w:rPr>
              <w:fldChar w:fldCharType="begin"/>
            </w:r>
            <w:r>
              <w:rPr>
                <w:webHidden/>
              </w:rPr>
              <w:instrText xml:space="preserve"> PAGEREF _Toc188210491 \h </w:instrText>
            </w:r>
            <w:r>
              <w:rPr>
                <w:webHidden/>
              </w:rPr>
            </w:r>
            <w:r>
              <w:rPr>
                <w:webHidden/>
              </w:rPr>
              <w:fldChar w:fldCharType="separate"/>
            </w:r>
            <w:r>
              <w:rPr>
                <w:webHidden/>
              </w:rPr>
              <w:t>14</w:t>
            </w:r>
            <w:r>
              <w:rPr>
                <w:webHidden/>
              </w:rPr>
              <w:fldChar w:fldCharType="end"/>
            </w:r>
          </w:hyperlink>
        </w:p>
        <w:p w14:paraId="3FA80056" w14:textId="0F94A293" w:rsidR="00875A63" w:rsidRDefault="000F4DDE">
          <w:pPr>
            <w:pStyle w:val="TOC2"/>
            <w:rPr>
              <w:rFonts w:eastAsiaTheme="minorEastAsia"/>
              <w:b w:val="0"/>
              <w:bCs w:val="0"/>
              <w:sz w:val="24"/>
              <w:szCs w:val="24"/>
              <w:lang w:eastAsia="en-GB"/>
            </w:rPr>
          </w:pPr>
          <w:hyperlink w:anchor="_Toc188210492" w:history="1">
            <w:r>
              <w:rPr>
                <w:rStyle w:val="Hyperlink"/>
              </w:rPr>
              <w:t>Socioeconomic</w:t>
            </w:r>
            <w:r w:rsidR="00875A63" w:rsidRPr="003D73B3">
              <w:rPr>
                <w:rStyle w:val="Hyperlink"/>
              </w:rPr>
              <w:t xml:space="preserve"> status and subject choice at 14: do they interact to affect university access (Anders et al., 2017)</w:t>
            </w:r>
            <w:r w:rsidR="00875A63">
              <w:rPr>
                <w:webHidden/>
              </w:rPr>
              <w:tab/>
            </w:r>
            <w:r w:rsidR="00875A63">
              <w:rPr>
                <w:webHidden/>
              </w:rPr>
              <w:fldChar w:fldCharType="begin"/>
            </w:r>
            <w:r w:rsidR="00875A63">
              <w:rPr>
                <w:webHidden/>
              </w:rPr>
              <w:instrText xml:space="preserve"> PAGEREF _Toc188210492 \h </w:instrText>
            </w:r>
            <w:r w:rsidR="00875A63">
              <w:rPr>
                <w:webHidden/>
              </w:rPr>
            </w:r>
            <w:r w:rsidR="00875A63">
              <w:rPr>
                <w:webHidden/>
              </w:rPr>
              <w:fldChar w:fldCharType="separate"/>
            </w:r>
            <w:r w:rsidR="00875A63">
              <w:rPr>
                <w:webHidden/>
              </w:rPr>
              <w:t>15</w:t>
            </w:r>
            <w:r w:rsidR="00875A63">
              <w:rPr>
                <w:webHidden/>
              </w:rPr>
              <w:fldChar w:fldCharType="end"/>
            </w:r>
          </w:hyperlink>
        </w:p>
        <w:p w14:paraId="2B21AF99" w14:textId="693BE6E4" w:rsidR="00875A63" w:rsidRDefault="00875A63">
          <w:pPr>
            <w:pStyle w:val="TOC2"/>
            <w:rPr>
              <w:rFonts w:eastAsiaTheme="minorEastAsia"/>
              <w:b w:val="0"/>
              <w:bCs w:val="0"/>
              <w:sz w:val="24"/>
              <w:szCs w:val="24"/>
              <w:lang w:eastAsia="en-GB"/>
            </w:rPr>
          </w:pPr>
          <w:hyperlink w:anchor="_Toc188210493" w:history="1">
            <w:r w:rsidRPr="003D73B3">
              <w:rPr>
                <w:rStyle w:val="Hyperlink"/>
              </w:rPr>
              <w:t xml:space="preserve">The determinants of university dropout: A review of the </w:t>
            </w:r>
            <w:r w:rsidR="000F4DDE">
              <w:rPr>
                <w:rStyle w:val="Hyperlink"/>
              </w:rPr>
              <w:t>socioeconomic</w:t>
            </w:r>
            <w:r w:rsidRPr="003D73B3">
              <w:rPr>
                <w:rStyle w:val="Hyperlink"/>
              </w:rPr>
              <w:t xml:space="preserve"> literature (Aina et al., 202</w:t>
            </w:r>
            <w:r w:rsidR="000323AE">
              <w:rPr>
                <w:rStyle w:val="Hyperlink"/>
              </w:rPr>
              <w:t>2</w:t>
            </w:r>
            <w:r w:rsidRPr="003D73B3">
              <w:rPr>
                <w:rStyle w:val="Hyperlink"/>
              </w:rPr>
              <w:t>)</w:t>
            </w:r>
            <w:r>
              <w:rPr>
                <w:webHidden/>
              </w:rPr>
              <w:tab/>
            </w:r>
            <w:r>
              <w:rPr>
                <w:webHidden/>
              </w:rPr>
              <w:fldChar w:fldCharType="begin"/>
            </w:r>
            <w:r>
              <w:rPr>
                <w:webHidden/>
              </w:rPr>
              <w:instrText xml:space="preserve"> PAGEREF _Toc188210493 \h </w:instrText>
            </w:r>
            <w:r>
              <w:rPr>
                <w:webHidden/>
              </w:rPr>
            </w:r>
            <w:r>
              <w:rPr>
                <w:webHidden/>
              </w:rPr>
              <w:fldChar w:fldCharType="separate"/>
            </w:r>
            <w:r>
              <w:rPr>
                <w:webHidden/>
              </w:rPr>
              <w:t>16</w:t>
            </w:r>
            <w:r>
              <w:rPr>
                <w:webHidden/>
              </w:rPr>
              <w:fldChar w:fldCharType="end"/>
            </w:r>
          </w:hyperlink>
        </w:p>
        <w:p w14:paraId="465A3794" w14:textId="4E0F0402" w:rsidR="00875A63" w:rsidRDefault="00875A63">
          <w:pPr>
            <w:pStyle w:val="TOC2"/>
            <w:rPr>
              <w:rFonts w:eastAsiaTheme="minorEastAsia"/>
              <w:b w:val="0"/>
              <w:bCs w:val="0"/>
              <w:sz w:val="24"/>
              <w:szCs w:val="24"/>
              <w:lang w:eastAsia="en-GB"/>
            </w:rPr>
          </w:pPr>
          <w:hyperlink w:anchor="_Toc188210494" w:history="1">
            <w:r w:rsidRPr="003D73B3">
              <w:rPr>
                <w:rStyle w:val="Hyperlink"/>
              </w:rPr>
              <w:t>Socioeconomic Status and Student Learning: Insights from an Umbrella Review (Tan, 2024)</w:t>
            </w:r>
            <w:r>
              <w:rPr>
                <w:webHidden/>
              </w:rPr>
              <w:tab/>
            </w:r>
            <w:r>
              <w:rPr>
                <w:webHidden/>
              </w:rPr>
              <w:fldChar w:fldCharType="begin"/>
            </w:r>
            <w:r>
              <w:rPr>
                <w:webHidden/>
              </w:rPr>
              <w:instrText xml:space="preserve"> PAGEREF _Toc188210494 \h </w:instrText>
            </w:r>
            <w:r>
              <w:rPr>
                <w:webHidden/>
              </w:rPr>
            </w:r>
            <w:r>
              <w:rPr>
                <w:webHidden/>
              </w:rPr>
              <w:fldChar w:fldCharType="separate"/>
            </w:r>
            <w:r>
              <w:rPr>
                <w:webHidden/>
              </w:rPr>
              <w:t>17</w:t>
            </w:r>
            <w:r>
              <w:rPr>
                <w:webHidden/>
              </w:rPr>
              <w:fldChar w:fldCharType="end"/>
            </w:r>
          </w:hyperlink>
        </w:p>
        <w:p w14:paraId="0E130F0C" w14:textId="5B56402A" w:rsidR="00875A63" w:rsidRDefault="00875A63">
          <w:pPr>
            <w:pStyle w:val="TOC1"/>
            <w:rPr>
              <w:rFonts w:eastAsiaTheme="minorEastAsia"/>
              <w:b w:val="0"/>
              <w:bCs w:val="0"/>
              <w:lang w:eastAsia="en-GB"/>
            </w:rPr>
          </w:pPr>
          <w:hyperlink w:anchor="_Toc188210495" w:history="1">
            <w:r w:rsidRPr="003D73B3">
              <w:rPr>
                <w:rStyle w:val="Hyperlink"/>
              </w:rPr>
              <w:t>Thematic Analysis of Research - Low-SES students and HE</w:t>
            </w:r>
            <w:r>
              <w:rPr>
                <w:webHidden/>
              </w:rPr>
              <w:tab/>
            </w:r>
            <w:r>
              <w:rPr>
                <w:webHidden/>
              </w:rPr>
              <w:fldChar w:fldCharType="begin"/>
            </w:r>
            <w:r>
              <w:rPr>
                <w:webHidden/>
              </w:rPr>
              <w:instrText xml:space="preserve"> PAGEREF _Toc188210495 \h </w:instrText>
            </w:r>
            <w:r>
              <w:rPr>
                <w:webHidden/>
              </w:rPr>
            </w:r>
            <w:r>
              <w:rPr>
                <w:webHidden/>
              </w:rPr>
              <w:fldChar w:fldCharType="separate"/>
            </w:r>
            <w:r>
              <w:rPr>
                <w:webHidden/>
              </w:rPr>
              <w:t>18</w:t>
            </w:r>
            <w:r>
              <w:rPr>
                <w:webHidden/>
              </w:rPr>
              <w:fldChar w:fldCharType="end"/>
            </w:r>
          </w:hyperlink>
        </w:p>
        <w:p w14:paraId="0C34F084" w14:textId="10A8F1A5" w:rsidR="00875A63" w:rsidRDefault="00875A63">
          <w:pPr>
            <w:pStyle w:val="TOC2"/>
            <w:rPr>
              <w:rFonts w:eastAsiaTheme="minorEastAsia"/>
              <w:b w:val="0"/>
              <w:bCs w:val="0"/>
              <w:sz w:val="24"/>
              <w:szCs w:val="24"/>
              <w:lang w:eastAsia="en-GB"/>
            </w:rPr>
          </w:pPr>
          <w:hyperlink w:anchor="_Toc188210496" w:history="1">
            <w:r w:rsidRPr="003D73B3">
              <w:rPr>
                <w:rStyle w:val="Hyperlink"/>
              </w:rPr>
              <w:t>Access to HE</w:t>
            </w:r>
            <w:r>
              <w:rPr>
                <w:webHidden/>
              </w:rPr>
              <w:tab/>
            </w:r>
            <w:r>
              <w:rPr>
                <w:webHidden/>
              </w:rPr>
              <w:fldChar w:fldCharType="begin"/>
            </w:r>
            <w:r>
              <w:rPr>
                <w:webHidden/>
              </w:rPr>
              <w:instrText xml:space="preserve"> PAGEREF _Toc188210496 \h </w:instrText>
            </w:r>
            <w:r>
              <w:rPr>
                <w:webHidden/>
              </w:rPr>
            </w:r>
            <w:r>
              <w:rPr>
                <w:webHidden/>
              </w:rPr>
              <w:fldChar w:fldCharType="separate"/>
            </w:r>
            <w:r>
              <w:rPr>
                <w:webHidden/>
              </w:rPr>
              <w:t>18</w:t>
            </w:r>
            <w:r>
              <w:rPr>
                <w:webHidden/>
              </w:rPr>
              <w:fldChar w:fldCharType="end"/>
            </w:r>
          </w:hyperlink>
        </w:p>
        <w:p w14:paraId="65FBB16C" w14:textId="5E847454" w:rsidR="00875A63" w:rsidRDefault="00875A63">
          <w:pPr>
            <w:pStyle w:val="TOC2"/>
            <w:rPr>
              <w:rFonts w:eastAsiaTheme="minorEastAsia"/>
              <w:b w:val="0"/>
              <w:bCs w:val="0"/>
              <w:sz w:val="24"/>
              <w:szCs w:val="24"/>
              <w:lang w:eastAsia="en-GB"/>
            </w:rPr>
          </w:pPr>
          <w:hyperlink w:anchor="_Toc188210497" w:history="1">
            <w:r w:rsidRPr="003D73B3">
              <w:rPr>
                <w:rStyle w:val="Hyperlink"/>
              </w:rPr>
              <w:t>Relevance of Cultural Integration</w:t>
            </w:r>
            <w:r>
              <w:rPr>
                <w:webHidden/>
              </w:rPr>
              <w:tab/>
            </w:r>
            <w:r>
              <w:rPr>
                <w:webHidden/>
              </w:rPr>
              <w:fldChar w:fldCharType="begin"/>
            </w:r>
            <w:r>
              <w:rPr>
                <w:webHidden/>
              </w:rPr>
              <w:instrText xml:space="preserve"> PAGEREF _Toc188210497 \h </w:instrText>
            </w:r>
            <w:r>
              <w:rPr>
                <w:webHidden/>
              </w:rPr>
            </w:r>
            <w:r>
              <w:rPr>
                <w:webHidden/>
              </w:rPr>
              <w:fldChar w:fldCharType="separate"/>
            </w:r>
            <w:r>
              <w:rPr>
                <w:webHidden/>
              </w:rPr>
              <w:t>18</w:t>
            </w:r>
            <w:r>
              <w:rPr>
                <w:webHidden/>
              </w:rPr>
              <w:fldChar w:fldCharType="end"/>
            </w:r>
          </w:hyperlink>
        </w:p>
        <w:p w14:paraId="03D2624A" w14:textId="2FEEC677" w:rsidR="00875A63" w:rsidRDefault="00875A63">
          <w:pPr>
            <w:pStyle w:val="TOC2"/>
            <w:rPr>
              <w:rFonts w:eastAsiaTheme="minorEastAsia"/>
              <w:b w:val="0"/>
              <w:bCs w:val="0"/>
              <w:sz w:val="24"/>
              <w:szCs w:val="24"/>
              <w:lang w:eastAsia="en-GB"/>
            </w:rPr>
          </w:pPr>
          <w:hyperlink w:anchor="_Toc188210498" w:history="1">
            <w:r w:rsidRPr="003D73B3">
              <w:rPr>
                <w:rStyle w:val="Hyperlink"/>
              </w:rPr>
              <w:t>Relevance of Economic Factors</w:t>
            </w:r>
            <w:r>
              <w:rPr>
                <w:webHidden/>
              </w:rPr>
              <w:tab/>
            </w:r>
            <w:r>
              <w:rPr>
                <w:webHidden/>
              </w:rPr>
              <w:fldChar w:fldCharType="begin"/>
            </w:r>
            <w:r>
              <w:rPr>
                <w:webHidden/>
              </w:rPr>
              <w:instrText xml:space="preserve"> PAGEREF _Toc188210498 \h </w:instrText>
            </w:r>
            <w:r>
              <w:rPr>
                <w:webHidden/>
              </w:rPr>
            </w:r>
            <w:r>
              <w:rPr>
                <w:webHidden/>
              </w:rPr>
              <w:fldChar w:fldCharType="separate"/>
            </w:r>
            <w:r>
              <w:rPr>
                <w:webHidden/>
              </w:rPr>
              <w:t>19</w:t>
            </w:r>
            <w:r>
              <w:rPr>
                <w:webHidden/>
              </w:rPr>
              <w:fldChar w:fldCharType="end"/>
            </w:r>
          </w:hyperlink>
        </w:p>
        <w:p w14:paraId="3911737F" w14:textId="6DAED8A5" w:rsidR="00875A63" w:rsidRDefault="00875A63">
          <w:pPr>
            <w:pStyle w:val="TOC2"/>
            <w:rPr>
              <w:rFonts w:eastAsiaTheme="minorEastAsia"/>
              <w:b w:val="0"/>
              <w:bCs w:val="0"/>
              <w:sz w:val="24"/>
              <w:szCs w:val="24"/>
              <w:lang w:eastAsia="en-GB"/>
            </w:rPr>
          </w:pPr>
          <w:hyperlink w:anchor="_Toc188210499" w:history="1">
            <w:r w:rsidRPr="003D73B3">
              <w:rPr>
                <w:rStyle w:val="Hyperlink"/>
              </w:rPr>
              <w:t>Relevance of HE Policy and Institutional Interventions</w:t>
            </w:r>
            <w:r>
              <w:rPr>
                <w:webHidden/>
              </w:rPr>
              <w:tab/>
            </w:r>
            <w:r>
              <w:rPr>
                <w:webHidden/>
              </w:rPr>
              <w:fldChar w:fldCharType="begin"/>
            </w:r>
            <w:r>
              <w:rPr>
                <w:webHidden/>
              </w:rPr>
              <w:instrText xml:space="preserve"> PAGEREF _Toc188210499 \h </w:instrText>
            </w:r>
            <w:r>
              <w:rPr>
                <w:webHidden/>
              </w:rPr>
            </w:r>
            <w:r>
              <w:rPr>
                <w:webHidden/>
              </w:rPr>
              <w:fldChar w:fldCharType="separate"/>
            </w:r>
            <w:r>
              <w:rPr>
                <w:webHidden/>
              </w:rPr>
              <w:t>19</w:t>
            </w:r>
            <w:r>
              <w:rPr>
                <w:webHidden/>
              </w:rPr>
              <w:fldChar w:fldCharType="end"/>
            </w:r>
          </w:hyperlink>
        </w:p>
        <w:p w14:paraId="6D8894F8" w14:textId="52FE68E6" w:rsidR="00875A63" w:rsidRDefault="00875A63">
          <w:pPr>
            <w:pStyle w:val="TOC2"/>
            <w:rPr>
              <w:rFonts w:eastAsiaTheme="minorEastAsia"/>
              <w:b w:val="0"/>
              <w:bCs w:val="0"/>
              <w:sz w:val="24"/>
              <w:szCs w:val="24"/>
              <w:lang w:eastAsia="en-GB"/>
            </w:rPr>
          </w:pPr>
          <w:hyperlink w:anchor="_Toc188210500" w:history="1">
            <w:r w:rsidRPr="003D73B3">
              <w:rPr>
                <w:rStyle w:val="Hyperlink"/>
              </w:rPr>
              <w:t>Post-Graduation Opportunities</w:t>
            </w:r>
            <w:r>
              <w:rPr>
                <w:webHidden/>
              </w:rPr>
              <w:tab/>
            </w:r>
            <w:r>
              <w:rPr>
                <w:webHidden/>
              </w:rPr>
              <w:fldChar w:fldCharType="begin"/>
            </w:r>
            <w:r>
              <w:rPr>
                <w:webHidden/>
              </w:rPr>
              <w:instrText xml:space="preserve"> PAGEREF _Toc188210500 \h </w:instrText>
            </w:r>
            <w:r>
              <w:rPr>
                <w:webHidden/>
              </w:rPr>
            </w:r>
            <w:r>
              <w:rPr>
                <w:webHidden/>
              </w:rPr>
              <w:fldChar w:fldCharType="separate"/>
            </w:r>
            <w:r>
              <w:rPr>
                <w:webHidden/>
              </w:rPr>
              <w:t>19</w:t>
            </w:r>
            <w:r>
              <w:rPr>
                <w:webHidden/>
              </w:rPr>
              <w:fldChar w:fldCharType="end"/>
            </w:r>
          </w:hyperlink>
        </w:p>
        <w:p w14:paraId="2BC7D306" w14:textId="66BF2A1C" w:rsidR="00875A63" w:rsidRDefault="00875A63">
          <w:pPr>
            <w:pStyle w:val="TOC2"/>
            <w:rPr>
              <w:rFonts w:eastAsiaTheme="minorEastAsia"/>
              <w:b w:val="0"/>
              <w:bCs w:val="0"/>
              <w:sz w:val="24"/>
              <w:szCs w:val="24"/>
              <w:lang w:eastAsia="en-GB"/>
            </w:rPr>
          </w:pPr>
          <w:hyperlink w:anchor="_Toc188210501" w:history="1">
            <w:r w:rsidRPr="003D73B3">
              <w:rPr>
                <w:rStyle w:val="Hyperlink"/>
              </w:rPr>
              <w:t>Intersectionality</w:t>
            </w:r>
            <w:r>
              <w:rPr>
                <w:webHidden/>
              </w:rPr>
              <w:tab/>
            </w:r>
            <w:r>
              <w:rPr>
                <w:webHidden/>
              </w:rPr>
              <w:fldChar w:fldCharType="begin"/>
            </w:r>
            <w:r>
              <w:rPr>
                <w:webHidden/>
              </w:rPr>
              <w:instrText xml:space="preserve"> PAGEREF _Toc188210501 \h </w:instrText>
            </w:r>
            <w:r>
              <w:rPr>
                <w:webHidden/>
              </w:rPr>
            </w:r>
            <w:r>
              <w:rPr>
                <w:webHidden/>
              </w:rPr>
              <w:fldChar w:fldCharType="separate"/>
            </w:r>
            <w:r>
              <w:rPr>
                <w:webHidden/>
              </w:rPr>
              <w:t>20</w:t>
            </w:r>
            <w:r>
              <w:rPr>
                <w:webHidden/>
              </w:rPr>
              <w:fldChar w:fldCharType="end"/>
            </w:r>
          </w:hyperlink>
        </w:p>
        <w:p w14:paraId="2BF75A6F" w14:textId="688D3AE0" w:rsidR="00875A63" w:rsidRDefault="00875A63">
          <w:pPr>
            <w:pStyle w:val="TOC2"/>
            <w:rPr>
              <w:rFonts w:eastAsiaTheme="minorEastAsia"/>
              <w:b w:val="0"/>
              <w:bCs w:val="0"/>
              <w:sz w:val="24"/>
              <w:szCs w:val="24"/>
              <w:lang w:eastAsia="en-GB"/>
            </w:rPr>
          </w:pPr>
          <w:hyperlink w:anchor="_Toc188210502" w:history="1">
            <w:r w:rsidRPr="003D73B3">
              <w:rPr>
                <w:rStyle w:val="Hyperlink"/>
              </w:rPr>
              <w:t>Summary</w:t>
            </w:r>
            <w:r>
              <w:rPr>
                <w:webHidden/>
              </w:rPr>
              <w:tab/>
            </w:r>
            <w:r>
              <w:rPr>
                <w:webHidden/>
              </w:rPr>
              <w:fldChar w:fldCharType="begin"/>
            </w:r>
            <w:r>
              <w:rPr>
                <w:webHidden/>
              </w:rPr>
              <w:instrText xml:space="preserve"> PAGEREF _Toc188210502 \h </w:instrText>
            </w:r>
            <w:r>
              <w:rPr>
                <w:webHidden/>
              </w:rPr>
            </w:r>
            <w:r>
              <w:rPr>
                <w:webHidden/>
              </w:rPr>
              <w:fldChar w:fldCharType="separate"/>
            </w:r>
            <w:r>
              <w:rPr>
                <w:webHidden/>
              </w:rPr>
              <w:t>20</w:t>
            </w:r>
            <w:r>
              <w:rPr>
                <w:webHidden/>
              </w:rPr>
              <w:fldChar w:fldCharType="end"/>
            </w:r>
          </w:hyperlink>
        </w:p>
        <w:p w14:paraId="4B551237" w14:textId="197FA43A" w:rsidR="00875A63" w:rsidRDefault="00875A63">
          <w:pPr>
            <w:pStyle w:val="TOC1"/>
            <w:rPr>
              <w:rFonts w:eastAsiaTheme="minorEastAsia"/>
              <w:b w:val="0"/>
              <w:bCs w:val="0"/>
              <w:lang w:eastAsia="en-GB"/>
            </w:rPr>
          </w:pPr>
          <w:hyperlink w:anchor="_Toc188210503" w:history="1">
            <w:r w:rsidRPr="003D73B3">
              <w:rPr>
                <w:rStyle w:val="Hyperlink"/>
              </w:rPr>
              <w:t>Conclusion</w:t>
            </w:r>
            <w:r>
              <w:rPr>
                <w:webHidden/>
              </w:rPr>
              <w:tab/>
            </w:r>
            <w:r>
              <w:rPr>
                <w:webHidden/>
              </w:rPr>
              <w:fldChar w:fldCharType="begin"/>
            </w:r>
            <w:r>
              <w:rPr>
                <w:webHidden/>
              </w:rPr>
              <w:instrText xml:space="preserve"> PAGEREF _Toc188210503 \h </w:instrText>
            </w:r>
            <w:r>
              <w:rPr>
                <w:webHidden/>
              </w:rPr>
            </w:r>
            <w:r>
              <w:rPr>
                <w:webHidden/>
              </w:rPr>
              <w:fldChar w:fldCharType="separate"/>
            </w:r>
            <w:r>
              <w:rPr>
                <w:webHidden/>
              </w:rPr>
              <w:t>20</w:t>
            </w:r>
            <w:r>
              <w:rPr>
                <w:webHidden/>
              </w:rPr>
              <w:fldChar w:fldCharType="end"/>
            </w:r>
          </w:hyperlink>
        </w:p>
        <w:p w14:paraId="19A8A32C" w14:textId="35E5B6D3" w:rsidR="00875A63" w:rsidRDefault="00875A63">
          <w:pPr>
            <w:pStyle w:val="TOC1"/>
            <w:rPr>
              <w:rFonts w:eastAsiaTheme="minorEastAsia"/>
              <w:b w:val="0"/>
              <w:bCs w:val="0"/>
              <w:lang w:eastAsia="en-GB"/>
            </w:rPr>
          </w:pPr>
          <w:hyperlink w:anchor="_Toc188210504" w:history="1">
            <w:r w:rsidRPr="003D73B3">
              <w:rPr>
                <w:rStyle w:val="Hyperlink"/>
              </w:rPr>
              <w:t>References</w:t>
            </w:r>
            <w:r>
              <w:rPr>
                <w:webHidden/>
              </w:rPr>
              <w:tab/>
            </w:r>
            <w:r>
              <w:rPr>
                <w:webHidden/>
              </w:rPr>
              <w:fldChar w:fldCharType="begin"/>
            </w:r>
            <w:r>
              <w:rPr>
                <w:webHidden/>
              </w:rPr>
              <w:instrText xml:space="preserve"> PAGEREF _Toc188210504 \h </w:instrText>
            </w:r>
            <w:r>
              <w:rPr>
                <w:webHidden/>
              </w:rPr>
            </w:r>
            <w:r>
              <w:rPr>
                <w:webHidden/>
              </w:rPr>
              <w:fldChar w:fldCharType="separate"/>
            </w:r>
            <w:r>
              <w:rPr>
                <w:webHidden/>
              </w:rPr>
              <w:t>23</w:t>
            </w:r>
            <w:r>
              <w:rPr>
                <w:webHidden/>
              </w:rPr>
              <w:fldChar w:fldCharType="end"/>
            </w:r>
          </w:hyperlink>
        </w:p>
        <w:p w14:paraId="758884A1" w14:textId="3734E239" w:rsidR="00875A63" w:rsidRDefault="00875A63">
          <w:pPr>
            <w:pStyle w:val="TOC1"/>
            <w:rPr>
              <w:rFonts w:eastAsiaTheme="minorEastAsia"/>
              <w:b w:val="0"/>
              <w:bCs w:val="0"/>
              <w:lang w:eastAsia="en-GB"/>
            </w:rPr>
          </w:pPr>
          <w:hyperlink w:anchor="_Toc188210505" w:history="1">
            <w:r w:rsidRPr="003D73B3">
              <w:rPr>
                <w:rStyle w:val="Hyperlink"/>
              </w:rPr>
              <w:t>Appendices</w:t>
            </w:r>
            <w:r>
              <w:rPr>
                <w:webHidden/>
              </w:rPr>
              <w:tab/>
            </w:r>
            <w:r>
              <w:rPr>
                <w:webHidden/>
              </w:rPr>
              <w:fldChar w:fldCharType="begin"/>
            </w:r>
            <w:r>
              <w:rPr>
                <w:webHidden/>
              </w:rPr>
              <w:instrText xml:space="preserve"> PAGEREF _Toc188210505 \h </w:instrText>
            </w:r>
            <w:r>
              <w:rPr>
                <w:webHidden/>
              </w:rPr>
            </w:r>
            <w:r>
              <w:rPr>
                <w:webHidden/>
              </w:rPr>
              <w:fldChar w:fldCharType="separate"/>
            </w:r>
            <w:r>
              <w:rPr>
                <w:webHidden/>
              </w:rPr>
              <w:t>36</w:t>
            </w:r>
            <w:r>
              <w:rPr>
                <w:webHidden/>
              </w:rPr>
              <w:fldChar w:fldCharType="end"/>
            </w:r>
          </w:hyperlink>
        </w:p>
        <w:p w14:paraId="115516CB" w14:textId="4034AFDC" w:rsidR="00875A63" w:rsidRDefault="00875A63">
          <w:pPr>
            <w:pStyle w:val="TOC2"/>
            <w:rPr>
              <w:rFonts w:eastAsiaTheme="minorEastAsia"/>
              <w:b w:val="0"/>
              <w:bCs w:val="0"/>
              <w:sz w:val="24"/>
              <w:szCs w:val="24"/>
              <w:lang w:eastAsia="en-GB"/>
            </w:rPr>
          </w:pPr>
          <w:hyperlink w:anchor="_Toc188210506" w:history="1">
            <w:r w:rsidRPr="003D73B3">
              <w:rPr>
                <w:rStyle w:val="Hyperlink"/>
              </w:rPr>
              <w:t>Appendix A: Outline Planning Document</w:t>
            </w:r>
            <w:r>
              <w:rPr>
                <w:webHidden/>
              </w:rPr>
              <w:tab/>
            </w:r>
            <w:r>
              <w:rPr>
                <w:webHidden/>
              </w:rPr>
              <w:fldChar w:fldCharType="begin"/>
            </w:r>
            <w:r>
              <w:rPr>
                <w:webHidden/>
              </w:rPr>
              <w:instrText xml:space="preserve"> PAGEREF _Toc188210506 \h </w:instrText>
            </w:r>
            <w:r>
              <w:rPr>
                <w:webHidden/>
              </w:rPr>
            </w:r>
            <w:r>
              <w:rPr>
                <w:webHidden/>
              </w:rPr>
              <w:fldChar w:fldCharType="separate"/>
            </w:r>
            <w:r>
              <w:rPr>
                <w:webHidden/>
              </w:rPr>
              <w:t>36</w:t>
            </w:r>
            <w:r>
              <w:rPr>
                <w:webHidden/>
              </w:rPr>
              <w:fldChar w:fldCharType="end"/>
            </w:r>
          </w:hyperlink>
        </w:p>
        <w:p w14:paraId="017606C8" w14:textId="0858186E" w:rsidR="00AC3F11" w:rsidRDefault="00AC3F11">
          <w:r>
            <w:rPr>
              <w:b/>
              <w:bCs/>
              <w:noProof/>
            </w:rPr>
            <w:fldChar w:fldCharType="end"/>
          </w:r>
        </w:p>
      </w:sdtContent>
    </w:sdt>
    <w:p w14:paraId="78699D23" w14:textId="2E39555F" w:rsidR="00AE3BFD" w:rsidRPr="00446EAD" w:rsidRDefault="00AE3BFD" w:rsidP="006171B0">
      <w:pPr>
        <w:pStyle w:val="Heading1"/>
        <w:spacing w:line="360" w:lineRule="auto"/>
      </w:pPr>
      <w:bookmarkStart w:id="0" w:name="_Toc188210481"/>
      <w:r w:rsidRPr="00446EAD">
        <w:lastRenderedPageBreak/>
        <w:t>Introduction</w:t>
      </w:r>
      <w:bookmarkEnd w:id="0"/>
    </w:p>
    <w:p w14:paraId="04FEA310" w14:textId="24D08898" w:rsidR="00D966B4" w:rsidRDefault="009712D3" w:rsidP="006171B0">
      <w:pPr>
        <w:spacing w:line="360" w:lineRule="auto"/>
        <w:rPr>
          <w:color w:val="000000" w:themeColor="text1"/>
        </w:rPr>
      </w:pPr>
      <w:r w:rsidRPr="009712D3">
        <w:rPr>
          <w:color w:val="000000" w:themeColor="text1"/>
        </w:rPr>
        <w:t>Socioeconomic status (SES) significantly influences educational attainment</w:t>
      </w:r>
      <w:r w:rsidR="003821DE">
        <w:rPr>
          <w:color w:val="000000" w:themeColor="text1"/>
        </w:rPr>
        <w:t xml:space="preserve"> in </w:t>
      </w:r>
      <w:r w:rsidR="003821DE" w:rsidRPr="009712D3">
        <w:rPr>
          <w:color w:val="000000" w:themeColor="text1"/>
        </w:rPr>
        <w:t>higher education</w:t>
      </w:r>
      <w:r w:rsidR="003821DE">
        <w:rPr>
          <w:color w:val="000000" w:themeColor="text1"/>
        </w:rPr>
        <w:t xml:space="preserve"> </w:t>
      </w:r>
      <w:r w:rsidR="003821DE" w:rsidRPr="003821DE">
        <w:rPr>
          <w:color w:val="000000" w:themeColor="text1"/>
        </w:rPr>
        <w:t>(</w:t>
      </w:r>
      <w:r w:rsidR="004219B2">
        <w:rPr>
          <w:color w:val="000000" w:themeColor="text1"/>
        </w:rPr>
        <w:t>Ander</w:t>
      </w:r>
      <w:r w:rsidR="00D74D80">
        <w:rPr>
          <w:color w:val="000000" w:themeColor="text1"/>
        </w:rPr>
        <w:t>s</w:t>
      </w:r>
      <w:r w:rsidR="004219B2">
        <w:rPr>
          <w:color w:val="000000" w:themeColor="text1"/>
        </w:rPr>
        <w:t xml:space="preserve">, 2012; </w:t>
      </w:r>
      <w:r w:rsidR="00975114" w:rsidRPr="00975114">
        <w:rPr>
          <w:color w:val="000000" w:themeColor="text1"/>
        </w:rPr>
        <w:t>Crawford, 2014</w:t>
      </w:r>
      <w:r w:rsidR="00975114">
        <w:rPr>
          <w:color w:val="000000" w:themeColor="text1"/>
        </w:rPr>
        <w:t xml:space="preserve">; </w:t>
      </w:r>
      <w:proofErr w:type="spellStart"/>
      <w:r w:rsidR="00975114">
        <w:rPr>
          <w:color w:val="000000" w:themeColor="text1"/>
        </w:rPr>
        <w:t>HESA</w:t>
      </w:r>
      <w:proofErr w:type="spellEnd"/>
      <w:r w:rsidR="00975114">
        <w:rPr>
          <w:color w:val="000000" w:themeColor="text1"/>
        </w:rPr>
        <w:t xml:space="preserve">, 2023; </w:t>
      </w:r>
      <w:r w:rsidR="00975114" w:rsidRPr="003821DE">
        <w:rPr>
          <w:color w:val="000000" w:themeColor="text1"/>
        </w:rPr>
        <w:t>Tomaszewski et al., 2024</w:t>
      </w:r>
      <w:r w:rsidR="003821DE" w:rsidRPr="003821DE">
        <w:rPr>
          <w:color w:val="000000" w:themeColor="text1"/>
        </w:rPr>
        <w:t>)</w:t>
      </w:r>
      <w:r w:rsidR="00D966B4">
        <w:rPr>
          <w:color w:val="000000" w:themeColor="text1"/>
        </w:rPr>
        <w:t>.</w:t>
      </w:r>
      <w:r w:rsidR="00222324">
        <w:rPr>
          <w:color w:val="000000" w:themeColor="text1"/>
        </w:rPr>
        <w:t xml:space="preserve"> </w:t>
      </w:r>
      <w:r w:rsidR="00D966B4" w:rsidRPr="00D966B4">
        <w:rPr>
          <w:color w:val="000000" w:themeColor="text1"/>
        </w:rPr>
        <w:t xml:space="preserve">SES in the UK is assessed by considering a range of interrelated factors that reflect an individual's or group's social and economic standing relative to others. </w:t>
      </w:r>
    </w:p>
    <w:p w14:paraId="46D04336" w14:textId="6CC25A2A" w:rsidR="00D966B4" w:rsidRPr="00D966B4" w:rsidRDefault="00D966B4" w:rsidP="006171B0">
      <w:pPr>
        <w:spacing w:line="360" w:lineRule="auto"/>
        <w:rPr>
          <w:color w:val="000000" w:themeColor="text1"/>
        </w:rPr>
      </w:pPr>
      <w:r w:rsidRPr="00D966B4">
        <w:rPr>
          <w:color w:val="000000" w:themeColor="text1"/>
        </w:rPr>
        <w:t>Although there is no precise definition, as it alters within different cultures and political systems</w:t>
      </w:r>
      <w:r>
        <w:rPr>
          <w:color w:val="000000" w:themeColor="text1"/>
        </w:rPr>
        <w:t xml:space="preserve"> (</w:t>
      </w:r>
      <w:r w:rsidRPr="00D966B4">
        <w:rPr>
          <w:color w:val="000000" w:themeColor="text1"/>
        </w:rPr>
        <w:t>Bornstein</w:t>
      </w:r>
      <w:r>
        <w:rPr>
          <w:color w:val="000000" w:themeColor="text1"/>
        </w:rPr>
        <w:t xml:space="preserve"> &amp; </w:t>
      </w:r>
      <w:r w:rsidRPr="00D966B4">
        <w:rPr>
          <w:color w:val="000000" w:themeColor="text1"/>
        </w:rPr>
        <w:t>Bradley</w:t>
      </w:r>
      <w:r w:rsidR="00B50EC8">
        <w:rPr>
          <w:color w:val="000000" w:themeColor="text1"/>
        </w:rPr>
        <w:t>,</w:t>
      </w:r>
      <w:r w:rsidRPr="00D966B4">
        <w:rPr>
          <w:color w:val="000000" w:themeColor="text1"/>
        </w:rPr>
        <w:t xml:space="preserve"> 20</w:t>
      </w:r>
      <w:r w:rsidR="00D74D80">
        <w:rPr>
          <w:color w:val="000000" w:themeColor="text1"/>
        </w:rPr>
        <w:t>o2</w:t>
      </w:r>
      <w:r>
        <w:rPr>
          <w:color w:val="000000" w:themeColor="text1"/>
        </w:rPr>
        <w:t xml:space="preserve">; </w:t>
      </w:r>
      <w:r w:rsidRPr="00D966B4">
        <w:rPr>
          <w:color w:val="000000" w:themeColor="text1"/>
        </w:rPr>
        <w:t>Broer</w:t>
      </w:r>
      <w:r>
        <w:rPr>
          <w:color w:val="000000" w:themeColor="text1"/>
        </w:rPr>
        <w:t xml:space="preserve"> et al., </w:t>
      </w:r>
      <w:r w:rsidRPr="00D966B4">
        <w:rPr>
          <w:color w:val="000000" w:themeColor="text1"/>
        </w:rPr>
        <w:t>2019</w:t>
      </w:r>
      <w:r>
        <w:rPr>
          <w:color w:val="000000" w:themeColor="text1"/>
        </w:rPr>
        <w:t xml:space="preserve">), a consensus </w:t>
      </w:r>
      <w:r w:rsidR="00C71B3C">
        <w:rPr>
          <w:color w:val="000000" w:themeColor="text1"/>
        </w:rPr>
        <w:t>suggests</w:t>
      </w:r>
      <w:r>
        <w:rPr>
          <w:color w:val="000000" w:themeColor="text1"/>
        </w:rPr>
        <w:t xml:space="preserve"> it, </w:t>
      </w:r>
      <w:r w:rsidRPr="00D966B4">
        <w:rPr>
          <w:color w:val="000000" w:themeColor="text1"/>
        </w:rPr>
        <w:t>at a minimum</w:t>
      </w:r>
      <w:r>
        <w:rPr>
          <w:color w:val="000000" w:themeColor="text1"/>
        </w:rPr>
        <w:t>, would include an assessment of</w:t>
      </w:r>
      <w:r w:rsidRPr="00D966B4">
        <w:rPr>
          <w:color w:val="000000" w:themeColor="text1"/>
        </w:rPr>
        <w:t xml:space="preserve"> parental education, family income, and parent's occupation since these three indicators reflect different aspects of family background (</w:t>
      </w:r>
      <w:r w:rsidR="00D74D80" w:rsidRPr="00D966B4">
        <w:rPr>
          <w:color w:val="000000" w:themeColor="text1"/>
        </w:rPr>
        <w:t>APA.</w:t>
      </w:r>
      <w:r w:rsidR="00D74D80">
        <w:rPr>
          <w:color w:val="000000" w:themeColor="text1"/>
        </w:rPr>
        <w:t xml:space="preserve">, </w:t>
      </w:r>
      <w:r w:rsidR="00D74D80" w:rsidRPr="00D966B4">
        <w:rPr>
          <w:color w:val="000000" w:themeColor="text1"/>
        </w:rPr>
        <w:t>2018</w:t>
      </w:r>
      <w:r w:rsidR="00D74D80">
        <w:rPr>
          <w:color w:val="000000" w:themeColor="text1"/>
        </w:rPr>
        <w:t xml:space="preserve">; </w:t>
      </w:r>
      <w:r w:rsidRPr="00D966B4">
        <w:rPr>
          <w:color w:val="000000" w:themeColor="text1"/>
        </w:rPr>
        <w:t xml:space="preserve">Brese &amp; </w:t>
      </w:r>
      <w:proofErr w:type="spellStart"/>
      <w:r w:rsidRPr="00D966B4">
        <w:rPr>
          <w:color w:val="000000" w:themeColor="text1"/>
        </w:rPr>
        <w:t>Mirazchiyski</w:t>
      </w:r>
      <w:proofErr w:type="spellEnd"/>
      <w:r>
        <w:rPr>
          <w:color w:val="000000" w:themeColor="text1"/>
        </w:rPr>
        <w:t>,</w:t>
      </w:r>
      <w:r w:rsidRPr="00D966B4">
        <w:rPr>
          <w:color w:val="000000" w:themeColor="text1"/>
        </w:rPr>
        <w:t xml:space="preserve"> 2013</w:t>
      </w:r>
      <w:r>
        <w:rPr>
          <w:color w:val="000000" w:themeColor="text1"/>
        </w:rPr>
        <w:t xml:space="preserve">; </w:t>
      </w:r>
      <w:r w:rsidR="00C71B3C" w:rsidRPr="00C71B3C">
        <w:rPr>
          <w:color w:val="000000" w:themeColor="text1"/>
        </w:rPr>
        <w:t>Early</w:t>
      </w:r>
      <w:r w:rsidR="00C71B3C">
        <w:rPr>
          <w:color w:val="000000" w:themeColor="text1"/>
        </w:rPr>
        <w:t xml:space="preserve"> et al., </w:t>
      </w:r>
      <w:r w:rsidR="00C71B3C" w:rsidRPr="00C71B3C">
        <w:rPr>
          <w:color w:val="000000" w:themeColor="text1"/>
        </w:rPr>
        <w:t>2019). ‌</w:t>
      </w:r>
    </w:p>
    <w:p w14:paraId="56FDF2E8" w14:textId="314029A3" w:rsidR="00D966B4" w:rsidRPr="00D966B4" w:rsidRDefault="00D966B4" w:rsidP="006171B0">
      <w:pPr>
        <w:spacing w:line="360" w:lineRule="auto"/>
        <w:rPr>
          <w:color w:val="000000" w:themeColor="text1"/>
        </w:rPr>
      </w:pPr>
      <w:r w:rsidRPr="00D966B4">
        <w:rPr>
          <w:color w:val="000000" w:themeColor="text1"/>
        </w:rPr>
        <w:t xml:space="preserve">Income </w:t>
      </w:r>
      <w:r w:rsidR="00412BD1">
        <w:rPr>
          <w:color w:val="000000" w:themeColor="text1"/>
        </w:rPr>
        <w:t>is considered through</w:t>
      </w:r>
      <w:r w:rsidRPr="00D966B4">
        <w:rPr>
          <w:color w:val="000000" w:themeColor="text1"/>
        </w:rPr>
        <w:t xml:space="preserve"> household earnings and financial stability</w:t>
      </w:r>
      <w:r w:rsidR="00412BD1">
        <w:rPr>
          <w:color w:val="000000" w:themeColor="text1"/>
        </w:rPr>
        <w:t xml:space="preserve"> </w:t>
      </w:r>
      <w:r w:rsidR="00412BD1" w:rsidRPr="00412BD1">
        <w:rPr>
          <w:color w:val="000000" w:themeColor="text1"/>
        </w:rPr>
        <w:t>(Takeuchi et al., 2017)</w:t>
      </w:r>
      <w:r w:rsidR="00412BD1">
        <w:rPr>
          <w:color w:val="000000" w:themeColor="text1"/>
        </w:rPr>
        <w:t xml:space="preserve">, whilst education, </w:t>
      </w:r>
      <w:r w:rsidRPr="00D966B4">
        <w:rPr>
          <w:color w:val="000000" w:themeColor="text1"/>
        </w:rPr>
        <w:t>another key aspect</w:t>
      </w:r>
      <w:r w:rsidR="00412BD1">
        <w:rPr>
          <w:color w:val="000000" w:themeColor="text1"/>
        </w:rPr>
        <w:t xml:space="preserve"> of SES</w:t>
      </w:r>
      <w:r w:rsidRPr="00D966B4">
        <w:rPr>
          <w:color w:val="000000" w:themeColor="text1"/>
        </w:rPr>
        <w:t xml:space="preserve">, </w:t>
      </w:r>
      <w:r w:rsidR="00412BD1">
        <w:rPr>
          <w:color w:val="000000" w:themeColor="text1"/>
        </w:rPr>
        <w:t xml:space="preserve">looks at </w:t>
      </w:r>
      <w:r w:rsidRPr="00D966B4">
        <w:rPr>
          <w:color w:val="000000" w:themeColor="text1"/>
        </w:rPr>
        <w:t>the highest qualifications achieved, such as GCSEs, A-levels, vocational training, or degrees</w:t>
      </w:r>
      <w:r w:rsidR="00412BD1">
        <w:rPr>
          <w:color w:val="000000" w:themeColor="text1"/>
        </w:rPr>
        <w:t xml:space="preserve"> </w:t>
      </w:r>
      <w:r w:rsidR="00412BD1" w:rsidRPr="00C71B3C">
        <w:rPr>
          <w:color w:val="000000" w:themeColor="text1"/>
        </w:rPr>
        <w:t>(</w:t>
      </w:r>
      <w:r w:rsidR="00412BD1">
        <w:rPr>
          <w:color w:val="000000" w:themeColor="text1"/>
        </w:rPr>
        <w:t>G</w:t>
      </w:r>
      <w:r w:rsidR="00D74D80">
        <w:rPr>
          <w:color w:val="000000" w:themeColor="text1"/>
        </w:rPr>
        <w:t>OV</w:t>
      </w:r>
      <w:r w:rsidR="00412BD1">
        <w:rPr>
          <w:color w:val="000000" w:themeColor="text1"/>
        </w:rPr>
        <w:t>.</w:t>
      </w:r>
      <w:r w:rsidR="00412BD1" w:rsidRPr="00C71B3C">
        <w:rPr>
          <w:color w:val="000000" w:themeColor="text1"/>
        </w:rPr>
        <w:t>UK, 2024)</w:t>
      </w:r>
      <w:r w:rsidR="00412BD1">
        <w:rPr>
          <w:color w:val="000000" w:themeColor="text1"/>
        </w:rPr>
        <w:t>.</w:t>
      </w:r>
      <w:r w:rsidR="00222324">
        <w:rPr>
          <w:color w:val="000000" w:themeColor="text1"/>
        </w:rPr>
        <w:t xml:space="preserve"> </w:t>
      </w:r>
      <w:r w:rsidRPr="00D966B4">
        <w:rPr>
          <w:color w:val="000000" w:themeColor="text1"/>
        </w:rPr>
        <w:t xml:space="preserve">Occupation is commonly </w:t>
      </w:r>
      <w:r w:rsidR="00412BD1">
        <w:rPr>
          <w:color w:val="000000" w:themeColor="text1"/>
        </w:rPr>
        <w:t>categorised</w:t>
      </w:r>
      <w:r w:rsidRPr="00D966B4">
        <w:rPr>
          <w:color w:val="000000" w:themeColor="text1"/>
        </w:rPr>
        <w:t xml:space="preserve"> using the National Statistics </w:t>
      </w:r>
      <w:r w:rsidR="000F4DDE">
        <w:rPr>
          <w:color w:val="000000" w:themeColor="text1"/>
        </w:rPr>
        <w:t>Socioeconomic</w:t>
      </w:r>
      <w:r w:rsidRPr="00D966B4">
        <w:rPr>
          <w:color w:val="000000" w:themeColor="text1"/>
        </w:rPr>
        <w:t xml:space="preserve"> Classification (NS-SEC), which ranks jobs from higher managerial roles to routine and manual work, including those unemployed</w:t>
      </w:r>
      <w:r w:rsidR="00412BD1">
        <w:rPr>
          <w:color w:val="000000" w:themeColor="text1"/>
        </w:rPr>
        <w:t xml:space="preserve"> (ONS, 2021).</w:t>
      </w:r>
      <w:r w:rsidR="00222324">
        <w:rPr>
          <w:color w:val="000000" w:themeColor="text1"/>
        </w:rPr>
        <w:t xml:space="preserve"> </w:t>
      </w:r>
      <w:r w:rsidRPr="00D966B4">
        <w:rPr>
          <w:color w:val="000000" w:themeColor="text1"/>
        </w:rPr>
        <w:t>Wealth, including property ownership, savings, and investments, is another marker, highlighting disparities that often surpass those seen with income</w:t>
      </w:r>
      <w:r w:rsidR="006B3822">
        <w:rPr>
          <w:color w:val="000000" w:themeColor="text1"/>
        </w:rPr>
        <w:t xml:space="preserve"> </w:t>
      </w:r>
      <w:r w:rsidR="006B3822" w:rsidRPr="006B3822">
        <w:rPr>
          <w:color w:val="000000" w:themeColor="text1"/>
        </w:rPr>
        <w:t>(</w:t>
      </w:r>
      <w:proofErr w:type="spellStart"/>
      <w:r w:rsidR="006B3822" w:rsidRPr="006B3822">
        <w:rPr>
          <w:color w:val="000000" w:themeColor="text1"/>
        </w:rPr>
        <w:t>Choondiyanil</w:t>
      </w:r>
      <w:proofErr w:type="spellEnd"/>
      <w:r w:rsidR="006B3822" w:rsidRPr="006B3822">
        <w:rPr>
          <w:color w:val="000000" w:themeColor="text1"/>
        </w:rPr>
        <w:t>, 2024)</w:t>
      </w:r>
      <w:r w:rsidR="00222324">
        <w:rPr>
          <w:color w:val="000000" w:themeColor="text1"/>
        </w:rPr>
        <w:t xml:space="preserve"> </w:t>
      </w:r>
      <w:r w:rsidRPr="00D966B4">
        <w:rPr>
          <w:color w:val="000000" w:themeColor="text1"/>
        </w:rPr>
        <w:t>Housing is considered, looking at ownership, renting, or reliance on council housing alongside variations in housing quality</w:t>
      </w:r>
      <w:r w:rsidR="006B3822">
        <w:rPr>
          <w:color w:val="000000" w:themeColor="text1"/>
        </w:rPr>
        <w:t xml:space="preserve"> (IFS, 2023)</w:t>
      </w:r>
      <w:r w:rsidR="00222324">
        <w:rPr>
          <w:color w:val="000000" w:themeColor="text1"/>
        </w:rPr>
        <w:t xml:space="preserve"> </w:t>
      </w:r>
      <w:r w:rsidRPr="00D966B4">
        <w:rPr>
          <w:color w:val="000000" w:themeColor="text1"/>
        </w:rPr>
        <w:t xml:space="preserve">Health outcomes and access to care </w:t>
      </w:r>
      <w:r w:rsidR="00222324">
        <w:rPr>
          <w:color w:val="000000" w:themeColor="text1"/>
        </w:rPr>
        <w:t xml:space="preserve">also </w:t>
      </w:r>
      <w:r w:rsidRPr="00D966B4">
        <w:rPr>
          <w:color w:val="000000" w:themeColor="text1"/>
        </w:rPr>
        <w:t xml:space="preserve">often correlate with economic standing, and </w:t>
      </w:r>
      <w:r w:rsidR="00D06416">
        <w:rPr>
          <w:color w:val="000000" w:themeColor="text1"/>
        </w:rPr>
        <w:t xml:space="preserve">assessments </w:t>
      </w:r>
      <w:r w:rsidRPr="00D966B4">
        <w:rPr>
          <w:color w:val="000000" w:themeColor="text1"/>
        </w:rPr>
        <w:t>like the Index of Multiple Deprivation (</w:t>
      </w:r>
      <w:proofErr w:type="spellStart"/>
      <w:r w:rsidRPr="00D966B4">
        <w:rPr>
          <w:color w:val="000000" w:themeColor="text1"/>
        </w:rPr>
        <w:t>IMD</w:t>
      </w:r>
      <w:proofErr w:type="spellEnd"/>
      <w:r w:rsidRPr="00D966B4">
        <w:rPr>
          <w:color w:val="000000" w:themeColor="text1"/>
        </w:rPr>
        <w:t>) measure these</w:t>
      </w:r>
      <w:r w:rsidR="00222324">
        <w:rPr>
          <w:color w:val="000000" w:themeColor="text1"/>
        </w:rPr>
        <w:t>,</w:t>
      </w:r>
      <w:r w:rsidRPr="00D966B4">
        <w:rPr>
          <w:color w:val="000000" w:themeColor="text1"/>
        </w:rPr>
        <w:t xml:space="preserve"> alongside other factors </w:t>
      </w:r>
      <w:r w:rsidR="006B3822" w:rsidRPr="006B3822">
        <w:rPr>
          <w:color w:val="000000" w:themeColor="text1"/>
        </w:rPr>
        <w:t>(Abel et al., 2016)</w:t>
      </w:r>
      <w:r w:rsidR="006B3822">
        <w:rPr>
          <w:color w:val="000000" w:themeColor="text1"/>
        </w:rPr>
        <w:t>.</w:t>
      </w:r>
    </w:p>
    <w:p w14:paraId="0F7AFA54" w14:textId="115BA599" w:rsidR="00910A0E" w:rsidRDefault="00D966B4" w:rsidP="006171B0">
      <w:pPr>
        <w:spacing w:line="360" w:lineRule="auto"/>
        <w:rPr>
          <w:color w:val="000000"/>
        </w:rPr>
      </w:pPr>
      <w:r w:rsidRPr="00D966B4">
        <w:rPr>
          <w:color w:val="000000" w:themeColor="text1"/>
        </w:rPr>
        <w:t xml:space="preserve">Cultural and social capital, such as access to networks and activities, </w:t>
      </w:r>
      <w:r w:rsidR="00D06416">
        <w:rPr>
          <w:color w:val="000000" w:themeColor="text1"/>
        </w:rPr>
        <w:t xml:space="preserve">are also considered when assessing </w:t>
      </w:r>
      <w:r w:rsidRPr="00D966B4">
        <w:rPr>
          <w:color w:val="000000" w:themeColor="text1"/>
        </w:rPr>
        <w:t xml:space="preserve">SES. </w:t>
      </w:r>
      <w:r w:rsidR="00D06416" w:rsidRPr="00D06416">
        <w:rPr>
          <w:color w:val="000000" w:themeColor="text1"/>
        </w:rPr>
        <w:t>(Li et al., 2008</w:t>
      </w:r>
      <w:r w:rsidR="00D06416">
        <w:rPr>
          <w:color w:val="000000" w:themeColor="text1"/>
        </w:rPr>
        <w:t xml:space="preserve">; </w:t>
      </w:r>
      <w:r w:rsidR="00D06416">
        <w:rPr>
          <w:color w:val="000000"/>
        </w:rPr>
        <w:t>‌</w:t>
      </w:r>
      <w:r w:rsidR="00D06416" w:rsidRPr="00D06416">
        <w:rPr>
          <w:color w:val="000000"/>
        </w:rPr>
        <w:t>Nguyen, (2019).</w:t>
      </w:r>
      <w:r w:rsidR="00222324">
        <w:rPr>
          <w:color w:val="000000"/>
        </w:rPr>
        <w:t xml:space="preserve"> </w:t>
      </w:r>
      <w:r w:rsidR="00910A0E">
        <w:rPr>
          <w:color w:val="000000"/>
        </w:rPr>
        <w:t xml:space="preserve">Individuals in receipt of free school meals are often used in data when identifying individuals of low-SES </w:t>
      </w:r>
      <w:bookmarkStart w:id="1" w:name="_Hlk188106937"/>
      <w:r w:rsidR="00910A0E">
        <w:rPr>
          <w:color w:val="000000"/>
        </w:rPr>
        <w:t>(</w:t>
      </w:r>
      <w:r w:rsidR="00910A0E" w:rsidRPr="00910A0E">
        <w:rPr>
          <w:color w:val="000000"/>
        </w:rPr>
        <w:t>Has</w:t>
      </w:r>
      <w:r w:rsidR="00910A0E">
        <w:rPr>
          <w:color w:val="000000"/>
        </w:rPr>
        <w:t xml:space="preserve"> et</w:t>
      </w:r>
      <w:r w:rsidR="00AC3612">
        <w:rPr>
          <w:color w:val="000000"/>
        </w:rPr>
        <w:t xml:space="preserve"> </w:t>
      </w:r>
      <w:r w:rsidR="00910A0E">
        <w:rPr>
          <w:color w:val="000000"/>
        </w:rPr>
        <w:t>al., 2021)</w:t>
      </w:r>
      <w:bookmarkEnd w:id="1"/>
      <w:r w:rsidR="00910A0E">
        <w:rPr>
          <w:color w:val="000000"/>
        </w:rPr>
        <w:t xml:space="preserve">, noting in a </w:t>
      </w:r>
      <w:r w:rsidR="00193A71">
        <w:rPr>
          <w:color w:val="000000"/>
        </w:rPr>
        <w:t xml:space="preserve">European Union (Eurostat) </w:t>
      </w:r>
      <w:r w:rsidR="00910A0E">
        <w:rPr>
          <w:color w:val="000000"/>
        </w:rPr>
        <w:t>2020 report, nearly 30% of children in the UK live in relative poverty, with 15% and 23% reported in Germany and France respectively</w:t>
      </w:r>
      <w:r w:rsidR="00193A71">
        <w:rPr>
          <w:color w:val="000000"/>
        </w:rPr>
        <w:t xml:space="preserve"> (Eurostat. 2020)</w:t>
      </w:r>
      <w:r w:rsidR="00AC287D">
        <w:rPr>
          <w:color w:val="000000"/>
        </w:rPr>
        <w:t>.</w:t>
      </w:r>
    </w:p>
    <w:p w14:paraId="45F790B5" w14:textId="06F3F7A7" w:rsidR="00CE1D2A" w:rsidRPr="00910A0E" w:rsidRDefault="00222324" w:rsidP="006171B0">
      <w:pPr>
        <w:spacing w:line="360" w:lineRule="auto"/>
        <w:rPr>
          <w:color w:val="000000"/>
        </w:rPr>
      </w:pPr>
      <w:r>
        <w:rPr>
          <w:color w:val="000000" w:themeColor="text1"/>
        </w:rPr>
        <w:t>In terms of education, r</w:t>
      </w:r>
      <w:r w:rsidRPr="009712D3">
        <w:rPr>
          <w:color w:val="000000" w:themeColor="text1"/>
        </w:rPr>
        <w:t>esearch shows</w:t>
      </w:r>
      <w:r w:rsidR="009712D3" w:rsidRPr="009712D3">
        <w:rPr>
          <w:color w:val="000000" w:themeColor="text1"/>
        </w:rPr>
        <w:t xml:space="preserve"> that students from higher SES backgrounds are more likely to </w:t>
      </w:r>
      <w:r w:rsidR="009712D3">
        <w:rPr>
          <w:color w:val="000000" w:themeColor="text1"/>
        </w:rPr>
        <w:t>enrol</w:t>
      </w:r>
      <w:r w:rsidR="009712D3" w:rsidRPr="009712D3">
        <w:rPr>
          <w:color w:val="000000" w:themeColor="text1"/>
        </w:rPr>
        <w:t xml:space="preserve"> in and complete</w:t>
      </w:r>
      <w:r>
        <w:rPr>
          <w:color w:val="000000" w:themeColor="text1"/>
        </w:rPr>
        <w:t xml:space="preserve"> higher education (HE) </w:t>
      </w:r>
      <w:r w:rsidR="009712D3" w:rsidRPr="009712D3">
        <w:rPr>
          <w:color w:val="000000" w:themeColor="text1"/>
        </w:rPr>
        <w:t xml:space="preserve">programs </w:t>
      </w:r>
      <w:r w:rsidR="003821DE">
        <w:rPr>
          <w:color w:val="000000" w:themeColor="text1"/>
        </w:rPr>
        <w:t>than</w:t>
      </w:r>
      <w:r w:rsidR="009712D3" w:rsidRPr="009712D3">
        <w:rPr>
          <w:color w:val="000000" w:themeColor="text1"/>
        </w:rPr>
        <w:t xml:space="preserve"> their lower SES </w:t>
      </w:r>
      <w:r w:rsidR="009712D3" w:rsidRPr="009712D3">
        <w:rPr>
          <w:color w:val="000000" w:themeColor="text1"/>
        </w:rPr>
        <w:lastRenderedPageBreak/>
        <w:t>counterparts.</w:t>
      </w:r>
      <w:r>
        <w:rPr>
          <w:color w:val="000000" w:themeColor="text1"/>
        </w:rPr>
        <w:t>, with t</w:t>
      </w:r>
      <w:r w:rsidR="009712D3" w:rsidRPr="009712D3">
        <w:rPr>
          <w:color w:val="000000" w:themeColor="text1"/>
        </w:rPr>
        <w:t xml:space="preserve">his disparity </w:t>
      </w:r>
      <w:r w:rsidRPr="009712D3">
        <w:rPr>
          <w:color w:val="000000" w:themeColor="text1"/>
        </w:rPr>
        <w:t>o</w:t>
      </w:r>
      <w:r>
        <w:rPr>
          <w:color w:val="000000" w:themeColor="text1"/>
        </w:rPr>
        <w:t>ften</w:t>
      </w:r>
      <w:r w:rsidR="009712D3">
        <w:rPr>
          <w:color w:val="000000" w:themeColor="text1"/>
        </w:rPr>
        <w:t xml:space="preserve"> </w:t>
      </w:r>
      <w:r w:rsidR="009712D3" w:rsidRPr="009712D3">
        <w:rPr>
          <w:color w:val="000000" w:themeColor="text1"/>
        </w:rPr>
        <w:t>attributed to access to resources, parental education levels, and social capital</w:t>
      </w:r>
      <w:r w:rsidR="008B3F9D">
        <w:rPr>
          <w:color w:val="000000" w:themeColor="text1"/>
        </w:rPr>
        <w:t xml:space="preserve"> </w:t>
      </w:r>
      <w:r w:rsidR="008B3F9D" w:rsidRPr="008B3F9D">
        <w:rPr>
          <w:color w:val="000000" w:themeColor="text1"/>
        </w:rPr>
        <w:t>(</w:t>
      </w:r>
      <w:r w:rsidR="00AC3612" w:rsidRPr="008B3F9D">
        <w:rPr>
          <w:color w:val="000000" w:themeColor="text1"/>
        </w:rPr>
        <w:t>Crawford,</w:t>
      </w:r>
      <w:r w:rsidR="00AC3612">
        <w:rPr>
          <w:color w:val="000000" w:themeColor="text1"/>
        </w:rPr>
        <w:t xml:space="preserve"> 2014; </w:t>
      </w:r>
      <w:r w:rsidR="008B3F9D" w:rsidRPr="008B3F9D">
        <w:rPr>
          <w:color w:val="000000" w:themeColor="text1"/>
        </w:rPr>
        <w:t>Galindo-Rueda et al., 2004)</w:t>
      </w:r>
      <w:r w:rsidR="00CE1D2A">
        <w:rPr>
          <w:color w:val="000000" w:themeColor="text1"/>
        </w:rPr>
        <w:t>.</w:t>
      </w:r>
    </w:p>
    <w:p w14:paraId="4F4BA57F" w14:textId="3CF88343" w:rsidR="004272F4" w:rsidRDefault="00AE3BFD" w:rsidP="006171B0">
      <w:pPr>
        <w:spacing w:line="360" w:lineRule="auto"/>
      </w:pPr>
      <w:r w:rsidRPr="00AE3BFD">
        <w:t xml:space="preserve">Research </w:t>
      </w:r>
      <w:r w:rsidR="004219B2">
        <w:t xml:space="preserve">further </w:t>
      </w:r>
      <w:r w:rsidRPr="00AE3BFD">
        <w:t xml:space="preserve">indicates that students from lower-income backgrounds face systemic barriers to </w:t>
      </w:r>
      <w:r w:rsidR="00222324">
        <w:t xml:space="preserve">HE </w:t>
      </w:r>
      <w:proofErr w:type="gramStart"/>
      <w:r w:rsidRPr="00AE3BFD">
        <w:t>access</w:t>
      </w:r>
      <w:proofErr w:type="gramEnd"/>
      <w:r w:rsidRPr="00AE3BFD">
        <w:t>, integration, retention, and long-term opportunities</w:t>
      </w:r>
      <w:r w:rsidR="004219B2">
        <w:t xml:space="preserve"> </w:t>
      </w:r>
      <w:r w:rsidR="004219B2" w:rsidRPr="004219B2">
        <w:t>(Bolton &amp; Lewis, 2024)</w:t>
      </w:r>
      <w:r w:rsidR="004219B2">
        <w:t xml:space="preserve">. </w:t>
      </w:r>
      <w:r w:rsidRPr="00AE3BFD">
        <w:t xml:space="preserve">These challenges are not isolated to </w:t>
      </w:r>
      <w:r w:rsidR="00222324">
        <w:t xml:space="preserve">the </w:t>
      </w:r>
      <w:r w:rsidRPr="00AE3BFD">
        <w:t>admissions</w:t>
      </w:r>
      <w:r w:rsidR="006A37EC">
        <w:t xml:space="preserve"> </w:t>
      </w:r>
      <w:r w:rsidR="00222324">
        <w:t xml:space="preserve">stage, </w:t>
      </w:r>
      <w:r w:rsidR="004272F4">
        <w:t xml:space="preserve">as </w:t>
      </w:r>
      <w:r w:rsidR="00222324">
        <w:t>undergraduates, these barriers can</w:t>
      </w:r>
      <w:r w:rsidR="004272F4">
        <w:t xml:space="preserve"> persist </w:t>
      </w:r>
      <w:r w:rsidRPr="00AE3BFD">
        <w:t xml:space="preserve">throughout the academic and post-graduation </w:t>
      </w:r>
      <w:r w:rsidR="004272F4">
        <w:t xml:space="preserve">academic or employment </w:t>
      </w:r>
      <w:r w:rsidRPr="00AE3BFD">
        <w:t xml:space="preserve">journey </w:t>
      </w:r>
      <w:r w:rsidR="00222324">
        <w:t>(</w:t>
      </w:r>
      <w:r w:rsidR="00222324" w:rsidRPr="00222324">
        <w:t>Bolton &amp; Lewis, 2024</w:t>
      </w:r>
      <w:r w:rsidR="00222324">
        <w:t>)</w:t>
      </w:r>
      <w:r w:rsidR="00D74D80">
        <w:t>.</w:t>
      </w:r>
    </w:p>
    <w:p w14:paraId="529E3D56" w14:textId="05D7BEF3" w:rsidR="00AE3BFD" w:rsidRPr="00AE3BFD" w:rsidRDefault="00AE3BFD" w:rsidP="006171B0">
      <w:pPr>
        <w:spacing w:line="360" w:lineRule="auto"/>
      </w:pPr>
      <w:r w:rsidRPr="00AE3BFD">
        <w:t xml:space="preserve">This </w:t>
      </w:r>
      <w:r w:rsidR="004272F4">
        <w:t xml:space="preserve">narrative </w:t>
      </w:r>
      <w:r w:rsidRPr="00AE3BFD">
        <w:t xml:space="preserve">literature review </w:t>
      </w:r>
      <w:r w:rsidR="004272F4">
        <w:t>examines ten significant studies</w:t>
      </w:r>
      <w:r w:rsidR="00222324">
        <w:t xml:space="preserve"> and reports</w:t>
      </w:r>
      <w:r w:rsidR="004272F4">
        <w:t xml:space="preserve"> that explore the role of SES in HE from various perspectives</w:t>
      </w:r>
      <w:r w:rsidR="00222324">
        <w:t>. Each offers diverse methodologies and approaches to better understanding</w:t>
      </w:r>
      <w:r w:rsidR="004219B2">
        <w:t xml:space="preserve"> </w:t>
      </w:r>
      <w:r w:rsidR="004272F4">
        <w:t>low-SES inequalities.</w:t>
      </w:r>
    </w:p>
    <w:p w14:paraId="1BA3FE83" w14:textId="59A0FEB6" w:rsidR="00AE3BFD" w:rsidRPr="00AE3BFD" w:rsidRDefault="00AE3BFD" w:rsidP="006171B0">
      <w:pPr>
        <w:spacing w:line="360" w:lineRule="auto"/>
      </w:pPr>
      <w:r w:rsidRPr="00AE3BFD">
        <w:t xml:space="preserve">The disparity in access to </w:t>
      </w:r>
      <w:r w:rsidR="008958DE">
        <w:t>HE</w:t>
      </w:r>
      <w:r w:rsidR="00F24A2E">
        <w:t xml:space="preserve"> for low-SES </w:t>
      </w:r>
      <w:r w:rsidRPr="00AE3BFD">
        <w:t>is well-documented</w:t>
      </w:r>
      <w:r w:rsidR="00AC287D">
        <w:t>,</w:t>
      </w:r>
      <w:r w:rsidR="007677D9">
        <w:t xml:space="preserve"> </w:t>
      </w:r>
      <w:r w:rsidR="00F24A2E">
        <w:t xml:space="preserve">especially for ‘elite’ universities </w:t>
      </w:r>
      <w:r w:rsidR="00F24A2E" w:rsidRPr="00F24A2E">
        <w:t>(Mateos-González &amp; Wakeling, 2021)</w:t>
      </w:r>
      <w:r w:rsidR="00F24A2E">
        <w:t xml:space="preserve">. </w:t>
      </w:r>
      <w:r w:rsidRPr="00AE3BFD">
        <w:t>Financial limitations, early academic tracking, and institutional biases disproportionately affect students from low-SES backgrounds</w:t>
      </w:r>
      <w:r w:rsidR="00F24A2E">
        <w:t xml:space="preserve"> </w:t>
      </w:r>
      <w:r w:rsidR="00F24A2E" w:rsidRPr="00F24A2E">
        <w:t>(Crawford et al., 2016)</w:t>
      </w:r>
      <w:r w:rsidR="00F24A2E">
        <w:t>. In this 10</w:t>
      </w:r>
      <w:r w:rsidR="00D06416">
        <w:t>-</w:t>
      </w:r>
      <w:r w:rsidR="00F24A2E">
        <w:t xml:space="preserve">paper </w:t>
      </w:r>
      <w:r w:rsidR="00AC287D">
        <w:t>review</w:t>
      </w:r>
      <w:r w:rsidR="00F24A2E">
        <w:t>, s</w:t>
      </w:r>
      <w:r w:rsidRPr="00AE3BFD">
        <w:t xml:space="preserve">tudies such as those by </w:t>
      </w:r>
      <w:r w:rsidRPr="008F7BD9">
        <w:t>Britton et al.</w:t>
      </w:r>
      <w:r w:rsidR="008F7BD9" w:rsidRPr="008F7BD9">
        <w:t xml:space="preserve"> (202</w:t>
      </w:r>
      <w:r w:rsidR="001E39B1">
        <w:t>1</w:t>
      </w:r>
      <w:r w:rsidR="002E0EE8">
        <w:t>) and</w:t>
      </w:r>
      <w:r w:rsidR="008F7BD9" w:rsidRPr="008F7BD9">
        <w:t xml:space="preserve"> </w:t>
      </w:r>
      <w:r w:rsidRPr="008F7BD9">
        <w:t>Mateos-González</w:t>
      </w:r>
      <w:r w:rsidR="008F7BD9" w:rsidRPr="008F7BD9">
        <w:t xml:space="preserve"> </w:t>
      </w:r>
      <w:r w:rsidR="002E0EE8">
        <w:t xml:space="preserve">&amp; </w:t>
      </w:r>
      <w:r w:rsidRPr="002E0EE8">
        <w:rPr>
          <w:color w:val="000000" w:themeColor="text1"/>
        </w:rPr>
        <w:t>Wakeling</w:t>
      </w:r>
      <w:r w:rsidR="002E0EE8" w:rsidRPr="002E0EE8">
        <w:rPr>
          <w:color w:val="000000" w:themeColor="text1"/>
        </w:rPr>
        <w:t xml:space="preserve"> (2021)</w:t>
      </w:r>
      <w:r w:rsidRPr="002E0EE8">
        <w:rPr>
          <w:color w:val="000000" w:themeColor="text1"/>
        </w:rPr>
        <w:t xml:space="preserve"> </w:t>
      </w:r>
      <w:r w:rsidRPr="00AE3BFD">
        <w:t xml:space="preserve">provide quantitative insights into these barriers, focusing on enrolment trends and economic returns. However, these analyses often omit the nuanced lived experiences of affected students, </w:t>
      </w:r>
      <w:r w:rsidR="002E0EE8">
        <w:t xml:space="preserve">which is </w:t>
      </w:r>
      <w:r w:rsidRPr="00AE3BFD">
        <w:t>central to</w:t>
      </w:r>
      <w:r w:rsidR="002E0EE8">
        <w:t xml:space="preserve"> the research of </w:t>
      </w:r>
      <w:r w:rsidRPr="00663E3E">
        <w:rPr>
          <w:color w:val="000000" w:themeColor="text1"/>
        </w:rPr>
        <w:t>Reay</w:t>
      </w:r>
      <w:r w:rsidR="00663E3E" w:rsidRPr="00663E3E">
        <w:rPr>
          <w:color w:val="000000" w:themeColor="text1"/>
        </w:rPr>
        <w:t xml:space="preserve"> (2021)</w:t>
      </w:r>
      <w:r w:rsidRPr="00663E3E">
        <w:rPr>
          <w:color w:val="000000" w:themeColor="text1"/>
        </w:rPr>
        <w:t xml:space="preserve">, </w:t>
      </w:r>
      <w:r w:rsidRPr="00AE3BFD">
        <w:t>where qualitative methods highlight structural inequities and psychological barriers.</w:t>
      </w:r>
    </w:p>
    <w:p w14:paraId="7D679B23" w14:textId="0E7B226A" w:rsidR="00AE3BFD" w:rsidRPr="00AE3BFD" w:rsidRDefault="00AE3BFD" w:rsidP="006171B0">
      <w:pPr>
        <w:spacing w:line="360" w:lineRule="auto"/>
      </w:pPr>
      <w:r w:rsidRPr="00AE3BFD">
        <w:t xml:space="preserve">Once admitted, integration into </w:t>
      </w:r>
      <w:r w:rsidR="00F70782">
        <w:t xml:space="preserve">HE </w:t>
      </w:r>
      <w:r w:rsidRPr="00AE3BFD">
        <w:t>academic and social environments presents further hurdles for low-SES students</w:t>
      </w:r>
      <w:r w:rsidR="00102C87">
        <w:t>, not least learning alongside students from a higher SES (</w:t>
      </w:r>
      <w:r w:rsidR="00102C87" w:rsidRPr="00102C87">
        <w:t>Devlin</w:t>
      </w:r>
      <w:r w:rsidR="00893445">
        <w:t xml:space="preserve">, </w:t>
      </w:r>
      <w:r w:rsidR="00102C87" w:rsidRPr="00102C87">
        <w:t xml:space="preserve">2014). </w:t>
      </w:r>
      <w:r w:rsidR="00102C87">
        <w:t xml:space="preserve"> </w:t>
      </w:r>
      <w:r w:rsidRPr="00AE3BFD">
        <w:t>Cultural capital or the familiarity with norms and expectations</w:t>
      </w:r>
      <w:r w:rsidR="00102C87">
        <w:t xml:space="preserve"> often expressed</w:t>
      </w:r>
      <w:r w:rsidRPr="00AE3BFD">
        <w:t xml:space="preserve"> in </w:t>
      </w:r>
      <w:r w:rsidR="008958DE">
        <w:t>HE</w:t>
      </w:r>
      <w:r w:rsidRPr="00AE3BFD">
        <w:t>, is often limited among this group</w:t>
      </w:r>
      <w:r w:rsidR="00F32DCD">
        <w:t xml:space="preserve"> </w:t>
      </w:r>
      <w:r w:rsidR="00F32DCD" w:rsidRPr="00F32DCD">
        <w:t>(Hannon et al., 2017)</w:t>
      </w:r>
      <w:r w:rsidR="004272F4">
        <w:t>, with Ahn &amp; Davis (202</w:t>
      </w:r>
      <w:r w:rsidR="00D74D80">
        <w:t>0</w:t>
      </w:r>
      <w:r w:rsidR="004272F4">
        <w:t>) suggesting</w:t>
      </w:r>
      <w:r w:rsidRPr="00AE3BFD">
        <w:t xml:space="preserve"> </w:t>
      </w:r>
      <w:r w:rsidR="004272F4">
        <w:t>that attempts to improve engagement for low-SES students will remain superficial without addressing structural inequities</w:t>
      </w:r>
      <w:r w:rsidRPr="00AE3BFD">
        <w:t>.</w:t>
      </w:r>
    </w:p>
    <w:p w14:paraId="0AB78CB9" w14:textId="31C6BA1F" w:rsidR="00AE3BFD" w:rsidRPr="00AE3BFD" w:rsidRDefault="00AE3BFD" w:rsidP="006171B0">
      <w:pPr>
        <w:spacing w:line="360" w:lineRule="auto"/>
      </w:pPr>
      <w:r w:rsidRPr="00AE3BFD">
        <w:t xml:space="preserve">Financial barriers remain a significant determinant of both access and retention. </w:t>
      </w:r>
      <w:r w:rsidR="00AC287D">
        <w:t xml:space="preserve">Bakour </w:t>
      </w:r>
      <w:r w:rsidR="008F7BD9" w:rsidRPr="008F7BD9">
        <w:t>(2024)</w:t>
      </w:r>
      <w:r w:rsidRPr="008F7BD9">
        <w:t xml:space="preserve"> </w:t>
      </w:r>
      <w:r w:rsidR="00AC287D">
        <w:t xml:space="preserve">suggests </w:t>
      </w:r>
      <w:r w:rsidRPr="00AE3BFD">
        <w:t xml:space="preserve">targeted interventions, such as financial aid and mentorship programs, as effective measures to reduce barriers. In </w:t>
      </w:r>
      <w:r w:rsidRPr="00D74D80">
        <w:rPr>
          <w:color w:val="000000" w:themeColor="text1"/>
        </w:rPr>
        <w:t xml:space="preserve">contrast, Aina </w:t>
      </w:r>
      <w:r w:rsidRPr="00B50EC8">
        <w:rPr>
          <w:color w:val="000000" w:themeColor="text1"/>
        </w:rPr>
        <w:t xml:space="preserve">et al. </w:t>
      </w:r>
      <w:r w:rsidR="00B50EC8" w:rsidRPr="00B50EC8">
        <w:rPr>
          <w:color w:val="000000" w:themeColor="text1"/>
        </w:rPr>
        <w:t>(202</w:t>
      </w:r>
      <w:r w:rsidR="00893445">
        <w:rPr>
          <w:color w:val="000000" w:themeColor="text1"/>
        </w:rPr>
        <w:t>2</w:t>
      </w:r>
      <w:r w:rsidR="00B50EC8" w:rsidRPr="00B50EC8">
        <w:rPr>
          <w:color w:val="000000" w:themeColor="text1"/>
        </w:rPr>
        <w:t xml:space="preserve">) </w:t>
      </w:r>
      <w:r w:rsidR="006615AB" w:rsidRPr="001D7135">
        <w:t>emphasise</w:t>
      </w:r>
      <w:r w:rsidRPr="00AE3BFD">
        <w:t xml:space="preserve"> the broader systemic challenges, such as balancing academic demands with financial constraints, which are not resolved by </w:t>
      </w:r>
      <w:r w:rsidR="00AC287D">
        <w:t xml:space="preserve">such targeted </w:t>
      </w:r>
      <w:r w:rsidRPr="00AE3BFD">
        <w:t xml:space="preserve">interventions alone. This highlights </w:t>
      </w:r>
      <w:r w:rsidR="003A68DD">
        <w:t xml:space="preserve">the challenge of </w:t>
      </w:r>
      <w:r w:rsidRPr="00AE3BFD">
        <w:lastRenderedPageBreak/>
        <w:t>ongoing debates regarding the effectiveness of addressing immediate needs versus implementing long-term systemic reforms.</w:t>
      </w:r>
    </w:p>
    <w:p w14:paraId="3E9E4430" w14:textId="0FFD9DC8" w:rsidR="00AE3BFD" w:rsidRPr="00AE3BFD" w:rsidRDefault="00222324" w:rsidP="006171B0">
      <w:pPr>
        <w:spacing w:line="360" w:lineRule="auto"/>
      </w:pPr>
      <w:r>
        <w:t>Even with such research focus, p</w:t>
      </w:r>
      <w:r w:rsidR="00AE3BFD" w:rsidRPr="00AE3BFD">
        <w:t xml:space="preserve">olicy </w:t>
      </w:r>
      <w:r w:rsidR="003A68DD">
        <w:t xml:space="preserve">interventions </w:t>
      </w:r>
      <w:r w:rsidR="00AE3BFD" w:rsidRPr="00AE3BFD">
        <w:t xml:space="preserve">to widen participation have </w:t>
      </w:r>
      <w:r w:rsidR="00AC3F11">
        <w:t>continued to achieve</w:t>
      </w:r>
      <w:r w:rsidR="00AE3BFD" w:rsidRPr="00AE3BFD">
        <w:t xml:space="preserve"> mixed outcomes</w:t>
      </w:r>
      <w:r w:rsidR="0084242E">
        <w:t xml:space="preserve"> (Britton et al., 202</w:t>
      </w:r>
      <w:r w:rsidR="001E39B1">
        <w:t>1</w:t>
      </w:r>
      <w:r w:rsidR="0084242E">
        <w:t xml:space="preserve">). </w:t>
      </w:r>
      <w:r w:rsidR="00AE3BFD" w:rsidRPr="00AE3BFD">
        <w:t xml:space="preserve">While some </w:t>
      </w:r>
      <w:r w:rsidR="003A68DD">
        <w:t xml:space="preserve">show the potential benefits of effective policy interventions </w:t>
      </w:r>
      <w:r w:rsidR="003A68DD" w:rsidRPr="003A68DD">
        <w:t>(Chetty et al., 2020)</w:t>
      </w:r>
      <w:r w:rsidR="003A68DD">
        <w:t xml:space="preserve">, research </w:t>
      </w:r>
      <w:r w:rsidR="00AE3BFD" w:rsidRPr="00AE3BFD">
        <w:t xml:space="preserve">such as </w:t>
      </w:r>
      <w:r w:rsidR="00AE3BFD" w:rsidRPr="008F7BD9">
        <w:t>Cunningham</w:t>
      </w:r>
      <w:r w:rsidR="008F7BD9" w:rsidRPr="008F7BD9">
        <w:t xml:space="preserve"> &amp; </w:t>
      </w:r>
      <w:r w:rsidR="00AE3BFD" w:rsidRPr="008F7BD9">
        <w:t>Samson</w:t>
      </w:r>
      <w:r w:rsidR="008F7BD9" w:rsidRPr="008F7BD9">
        <w:t xml:space="preserve"> (2021)</w:t>
      </w:r>
      <w:r w:rsidR="00AE3BFD" w:rsidRPr="008F7BD9">
        <w:t xml:space="preserve"> </w:t>
      </w:r>
      <w:r w:rsidR="00AC287D">
        <w:t>suggests</w:t>
      </w:r>
      <w:r w:rsidR="00AE3BFD" w:rsidRPr="00AE3BFD">
        <w:t xml:space="preserve"> that many </w:t>
      </w:r>
      <w:r w:rsidR="00AC287D">
        <w:t xml:space="preserve">SES </w:t>
      </w:r>
      <w:r w:rsidR="00AE3BFD" w:rsidRPr="00AE3BFD">
        <w:t>policies reinforce existing inequities rather than dismantling them</w:t>
      </w:r>
      <w:r w:rsidR="00376B47">
        <w:t xml:space="preserve">, stating the deficiencies of a </w:t>
      </w:r>
      <w:r w:rsidR="00AE3BFD" w:rsidRPr="00AE3BFD">
        <w:t>neoliberal meritocracy, where market-driven priorities</w:t>
      </w:r>
      <w:r w:rsidR="00376B47">
        <w:t xml:space="preserve"> determine </w:t>
      </w:r>
      <w:r w:rsidR="00AE3BFD" w:rsidRPr="00AE3BFD">
        <w:t>institutional practices at the expense of equity</w:t>
      </w:r>
      <w:r w:rsidR="00AC287D">
        <w:t>.</w:t>
      </w:r>
    </w:p>
    <w:p w14:paraId="58AABB01" w14:textId="2FDF06C3" w:rsidR="00AE3BFD" w:rsidRPr="00AE3BFD" w:rsidRDefault="00AC287D" w:rsidP="006171B0">
      <w:pPr>
        <w:spacing w:line="360" w:lineRule="auto"/>
      </w:pPr>
      <w:r>
        <w:t xml:space="preserve">In addition, </w:t>
      </w:r>
      <w:r w:rsidR="0084242E">
        <w:t xml:space="preserve">research indicates </w:t>
      </w:r>
      <w:r>
        <w:t>t</w:t>
      </w:r>
      <w:r w:rsidR="00AE3BFD" w:rsidRPr="00AE3BFD">
        <w:t xml:space="preserve">he impact of </w:t>
      </w:r>
      <w:r>
        <w:t>low-</w:t>
      </w:r>
      <w:r w:rsidR="00AE3BFD" w:rsidRPr="00AE3BFD">
        <w:t xml:space="preserve">SES </w:t>
      </w:r>
      <w:r>
        <w:t xml:space="preserve">HE students </w:t>
      </w:r>
      <w:r w:rsidR="00AE3BFD" w:rsidRPr="00AE3BFD">
        <w:t>extends beyond the</w:t>
      </w:r>
      <w:r>
        <w:t>ir</w:t>
      </w:r>
      <w:r w:rsidR="00AE3BFD" w:rsidRPr="00AE3BFD">
        <w:t xml:space="preserve"> </w:t>
      </w:r>
      <w:r w:rsidR="00376B47">
        <w:t xml:space="preserve">undergraduate </w:t>
      </w:r>
      <w:r w:rsidR="00AE3BFD" w:rsidRPr="00AE3BFD">
        <w:t>university experience</w:t>
      </w:r>
      <w:r>
        <w:t xml:space="preserve">. </w:t>
      </w:r>
      <w:r w:rsidR="00AE3BFD" w:rsidRPr="00AE3BFD">
        <w:t>Higher-income graduates are more likely to secure advanced degrees and higher-paying roles</w:t>
      </w:r>
      <w:r w:rsidR="00376B47">
        <w:t xml:space="preserve"> </w:t>
      </w:r>
      <w:r w:rsidR="00376B47" w:rsidRPr="008F7BD9">
        <w:t>(</w:t>
      </w:r>
      <w:r w:rsidR="00AE3BFD" w:rsidRPr="008F7BD9">
        <w:t xml:space="preserve">Mateos-González </w:t>
      </w:r>
      <w:r w:rsidR="008F7BD9" w:rsidRPr="008F7BD9">
        <w:t xml:space="preserve">&amp; </w:t>
      </w:r>
      <w:r w:rsidR="00AE3BFD" w:rsidRPr="008F7BD9">
        <w:t>Wakeling</w:t>
      </w:r>
      <w:r w:rsidR="00893445">
        <w:t>,</w:t>
      </w:r>
      <w:r w:rsidR="008F7BD9">
        <w:t xml:space="preserve"> 2021</w:t>
      </w:r>
      <w:r w:rsidR="00376B47" w:rsidRPr="008F7BD9">
        <w:t>)</w:t>
      </w:r>
      <w:r w:rsidR="00AE3BFD" w:rsidRPr="008F7BD9">
        <w:t>,</w:t>
      </w:r>
      <w:r w:rsidR="00AE3BFD" w:rsidRPr="00376B47">
        <w:rPr>
          <w:color w:val="FF0000"/>
        </w:rPr>
        <w:t xml:space="preserve"> </w:t>
      </w:r>
      <w:r w:rsidR="00AE3BFD" w:rsidRPr="00AE3BFD">
        <w:t xml:space="preserve">while low-SES graduates </w:t>
      </w:r>
      <w:r w:rsidR="00376B47">
        <w:t xml:space="preserve">can still subsequently </w:t>
      </w:r>
      <w:r w:rsidR="00AE3BFD" w:rsidRPr="00AE3BFD">
        <w:t>face systemic barriers in both employment and career progression</w:t>
      </w:r>
      <w:r w:rsidR="00932E3B">
        <w:t>,</w:t>
      </w:r>
      <w:r w:rsidR="00376B47">
        <w:t xml:space="preserve"> </w:t>
      </w:r>
      <w:r w:rsidR="00AE3BFD" w:rsidRPr="00AE3BFD">
        <w:t>challeng</w:t>
      </w:r>
      <w:r w:rsidR="00376B47">
        <w:t>ing</w:t>
      </w:r>
      <w:r w:rsidR="00AE3BFD" w:rsidRPr="00AE3BFD">
        <w:t xml:space="preserve"> the notion of </w:t>
      </w:r>
      <w:r w:rsidR="008958DE">
        <w:t>HE</w:t>
      </w:r>
      <w:r w:rsidR="00AE3BFD" w:rsidRPr="00AE3BFD">
        <w:t xml:space="preserve"> as an </w:t>
      </w:r>
      <w:r w:rsidR="00376B47">
        <w:t>equaliser</w:t>
      </w:r>
      <w:r w:rsidR="00AE3BFD" w:rsidRPr="00AE3BFD">
        <w:t>, instead pointing to persistent structural disparities</w:t>
      </w:r>
      <w:r w:rsidR="00376B47">
        <w:t xml:space="preserve"> (IFS, 2022)</w:t>
      </w:r>
      <w:r>
        <w:t>.</w:t>
      </w:r>
    </w:p>
    <w:p w14:paraId="28D4FFD7" w14:textId="3E1ADFE7" w:rsidR="00AE3BFD" w:rsidRPr="00AE3BFD" w:rsidRDefault="004272F4" w:rsidP="006171B0">
      <w:pPr>
        <w:spacing w:line="360" w:lineRule="auto"/>
      </w:pPr>
      <w:r>
        <w:t>This review will critically analyse research findings and recommendations but also examine the methodological approaches, ontological assumptions, and epistemological frameworks on which those recommendations are based. It will examine</w:t>
      </w:r>
      <w:r w:rsidR="00AC287D">
        <w:t xml:space="preserve"> how quantitative research provides critical data on trends and outcomes, while qualitative studies offer depth by capturing individual experiences. It will consider how bridging these approaches is crucial for developing understood, practical strategies that ensure equitable access and outcomes for all students, especially those with low-SES </w:t>
      </w:r>
      <w:r w:rsidR="008F7BD9">
        <w:t>backgrounds</w:t>
      </w:r>
      <w:r w:rsidR="0084242E">
        <w:t>, and subsequently provide recommendations for future research to improve mixed reception of wider participation policy relating to low-SES students (Britton et</w:t>
      </w:r>
      <w:r w:rsidR="00893445">
        <w:t xml:space="preserve"> </w:t>
      </w:r>
      <w:r w:rsidR="0084242E">
        <w:t>al., 202</w:t>
      </w:r>
      <w:r w:rsidR="001E39B1">
        <w:t>1</w:t>
      </w:r>
      <w:r w:rsidR="0084242E">
        <w:t>).</w:t>
      </w:r>
    </w:p>
    <w:p w14:paraId="0E6792DB" w14:textId="77777777" w:rsidR="00AE3BFD" w:rsidRPr="008F7BD9" w:rsidRDefault="00AE3BFD" w:rsidP="006171B0">
      <w:pPr>
        <w:pStyle w:val="Heading1"/>
        <w:spacing w:line="360" w:lineRule="auto"/>
      </w:pPr>
      <w:bookmarkStart w:id="2" w:name="_Toc188210482"/>
      <w:r w:rsidRPr="008F7BD9">
        <w:t>Search Methodology</w:t>
      </w:r>
      <w:bookmarkEnd w:id="2"/>
    </w:p>
    <w:p w14:paraId="3679946E" w14:textId="1F0F2E72" w:rsidR="00AE3BFD" w:rsidRPr="00AE3BFD" w:rsidRDefault="00AE3BFD" w:rsidP="006171B0">
      <w:pPr>
        <w:spacing w:line="360" w:lineRule="auto"/>
      </w:pPr>
      <w:r w:rsidRPr="00AE3BFD">
        <w:t>The impact of socioeconomic status on access to</w:t>
      </w:r>
      <w:r w:rsidR="00AC287D">
        <w:t>,</w:t>
      </w:r>
      <w:r w:rsidRPr="00AE3BFD">
        <w:t xml:space="preserve"> and success within</w:t>
      </w:r>
      <w:r w:rsidR="00AC287D">
        <w:t>,</w:t>
      </w:r>
      <w:r w:rsidRPr="00AE3BFD">
        <w:t xml:space="preserve"> UK </w:t>
      </w:r>
      <w:r w:rsidR="008958DE">
        <w:t>HE</w:t>
      </w:r>
      <w:r w:rsidRPr="00AE3BFD">
        <w:t xml:space="preserve"> institutions</w:t>
      </w:r>
      <w:r w:rsidR="00CE1D2A">
        <w:t xml:space="preserve">, specifically literature associated with individuals from low socioeconomic </w:t>
      </w:r>
      <w:r w:rsidR="008F7BD9">
        <w:t xml:space="preserve">status, </w:t>
      </w:r>
      <w:r w:rsidR="008F7BD9" w:rsidRPr="00AE3BFD">
        <w:t>was</w:t>
      </w:r>
      <w:r w:rsidRPr="00AE3BFD">
        <w:t xml:space="preserve"> examined through a systematic search strategy. Google Scholar was </w:t>
      </w:r>
      <w:r w:rsidR="00D06416">
        <w:t xml:space="preserve">used </w:t>
      </w:r>
      <w:r w:rsidRPr="00AE3BFD">
        <w:t xml:space="preserve">as a primary tool, using Boolean operators to combine terms like "socioeconomic status," "higher education," </w:t>
      </w:r>
      <w:r w:rsidR="008958DE">
        <w:t xml:space="preserve">“HE,” </w:t>
      </w:r>
      <w:r w:rsidRPr="00AE3BFD">
        <w:t>"UK," "access,"</w:t>
      </w:r>
      <w:r w:rsidR="007677D9">
        <w:t xml:space="preserve"> </w:t>
      </w:r>
      <w:r w:rsidR="008F7BD9">
        <w:t xml:space="preserve">and </w:t>
      </w:r>
      <w:r w:rsidRPr="00AE3BFD">
        <w:t>"retention</w:t>
      </w:r>
      <w:r w:rsidR="007677D9">
        <w:t>.</w:t>
      </w:r>
      <w:r w:rsidRPr="00AE3BFD">
        <w:t>"</w:t>
      </w:r>
      <w:r w:rsidR="007677D9">
        <w:t xml:space="preserve"> </w:t>
      </w:r>
      <w:r w:rsidRPr="00AE3BFD">
        <w:t xml:space="preserve"> A</w:t>
      </w:r>
      <w:r w:rsidR="007677D9">
        <w:t>dditionally,</w:t>
      </w:r>
      <w:r w:rsidRPr="00AE3BFD">
        <w:t xml:space="preserve"> search features filtered results to include </w:t>
      </w:r>
      <w:r w:rsidRPr="00AE3BFD">
        <w:lastRenderedPageBreak/>
        <w:t xml:space="preserve">only sources published within the last </w:t>
      </w:r>
      <w:r w:rsidR="006C2655">
        <w:t>10</w:t>
      </w:r>
      <w:r w:rsidRPr="00AE3BFD">
        <w:t xml:space="preserve"> years to ensure relevance. Journals accessed included platforms such as Springer, Taylor &amp; Francis, and Sage to locate peer-reviewed materials and reports</w:t>
      </w:r>
      <w:r w:rsidR="006C2655">
        <w:t>, with 9 of the research papers within the last 5 years to increase relevancy.</w:t>
      </w:r>
    </w:p>
    <w:p w14:paraId="1CFE267C" w14:textId="5A2530C4" w:rsidR="00AE3BFD" w:rsidRDefault="00AE3BFD" w:rsidP="006171B0">
      <w:pPr>
        <w:spacing w:line="360" w:lineRule="auto"/>
      </w:pPr>
      <w:r w:rsidRPr="00AE3BFD">
        <w:t>The University of Wales Trinity Saint David (UWTSD) library resources provided additional access to databases</w:t>
      </w:r>
      <w:r w:rsidR="00D06416">
        <w:t>,</w:t>
      </w:r>
      <w:r w:rsidRPr="00AE3BFD">
        <w:t xml:space="preserve"> including </w:t>
      </w:r>
      <w:r w:rsidR="00B86CFD">
        <w:t>Scopus</w:t>
      </w:r>
      <w:r w:rsidR="0003145B">
        <w:t xml:space="preserve">, </w:t>
      </w:r>
      <w:proofErr w:type="spellStart"/>
      <w:r w:rsidR="0003145B">
        <w:t>SSRN</w:t>
      </w:r>
      <w:proofErr w:type="spellEnd"/>
      <w:r w:rsidR="0003145B">
        <w:t xml:space="preserve">, OECD, </w:t>
      </w:r>
      <w:proofErr w:type="spellStart"/>
      <w:r w:rsidR="0003145B">
        <w:t>PubMED</w:t>
      </w:r>
      <w:proofErr w:type="spellEnd"/>
      <w:r w:rsidR="0003145B">
        <w:t>, APA</w:t>
      </w:r>
      <w:r w:rsidRPr="00AE3BFD">
        <w:t xml:space="preserve"> and ProQuest. </w:t>
      </w:r>
      <w:r w:rsidR="00D06416">
        <w:t>Specialised</w:t>
      </w:r>
      <w:r w:rsidRPr="00AE3BFD">
        <w:t xml:space="preserve"> sites like ResearchGate were searched to find emerging studies and preprints. Grey literature, including institutional analyses and policy reports, was considered where peer-reviewed sources were unavailable. </w:t>
      </w:r>
    </w:p>
    <w:p w14:paraId="5D17377D" w14:textId="2D3C8DFD" w:rsidR="00AE3BFD" w:rsidRPr="003D0607" w:rsidRDefault="003D0607" w:rsidP="006171B0">
      <w:pPr>
        <w:pStyle w:val="Heading1"/>
        <w:spacing w:line="360" w:lineRule="auto"/>
      </w:pPr>
      <w:bookmarkStart w:id="3" w:name="_Toc188210483"/>
      <w:r w:rsidRPr="003D0607">
        <w:t>P</w:t>
      </w:r>
      <w:r w:rsidR="00AE3BFD" w:rsidRPr="003D0607">
        <w:t>hilosophical assumptions</w:t>
      </w:r>
      <w:bookmarkEnd w:id="3"/>
    </w:p>
    <w:p w14:paraId="260B0C8E" w14:textId="575FA2C6" w:rsidR="00F26985" w:rsidRDefault="00D06416" w:rsidP="006171B0">
      <w:pPr>
        <w:spacing w:line="360" w:lineRule="auto"/>
        <w:rPr>
          <w:color w:val="000000" w:themeColor="text1"/>
        </w:rPr>
      </w:pPr>
      <w:r>
        <w:rPr>
          <w:color w:val="000000" w:themeColor="text1"/>
        </w:rPr>
        <w:t xml:space="preserve">The research </w:t>
      </w:r>
      <w:r w:rsidR="008F7BD9">
        <w:rPr>
          <w:color w:val="000000" w:themeColor="text1"/>
        </w:rPr>
        <w:t>literature</w:t>
      </w:r>
      <w:r w:rsidR="00F26985">
        <w:rPr>
          <w:color w:val="000000" w:themeColor="text1"/>
        </w:rPr>
        <w:t xml:space="preserve"> recommended a wide range of disagreements over policy interventions, findings, and conclusions. However, </w:t>
      </w:r>
      <w:r w:rsidR="004272F4">
        <w:rPr>
          <w:color w:val="000000" w:themeColor="text1"/>
        </w:rPr>
        <w:t xml:space="preserve">significant disagreement was also found </w:t>
      </w:r>
      <w:r w:rsidR="00F26985">
        <w:rPr>
          <w:color w:val="000000" w:themeColor="text1"/>
        </w:rPr>
        <w:t xml:space="preserve">in </w:t>
      </w:r>
      <w:r>
        <w:rPr>
          <w:color w:val="000000" w:themeColor="text1"/>
        </w:rPr>
        <w:t xml:space="preserve">philosophical </w:t>
      </w:r>
      <w:r w:rsidR="00F26985">
        <w:rPr>
          <w:color w:val="000000" w:themeColor="text1"/>
        </w:rPr>
        <w:t>research approaches.</w:t>
      </w:r>
    </w:p>
    <w:p w14:paraId="07FC74B8" w14:textId="06FD4694" w:rsidR="00D61D35" w:rsidRDefault="0070117C" w:rsidP="006171B0">
      <w:pPr>
        <w:spacing w:line="360" w:lineRule="auto"/>
        <w:rPr>
          <w:color w:val="000000" w:themeColor="text1"/>
        </w:rPr>
      </w:pPr>
      <w:r>
        <w:rPr>
          <w:color w:val="000000" w:themeColor="text1"/>
        </w:rPr>
        <w:t xml:space="preserve">Research is shaped by a framework of beliefs known as paradigms. </w:t>
      </w:r>
      <w:r w:rsidRPr="0070117C">
        <w:rPr>
          <w:color w:val="000000" w:themeColor="text1"/>
        </w:rPr>
        <w:t xml:space="preserve">These paradigms represent </w:t>
      </w:r>
      <w:r w:rsidR="00D61D35">
        <w:rPr>
          <w:color w:val="000000" w:themeColor="text1"/>
        </w:rPr>
        <w:t xml:space="preserve">a researcher's perspective when studying a social phenomenon, providing the </w:t>
      </w:r>
      <w:r w:rsidRPr="0070117C">
        <w:rPr>
          <w:color w:val="000000" w:themeColor="text1"/>
        </w:rPr>
        <w:t>foundation for understanding it</w:t>
      </w:r>
      <w:r w:rsidR="00D61D35">
        <w:rPr>
          <w:color w:val="000000" w:themeColor="text1"/>
        </w:rPr>
        <w:t xml:space="preserve"> (</w:t>
      </w:r>
      <w:r w:rsidR="00D61D35" w:rsidRPr="00D61D35">
        <w:rPr>
          <w:color w:val="000000" w:themeColor="text1"/>
        </w:rPr>
        <w:t>Saunders,</w:t>
      </w:r>
      <w:r w:rsidR="00D61D35">
        <w:rPr>
          <w:color w:val="000000" w:themeColor="text1"/>
        </w:rPr>
        <w:t xml:space="preserve"> </w:t>
      </w:r>
      <w:r w:rsidR="00D61D35" w:rsidRPr="00D61D35">
        <w:rPr>
          <w:color w:val="000000" w:themeColor="text1"/>
        </w:rPr>
        <w:t>2009).</w:t>
      </w:r>
      <w:r>
        <w:rPr>
          <w:color w:val="000000" w:themeColor="text1"/>
        </w:rPr>
        <w:t xml:space="preserve"> </w:t>
      </w:r>
      <w:r w:rsidR="00DE6C52" w:rsidRPr="00DE6C52">
        <w:rPr>
          <w:color w:val="000000" w:themeColor="text1"/>
        </w:rPr>
        <w:t>This set of beliefs is based on ontological,</w:t>
      </w:r>
      <w:r w:rsidR="00DE6C52">
        <w:rPr>
          <w:color w:val="000000" w:themeColor="text1"/>
        </w:rPr>
        <w:t xml:space="preserve"> </w:t>
      </w:r>
      <w:r w:rsidR="00DE6C52" w:rsidRPr="00DE6C52">
        <w:rPr>
          <w:color w:val="000000" w:themeColor="text1"/>
        </w:rPr>
        <w:t>epistemological</w:t>
      </w:r>
      <w:r w:rsidR="00DE6C52">
        <w:rPr>
          <w:color w:val="000000" w:themeColor="text1"/>
        </w:rPr>
        <w:t xml:space="preserve"> </w:t>
      </w:r>
      <w:r w:rsidR="00DE6C52" w:rsidRPr="00DE6C52">
        <w:rPr>
          <w:color w:val="000000" w:themeColor="text1"/>
        </w:rPr>
        <w:t>assumptions</w:t>
      </w:r>
      <w:r w:rsidR="00DE6C52">
        <w:rPr>
          <w:color w:val="000000" w:themeColor="text1"/>
        </w:rPr>
        <w:t xml:space="preserve"> and methodological approaches (Gaba &amp; Lincoln, 1994)</w:t>
      </w:r>
    </w:p>
    <w:p w14:paraId="5FCC5E12" w14:textId="5B9855F1" w:rsidR="00387B0C" w:rsidRPr="00387B0C" w:rsidRDefault="00387B0C" w:rsidP="006171B0">
      <w:pPr>
        <w:spacing w:line="360" w:lineRule="auto"/>
        <w:rPr>
          <w:color w:val="000000" w:themeColor="text1"/>
        </w:rPr>
      </w:pPr>
      <w:r w:rsidRPr="00387B0C">
        <w:rPr>
          <w:color w:val="000000" w:themeColor="text1"/>
        </w:rPr>
        <w:t xml:space="preserve">Ontology, epistemology, and axiology are </w:t>
      </w:r>
      <w:r w:rsidR="008F7BD9">
        <w:t>fundamental</w:t>
      </w:r>
      <w:r w:rsidRPr="00387B0C">
        <w:rPr>
          <w:color w:val="000000" w:themeColor="text1"/>
        </w:rPr>
        <w:t xml:space="preserve"> concepts in research that shape </w:t>
      </w:r>
      <w:r w:rsidR="00D61D35">
        <w:rPr>
          <w:color w:val="000000" w:themeColor="text1"/>
        </w:rPr>
        <w:t>how</w:t>
      </w:r>
      <w:r w:rsidRPr="00387B0C">
        <w:rPr>
          <w:color w:val="000000" w:themeColor="text1"/>
        </w:rPr>
        <w:t xml:space="preserve"> studies are conducted</w:t>
      </w:r>
      <w:r w:rsidR="00DA1224">
        <w:rPr>
          <w:color w:val="000000" w:themeColor="text1"/>
        </w:rPr>
        <w:t xml:space="preserve"> </w:t>
      </w:r>
      <w:r w:rsidR="00DA1224" w:rsidRPr="00DA1224">
        <w:rPr>
          <w:color w:val="000000" w:themeColor="text1"/>
        </w:rPr>
        <w:t>(</w:t>
      </w:r>
      <w:proofErr w:type="spellStart"/>
      <w:r w:rsidR="00DA1224" w:rsidRPr="00DA1224">
        <w:rPr>
          <w:color w:val="000000" w:themeColor="text1"/>
        </w:rPr>
        <w:t>Kivunja</w:t>
      </w:r>
      <w:proofErr w:type="spellEnd"/>
      <w:r w:rsidR="00DA1224" w:rsidRPr="00DA1224">
        <w:rPr>
          <w:color w:val="000000" w:themeColor="text1"/>
        </w:rPr>
        <w:t xml:space="preserve"> &amp; </w:t>
      </w:r>
      <w:proofErr w:type="spellStart"/>
      <w:r w:rsidR="00DA1224" w:rsidRPr="00DA1224">
        <w:rPr>
          <w:color w:val="000000" w:themeColor="text1"/>
        </w:rPr>
        <w:t>Kuyini</w:t>
      </w:r>
      <w:proofErr w:type="spellEnd"/>
      <w:r w:rsidR="00DA1224" w:rsidRPr="00DA1224">
        <w:rPr>
          <w:color w:val="000000" w:themeColor="text1"/>
        </w:rPr>
        <w:t>, 2017)</w:t>
      </w:r>
      <w:r w:rsidR="00DA1224">
        <w:rPr>
          <w:color w:val="000000" w:themeColor="text1"/>
        </w:rPr>
        <w:t xml:space="preserve">. </w:t>
      </w:r>
      <w:r w:rsidRPr="00387B0C">
        <w:rPr>
          <w:color w:val="000000" w:themeColor="text1"/>
        </w:rPr>
        <w:t>Ontology</w:t>
      </w:r>
      <w:r w:rsidR="00DA1224">
        <w:rPr>
          <w:color w:val="000000" w:themeColor="text1"/>
        </w:rPr>
        <w:t>, often the starting point for most researchers (Easterby-Smith et al., 2008),</w:t>
      </w:r>
      <w:r w:rsidRPr="00387B0C">
        <w:rPr>
          <w:color w:val="000000" w:themeColor="text1"/>
        </w:rPr>
        <w:t xml:space="preserve"> </w:t>
      </w:r>
      <w:r w:rsidR="00ED2A49">
        <w:rPr>
          <w:color w:val="000000" w:themeColor="text1"/>
        </w:rPr>
        <w:t>considers</w:t>
      </w:r>
      <w:r w:rsidRPr="00387B0C">
        <w:rPr>
          <w:color w:val="000000" w:themeColor="text1"/>
        </w:rPr>
        <w:t xml:space="preserve"> the nature of reality, questioning what exists and how entities are </w:t>
      </w:r>
      <w:r w:rsidR="00DA1224">
        <w:rPr>
          <w:color w:val="000000" w:themeColor="text1"/>
        </w:rPr>
        <w:t>categorised</w:t>
      </w:r>
      <w:r w:rsidRPr="00387B0C">
        <w:rPr>
          <w:color w:val="000000" w:themeColor="text1"/>
        </w:rPr>
        <w:t>. It defines the lens through which a researcher views the subject matter, whether as objective and independent of perception (realism) or subjective and socially constructed (constructivism)</w:t>
      </w:r>
      <w:r w:rsidR="00DA1224">
        <w:rPr>
          <w:color w:val="000000" w:themeColor="text1"/>
        </w:rPr>
        <w:t xml:space="preserve"> (</w:t>
      </w:r>
      <w:proofErr w:type="spellStart"/>
      <w:r w:rsidR="00DA1224">
        <w:rPr>
          <w:color w:val="000000"/>
          <w:shd w:val="clear" w:color="auto" w:fill="FFFFFF"/>
        </w:rPr>
        <w:t>Pessu</w:t>
      </w:r>
      <w:proofErr w:type="spellEnd"/>
      <w:r w:rsidR="00DA1224">
        <w:rPr>
          <w:color w:val="000000"/>
          <w:shd w:val="clear" w:color="auto" w:fill="FFFFFF"/>
        </w:rPr>
        <w:t>, 2019).</w:t>
      </w:r>
      <w:r w:rsidRPr="00387B0C">
        <w:rPr>
          <w:color w:val="000000" w:themeColor="text1"/>
        </w:rPr>
        <w:t xml:space="preserve"> Epistemology</w:t>
      </w:r>
      <w:r w:rsidR="0070117C">
        <w:rPr>
          <w:color w:val="000000" w:themeColor="text1"/>
        </w:rPr>
        <w:t xml:space="preserve">, </w:t>
      </w:r>
      <w:r w:rsidR="00DE6C52">
        <w:rPr>
          <w:color w:val="000000" w:themeColor="text1"/>
        </w:rPr>
        <w:t xml:space="preserve">is </w:t>
      </w:r>
      <w:r w:rsidR="0070117C" w:rsidRPr="0070117C">
        <w:rPr>
          <w:color w:val="000000" w:themeColor="text1"/>
        </w:rPr>
        <w:t>driven by ontological beliefs</w:t>
      </w:r>
      <w:r w:rsidR="0070117C">
        <w:rPr>
          <w:color w:val="000000" w:themeColor="text1"/>
        </w:rPr>
        <w:t xml:space="preserve"> </w:t>
      </w:r>
      <w:r w:rsidR="0070117C" w:rsidRPr="0070117C">
        <w:rPr>
          <w:color w:val="000000" w:themeColor="text1"/>
        </w:rPr>
        <w:t>(</w:t>
      </w:r>
      <w:proofErr w:type="spellStart"/>
      <w:r w:rsidR="0070117C" w:rsidRPr="0070117C">
        <w:rPr>
          <w:color w:val="000000" w:themeColor="text1"/>
        </w:rPr>
        <w:t>Pessu</w:t>
      </w:r>
      <w:proofErr w:type="spellEnd"/>
      <w:r w:rsidR="0070117C" w:rsidRPr="0070117C">
        <w:rPr>
          <w:color w:val="000000" w:themeColor="text1"/>
        </w:rPr>
        <w:t>,</w:t>
      </w:r>
      <w:r w:rsidR="00AC3F11">
        <w:rPr>
          <w:color w:val="000000" w:themeColor="text1"/>
        </w:rPr>
        <w:t xml:space="preserve"> </w:t>
      </w:r>
      <w:r w:rsidR="0070117C" w:rsidRPr="0070117C">
        <w:rPr>
          <w:color w:val="000000" w:themeColor="text1"/>
        </w:rPr>
        <w:t>2019)</w:t>
      </w:r>
      <w:r w:rsidR="0070117C">
        <w:rPr>
          <w:color w:val="000000" w:themeColor="text1"/>
        </w:rPr>
        <w:t xml:space="preserve"> </w:t>
      </w:r>
      <w:r w:rsidR="00DE6C52">
        <w:rPr>
          <w:color w:val="000000" w:themeColor="text1"/>
        </w:rPr>
        <w:t xml:space="preserve">and </w:t>
      </w:r>
      <w:r w:rsidR="00DA1224">
        <w:rPr>
          <w:color w:val="000000" w:themeColor="text1"/>
        </w:rPr>
        <w:t>considers</w:t>
      </w:r>
      <w:r w:rsidRPr="00387B0C">
        <w:rPr>
          <w:color w:val="000000" w:themeColor="text1"/>
        </w:rPr>
        <w:t xml:space="preserve"> the nature and scope of knowledge, asking how we know what we know and what constitutes valid evidence</w:t>
      </w:r>
      <w:r w:rsidR="00DA1224">
        <w:rPr>
          <w:color w:val="000000" w:themeColor="text1"/>
        </w:rPr>
        <w:t xml:space="preserve"> </w:t>
      </w:r>
      <w:r w:rsidR="003D0607">
        <w:rPr>
          <w:color w:val="000000" w:themeColor="text1"/>
        </w:rPr>
        <w:t>(</w:t>
      </w:r>
      <w:r w:rsidR="00DA1224" w:rsidRPr="00DA1224">
        <w:rPr>
          <w:color w:val="000000" w:themeColor="text1"/>
        </w:rPr>
        <w:t>Moser</w:t>
      </w:r>
      <w:r w:rsidR="003D0607">
        <w:rPr>
          <w:color w:val="000000" w:themeColor="text1"/>
        </w:rPr>
        <w:t xml:space="preserve">, 2009). </w:t>
      </w:r>
      <w:r w:rsidRPr="00387B0C">
        <w:rPr>
          <w:color w:val="000000" w:themeColor="text1"/>
        </w:rPr>
        <w:t>Axiology examines the role of values in research, considering the ethical and moral principles that guide the researcher’s decisions and the impact of their work</w:t>
      </w:r>
      <w:r w:rsidR="003D0607">
        <w:rPr>
          <w:color w:val="000000" w:themeColor="text1"/>
        </w:rPr>
        <w:t xml:space="preserve"> (</w:t>
      </w:r>
      <w:r w:rsidR="003D0607" w:rsidRPr="003D0607">
        <w:rPr>
          <w:color w:val="000000" w:themeColor="text1"/>
        </w:rPr>
        <w:t>Guba</w:t>
      </w:r>
      <w:r w:rsidR="003D0607">
        <w:rPr>
          <w:color w:val="000000" w:themeColor="text1"/>
        </w:rPr>
        <w:t xml:space="preserve"> </w:t>
      </w:r>
      <w:r w:rsidR="003D0607" w:rsidRPr="003D0607">
        <w:rPr>
          <w:color w:val="000000" w:themeColor="text1"/>
        </w:rPr>
        <w:t>&amp; Lincoln</w:t>
      </w:r>
      <w:r w:rsidR="003D0607">
        <w:rPr>
          <w:color w:val="000000" w:themeColor="text1"/>
        </w:rPr>
        <w:t xml:space="preserve">, </w:t>
      </w:r>
      <w:r w:rsidR="00023CF8">
        <w:rPr>
          <w:color w:val="000000" w:themeColor="text1"/>
        </w:rPr>
        <w:t>1994</w:t>
      </w:r>
      <w:r w:rsidR="003D0607" w:rsidRPr="003D0607">
        <w:rPr>
          <w:color w:val="000000" w:themeColor="text1"/>
        </w:rPr>
        <w:t xml:space="preserve">). </w:t>
      </w:r>
    </w:p>
    <w:p w14:paraId="58B4A621" w14:textId="5CBBE0E4" w:rsidR="00ED2A49" w:rsidRDefault="00387B0C" w:rsidP="006171B0">
      <w:pPr>
        <w:spacing w:line="360" w:lineRule="auto"/>
        <w:rPr>
          <w:color w:val="000000" w:themeColor="text1"/>
        </w:rPr>
      </w:pPr>
      <w:r w:rsidRPr="00387B0C">
        <w:rPr>
          <w:color w:val="000000" w:themeColor="text1"/>
        </w:rPr>
        <w:t xml:space="preserve">Choosing a methodology and </w:t>
      </w:r>
      <w:r w:rsidR="00ED2A49">
        <w:rPr>
          <w:color w:val="000000" w:themeColor="text1"/>
        </w:rPr>
        <w:t xml:space="preserve">a research </w:t>
      </w:r>
      <w:r w:rsidRPr="00387B0C">
        <w:rPr>
          <w:color w:val="000000" w:themeColor="text1"/>
        </w:rPr>
        <w:t>method</w:t>
      </w:r>
      <w:r w:rsidR="00ED2A49">
        <w:rPr>
          <w:color w:val="000000" w:themeColor="text1"/>
        </w:rPr>
        <w:t xml:space="preserve"> that aligns</w:t>
      </w:r>
      <w:r w:rsidRPr="00387B0C">
        <w:rPr>
          <w:color w:val="000000" w:themeColor="text1"/>
        </w:rPr>
        <w:t xml:space="preserve"> with these philosophical stances is critical for achieving coherence in </w:t>
      </w:r>
      <w:r w:rsidR="00ED2A49">
        <w:rPr>
          <w:color w:val="000000" w:themeColor="text1"/>
        </w:rPr>
        <w:t xml:space="preserve">any </w:t>
      </w:r>
      <w:r w:rsidRPr="00387B0C">
        <w:rPr>
          <w:color w:val="000000" w:themeColor="text1"/>
        </w:rPr>
        <w:t>research design</w:t>
      </w:r>
      <w:r w:rsidR="003D0607">
        <w:rPr>
          <w:color w:val="000000" w:themeColor="text1"/>
        </w:rPr>
        <w:t xml:space="preserve"> </w:t>
      </w:r>
      <w:r w:rsidR="003D0607" w:rsidRPr="003D0607">
        <w:rPr>
          <w:color w:val="000000" w:themeColor="text1"/>
        </w:rPr>
        <w:t>(Al-Ababneh, 2020)</w:t>
      </w:r>
      <w:r w:rsidR="003D0607">
        <w:rPr>
          <w:color w:val="000000" w:themeColor="text1"/>
        </w:rPr>
        <w:t xml:space="preserve">. </w:t>
      </w:r>
    </w:p>
    <w:p w14:paraId="5C1C0661" w14:textId="4EDC8B2D" w:rsidR="00413098" w:rsidRDefault="00387B0C" w:rsidP="006171B0">
      <w:pPr>
        <w:spacing w:line="360" w:lineRule="auto"/>
        <w:rPr>
          <w:color w:val="000000" w:themeColor="text1"/>
        </w:rPr>
      </w:pPr>
      <w:r w:rsidRPr="00387B0C">
        <w:rPr>
          <w:color w:val="000000" w:themeColor="text1"/>
        </w:rPr>
        <w:lastRenderedPageBreak/>
        <w:t xml:space="preserve">For instance, </w:t>
      </w:r>
      <w:r w:rsidR="00413098">
        <w:rPr>
          <w:color w:val="000000" w:themeColor="text1"/>
        </w:rPr>
        <w:t xml:space="preserve">positivist ontology and epistemology </w:t>
      </w:r>
      <w:r w:rsidR="00ED2A49">
        <w:rPr>
          <w:color w:val="000000" w:themeColor="text1"/>
        </w:rPr>
        <w:t xml:space="preserve">may </w:t>
      </w:r>
      <w:r w:rsidR="00413098">
        <w:rPr>
          <w:color w:val="000000" w:themeColor="text1"/>
        </w:rPr>
        <w:t xml:space="preserve">expect data and </w:t>
      </w:r>
      <w:r w:rsidRPr="00387B0C">
        <w:rPr>
          <w:color w:val="000000" w:themeColor="text1"/>
        </w:rPr>
        <w:t xml:space="preserve">quantitative methods, </w:t>
      </w:r>
      <w:r w:rsidR="00DA1224">
        <w:rPr>
          <w:color w:val="000000" w:themeColor="text1"/>
        </w:rPr>
        <w:t>emphasising</w:t>
      </w:r>
      <w:r w:rsidRPr="00387B0C">
        <w:rPr>
          <w:color w:val="000000" w:themeColor="text1"/>
        </w:rPr>
        <w:t xml:space="preserve"> measurable variables and statistical analysis. Conversely, an interpretivist stance might </w:t>
      </w:r>
      <w:r w:rsidR="00413098">
        <w:rPr>
          <w:color w:val="000000" w:themeColor="text1"/>
        </w:rPr>
        <w:t xml:space="preserve">expect </w:t>
      </w:r>
      <w:r w:rsidRPr="00387B0C">
        <w:rPr>
          <w:color w:val="000000" w:themeColor="text1"/>
        </w:rPr>
        <w:t xml:space="preserve">qualitative approaches, </w:t>
      </w:r>
      <w:r w:rsidR="00413098">
        <w:rPr>
          <w:color w:val="000000" w:themeColor="text1"/>
        </w:rPr>
        <w:t>obtaining a depth of</w:t>
      </w:r>
      <w:r w:rsidRPr="00387B0C">
        <w:rPr>
          <w:color w:val="000000" w:themeColor="text1"/>
        </w:rPr>
        <w:t xml:space="preserve"> context</w:t>
      </w:r>
      <w:r w:rsidR="00413098">
        <w:rPr>
          <w:color w:val="000000" w:themeColor="text1"/>
        </w:rPr>
        <w:t xml:space="preserve"> that primary data may not give</w:t>
      </w:r>
      <w:r w:rsidR="00413098" w:rsidRPr="00387B0C">
        <w:rPr>
          <w:color w:val="000000" w:themeColor="text1"/>
        </w:rPr>
        <w:t xml:space="preserve"> through</w:t>
      </w:r>
      <w:r w:rsidRPr="00387B0C">
        <w:rPr>
          <w:color w:val="000000" w:themeColor="text1"/>
        </w:rPr>
        <w:t xml:space="preserve"> interviews or ethnography</w:t>
      </w:r>
      <w:r w:rsidR="00413098">
        <w:rPr>
          <w:color w:val="000000" w:themeColor="text1"/>
        </w:rPr>
        <w:t xml:space="preserve"> (culturally immersive research)</w:t>
      </w:r>
      <w:r w:rsidRPr="00387B0C">
        <w:rPr>
          <w:color w:val="000000" w:themeColor="text1"/>
        </w:rPr>
        <w:t>.</w:t>
      </w:r>
      <w:r w:rsidR="00413098">
        <w:rPr>
          <w:color w:val="000000" w:themeColor="text1"/>
        </w:rPr>
        <w:t xml:space="preserve"> In simple terms, a positivist approach assumes an objective reality, and an interpretivism approach assumes individuals have their </w:t>
      </w:r>
      <w:r w:rsidR="002C19A5">
        <w:rPr>
          <w:color w:val="000000" w:themeColor="text1"/>
        </w:rPr>
        <w:t xml:space="preserve">own </w:t>
      </w:r>
      <w:r w:rsidR="00413098">
        <w:rPr>
          <w:color w:val="000000" w:themeColor="text1"/>
        </w:rPr>
        <w:t>understanding of reality</w:t>
      </w:r>
      <w:r w:rsidR="002C19A5">
        <w:rPr>
          <w:color w:val="000000" w:themeColor="text1"/>
        </w:rPr>
        <w:t xml:space="preserve"> </w:t>
      </w:r>
      <w:r w:rsidR="002C19A5" w:rsidRPr="002C19A5">
        <w:rPr>
          <w:color w:val="000000" w:themeColor="text1"/>
        </w:rPr>
        <w:t>(</w:t>
      </w:r>
      <w:proofErr w:type="spellStart"/>
      <w:r w:rsidR="002C19A5" w:rsidRPr="002C19A5">
        <w:rPr>
          <w:color w:val="000000" w:themeColor="text1"/>
        </w:rPr>
        <w:t>Alharahsheh</w:t>
      </w:r>
      <w:proofErr w:type="spellEnd"/>
      <w:r w:rsidR="002C19A5" w:rsidRPr="002C19A5">
        <w:rPr>
          <w:color w:val="000000" w:themeColor="text1"/>
        </w:rPr>
        <w:t xml:space="preserve"> &amp; Pius, 2020)</w:t>
      </w:r>
      <w:r w:rsidR="0084242E">
        <w:rPr>
          <w:color w:val="000000" w:themeColor="text1"/>
        </w:rPr>
        <w:t>.</w:t>
      </w:r>
    </w:p>
    <w:p w14:paraId="7D1F59F8" w14:textId="5B09D111" w:rsidR="00387B0C" w:rsidRPr="00387B0C" w:rsidRDefault="00387B0C" w:rsidP="006171B0">
      <w:pPr>
        <w:spacing w:line="360" w:lineRule="auto"/>
        <w:rPr>
          <w:color w:val="000000" w:themeColor="text1"/>
        </w:rPr>
      </w:pPr>
      <w:r w:rsidRPr="00387B0C">
        <w:rPr>
          <w:color w:val="000000" w:themeColor="text1"/>
        </w:rPr>
        <w:t>Axiology</w:t>
      </w:r>
      <w:r w:rsidR="002C19A5">
        <w:rPr>
          <w:color w:val="000000" w:themeColor="text1"/>
        </w:rPr>
        <w:t>, the study and assessment of research values, shapes</w:t>
      </w:r>
      <w:r w:rsidRPr="00387B0C">
        <w:rPr>
          <w:color w:val="000000" w:themeColor="text1"/>
        </w:rPr>
        <w:t xml:space="preserve"> decisions about the purpose of the study and the researcher’s ethical obligations to participants and broader society.</w:t>
      </w:r>
      <w:r w:rsidR="002C19A5">
        <w:rPr>
          <w:color w:val="000000"/>
          <w:shd w:val="clear" w:color="auto" w:fill="FFFFFF"/>
        </w:rPr>
        <w:t xml:space="preserve"> Bell &amp; Bryman, 2006).</w:t>
      </w:r>
    </w:p>
    <w:p w14:paraId="6A24302B" w14:textId="1FE5C6AF" w:rsidR="007677D9" w:rsidRDefault="00387B0C" w:rsidP="006171B0">
      <w:pPr>
        <w:spacing w:line="360" w:lineRule="auto"/>
        <w:rPr>
          <w:color w:val="000000" w:themeColor="text1"/>
        </w:rPr>
      </w:pPr>
      <w:r w:rsidRPr="00387B0C">
        <w:rPr>
          <w:color w:val="000000" w:themeColor="text1"/>
        </w:rPr>
        <w:t>Misalignment between ontology, epistemology, axiology, and methods can compromise the validity and credibility of a study</w:t>
      </w:r>
      <w:r w:rsidR="00E929FF">
        <w:rPr>
          <w:color w:val="000000" w:themeColor="text1"/>
        </w:rPr>
        <w:t xml:space="preserve"> (</w:t>
      </w:r>
      <w:r w:rsidR="00023CF8" w:rsidRPr="00E929FF">
        <w:rPr>
          <w:color w:val="000000" w:themeColor="text1"/>
        </w:rPr>
        <w:t>Al-Ababneh</w:t>
      </w:r>
      <w:r w:rsidR="00023CF8">
        <w:rPr>
          <w:color w:val="000000" w:themeColor="text1"/>
        </w:rPr>
        <w:t xml:space="preserve">, </w:t>
      </w:r>
      <w:r w:rsidR="00023CF8" w:rsidRPr="00E929FF">
        <w:rPr>
          <w:color w:val="000000" w:themeColor="text1"/>
        </w:rPr>
        <w:t>2020</w:t>
      </w:r>
      <w:r w:rsidR="00023CF8">
        <w:rPr>
          <w:color w:val="000000" w:themeColor="text1"/>
        </w:rPr>
        <w:t xml:space="preserve">; </w:t>
      </w:r>
      <w:r w:rsidR="001C475E">
        <w:rPr>
          <w:color w:val="000000" w:themeColor="text1"/>
        </w:rPr>
        <w:t>Hall, 2003</w:t>
      </w:r>
      <w:proofErr w:type="gramStart"/>
      <w:r w:rsidR="001C475E">
        <w:rPr>
          <w:color w:val="000000" w:themeColor="text1"/>
        </w:rPr>
        <w:t xml:space="preserve">; </w:t>
      </w:r>
      <w:r w:rsidR="00E929FF" w:rsidRPr="00E929FF">
        <w:rPr>
          <w:color w:val="000000" w:themeColor="text1"/>
        </w:rPr>
        <w:t>)</w:t>
      </w:r>
      <w:proofErr w:type="gramEnd"/>
      <w:r w:rsidR="00E929FF">
        <w:rPr>
          <w:color w:val="000000" w:themeColor="text1"/>
        </w:rPr>
        <w:t>.</w:t>
      </w:r>
      <w:r w:rsidRPr="00387B0C">
        <w:rPr>
          <w:color w:val="000000" w:themeColor="text1"/>
        </w:rPr>
        <w:t xml:space="preserve"> </w:t>
      </w:r>
      <w:r w:rsidR="0070117C">
        <w:t>For example, applying quantitative methods in a study based on</w:t>
      </w:r>
      <w:r w:rsidR="0084242E">
        <w:t xml:space="preserve"> a</w:t>
      </w:r>
      <w:r w:rsidR="0070117C">
        <w:t xml:space="preserve"> constructivist ontology might fail to capture the nuanced, subjective nature of the data</w:t>
      </w:r>
      <w:r w:rsidR="007677D9">
        <w:t xml:space="preserve">. </w:t>
      </w:r>
      <w:r w:rsidRPr="00387B0C">
        <w:rPr>
          <w:color w:val="000000" w:themeColor="text1"/>
        </w:rPr>
        <w:t xml:space="preserve">Similarly, ignoring the ethical </w:t>
      </w:r>
      <w:r w:rsidR="00ED2A49" w:rsidRPr="00ED2A49">
        <w:t>principles</w:t>
      </w:r>
      <w:r w:rsidR="00ED2A49">
        <w:rPr>
          <w:color w:val="FF0000"/>
        </w:rPr>
        <w:t xml:space="preserve"> </w:t>
      </w:r>
      <w:r w:rsidRPr="00387B0C">
        <w:rPr>
          <w:color w:val="000000" w:themeColor="text1"/>
        </w:rPr>
        <w:t>of axiology risks harm to participants or undermines trust in the research process</w:t>
      </w:r>
      <w:r w:rsidR="00E461BC">
        <w:rPr>
          <w:color w:val="000000" w:themeColor="text1"/>
        </w:rPr>
        <w:t xml:space="preserve"> </w:t>
      </w:r>
      <w:r w:rsidR="00E461BC" w:rsidRPr="00E461BC">
        <w:rPr>
          <w:color w:val="000000" w:themeColor="text1"/>
        </w:rPr>
        <w:t>(</w:t>
      </w:r>
      <w:proofErr w:type="spellStart"/>
      <w:r w:rsidR="00023CF8" w:rsidRPr="00023CF8">
        <w:rPr>
          <w:color w:val="000000" w:themeColor="text1"/>
          <w:shd w:val="clear" w:color="auto" w:fill="FFFFFF"/>
        </w:rPr>
        <w:t>Berghaeuser</w:t>
      </w:r>
      <w:proofErr w:type="spellEnd"/>
      <w:r w:rsidR="00023CF8" w:rsidRPr="00663E3E">
        <w:rPr>
          <w:color w:val="000000" w:themeColor="text1"/>
          <w:shd w:val="clear" w:color="auto" w:fill="FFFFFF"/>
        </w:rPr>
        <w:t xml:space="preserve"> </w:t>
      </w:r>
      <w:r w:rsidR="00023CF8" w:rsidRPr="00ED2A49">
        <w:rPr>
          <w:shd w:val="clear" w:color="auto" w:fill="FFFFFF"/>
        </w:rPr>
        <w:t xml:space="preserve">et </w:t>
      </w:r>
      <w:r w:rsidR="00023CF8">
        <w:rPr>
          <w:color w:val="000000"/>
          <w:shd w:val="clear" w:color="auto" w:fill="FFFFFF"/>
        </w:rPr>
        <w:t xml:space="preserve">al., 2024; </w:t>
      </w:r>
      <w:r w:rsidR="00E461BC" w:rsidRPr="00E461BC">
        <w:rPr>
          <w:color w:val="000000" w:themeColor="text1"/>
        </w:rPr>
        <w:t>Ohler, 2001</w:t>
      </w:r>
      <w:proofErr w:type="gramStart"/>
      <w:r w:rsidR="00932E3B">
        <w:rPr>
          <w:color w:val="000000" w:themeColor="text1"/>
        </w:rPr>
        <w:t>;</w:t>
      </w:r>
      <w:r w:rsidR="00ED2A49">
        <w:rPr>
          <w:color w:val="000000"/>
          <w:shd w:val="clear" w:color="auto" w:fill="FFFFFF"/>
        </w:rPr>
        <w:t xml:space="preserve"> </w:t>
      </w:r>
      <w:r w:rsidR="00E461BC" w:rsidRPr="00E461BC">
        <w:rPr>
          <w:color w:val="000000" w:themeColor="text1"/>
        </w:rPr>
        <w:t>)</w:t>
      </w:r>
      <w:proofErr w:type="gramEnd"/>
      <w:r w:rsidR="00E461BC">
        <w:rPr>
          <w:color w:val="000000" w:themeColor="text1"/>
        </w:rPr>
        <w:t>.</w:t>
      </w:r>
    </w:p>
    <w:p w14:paraId="0A5C60D2" w14:textId="4C82B5EA" w:rsidR="0084242E" w:rsidRDefault="00387B0C" w:rsidP="006171B0">
      <w:pPr>
        <w:spacing w:line="360" w:lineRule="auto"/>
        <w:rPr>
          <w:color w:val="000000" w:themeColor="text1"/>
        </w:rPr>
      </w:pPr>
      <w:r w:rsidRPr="00387B0C">
        <w:rPr>
          <w:color w:val="000000" w:themeColor="text1"/>
        </w:rPr>
        <w:t xml:space="preserve">Ensuring that these elements </w:t>
      </w:r>
      <w:r w:rsidR="00932E3B">
        <w:rPr>
          <w:color w:val="000000" w:themeColor="text1"/>
        </w:rPr>
        <w:t>are aligned</w:t>
      </w:r>
      <w:r w:rsidRPr="00387B0C">
        <w:rPr>
          <w:color w:val="000000" w:themeColor="text1"/>
        </w:rPr>
        <w:t xml:space="preserve"> supports the production of meaningful and credible findings while respecting the subject matter and those involved. Failure to achieve this alignment risks methodological incoherence, undermines the integrity of the research, and reduces its impact</w:t>
      </w:r>
      <w:r w:rsidR="0047465B">
        <w:rPr>
          <w:color w:val="000000" w:themeColor="text1"/>
        </w:rPr>
        <w:t xml:space="preserve"> </w:t>
      </w:r>
      <w:r w:rsidR="0047465B" w:rsidRPr="0047465B">
        <w:rPr>
          <w:color w:val="000000" w:themeColor="text1"/>
        </w:rPr>
        <w:t xml:space="preserve">(Bracken, </w:t>
      </w:r>
      <w:r w:rsidR="0047465B">
        <w:rPr>
          <w:color w:val="000000" w:themeColor="text1"/>
        </w:rPr>
        <w:t>2010</w:t>
      </w:r>
      <w:r w:rsidR="00A357D9">
        <w:rPr>
          <w:color w:val="000000" w:themeColor="text1"/>
        </w:rPr>
        <w:t xml:space="preserve">; </w:t>
      </w:r>
      <w:r w:rsidR="00A357D9" w:rsidRPr="00A357D9">
        <w:rPr>
          <w:color w:val="000000" w:themeColor="text1"/>
        </w:rPr>
        <w:t>Al-Ababneh, 2020</w:t>
      </w:r>
      <w:r w:rsidR="0047465B" w:rsidRPr="0047465B">
        <w:rPr>
          <w:color w:val="000000" w:themeColor="text1"/>
        </w:rPr>
        <w:t>)</w:t>
      </w:r>
      <w:r w:rsidR="0047465B">
        <w:rPr>
          <w:color w:val="000000" w:themeColor="text1"/>
        </w:rPr>
        <w:t xml:space="preserve">. </w:t>
      </w:r>
      <w:r w:rsidR="00EB3B01">
        <w:rPr>
          <w:color w:val="000000" w:themeColor="text1"/>
        </w:rPr>
        <w:t xml:space="preserve">Correct </w:t>
      </w:r>
      <w:r w:rsidR="0047465B">
        <w:rPr>
          <w:color w:val="000000" w:themeColor="text1"/>
        </w:rPr>
        <w:t>I</w:t>
      </w:r>
      <w:r w:rsidRPr="00387B0C">
        <w:rPr>
          <w:color w:val="000000" w:themeColor="text1"/>
        </w:rPr>
        <w:t>ntegration of these philosophical components</w:t>
      </w:r>
      <w:r w:rsidR="007677D9">
        <w:rPr>
          <w:color w:val="000000" w:themeColor="text1"/>
        </w:rPr>
        <w:t xml:space="preserve"> is therefore </w:t>
      </w:r>
      <w:r w:rsidR="00EB3B01">
        <w:rPr>
          <w:color w:val="000000" w:themeColor="text1"/>
        </w:rPr>
        <w:t xml:space="preserve">critical </w:t>
      </w:r>
      <w:r w:rsidR="007677D9">
        <w:rPr>
          <w:color w:val="000000" w:themeColor="text1"/>
        </w:rPr>
        <w:t xml:space="preserve">if </w:t>
      </w:r>
      <w:r w:rsidR="00EB3B01">
        <w:rPr>
          <w:color w:val="000000" w:themeColor="text1"/>
        </w:rPr>
        <w:t xml:space="preserve">any research </w:t>
      </w:r>
      <w:r w:rsidR="007677D9">
        <w:rPr>
          <w:color w:val="000000" w:themeColor="text1"/>
        </w:rPr>
        <w:t xml:space="preserve">is to </w:t>
      </w:r>
      <w:r w:rsidR="00EB3B01">
        <w:rPr>
          <w:color w:val="000000" w:themeColor="text1"/>
        </w:rPr>
        <w:t xml:space="preserve">accurately present findings that </w:t>
      </w:r>
      <w:r w:rsidR="007677D9">
        <w:rPr>
          <w:color w:val="000000" w:themeColor="text1"/>
        </w:rPr>
        <w:t>draw</w:t>
      </w:r>
      <w:r w:rsidR="00EB3B01">
        <w:rPr>
          <w:color w:val="000000" w:themeColor="text1"/>
        </w:rPr>
        <w:t xml:space="preserve"> effective </w:t>
      </w:r>
      <w:r w:rsidR="007677D9">
        <w:rPr>
          <w:color w:val="000000" w:themeColor="text1"/>
        </w:rPr>
        <w:t>conclusions</w:t>
      </w:r>
      <w:r w:rsidR="00EB3B01">
        <w:rPr>
          <w:color w:val="000000" w:themeColor="text1"/>
        </w:rPr>
        <w:t xml:space="preserve"> on which practical solutions to problems can be found and better contribute </w:t>
      </w:r>
      <w:r w:rsidRPr="00387B0C">
        <w:rPr>
          <w:color w:val="000000" w:themeColor="text1"/>
        </w:rPr>
        <w:t>to knowledge</w:t>
      </w:r>
      <w:r w:rsidR="0047465B">
        <w:rPr>
          <w:color w:val="000000" w:themeColor="text1"/>
        </w:rPr>
        <w:t xml:space="preserve"> (</w:t>
      </w:r>
      <w:r w:rsidR="00A357D9" w:rsidRPr="00A357D9">
        <w:rPr>
          <w:color w:val="000000" w:themeColor="text1"/>
        </w:rPr>
        <w:t>Al-Ababneh, 2020</w:t>
      </w:r>
      <w:r w:rsidR="00A357D9">
        <w:rPr>
          <w:color w:val="000000" w:themeColor="text1"/>
        </w:rPr>
        <w:t xml:space="preserve">; </w:t>
      </w:r>
      <w:r w:rsidR="0047465B" w:rsidRPr="0047465B">
        <w:rPr>
          <w:color w:val="000000" w:themeColor="text1"/>
        </w:rPr>
        <w:t>Nichol</w:t>
      </w:r>
      <w:r w:rsidR="0047465B">
        <w:rPr>
          <w:color w:val="000000" w:themeColor="text1"/>
        </w:rPr>
        <w:t xml:space="preserve"> et al., </w:t>
      </w:r>
      <w:r w:rsidR="0047465B" w:rsidRPr="0047465B">
        <w:rPr>
          <w:color w:val="000000" w:themeColor="text1"/>
        </w:rPr>
        <w:t xml:space="preserve">2023). </w:t>
      </w:r>
    </w:p>
    <w:p w14:paraId="7D9B13DE" w14:textId="77777777" w:rsidR="002B7689" w:rsidRPr="002B7689" w:rsidRDefault="002B7689" w:rsidP="006171B0">
      <w:pPr>
        <w:spacing w:line="360" w:lineRule="auto"/>
        <w:rPr>
          <w:color w:val="000000" w:themeColor="text1"/>
        </w:rPr>
      </w:pPr>
    </w:p>
    <w:p w14:paraId="726FC674" w14:textId="5A04EF47" w:rsidR="006615AB" w:rsidRPr="00767295" w:rsidRDefault="006615AB" w:rsidP="006171B0">
      <w:pPr>
        <w:pStyle w:val="Heading1"/>
        <w:spacing w:line="360" w:lineRule="auto"/>
      </w:pPr>
      <w:bookmarkStart w:id="4" w:name="_Toc188210484"/>
      <w:r w:rsidRPr="00767295">
        <w:t>Summary Analysis of the 10 individual research papers</w:t>
      </w:r>
      <w:bookmarkEnd w:id="4"/>
    </w:p>
    <w:p w14:paraId="50F83494" w14:textId="1B197D0E" w:rsidR="00ED2A49" w:rsidRPr="00836DF5" w:rsidRDefault="00EB3B01" w:rsidP="006171B0">
      <w:pPr>
        <w:spacing w:line="360" w:lineRule="auto"/>
        <w:rPr>
          <w:color w:val="000000" w:themeColor="text1"/>
        </w:rPr>
      </w:pPr>
      <w:r w:rsidRPr="00836DF5">
        <w:rPr>
          <w:color w:val="000000" w:themeColor="text1"/>
        </w:rPr>
        <w:t>Each research paper was considered in terms of purpose, authority</w:t>
      </w:r>
      <w:r w:rsidR="00F26985">
        <w:rPr>
          <w:color w:val="000000" w:themeColor="text1"/>
        </w:rPr>
        <w:t xml:space="preserve">, and methodology. A critical analysis of accuracy, objectivity, coverage, and uniqueness was detailed. The epistemology, ontology, and axiology were also assessed, as well as reliability, validity, and </w:t>
      </w:r>
      <w:r w:rsidR="00F26985">
        <w:rPr>
          <w:color w:val="000000" w:themeColor="text1"/>
        </w:rPr>
        <w:lastRenderedPageBreak/>
        <w:t>ethical considerations. A concluding critical assessment is included. All research papers were considered current, each published within the last seven</w:t>
      </w:r>
      <w:r w:rsidR="00836DF5">
        <w:rPr>
          <w:color w:val="000000" w:themeColor="text1"/>
        </w:rPr>
        <w:t xml:space="preserve"> years. </w:t>
      </w:r>
    </w:p>
    <w:p w14:paraId="0D77EE6F" w14:textId="77777777" w:rsidR="00767295" w:rsidRDefault="00767295" w:rsidP="006171B0">
      <w:pPr>
        <w:pStyle w:val="Heading2"/>
        <w:spacing w:line="360" w:lineRule="auto"/>
      </w:pPr>
    </w:p>
    <w:p w14:paraId="14BC19CC" w14:textId="77777777" w:rsidR="00875A63" w:rsidRDefault="00591396" w:rsidP="006171B0">
      <w:pPr>
        <w:spacing w:line="360" w:lineRule="auto"/>
      </w:pPr>
      <w:bookmarkStart w:id="5" w:name="_Hlk188200208"/>
      <w:r w:rsidRPr="00875A63">
        <w:t>Paper One:</w:t>
      </w:r>
    </w:p>
    <w:p w14:paraId="2E1241F8" w14:textId="18C9E753" w:rsidR="00591396" w:rsidRPr="00875A63" w:rsidRDefault="00AC3F11" w:rsidP="006171B0">
      <w:pPr>
        <w:pStyle w:val="Heading2"/>
        <w:spacing w:line="360" w:lineRule="auto"/>
      </w:pPr>
      <w:r w:rsidRPr="00FC31B5">
        <w:br/>
      </w:r>
      <w:bookmarkStart w:id="6" w:name="_Toc188210485"/>
      <w:r w:rsidR="00591396" w:rsidRPr="00875A63">
        <w:t>Which University Degrees Are Best for Intergenerational Mobility?</w:t>
      </w:r>
      <w:r w:rsidR="00B50EC8" w:rsidRPr="00875A63">
        <w:br/>
      </w:r>
      <w:r w:rsidR="00ED2A49" w:rsidRPr="00875A63">
        <w:t>(</w:t>
      </w:r>
      <w:r w:rsidR="00591396" w:rsidRPr="00875A63">
        <w:t>Britton et al.</w:t>
      </w:r>
      <w:r w:rsidR="00ED2A49" w:rsidRPr="00875A63">
        <w:t>, 2021)</w:t>
      </w:r>
      <w:bookmarkEnd w:id="6"/>
    </w:p>
    <w:p w14:paraId="0D79922D" w14:textId="2AAF64B6" w:rsidR="00591396" w:rsidRPr="0084242E" w:rsidRDefault="00591396" w:rsidP="006171B0">
      <w:pPr>
        <w:spacing w:line="360" w:lineRule="auto"/>
      </w:pPr>
      <w:r w:rsidRPr="0084242E">
        <w:rPr>
          <w:b/>
          <w:bCs/>
        </w:rPr>
        <w:t>Content Summary</w:t>
      </w:r>
      <w:r w:rsidRPr="0084242E">
        <w:t xml:space="preserve"> Britton, Drayton, and </w:t>
      </w:r>
      <w:r w:rsidR="000323AE">
        <w:t>V</w:t>
      </w:r>
      <w:r w:rsidRPr="0084242E">
        <w:t xml:space="preserve">an </w:t>
      </w:r>
      <w:r w:rsidR="000323AE">
        <w:t>d</w:t>
      </w:r>
      <w:r w:rsidRPr="0084242E">
        <w:t>er Erve (2021) analyse the impact of university courses and institutions on intergenerational mobility in England. Using the Longitudinal Education Outcomes (LEO) dataset, the authors calculate mobility rates by combining access rates (proportion of students from low-income backgrounds) with success rates (students reaching the top 20% of earners by age 30). High-return fields such as pharmacology, computing, and law at less selective London universities are identified as facilitating mobility, while prestigious institutions like Oxford and Cambridge show limited mobility due to restricted access for disadvantaged groups.</w:t>
      </w:r>
    </w:p>
    <w:p w14:paraId="7EE30A8F" w14:textId="3C6066B8" w:rsidR="0084242E" w:rsidRPr="0084242E" w:rsidRDefault="00591396" w:rsidP="006171B0">
      <w:pPr>
        <w:spacing w:line="360" w:lineRule="auto"/>
      </w:pPr>
      <w:r w:rsidRPr="0084242E">
        <w:rPr>
          <w:b/>
          <w:bCs/>
        </w:rPr>
        <w:t>Authority</w:t>
      </w:r>
      <w:r w:rsidR="006B1C79">
        <w:rPr>
          <w:b/>
          <w:bCs/>
        </w:rPr>
        <w:t>:</w:t>
      </w:r>
      <w:r w:rsidRPr="0084242E">
        <w:t xml:space="preserve"> The authors are affiliated with the Institute for Fiscal Studies</w:t>
      </w:r>
    </w:p>
    <w:p w14:paraId="18FF1B37" w14:textId="59516434" w:rsidR="00591396" w:rsidRPr="0084242E" w:rsidRDefault="00591396" w:rsidP="006171B0">
      <w:pPr>
        <w:spacing w:line="360" w:lineRule="auto"/>
      </w:pPr>
      <w:r w:rsidRPr="0084242E">
        <w:rPr>
          <w:b/>
          <w:bCs/>
        </w:rPr>
        <w:t>Methodology</w:t>
      </w:r>
      <w:r w:rsidR="006B1C79">
        <w:rPr>
          <w:b/>
          <w:bCs/>
        </w:rPr>
        <w:t>:</w:t>
      </w:r>
      <w:r w:rsidRPr="0084242E">
        <w:t xml:space="preserve"> The study employs quantitative methods, focusing on earnings and access rates as measurable outcomes. Its systemic approach highlights pathways for improving opportunities for disadvantaged students.</w:t>
      </w:r>
    </w:p>
    <w:p w14:paraId="0DC3DE8B" w14:textId="04054152" w:rsidR="00591396" w:rsidRPr="0084242E" w:rsidRDefault="00591396" w:rsidP="006171B0">
      <w:pPr>
        <w:spacing w:line="360" w:lineRule="auto"/>
      </w:pPr>
      <w:r w:rsidRPr="0084242E">
        <w:rPr>
          <w:b/>
          <w:bCs/>
        </w:rPr>
        <w:t>Critical Analysis</w:t>
      </w:r>
      <w:r w:rsidRPr="0084242E">
        <w:t xml:space="preserve"> </w:t>
      </w:r>
      <w:r w:rsidRPr="0084242E">
        <w:rPr>
          <w:b/>
          <w:bCs/>
        </w:rPr>
        <w:t>Accuracy:</w:t>
      </w:r>
      <w:r w:rsidRPr="0084242E">
        <w:t xml:space="preserve"> The study’s reliability is demonstrated through its dataset of 570,000 individuals. While findings align with existing theories on inequality </w:t>
      </w:r>
      <w:proofErr w:type="gramStart"/>
      <w:r w:rsidRPr="0084242E">
        <w:t>in</w:t>
      </w:r>
      <w:proofErr w:type="gramEnd"/>
      <w:r w:rsidRPr="0084242E">
        <w:t xml:space="preserve"> </w:t>
      </w:r>
      <w:r w:rsidR="008958DE" w:rsidRPr="0084242E">
        <w:t>HE</w:t>
      </w:r>
      <w:r w:rsidRPr="0084242E">
        <w:t xml:space="preserve">, reliance on Free School Meals (FSM) eligibility as a sole socioeconomic indicator neglects </w:t>
      </w:r>
      <w:r w:rsidR="0084242E" w:rsidRPr="0084242E">
        <w:t xml:space="preserve">intersectional </w:t>
      </w:r>
      <w:r w:rsidRPr="0084242E">
        <w:t>factors such as ethnicity and disability.</w:t>
      </w:r>
    </w:p>
    <w:p w14:paraId="2E3D3641" w14:textId="77777777" w:rsidR="00591396" w:rsidRPr="0084242E" w:rsidRDefault="00591396" w:rsidP="006171B0">
      <w:pPr>
        <w:spacing w:line="360" w:lineRule="auto"/>
      </w:pPr>
      <w:r w:rsidRPr="0084242E">
        <w:rPr>
          <w:b/>
          <w:bCs/>
        </w:rPr>
        <w:t>Objectivity:</w:t>
      </w:r>
      <w:r w:rsidRPr="0084242E">
        <w:t xml:space="preserve"> Quantitative data provides clarity, but the absence of qualitative insights limits an exploration of disadvantaged students' lived experiences. Institutional cultures and their role in perpetuating stratification are not addressed.</w:t>
      </w:r>
    </w:p>
    <w:p w14:paraId="7D571CD6" w14:textId="77777777" w:rsidR="00591396" w:rsidRPr="0084242E" w:rsidRDefault="00591396" w:rsidP="006171B0">
      <w:pPr>
        <w:spacing w:line="360" w:lineRule="auto"/>
      </w:pPr>
      <w:r w:rsidRPr="0084242E">
        <w:rPr>
          <w:b/>
          <w:bCs/>
        </w:rPr>
        <w:t>Coverage:</w:t>
      </w:r>
      <w:r w:rsidRPr="0084242E">
        <w:t xml:space="preserve"> The research offers detailed insights into mobility rates but could broaden its focus to include intersectional factors like gender and ethnicity.</w:t>
      </w:r>
    </w:p>
    <w:p w14:paraId="11FA2F4D" w14:textId="17B5B554" w:rsidR="00591396" w:rsidRPr="0084242E" w:rsidRDefault="00591396" w:rsidP="006171B0">
      <w:pPr>
        <w:spacing w:line="360" w:lineRule="auto"/>
      </w:pPr>
      <w:r w:rsidRPr="0084242E">
        <w:rPr>
          <w:b/>
          <w:bCs/>
        </w:rPr>
        <w:lastRenderedPageBreak/>
        <w:t>Uniqueness:</w:t>
      </w:r>
      <w:r w:rsidRPr="0084242E">
        <w:t xml:space="preserve"> By combining access and success rates, the study </w:t>
      </w:r>
      <w:r w:rsidR="0084242E" w:rsidRPr="0084242E">
        <w:t xml:space="preserve">highlights </w:t>
      </w:r>
      <w:r w:rsidRPr="0084242E">
        <w:t>variations across institutions and fields of study.</w:t>
      </w:r>
    </w:p>
    <w:p w14:paraId="45F547E8" w14:textId="77777777" w:rsidR="00591396" w:rsidRPr="0084242E" w:rsidRDefault="00591396" w:rsidP="006171B0">
      <w:pPr>
        <w:spacing w:line="360" w:lineRule="auto"/>
      </w:pPr>
      <w:r w:rsidRPr="0084242E">
        <w:rPr>
          <w:b/>
          <w:bCs/>
        </w:rPr>
        <w:t>Epistemology, Ontology, and Axiology:</w:t>
      </w:r>
      <w:r w:rsidRPr="0084242E">
        <w:t xml:space="preserve"> The study adopts a positivist perspective, treating social mobility as measurable and systemic. The emphasis on equity reflects a commitment to addressing underrepresentation but lacks depth due to the exclusion of qualitative perspectives.</w:t>
      </w:r>
    </w:p>
    <w:p w14:paraId="6DD46C31" w14:textId="5CA3494B" w:rsidR="00591396" w:rsidRPr="0084242E" w:rsidRDefault="00591396" w:rsidP="006171B0">
      <w:pPr>
        <w:spacing w:line="360" w:lineRule="auto"/>
      </w:pPr>
      <w:r w:rsidRPr="0084242E">
        <w:rPr>
          <w:b/>
          <w:bCs/>
        </w:rPr>
        <w:t>Reliability, Validity, and Ethical Considerations:</w:t>
      </w:r>
      <w:r w:rsidRPr="0084242E">
        <w:t xml:space="preserve"> </w:t>
      </w:r>
      <w:r w:rsidR="00AC3F11">
        <w:t>High-quality data and transparent methods support reliability, while FSM's sole use as a measure of socioeconomic status limits validity. Data confidentiality and a focus on fairness address ethical considerations</w:t>
      </w:r>
      <w:r w:rsidRPr="0084242E">
        <w:t>.</w:t>
      </w:r>
    </w:p>
    <w:p w14:paraId="094776A3" w14:textId="77777777" w:rsidR="00591396" w:rsidRPr="0084242E" w:rsidRDefault="00591396" w:rsidP="006171B0">
      <w:pPr>
        <w:spacing w:line="360" w:lineRule="auto"/>
      </w:pPr>
      <w:r w:rsidRPr="0084242E">
        <w:rPr>
          <w:b/>
          <w:bCs/>
        </w:rPr>
        <w:t>Future Research:</w:t>
      </w:r>
      <w:r w:rsidRPr="0084242E">
        <w:t xml:space="preserve"> Incorporating qualitative methods and intersectional analyses could deepen insights into barriers. Expanding the scope to include international comparisons may provide further equity strategies.</w:t>
      </w:r>
    </w:p>
    <w:p w14:paraId="159EEECF" w14:textId="2703520B" w:rsidR="00591396" w:rsidRPr="0084242E" w:rsidRDefault="00591396" w:rsidP="006171B0">
      <w:pPr>
        <w:spacing w:line="360" w:lineRule="auto"/>
      </w:pPr>
      <w:r w:rsidRPr="0084242E">
        <w:rPr>
          <w:b/>
          <w:bCs/>
        </w:rPr>
        <w:t>Conclusion:</w:t>
      </w:r>
      <w:r w:rsidRPr="0084242E">
        <w:t xml:space="preserve"> </w:t>
      </w:r>
      <w:proofErr w:type="gramStart"/>
      <w:r w:rsidRPr="0084242E">
        <w:t>Mixed-method</w:t>
      </w:r>
      <w:proofErr w:type="gramEnd"/>
      <w:r w:rsidRPr="0084242E">
        <w:t xml:space="preserve"> approaches and longitudinal studies could improve understanding of systemic barriers and policy impacts over time.</w:t>
      </w:r>
    </w:p>
    <w:p w14:paraId="0D3C3965" w14:textId="620FC1FE" w:rsidR="00591396" w:rsidRPr="00591396" w:rsidRDefault="00591396" w:rsidP="006171B0">
      <w:pPr>
        <w:spacing w:line="360" w:lineRule="auto"/>
      </w:pPr>
    </w:p>
    <w:p w14:paraId="51B27405" w14:textId="77777777" w:rsidR="00875A63" w:rsidRDefault="00591396" w:rsidP="006171B0">
      <w:pPr>
        <w:spacing w:line="360" w:lineRule="auto"/>
      </w:pPr>
      <w:r w:rsidRPr="00FC31B5">
        <w:t xml:space="preserve">Paper Two: </w:t>
      </w:r>
    </w:p>
    <w:p w14:paraId="5A728206" w14:textId="0FA540C5" w:rsidR="00591396" w:rsidRPr="00875A63" w:rsidRDefault="00AC3F11" w:rsidP="006171B0">
      <w:pPr>
        <w:pStyle w:val="Heading2"/>
        <w:spacing w:line="360" w:lineRule="auto"/>
      </w:pPr>
      <w:r w:rsidRPr="00FC31B5">
        <w:br/>
      </w:r>
      <w:bookmarkStart w:id="7" w:name="_Toc188210486"/>
      <w:r w:rsidR="00591396" w:rsidRPr="00875A63">
        <w:t>Determining Factors of Access and Equity in Higher Education: A Systematic Review</w:t>
      </w:r>
      <w:r w:rsidR="00682884" w:rsidRPr="00875A63">
        <w:br/>
      </w:r>
      <w:r w:rsidR="00767295" w:rsidRPr="00875A63">
        <w:t>(</w:t>
      </w:r>
      <w:r w:rsidR="00ED2A49" w:rsidRPr="00875A63">
        <w:t>Wanti et al.</w:t>
      </w:r>
      <w:r w:rsidR="00767295" w:rsidRPr="00875A63">
        <w:t xml:space="preserve">, </w:t>
      </w:r>
      <w:r w:rsidR="00ED2A49" w:rsidRPr="00875A63">
        <w:t>2022)</w:t>
      </w:r>
      <w:bookmarkEnd w:id="7"/>
      <w:r w:rsidR="00ED2A49" w:rsidRPr="00875A63">
        <w:t xml:space="preserve"> </w:t>
      </w:r>
    </w:p>
    <w:p w14:paraId="237A17C0" w14:textId="02BA7F0A" w:rsidR="00F240B4" w:rsidRPr="00334D0C" w:rsidRDefault="00591396" w:rsidP="006171B0">
      <w:pPr>
        <w:spacing w:line="360" w:lineRule="auto"/>
      </w:pPr>
      <w:r w:rsidRPr="00334D0C">
        <w:rPr>
          <w:b/>
          <w:bCs/>
        </w:rPr>
        <w:t>Content Summary</w:t>
      </w:r>
      <w:r w:rsidR="006B1C79">
        <w:rPr>
          <w:b/>
          <w:bCs/>
        </w:rPr>
        <w:t>:</w:t>
      </w:r>
      <w:r w:rsidRPr="00334D0C">
        <w:t xml:space="preserve"> Wanti et al. (2022) examine systemic, institutional, and financial barriers to equity in global </w:t>
      </w:r>
      <w:r w:rsidR="008958DE" w:rsidRPr="00334D0C">
        <w:t>HE</w:t>
      </w:r>
      <w:r w:rsidRPr="00334D0C">
        <w:t>. The review identifies influences such as tuition costs, cultural norms, geographic challenges, and inadequate institutional support. The authors critique deficit-based models</w:t>
      </w:r>
      <w:r w:rsidR="004F2749" w:rsidRPr="00334D0C">
        <w:t xml:space="preserve"> (attributes failure to the person not the institution)</w:t>
      </w:r>
      <w:r w:rsidRPr="00334D0C">
        <w:t xml:space="preserve"> and suggest reforms, including financial aid and inclusive policies.</w:t>
      </w:r>
      <w:r w:rsidR="004F2749" w:rsidRPr="00334D0C">
        <w:t xml:space="preserve"> H</w:t>
      </w:r>
      <w:r w:rsidR="00F240B4" w:rsidRPr="00334D0C">
        <w:t xml:space="preserve">ighlighting </w:t>
      </w:r>
      <w:r w:rsidR="000F4DDE">
        <w:t>socioeconomic</w:t>
      </w:r>
      <w:r w:rsidR="00F240B4" w:rsidRPr="00334D0C">
        <w:t xml:space="preserve"> and institutional factors</w:t>
      </w:r>
      <w:r w:rsidR="004F2749" w:rsidRPr="00334D0C">
        <w:t xml:space="preserve">, the research findings </w:t>
      </w:r>
      <w:r w:rsidR="00F240B4" w:rsidRPr="00334D0C">
        <w:t>emphasise the role of prior attainment, financial barriers, and systemic inequities in limiting opportunities for underprivileged student</w:t>
      </w:r>
      <w:r w:rsidR="004F2749" w:rsidRPr="00334D0C">
        <w:t>s.</w:t>
      </w:r>
    </w:p>
    <w:p w14:paraId="578AC3EC" w14:textId="6BB913BF" w:rsidR="004F2749" w:rsidRPr="00334D0C" w:rsidRDefault="00591396" w:rsidP="006171B0">
      <w:pPr>
        <w:spacing w:line="360" w:lineRule="auto"/>
      </w:pPr>
      <w:r w:rsidRPr="00334D0C">
        <w:rPr>
          <w:b/>
          <w:bCs/>
        </w:rPr>
        <w:t>Authority</w:t>
      </w:r>
      <w:r w:rsidR="006B1C79">
        <w:rPr>
          <w:b/>
          <w:bCs/>
        </w:rPr>
        <w:t>:</w:t>
      </w:r>
      <w:r w:rsidRPr="00334D0C">
        <w:t xml:space="preserve"> </w:t>
      </w:r>
      <w:r w:rsidR="004F2749" w:rsidRPr="00334D0C">
        <w:t xml:space="preserve">The authors are associated with the All Education and Learning Sciences </w:t>
      </w:r>
      <w:r w:rsidR="00AC3F11" w:rsidRPr="00334D0C">
        <w:t>Group, Wageningen</w:t>
      </w:r>
      <w:r w:rsidR="004F2749" w:rsidRPr="00334D0C">
        <w:t xml:space="preserve"> University</w:t>
      </w:r>
    </w:p>
    <w:p w14:paraId="42358C51" w14:textId="316C5C30" w:rsidR="004F2749" w:rsidRPr="00334D0C" w:rsidRDefault="00591396" w:rsidP="006171B0">
      <w:pPr>
        <w:spacing w:line="360" w:lineRule="auto"/>
      </w:pPr>
      <w:r w:rsidRPr="00334D0C">
        <w:rPr>
          <w:b/>
          <w:bCs/>
        </w:rPr>
        <w:lastRenderedPageBreak/>
        <w:t>Methodology</w:t>
      </w:r>
      <w:r w:rsidR="006B1C79">
        <w:rPr>
          <w:b/>
          <w:bCs/>
        </w:rPr>
        <w:t>:</w:t>
      </w:r>
      <w:r w:rsidRPr="00334D0C">
        <w:t xml:space="preserve"> A qualitative approach, grounded in critical constructivist principles, </w:t>
      </w:r>
      <w:r w:rsidR="004F2749" w:rsidRPr="00334D0C">
        <w:t xml:space="preserve">suggests </w:t>
      </w:r>
      <w:r w:rsidRPr="00334D0C">
        <w:t>inequities as structural and systemic</w:t>
      </w:r>
      <w:r w:rsidR="004F2749" w:rsidRPr="00334D0C">
        <w:t>, suggesting a relationship with critical theory</w:t>
      </w:r>
      <w:r w:rsidRPr="00334D0C">
        <w:t xml:space="preserve">. The study’s reliance on secondary sources, however, limits regional and contemporary </w:t>
      </w:r>
      <w:r w:rsidR="004F2749" w:rsidRPr="00334D0C">
        <w:t>relevance.</w:t>
      </w:r>
    </w:p>
    <w:p w14:paraId="681276A8" w14:textId="09EB6F59" w:rsidR="00591396" w:rsidRPr="00334D0C" w:rsidRDefault="00591396" w:rsidP="006171B0">
      <w:pPr>
        <w:spacing w:line="360" w:lineRule="auto"/>
      </w:pPr>
      <w:r w:rsidRPr="00334D0C">
        <w:rPr>
          <w:b/>
          <w:bCs/>
        </w:rPr>
        <w:t>Critical Assessment</w:t>
      </w:r>
      <w:r w:rsidRPr="00334D0C">
        <w:t xml:space="preserve"> </w:t>
      </w:r>
      <w:r w:rsidRPr="00334D0C">
        <w:rPr>
          <w:b/>
          <w:bCs/>
        </w:rPr>
        <w:t>Accuracy:</w:t>
      </w:r>
      <w:r w:rsidRPr="00334D0C">
        <w:t xml:space="preserve"> The systematic methodology ensures reliability by integrating varied findings. However, gaps may exist due to </w:t>
      </w:r>
      <w:r w:rsidR="004F2749" w:rsidRPr="00334D0C">
        <w:t>over</w:t>
      </w:r>
      <w:r w:rsidR="00AC3F11">
        <w:t>-</w:t>
      </w:r>
      <w:r w:rsidRPr="00334D0C">
        <w:t>reliance on existing literature.</w:t>
      </w:r>
    </w:p>
    <w:p w14:paraId="237DAFC9" w14:textId="77777777" w:rsidR="004F2749" w:rsidRPr="00334D0C" w:rsidRDefault="00591396" w:rsidP="006171B0">
      <w:pPr>
        <w:spacing w:line="360" w:lineRule="auto"/>
      </w:pPr>
      <w:r w:rsidRPr="00334D0C">
        <w:rPr>
          <w:b/>
          <w:bCs/>
        </w:rPr>
        <w:t>Objectivity:</w:t>
      </w:r>
      <w:r w:rsidRPr="00334D0C">
        <w:t xml:space="preserve"> The study challenges deficit-based models and highlights structural inequities, though </w:t>
      </w:r>
      <w:r w:rsidR="004F2749" w:rsidRPr="00334D0C">
        <w:t xml:space="preserve">the research is </w:t>
      </w:r>
      <w:r w:rsidRPr="00334D0C">
        <w:t xml:space="preserve">limited </w:t>
      </w:r>
      <w:r w:rsidR="004F2749" w:rsidRPr="00334D0C">
        <w:t>due to the lack</w:t>
      </w:r>
      <w:r w:rsidRPr="00334D0C">
        <w:t xml:space="preserve"> intersectional factors</w:t>
      </w:r>
      <w:r w:rsidR="004F2749" w:rsidRPr="00334D0C">
        <w:t xml:space="preserve"> considered.</w:t>
      </w:r>
    </w:p>
    <w:p w14:paraId="7ED54CCD" w14:textId="67D5BE10" w:rsidR="00591396" w:rsidRPr="00334D0C" w:rsidRDefault="00591396" w:rsidP="006171B0">
      <w:pPr>
        <w:spacing w:line="360" w:lineRule="auto"/>
      </w:pPr>
      <w:r w:rsidRPr="00334D0C">
        <w:rPr>
          <w:b/>
          <w:bCs/>
        </w:rPr>
        <w:t>Coverage:</w:t>
      </w:r>
      <w:r w:rsidRPr="00334D0C">
        <w:t xml:space="preserve"> </w:t>
      </w:r>
      <w:r w:rsidR="004F2749" w:rsidRPr="00334D0C">
        <w:t>The research l</w:t>
      </w:r>
      <w:r w:rsidRPr="00334D0C">
        <w:t>acks depth in intersecting influences such as gender and ethnicity.</w:t>
      </w:r>
    </w:p>
    <w:p w14:paraId="57F04BAF" w14:textId="77777777" w:rsidR="00591396" w:rsidRPr="00334D0C" w:rsidRDefault="00591396" w:rsidP="006171B0">
      <w:pPr>
        <w:spacing w:line="360" w:lineRule="auto"/>
      </w:pPr>
      <w:r w:rsidRPr="00334D0C">
        <w:rPr>
          <w:b/>
          <w:bCs/>
        </w:rPr>
        <w:t>Uniqueness:</w:t>
      </w:r>
      <w:r w:rsidRPr="00334D0C">
        <w:t xml:space="preserve"> The study critiques deficit-based approaches and emphasises structural reform.</w:t>
      </w:r>
    </w:p>
    <w:p w14:paraId="3894521D" w14:textId="65ECC42D" w:rsidR="00591396" w:rsidRPr="00334D0C" w:rsidRDefault="00591396" w:rsidP="006171B0">
      <w:pPr>
        <w:spacing w:line="360" w:lineRule="auto"/>
      </w:pPr>
      <w:r w:rsidRPr="00334D0C">
        <w:rPr>
          <w:b/>
          <w:bCs/>
        </w:rPr>
        <w:t>Epistemology, Ontology, and Axiology:</w:t>
      </w:r>
      <w:r w:rsidRPr="00334D0C">
        <w:t xml:space="preserve"> </w:t>
      </w:r>
      <w:r w:rsidR="00334D0C" w:rsidRPr="00334D0C">
        <w:t xml:space="preserve">Considering </w:t>
      </w:r>
      <w:r w:rsidRPr="00334D0C">
        <w:t xml:space="preserve">inequities as institutional and societal constructs, the study’s reliance on secondary data </w:t>
      </w:r>
      <w:r w:rsidR="004F2749" w:rsidRPr="00334D0C">
        <w:t>limits its</w:t>
      </w:r>
      <w:r w:rsidRPr="00334D0C">
        <w:t xml:space="preserve"> ability to reflect lived</w:t>
      </w:r>
      <w:r w:rsidR="00334D0C" w:rsidRPr="00334D0C">
        <w:t xml:space="preserve">, phenomenological </w:t>
      </w:r>
      <w:r w:rsidRPr="00334D0C">
        <w:t>experiences fully.</w:t>
      </w:r>
    </w:p>
    <w:p w14:paraId="2D1EFEB3" w14:textId="49958FDB" w:rsidR="00591396" w:rsidRPr="00334D0C" w:rsidRDefault="00591396" w:rsidP="006171B0">
      <w:pPr>
        <w:spacing w:line="360" w:lineRule="auto"/>
      </w:pPr>
      <w:r w:rsidRPr="00334D0C">
        <w:rPr>
          <w:b/>
          <w:bCs/>
        </w:rPr>
        <w:t>Reliability, Validity, and Ethical Considerations:</w:t>
      </w:r>
      <w:r w:rsidRPr="00334D0C">
        <w:t xml:space="preserve"> Reliability </w:t>
      </w:r>
      <w:proofErr w:type="spellStart"/>
      <w:r w:rsidR="00FC31B5">
        <w:t>demonstaed</w:t>
      </w:r>
      <w:proofErr w:type="spellEnd"/>
      <w:r w:rsidRPr="00334D0C">
        <w:t xml:space="preserve"> </w:t>
      </w:r>
      <w:r w:rsidR="00FC31B5">
        <w:t>through strict criteria</w:t>
      </w:r>
      <w:r w:rsidRPr="00334D0C">
        <w:t>, but validity could improve with region-specific primary data. Ethical concerns are addressed through fairness-focused recommendations.</w:t>
      </w:r>
    </w:p>
    <w:p w14:paraId="191DDC8A" w14:textId="436BD371" w:rsidR="00591396" w:rsidRPr="00334D0C" w:rsidRDefault="00591396" w:rsidP="006171B0">
      <w:pPr>
        <w:spacing w:line="360" w:lineRule="auto"/>
      </w:pPr>
      <w:r w:rsidRPr="00334D0C">
        <w:rPr>
          <w:b/>
          <w:bCs/>
        </w:rPr>
        <w:t>Future Research:</w:t>
      </w:r>
      <w:r w:rsidRPr="00334D0C">
        <w:t xml:space="preserve"> Mixed methodologies, including primary data collection and longitudinal studies, </w:t>
      </w:r>
      <w:r w:rsidR="00334D0C" w:rsidRPr="00334D0C">
        <w:t>as well as intersectional considerations would</w:t>
      </w:r>
      <w:r w:rsidRPr="00334D0C">
        <w:t xml:space="preserve"> strengthen the analysis and provide </w:t>
      </w:r>
      <w:r w:rsidR="00334D0C" w:rsidRPr="00334D0C">
        <w:t xml:space="preserve">better </w:t>
      </w:r>
      <w:r w:rsidRPr="00334D0C">
        <w:t>targeted insights.</w:t>
      </w:r>
    </w:p>
    <w:p w14:paraId="29A266DC" w14:textId="77777777" w:rsidR="00591396" w:rsidRDefault="00591396" w:rsidP="006171B0">
      <w:pPr>
        <w:spacing w:line="360" w:lineRule="auto"/>
      </w:pPr>
      <w:r w:rsidRPr="00334D0C">
        <w:rPr>
          <w:b/>
          <w:bCs/>
        </w:rPr>
        <w:t>Conclusion:</w:t>
      </w:r>
      <w:r w:rsidRPr="00334D0C">
        <w:t xml:space="preserve"> While comprehensive in addressing global trends, the study would benefit from primary data and intersectional analysis to address gaps in equity policy.</w:t>
      </w:r>
    </w:p>
    <w:p w14:paraId="3643EF0F" w14:textId="77777777" w:rsidR="002B7689" w:rsidRPr="00334D0C" w:rsidRDefault="002B7689" w:rsidP="006171B0">
      <w:pPr>
        <w:spacing w:line="360" w:lineRule="auto"/>
      </w:pPr>
    </w:p>
    <w:p w14:paraId="28686451" w14:textId="77777777" w:rsidR="00875A63" w:rsidRDefault="002B7689" w:rsidP="006171B0">
      <w:pPr>
        <w:spacing w:line="360" w:lineRule="auto"/>
      </w:pPr>
      <w:r w:rsidRPr="00FC31B5">
        <w:t>Paper Three:</w:t>
      </w:r>
    </w:p>
    <w:p w14:paraId="5650DFC3" w14:textId="1B0EF8B8" w:rsidR="00591396" w:rsidRPr="00875A63" w:rsidRDefault="002B7689" w:rsidP="006171B0">
      <w:pPr>
        <w:pStyle w:val="Heading2"/>
        <w:spacing w:line="360" w:lineRule="auto"/>
      </w:pPr>
      <w:r w:rsidRPr="00FC31B5">
        <w:lastRenderedPageBreak/>
        <w:br/>
      </w:r>
      <w:bookmarkStart w:id="8" w:name="_Toc188210487"/>
      <w:r w:rsidRPr="00875A63">
        <w:t>Neoliberal Meritocracy: How 'Widening Participation' to Universities in England Reinforces Class Divisions</w:t>
      </w:r>
      <w:r w:rsidRPr="00875A63">
        <w:br/>
        <w:t>(Cunningham &amp; Samson, 2021)</w:t>
      </w:r>
      <w:bookmarkEnd w:id="8"/>
    </w:p>
    <w:p w14:paraId="2AC9E778" w14:textId="573E6BC5" w:rsidR="00682884" w:rsidRPr="009769AD" w:rsidRDefault="00591396" w:rsidP="006171B0">
      <w:pPr>
        <w:spacing w:line="360" w:lineRule="auto"/>
        <w:rPr>
          <w:color w:val="000000" w:themeColor="text1"/>
        </w:rPr>
      </w:pPr>
      <w:r w:rsidRPr="009769AD">
        <w:rPr>
          <w:b/>
          <w:bCs/>
          <w:color w:val="000000" w:themeColor="text1"/>
        </w:rPr>
        <w:t>Content Summary</w:t>
      </w:r>
      <w:r w:rsidR="006B1C79">
        <w:rPr>
          <w:b/>
          <w:bCs/>
          <w:color w:val="000000" w:themeColor="text1"/>
        </w:rPr>
        <w:t>:</w:t>
      </w:r>
      <w:r w:rsidRPr="009769AD">
        <w:rPr>
          <w:color w:val="000000" w:themeColor="text1"/>
        </w:rPr>
        <w:t xml:space="preserve"> </w:t>
      </w:r>
      <w:r w:rsidR="006B1C79">
        <w:rPr>
          <w:color w:val="000000" w:themeColor="text1"/>
        </w:rPr>
        <w:t>C</w:t>
      </w:r>
      <w:r w:rsidRPr="009769AD">
        <w:rPr>
          <w:color w:val="000000" w:themeColor="text1"/>
        </w:rPr>
        <w:t xml:space="preserve">ritique </w:t>
      </w:r>
      <w:r w:rsidR="006B1C79">
        <w:rPr>
          <w:color w:val="000000" w:themeColor="text1"/>
        </w:rPr>
        <w:t xml:space="preserve">of </w:t>
      </w:r>
      <w:r w:rsidRPr="009769AD">
        <w:rPr>
          <w:color w:val="000000" w:themeColor="text1"/>
        </w:rPr>
        <w:t xml:space="preserve">how neoliberal policies in English universities maintain class divisions. </w:t>
      </w:r>
      <w:r w:rsidR="001B0BB8" w:rsidRPr="009769AD">
        <w:rPr>
          <w:color w:val="000000" w:themeColor="text1"/>
        </w:rPr>
        <w:t>They suggest w</w:t>
      </w:r>
      <w:r w:rsidRPr="009769AD">
        <w:rPr>
          <w:color w:val="000000" w:themeColor="text1"/>
        </w:rPr>
        <w:t xml:space="preserve">idening participation policies increase access but fail to foster genuine mobility, as </w:t>
      </w:r>
      <w:r w:rsidR="00334D0C" w:rsidRPr="009769AD">
        <w:rPr>
          <w:color w:val="000000" w:themeColor="text1"/>
        </w:rPr>
        <w:t xml:space="preserve">societal, </w:t>
      </w:r>
      <w:r w:rsidRPr="009769AD">
        <w:rPr>
          <w:color w:val="000000" w:themeColor="text1"/>
        </w:rPr>
        <w:t>structural barriers reinforce inequality.</w:t>
      </w:r>
      <w:r w:rsidR="00334D0C" w:rsidRPr="009769AD">
        <w:rPr>
          <w:color w:val="000000" w:themeColor="text1"/>
        </w:rPr>
        <w:t xml:space="preserve"> They argue that</w:t>
      </w:r>
      <w:r w:rsidR="001B0BB8" w:rsidRPr="009769AD">
        <w:rPr>
          <w:color w:val="000000" w:themeColor="text1"/>
        </w:rPr>
        <w:t xml:space="preserve"> wider participation (WP)</w:t>
      </w:r>
      <w:r w:rsidR="00334D0C" w:rsidRPr="009769AD">
        <w:rPr>
          <w:color w:val="000000" w:themeColor="text1"/>
        </w:rPr>
        <w:t xml:space="preserve"> policies maintain and increase</w:t>
      </w:r>
      <w:r w:rsidR="00682884" w:rsidRPr="009769AD">
        <w:rPr>
          <w:color w:val="000000" w:themeColor="text1"/>
        </w:rPr>
        <w:t xml:space="preserve"> class privilege by </w:t>
      </w:r>
      <w:r w:rsidR="00334D0C" w:rsidRPr="009769AD">
        <w:rPr>
          <w:color w:val="000000" w:themeColor="text1"/>
        </w:rPr>
        <w:t xml:space="preserve">signposting </w:t>
      </w:r>
      <w:r w:rsidR="00682884" w:rsidRPr="009769AD">
        <w:rPr>
          <w:color w:val="000000" w:themeColor="text1"/>
        </w:rPr>
        <w:t xml:space="preserve">students into </w:t>
      </w:r>
      <w:r w:rsidR="00334D0C" w:rsidRPr="009769AD">
        <w:rPr>
          <w:color w:val="000000" w:themeColor="text1"/>
        </w:rPr>
        <w:t>‘</w:t>
      </w:r>
      <w:r w:rsidR="00682884" w:rsidRPr="009769AD">
        <w:rPr>
          <w:color w:val="000000" w:themeColor="text1"/>
        </w:rPr>
        <w:t>stratified labour market niches</w:t>
      </w:r>
      <w:r w:rsidR="00334D0C" w:rsidRPr="009769AD">
        <w:rPr>
          <w:color w:val="000000" w:themeColor="text1"/>
        </w:rPr>
        <w:t xml:space="preserve">’ </w:t>
      </w:r>
      <w:r w:rsidR="001B0BB8" w:rsidRPr="009769AD">
        <w:rPr>
          <w:color w:val="000000" w:themeColor="text1"/>
        </w:rPr>
        <w:t>commensurate</w:t>
      </w:r>
      <w:r w:rsidR="00334D0C" w:rsidRPr="009769AD">
        <w:rPr>
          <w:color w:val="000000" w:themeColor="text1"/>
        </w:rPr>
        <w:t xml:space="preserve"> with their</w:t>
      </w:r>
      <w:r w:rsidR="001B0BB8" w:rsidRPr="009769AD">
        <w:rPr>
          <w:color w:val="000000" w:themeColor="text1"/>
        </w:rPr>
        <w:t xml:space="preserve"> perceived employment expectation. They detail that</w:t>
      </w:r>
      <w:r w:rsidR="00682884" w:rsidRPr="009769AD">
        <w:rPr>
          <w:color w:val="000000" w:themeColor="text1"/>
        </w:rPr>
        <w:t xml:space="preserve"> </w:t>
      </w:r>
      <w:r w:rsidR="001B0BB8" w:rsidRPr="009769AD">
        <w:rPr>
          <w:color w:val="000000" w:themeColor="text1"/>
        </w:rPr>
        <w:t>‘n</w:t>
      </w:r>
      <w:r w:rsidR="00682884" w:rsidRPr="009769AD">
        <w:rPr>
          <w:color w:val="000000" w:themeColor="text1"/>
        </w:rPr>
        <w:t>eoliberal</w:t>
      </w:r>
      <w:r w:rsidR="001B0BB8" w:rsidRPr="009769AD">
        <w:rPr>
          <w:color w:val="000000" w:themeColor="text1"/>
        </w:rPr>
        <w:t>’ free market</w:t>
      </w:r>
      <w:r w:rsidR="00682884" w:rsidRPr="009769AD">
        <w:rPr>
          <w:color w:val="000000" w:themeColor="text1"/>
        </w:rPr>
        <w:t xml:space="preserve"> frameworks </w:t>
      </w:r>
      <w:r w:rsidR="001B0BB8" w:rsidRPr="009769AD">
        <w:rPr>
          <w:color w:val="000000" w:themeColor="text1"/>
        </w:rPr>
        <w:t xml:space="preserve">prioritise </w:t>
      </w:r>
      <w:r w:rsidR="00682884" w:rsidRPr="009769AD">
        <w:rPr>
          <w:color w:val="000000" w:themeColor="text1"/>
        </w:rPr>
        <w:t>economic metrics, undermining social mobility​</w:t>
      </w:r>
      <w:r w:rsidR="001B0BB8" w:rsidRPr="009769AD">
        <w:rPr>
          <w:color w:val="000000" w:themeColor="text1"/>
        </w:rPr>
        <w:t>.</w:t>
      </w:r>
    </w:p>
    <w:p w14:paraId="4C32E118" w14:textId="32395706" w:rsidR="009769AD" w:rsidRPr="009769AD" w:rsidRDefault="00591396" w:rsidP="006171B0">
      <w:pPr>
        <w:spacing w:line="360" w:lineRule="auto"/>
        <w:rPr>
          <w:color w:val="000000" w:themeColor="text1"/>
        </w:rPr>
      </w:pPr>
      <w:r w:rsidRPr="009769AD">
        <w:rPr>
          <w:b/>
          <w:bCs/>
          <w:color w:val="000000" w:themeColor="text1"/>
        </w:rPr>
        <w:t>Authority</w:t>
      </w:r>
      <w:r w:rsidR="006B1C79">
        <w:rPr>
          <w:b/>
          <w:bCs/>
          <w:color w:val="000000" w:themeColor="text1"/>
        </w:rPr>
        <w:t>:</w:t>
      </w:r>
      <w:r w:rsidRPr="009769AD">
        <w:rPr>
          <w:color w:val="000000" w:themeColor="text1"/>
        </w:rPr>
        <w:t xml:space="preserve"> </w:t>
      </w:r>
      <w:r w:rsidR="001B0BB8" w:rsidRPr="009769AD">
        <w:rPr>
          <w:color w:val="000000" w:themeColor="text1"/>
        </w:rPr>
        <w:t xml:space="preserve">Both Samson and Cunningham are </w:t>
      </w:r>
      <w:r w:rsidR="009769AD" w:rsidRPr="009769AD">
        <w:rPr>
          <w:color w:val="000000" w:themeColor="text1"/>
        </w:rPr>
        <w:t>associated with the university of Essex, with Sam</w:t>
      </w:r>
      <w:r w:rsidR="00622DC8">
        <w:rPr>
          <w:color w:val="000000" w:themeColor="text1"/>
        </w:rPr>
        <w:t>so</w:t>
      </w:r>
      <w:r w:rsidR="009769AD" w:rsidRPr="009769AD">
        <w:rPr>
          <w:color w:val="000000" w:themeColor="text1"/>
        </w:rPr>
        <w:t>n associated with 104 peer</w:t>
      </w:r>
      <w:r w:rsidR="006B1C79">
        <w:rPr>
          <w:color w:val="000000" w:themeColor="text1"/>
        </w:rPr>
        <w:t>-</w:t>
      </w:r>
      <w:r w:rsidR="009769AD" w:rsidRPr="009769AD">
        <w:rPr>
          <w:color w:val="000000" w:themeColor="text1"/>
        </w:rPr>
        <w:t>reviewed papers and 6 books.</w:t>
      </w:r>
      <w:r w:rsidRPr="009769AD">
        <w:rPr>
          <w:color w:val="000000" w:themeColor="text1"/>
        </w:rPr>
        <w:t xml:space="preserve"> </w:t>
      </w:r>
    </w:p>
    <w:p w14:paraId="444551C5" w14:textId="11C6BFE0" w:rsidR="00591396" w:rsidRPr="009769AD" w:rsidRDefault="00591396" w:rsidP="006171B0">
      <w:pPr>
        <w:spacing w:line="360" w:lineRule="auto"/>
        <w:rPr>
          <w:color w:val="000000" w:themeColor="text1"/>
        </w:rPr>
      </w:pPr>
      <w:r w:rsidRPr="009769AD">
        <w:rPr>
          <w:b/>
          <w:bCs/>
          <w:color w:val="000000" w:themeColor="text1"/>
        </w:rPr>
        <w:t>Methodology</w:t>
      </w:r>
      <w:r w:rsidR="006B1C79">
        <w:rPr>
          <w:b/>
          <w:bCs/>
          <w:color w:val="000000" w:themeColor="text1"/>
        </w:rPr>
        <w:t>:</w:t>
      </w:r>
      <w:r w:rsidRPr="009769AD">
        <w:rPr>
          <w:color w:val="000000" w:themeColor="text1"/>
        </w:rPr>
        <w:t xml:space="preserve"> A qualitative framework </w:t>
      </w:r>
      <w:r w:rsidR="009769AD" w:rsidRPr="009769AD">
        <w:rPr>
          <w:color w:val="000000" w:themeColor="text1"/>
        </w:rPr>
        <w:t xml:space="preserve">combines an </w:t>
      </w:r>
      <w:r w:rsidRPr="009769AD">
        <w:rPr>
          <w:color w:val="000000" w:themeColor="text1"/>
        </w:rPr>
        <w:t>historical and</w:t>
      </w:r>
      <w:r w:rsidR="009769AD" w:rsidRPr="009769AD">
        <w:rPr>
          <w:color w:val="000000" w:themeColor="text1"/>
        </w:rPr>
        <w:t xml:space="preserve"> a</w:t>
      </w:r>
      <w:r w:rsidRPr="009769AD">
        <w:rPr>
          <w:color w:val="000000" w:themeColor="text1"/>
        </w:rPr>
        <w:t xml:space="preserve"> </w:t>
      </w:r>
      <w:r w:rsidR="00FC31B5" w:rsidRPr="009769AD">
        <w:rPr>
          <w:color w:val="000000" w:themeColor="text1"/>
        </w:rPr>
        <w:t>contemporary policy analysis</w:t>
      </w:r>
      <w:r w:rsidRPr="009769AD">
        <w:rPr>
          <w:color w:val="000000" w:themeColor="text1"/>
        </w:rPr>
        <w:t xml:space="preserve"> to examine class divisions within institutional structures.</w:t>
      </w:r>
    </w:p>
    <w:p w14:paraId="325EBA6C" w14:textId="1EE52B1B" w:rsidR="00591396" w:rsidRPr="009769AD" w:rsidRDefault="00591396" w:rsidP="006171B0">
      <w:pPr>
        <w:spacing w:line="360" w:lineRule="auto"/>
        <w:rPr>
          <w:color w:val="000000" w:themeColor="text1"/>
        </w:rPr>
      </w:pPr>
      <w:r w:rsidRPr="009769AD">
        <w:rPr>
          <w:b/>
          <w:bCs/>
          <w:color w:val="000000" w:themeColor="text1"/>
        </w:rPr>
        <w:t>Critical Assessment</w:t>
      </w:r>
      <w:r w:rsidRPr="009769AD">
        <w:rPr>
          <w:color w:val="000000" w:themeColor="text1"/>
        </w:rPr>
        <w:t xml:space="preserve"> </w:t>
      </w:r>
      <w:r w:rsidRPr="009769AD">
        <w:rPr>
          <w:b/>
          <w:bCs/>
          <w:color w:val="000000" w:themeColor="text1"/>
        </w:rPr>
        <w:t>Accuracy:</w:t>
      </w:r>
      <w:r w:rsidRPr="009769AD">
        <w:rPr>
          <w:color w:val="000000" w:themeColor="text1"/>
        </w:rPr>
        <w:t xml:space="preserve"> Supported by historical and policy evaluations, the study’s reliance </w:t>
      </w:r>
      <w:r w:rsidR="009769AD" w:rsidRPr="009769AD">
        <w:rPr>
          <w:color w:val="000000" w:themeColor="text1"/>
        </w:rPr>
        <w:t xml:space="preserve">solely </w:t>
      </w:r>
      <w:r w:rsidRPr="009769AD">
        <w:rPr>
          <w:color w:val="000000" w:themeColor="text1"/>
        </w:rPr>
        <w:t>on secondary data limits empirical</w:t>
      </w:r>
      <w:r w:rsidR="009769AD" w:rsidRPr="009769AD">
        <w:rPr>
          <w:color w:val="000000" w:themeColor="text1"/>
        </w:rPr>
        <w:t>, lived experience,</w:t>
      </w:r>
      <w:r w:rsidRPr="009769AD">
        <w:rPr>
          <w:color w:val="000000" w:themeColor="text1"/>
        </w:rPr>
        <w:t xml:space="preserve"> depth</w:t>
      </w:r>
      <w:r w:rsidR="00D14398">
        <w:rPr>
          <w:color w:val="000000" w:themeColor="text1"/>
        </w:rPr>
        <w:t xml:space="preserve"> and application.</w:t>
      </w:r>
    </w:p>
    <w:p w14:paraId="289BCC83" w14:textId="008E0B1C" w:rsidR="009769AD" w:rsidRPr="009769AD" w:rsidRDefault="00591396" w:rsidP="006171B0">
      <w:pPr>
        <w:spacing w:line="360" w:lineRule="auto"/>
        <w:rPr>
          <w:color w:val="000000" w:themeColor="text1"/>
        </w:rPr>
      </w:pPr>
      <w:r w:rsidRPr="009769AD">
        <w:rPr>
          <w:b/>
          <w:bCs/>
          <w:color w:val="000000" w:themeColor="text1"/>
        </w:rPr>
        <w:t>Objectivity:</w:t>
      </w:r>
      <w:r w:rsidRPr="009769AD">
        <w:rPr>
          <w:color w:val="000000" w:themeColor="text1"/>
        </w:rPr>
        <w:t xml:space="preserve"> While effectively critiquing systemic flaws, its focus on neoliberalism may overlook alternative perspectives</w:t>
      </w:r>
      <w:r w:rsidR="009769AD" w:rsidRPr="009769AD">
        <w:rPr>
          <w:color w:val="000000" w:themeColor="text1"/>
        </w:rPr>
        <w:t xml:space="preserve">, which may in some part be due to the previous work of the authors, who from their previous work, are </w:t>
      </w:r>
      <w:r w:rsidR="0079411A" w:rsidRPr="009769AD">
        <w:rPr>
          <w:color w:val="000000" w:themeColor="text1"/>
        </w:rPr>
        <w:t>critics</w:t>
      </w:r>
      <w:r w:rsidR="009769AD" w:rsidRPr="009769AD">
        <w:rPr>
          <w:color w:val="000000" w:themeColor="text1"/>
        </w:rPr>
        <w:t xml:space="preserve"> of neoliberalism.</w:t>
      </w:r>
    </w:p>
    <w:p w14:paraId="06C08CC6" w14:textId="21F5388D" w:rsidR="00591396" w:rsidRPr="009769AD" w:rsidRDefault="00591396" w:rsidP="006171B0">
      <w:pPr>
        <w:spacing w:line="360" w:lineRule="auto"/>
        <w:rPr>
          <w:color w:val="000000" w:themeColor="text1"/>
        </w:rPr>
      </w:pPr>
      <w:r w:rsidRPr="009769AD">
        <w:rPr>
          <w:b/>
          <w:bCs/>
          <w:color w:val="000000" w:themeColor="text1"/>
        </w:rPr>
        <w:t>Coverage:</w:t>
      </w:r>
      <w:r w:rsidRPr="009769AD">
        <w:rPr>
          <w:color w:val="000000" w:themeColor="text1"/>
        </w:rPr>
        <w:t xml:space="preserve"> The</w:t>
      </w:r>
      <w:r w:rsidR="009769AD" w:rsidRPr="009769AD">
        <w:rPr>
          <w:color w:val="000000" w:themeColor="text1"/>
        </w:rPr>
        <w:t>ir</w:t>
      </w:r>
      <w:r w:rsidRPr="009769AD">
        <w:rPr>
          <w:color w:val="000000" w:themeColor="text1"/>
        </w:rPr>
        <w:t xml:space="preserve"> critique of widening participation</w:t>
      </w:r>
      <w:r w:rsidR="009769AD" w:rsidRPr="009769AD">
        <w:rPr>
          <w:color w:val="000000" w:themeColor="text1"/>
        </w:rPr>
        <w:t>, mainly around SES and societal structures</w:t>
      </w:r>
      <w:r w:rsidRPr="009769AD">
        <w:rPr>
          <w:color w:val="000000" w:themeColor="text1"/>
        </w:rPr>
        <w:t xml:space="preserve"> excludes intersectional aspects like ethnicity and gender.</w:t>
      </w:r>
    </w:p>
    <w:p w14:paraId="23E5490B" w14:textId="1766C556" w:rsidR="00591396" w:rsidRPr="009769AD" w:rsidRDefault="00591396" w:rsidP="006171B0">
      <w:pPr>
        <w:spacing w:line="360" w:lineRule="auto"/>
        <w:rPr>
          <w:color w:val="000000" w:themeColor="text1"/>
        </w:rPr>
      </w:pPr>
      <w:r w:rsidRPr="009769AD">
        <w:rPr>
          <w:b/>
          <w:bCs/>
          <w:color w:val="000000" w:themeColor="text1"/>
        </w:rPr>
        <w:t>Uniqueness:</w:t>
      </w:r>
      <w:r w:rsidRPr="009769AD">
        <w:rPr>
          <w:color w:val="000000" w:themeColor="text1"/>
        </w:rPr>
        <w:t xml:space="preserve"> The study’s critique of neoliberal ideologies</w:t>
      </w:r>
      <w:r w:rsidR="009769AD" w:rsidRPr="009769AD">
        <w:rPr>
          <w:color w:val="000000" w:themeColor="text1"/>
        </w:rPr>
        <w:t xml:space="preserve"> is clear, defined and well supported by literature,</w:t>
      </w:r>
      <w:r w:rsidRPr="009769AD">
        <w:rPr>
          <w:color w:val="000000" w:themeColor="text1"/>
        </w:rPr>
        <w:t xml:space="preserve"> but lacks practical case studies</w:t>
      </w:r>
      <w:r w:rsidR="009769AD" w:rsidRPr="009769AD">
        <w:rPr>
          <w:color w:val="000000" w:themeColor="text1"/>
        </w:rPr>
        <w:t xml:space="preserve"> to illustrate </w:t>
      </w:r>
      <w:r w:rsidR="00D14398">
        <w:rPr>
          <w:color w:val="000000" w:themeColor="text1"/>
        </w:rPr>
        <w:t xml:space="preserve">how </w:t>
      </w:r>
      <w:r w:rsidR="009769AD" w:rsidRPr="009769AD">
        <w:rPr>
          <w:color w:val="000000" w:themeColor="text1"/>
        </w:rPr>
        <w:t>the research can be used.</w:t>
      </w:r>
    </w:p>
    <w:p w14:paraId="2E2FFEEB" w14:textId="2D038913" w:rsidR="00591396" w:rsidRPr="009769AD" w:rsidRDefault="00591396" w:rsidP="006171B0">
      <w:pPr>
        <w:spacing w:line="360" w:lineRule="auto"/>
        <w:rPr>
          <w:color w:val="000000" w:themeColor="text1"/>
        </w:rPr>
      </w:pPr>
      <w:r w:rsidRPr="009769AD">
        <w:rPr>
          <w:b/>
          <w:bCs/>
          <w:color w:val="000000" w:themeColor="text1"/>
        </w:rPr>
        <w:t>Epistemology, Ontology, and Axiology:</w:t>
      </w:r>
      <w:r w:rsidRPr="009769AD">
        <w:rPr>
          <w:color w:val="000000" w:themeColor="text1"/>
        </w:rPr>
        <w:t xml:space="preserve"> Adopting a critical constructivist </w:t>
      </w:r>
      <w:r w:rsidR="009769AD" w:rsidRPr="009769AD">
        <w:rPr>
          <w:color w:val="000000" w:themeColor="text1"/>
        </w:rPr>
        <w:t>perspective</w:t>
      </w:r>
      <w:r w:rsidRPr="009769AD">
        <w:rPr>
          <w:color w:val="000000" w:themeColor="text1"/>
        </w:rPr>
        <w:t>, the study interrogates societal forces shaping education access but would benefit from primary data</w:t>
      </w:r>
      <w:r w:rsidR="009769AD" w:rsidRPr="009769AD">
        <w:rPr>
          <w:color w:val="000000" w:themeColor="text1"/>
        </w:rPr>
        <w:t xml:space="preserve"> to triangulate assumptions.</w:t>
      </w:r>
    </w:p>
    <w:p w14:paraId="025341A3" w14:textId="148FF90E" w:rsidR="00591396" w:rsidRPr="009769AD" w:rsidRDefault="00591396" w:rsidP="006171B0">
      <w:pPr>
        <w:spacing w:line="360" w:lineRule="auto"/>
        <w:rPr>
          <w:color w:val="000000" w:themeColor="text1"/>
        </w:rPr>
      </w:pPr>
      <w:r w:rsidRPr="009769AD">
        <w:rPr>
          <w:b/>
          <w:bCs/>
          <w:color w:val="000000" w:themeColor="text1"/>
        </w:rPr>
        <w:lastRenderedPageBreak/>
        <w:t>Reliability, Validity, and Ethical Considerations:</w:t>
      </w:r>
      <w:r w:rsidRPr="009769AD">
        <w:rPr>
          <w:color w:val="000000" w:themeColor="text1"/>
        </w:rPr>
        <w:t xml:space="preserve"> Reliability stems from qualitative analysis, but validity could improve with broader demographic insights. Ethical recommendations </w:t>
      </w:r>
      <w:r w:rsidR="009769AD" w:rsidRPr="009769AD">
        <w:rPr>
          <w:color w:val="000000" w:themeColor="text1"/>
        </w:rPr>
        <w:t xml:space="preserve">certainly do </w:t>
      </w:r>
      <w:r w:rsidRPr="009769AD">
        <w:rPr>
          <w:color w:val="000000" w:themeColor="text1"/>
        </w:rPr>
        <w:t>focus on equity</w:t>
      </w:r>
      <w:r w:rsidR="009769AD" w:rsidRPr="009769AD">
        <w:rPr>
          <w:color w:val="000000" w:themeColor="text1"/>
        </w:rPr>
        <w:t>, which is at the core of the research.</w:t>
      </w:r>
    </w:p>
    <w:p w14:paraId="4F09A989" w14:textId="77777777" w:rsidR="00591396" w:rsidRPr="009769AD" w:rsidRDefault="00591396" w:rsidP="006171B0">
      <w:pPr>
        <w:spacing w:line="360" w:lineRule="auto"/>
        <w:rPr>
          <w:color w:val="000000" w:themeColor="text1"/>
        </w:rPr>
      </w:pPr>
      <w:r w:rsidRPr="009769AD">
        <w:rPr>
          <w:b/>
          <w:bCs/>
          <w:color w:val="000000" w:themeColor="text1"/>
        </w:rPr>
        <w:t>Future Research:</w:t>
      </w:r>
      <w:r w:rsidRPr="009769AD">
        <w:rPr>
          <w:color w:val="000000" w:themeColor="text1"/>
        </w:rPr>
        <w:t xml:space="preserve"> Mixed methods and longitudinal analyses could explore barriers more comprehensively, while intersectional analysis would broaden understanding.</w:t>
      </w:r>
    </w:p>
    <w:p w14:paraId="40B9C3C4" w14:textId="77777777" w:rsidR="00591396" w:rsidRPr="009769AD" w:rsidRDefault="00591396" w:rsidP="006171B0">
      <w:pPr>
        <w:spacing w:line="360" w:lineRule="auto"/>
        <w:rPr>
          <w:color w:val="000000" w:themeColor="text1"/>
        </w:rPr>
      </w:pPr>
      <w:r w:rsidRPr="009769AD">
        <w:rPr>
          <w:b/>
          <w:bCs/>
          <w:color w:val="000000" w:themeColor="text1"/>
        </w:rPr>
        <w:t>Conclusion:</w:t>
      </w:r>
      <w:r w:rsidRPr="009769AD">
        <w:rPr>
          <w:color w:val="000000" w:themeColor="text1"/>
        </w:rPr>
        <w:t xml:space="preserve"> The study critiques systemic inequities but requires practical applications and broader demographic representation to strengthen its findings.</w:t>
      </w:r>
    </w:p>
    <w:p w14:paraId="3197FC43" w14:textId="5D000E7B" w:rsidR="00591396" w:rsidRPr="00591396" w:rsidRDefault="00591396" w:rsidP="006171B0">
      <w:pPr>
        <w:spacing w:line="360" w:lineRule="auto"/>
      </w:pPr>
    </w:p>
    <w:p w14:paraId="2E001CC3" w14:textId="77777777" w:rsidR="00875A63" w:rsidRDefault="00591396" w:rsidP="006171B0">
      <w:pPr>
        <w:spacing w:line="360" w:lineRule="auto"/>
      </w:pPr>
      <w:r w:rsidRPr="00FC31B5">
        <w:t>Paper Four:</w:t>
      </w:r>
    </w:p>
    <w:p w14:paraId="2EB569D0" w14:textId="5CB53005" w:rsidR="00591396" w:rsidRPr="00875A63" w:rsidRDefault="00AC3F11" w:rsidP="006171B0">
      <w:pPr>
        <w:pStyle w:val="Heading2"/>
        <w:spacing w:line="360" w:lineRule="auto"/>
      </w:pPr>
      <w:r w:rsidRPr="00FC31B5">
        <w:br/>
      </w:r>
      <w:bookmarkStart w:id="9" w:name="_Toc188210488"/>
      <w:r w:rsidR="00AF7052" w:rsidRPr="00875A63">
        <w:t>The working classes and higher education: Meritocratic fallacies of upward mobility in the United Kingdom</w:t>
      </w:r>
      <w:r w:rsidR="00AF7052" w:rsidRPr="00875A63">
        <w:br/>
      </w:r>
      <w:r w:rsidR="00682884" w:rsidRPr="00875A63">
        <w:t>(</w:t>
      </w:r>
      <w:r w:rsidR="00591396" w:rsidRPr="00875A63">
        <w:t>Rea</w:t>
      </w:r>
      <w:r w:rsidR="00682884" w:rsidRPr="00875A63">
        <w:t>y, 2021)</w:t>
      </w:r>
      <w:bookmarkEnd w:id="9"/>
    </w:p>
    <w:p w14:paraId="612A57C8" w14:textId="58B36267" w:rsidR="00682884" w:rsidRPr="00EA1677" w:rsidRDefault="00591396" w:rsidP="006171B0">
      <w:pPr>
        <w:spacing w:line="360" w:lineRule="auto"/>
        <w:rPr>
          <w:color w:val="000000" w:themeColor="text1"/>
        </w:rPr>
      </w:pPr>
      <w:r w:rsidRPr="00EA1677">
        <w:rPr>
          <w:b/>
          <w:bCs/>
          <w:color w:val="000000" w:themeColor="text1"/>
        </w:rPr>
        <w:t>Content Summary</w:t>
      </w:r>
      <w:r w:rsidR="006B1C79">
        <w:rPr>
          <w:b/>
          <w:bCs/>
          <w:color w:val="000000" w:themeColor="text1"/>
        </w:rPr>
        <w:t>:</w:t>
      </w:r>
      <w:r w:rsidRPr="00EA1677">
        <w:rPr>
          <w:color w:val="000000" w:themeColor="text1"/>
        </w:rPr>
        <w:t xml:space="preserve"> </w:t>
      </w:r>
      <w:r w:rsidR="0079411A" w:rsidRPr="00EA1677">
        <w:rPr>
          <w:color w:val="000000" w:themeColor="text1"/>
        </w:rPr>
        <w:t xml:space="preserve">The research </w:t>
      </w:r>
      <w:r w:rsidRPr="00EA1677">
        <w:rPr>
          <w:color w:val="000000" w:themeColor="text1"/>
        </w:rPr>
        <w:t xml:space="preserve">investigates systemic disadvantages faced by working-class students in elite UK universities, using Bourdieu’s </w:t>
      </w:r>
      <w:r w:rsidR="008108F3" w:rsidRPr="00EA1677">
        <w:rPr>
          <w:color w:val="000000" w:themeColor="text1"/>
        </w:rPr>
        <w:t xml:space="preserve">(1977) </w:t>
      </w:r>
      <w:r w:rsidRPr="00EA1677">
        <w:rPr>
          <w:color w:val="000000" w:themeColor="text1"/>
        </w:rPr>
        <w:t>concepts of habitus</w:t>
      </w:r>
      <w:r w:rsidR="009769AD" w:rsidRPr="00EA1677">
        <w:rPr>
          <w:color w:val="000000" w:themeColor="text1"/>
        </w:rPr>
        <w:t xml:space="preserve"> (how individuals are shaped by their habitat)</w:t>
      </w:r>
      <w:r w:rsidR="0079411A" w:rsidRPr="00EA1677">
        <w:rPr>
          <w:color w:val="000000" w:themeColor="text1"/>
        </w:rPr>
        <w:t xml:space="preserve"> </w:t>
      </w:r>
      <w:r w:rsidRPr="00EA1677">
        <w:rPr>
          <w:color w:val="000000" w:themeColor="text1"/>
        </w:rPr>
        <w:t>to explore tensions between identity and institutional norms.</w:t>
      </w:r>
      <w:r w:rsidR="0079411A" w:rsidRPr="00EA1677">
        <w:rPr>
          <w:color w:val="000000" w:themeColor="text1"/>
        </w:rPr>
        <w:t xml:space="preserve"> C</w:t>
      </w:r>
      <w:r w:rsidR="00682884" w:rsidRPr="00EA1677">
        <w:rPr>
          <w:color w:val="000000" w:themeColor="text1"/>
        </w:rPr>
        <w:t>ultural and emotional challenges faced by working-class students at elite universities</w:t>
      </w:r>
      <w:r w:rsidR="0079411A" w:rsidRPr="00EA1677">
        <w:rPr>
          <w:color w:val="000000" w:themeColor="text1"/>
        </w:rPr>
        <w:t xml:space="preserve"> are identified, with t</w:t>
      </w:r>
      <w:r w:rsidR="00682884" w:rsidRPr="00EA1677">
        <w:rPr>
          <w:color w:val="000000" w:themeColor="text1"/>
        </w:rPr>
        <w:t xml:space="preserve">he study </w:t>
      </w:r>
      <w:r w:rsidR="0079411A" w:rsidRPr="00EA1677">
        <w:rPr>
          <w:color w:val="000000" w:themeColor="text1"/>
        </w:rPr>
        <w:t>arguing</w:t>
      </w:r>
      <w:r w:rsidR="00682884" w:rsidRPr="00EA1677">
        <w:rPr>
          <w:color w:val="000000" w:themeColor="text1"/>
        </w:rPr>
        <w:t xml:space="preserve"> persistent class-based exclusion</w:t>
      </w:r>
      <w:r w:rsidR="0079411A" w:rsidRPr="00EA1677">
        <w:rPr>
          <w:color w:val="000000" w:themeColor="text1"/>
        </w:rPr>
        <w:t>s</w:t>
      </w:r>
      <w:r w:rsidR="00682884" w:rsidRPr="00EA1677">
        <w:rPr>
          <w:color w:val="000000" w:themeColor="text1"/>
        </w:rPr>
        <w:t xml:space="preserve"> and limited assimilation into professional networks, question the meritocratic claims of elite education​</w:t>
      </w:r>
      <w:r w:rsidR="00D14398">
        <w:rPr>
          <w:color w:val="000000" w:themeColor="text1"/>
        </w:rPr>
        <w:t>.</w:t>
      </w:r>
    </w:p>
    <w:p w14:paraId="710C6E48" w14:textId="69262E67" w:rsidR="00591396" w:rsidRPr="00EA1677" w:rsidRDefault="00591396" w:rsidP="006171B0">
      <w:pPr>
        <w:spacing w:line="360" w:lineRule="auto"/>
        <w:rPr>
          <w:color w:val="000000" w:themeColor="text1"/>
        </w:rPr>
      </w:pPr>
      <w:r w:rsidRPr="00EA1677">
        <w:rPr>
          <w:b/>
          <w:bCs/>
          <w:color w:val="000000" w:themeColor="text1"/>
        </w:rPr>
        <w:t>Authority</w:t>
      </w:r>
      <w:r w:rsidR="006B1C79">
        <w:rPr>
          <w:b/>
          <w:bCs/>
          <w:color w:val="000000" w:themeColor="text1"/>
        </w:rPr>
        <w:t>:</w:t>
      </w:r>
      <w:r w:rsidRPr="00EA1677">
        <w:rPr>
          <w:color w:val="000000" w:themeColor="text1"/>
        </w:rPr>
        <w:t xml:space="preserve"> </w:t>
      </w:r>
      <w:r w:rsidR="0079411A" w:rsidRPr="00EA1677">
        <w:rPr>
          <w:color w:val="000000" w:themeColor="text1"/>
        </w:rPr>
        <w:t>S</w:t>
      </w:r>
      <w:r w:rsidRPr="00EA1677">
        <w:rPr>
          <w:color w:val="000000" w:themeColor="text1"/>
        </w:rPr>
        <w:t xml:space="preserve">ociology professor at the University of Cambridge </w:t>
      </w:r>
      <w:r w:rsidR="00AF7052" w:rsidRPr="00EA1677">
        <w:rPr>
          <w:color w:val="000000" w:themeColor="text1"/>
        </w:rPr>
        <w:t>with 18 publish peer reviewed papers</w:t>
      </w:r>
      <w:r w:rsidR="0079411A" w:rsidRPr="00EA1677">
        <w:rPr>
          <w:color w:val="000000" w:themeColor="text1"/>
        </w:rPr>
        <w:t>.</w:t>
      </w:r>
    </w:p>
    <w:p w14:paraId="04EFBB45" w14:textId="4A37CFDD" w:rsidR="00591396" w:rsidRPr="00EA1677" w:rsidRDefault="00591396" w:rsidP="006171B0">
      <w:pPr>
        <w:spacing w:line="360" w:lineRule="auto"/>
        <w:rPr>
          <w:color w:val="000000" w:themeColor="text1"/>
        </w:rPr>
      </w:pPr>
      <w:r w:rsidRPr="00EA1677">
        <w:rPr>
          <w:b/>
          <w:bCs/>
          <w:color w:val="000000" w:themeColor="text1"/>
        </w:rPr>
        <w:t>Methodology</w:t>
      </w:r>
      <w:r w:rsidR="006B1C79">
        <w:rPr>
          <w:b/>
          <w:bCs/>
          <w:color w:val="000000" w:themeColor="text1"/>
        </w:rPr>
        <w:t>:</w:t>
      </w:r>
      <w:r w:rsidRPr="00EA1677">
        <w:rPr>
          <w:color w:val="000000" w:themeColor="text1"/>
        </w:rPr>
        <w:t xml:space="preserve"> Qualitative methods, including interviews and focus groups, are framed</w:t>
      </w:r>
      <w:r w:rsidR="0079411A" w:rsidRPr="00EA1677">
        <w:rPr>
          <w:color w:val="000000" w:themeColor="text1"/>
        </w:rPr>
        <w:t xml:space="preserve"> through </w:t>
      </w:r>
      <w:r w:rsidRPr="00EA1677">
        <w:rPr>
          <w:color w:val="000000" w:themeColor="text1"/>
        </w:rPr>
        <w:t xml:space="preserve">Bourdieu’s </w:t>
      </w:r>
      <w:r w:rsidR="0079411A" w:rsidRPr="00EA1677">
        <w:rPr>
          <w:color w:val="000000" w:themeColor="text1"/>
        </w:rPr>
        <w:t xml:space="preserve">(1977) </w:t>
      </w:r>
      <w:r w:rsidRPr="00EA1677">
        <w:rPr>
          <w:color w:val="000000" w:themeColor="text1"/>
        </w:rPr>
        <w:t>theoretical lens.</w:t>
      </w:r>
    </w:p>
    <w:p w14:paraId="7BEFEF80" w14:textId="3A5EE3BB" w:rsidR="00591396" w:rsidRPr="00EA1677" w:rsidRDefault="00591396" w:rsidP="006171B0">
      <w:pPr>
        <w:spacing w:line="360" w:lineRule="auto"/>
        <w:rPr>
          <w:color w:val="000000" w:themeColor="text1"/>
        </w:rPr>
      </w:pPr>
      <w:r w:rsidRPr="00EA1677">
        <w:rPr>
          <w:b/>
          <w:bCs/>
          <w:color w:val="000000" w:themeColor="text1"/>
        </w:rPr>
        <w:t>Critical Assessment</w:t>
      </w:r>
      <w:r w:rsidRPr="00EA1677">
        <w:rPr>
          <w:color w:val="000000" w:themeColor="text1"/>
        </w:rPr>
        <w:t xml:space="preserve"> </w:t>
      </w:r>
      <w:r w:rsidRPr="00EA1677">
        <w:rPr>
          <w:b/>
          <w:bCs/>
          <w:color w:val="000000" w:themeColor="text1"/>
        </w:rPr>
        <w:t>Accuracy:</w:t>
      </w:r>
      <w:r w:rsidRPr="00EA1677">
        <w:rPr>
          <w:color w:val="000000" w:themeColor="text1"/>
        </w:rPr>
        <w:t xml:space="preserve"> Primary data collection strengthens reliability, though limited participant diversity</w:t>
      </w:r>
      <w:r w:rsidR="0079411A" w:rsidRPr="00EA1677">
        <w:rPr>
          <w:color w:val="000000" w:themeColor="text1"/>
        </w:rPr>
        <w:t>, intersectionality may impact on findings and conclusions.</w:t>
      </w:r>
    </w:p>
    <w:p w14:paraId="3EC3EC7F" w14:textId="48724822" w:rsidR="00591396" w:rsidRPr="00EA1677" w:rsidRDefault="00591396" w:rsidP="006171B0">
      <w:pPr>
        <w:spacing w:line="360" w:lineRule="auto"/>
        <w:rPr>
          <w:color w:val="000000" w:themeColor="text1"/>
        </w:rPr>
      </w:pPr>
      <w:r w:rsidRPr="00EA1677">
        <w:rPr>
          <w:b/>
          <w:bCs/>
          <w:color w:val="000000" w:themeColor="text1"/>
        </w:rPr>
        <w:t>Objectivity:</w:t>
      </w:r>
      <w:r w:rsidRPr="00EA1677">
        <w:rPr>
          <w:color w:val="000000" w:themeColor="text1"/>
        </w:rPr>
        <w:t xml:space="preserve"> Institutional </w:t>
      </w:r>
      <w:r w:rsidR="0079411A" w:rsidRPr="00EA1677">
        <w:rPr>
          <w:color w:val="000000" w:themeColor="text1"/>
        </w:rPr>
        <w:t xml:space="preserve">analysis is throughout the research, </w:t>
      </w:r>
      <w:r w:rsidRPr="00EA1677">
        <w:rPr>
          <w:color w:val="000000" w:themeColor="text1"/>
        </w:rPr>
        <w:t xml:space="preserve">but </w:t>
      </w:r>
      <w:r w:rsidR="0079411A" w:rsidRPr="00EA1677">
        <w:rPr>
          <w:color w:val="000000" w:themeColor="text1"/>
        </w:rPr>
        <w:t xml:space="preserve">it </w:t>
      </w:r>
      <w:r w:rsidRPr="00EA1677">
        <w:rPr>
          <w:color w:val="000000" w:themeColor="text1"/>
        </w:rPr>
        <w:t>would benefit from greater demographic representation.</w:t>
      </w:r>
    </w:p>
    <w:p w14:paraId="7D54ACA9" w14:textId="77777777" w:rsidR="00591396" w:rsidRPr="00EA1677" w:rsidRDefault="00591396" w:rsidP="006171B0">
      <w:pPr>
        <w:spacing w:line="360" w:lineRule="auto"/>
        <w:rPr>
          <w:color w:val="000000" w:themeColor="text1"/>
        </w:rPr>
      </w:pPr>
      <w:r w:rsidRPr="00EA1677">
        <w:rPr>
          <w:b/>
          <w:bCs/>
          <w:color w:val="000000" w:themeColor="text1"/>
        </w:rPr>
        <w:lastRenderedPageBreak/>
        <w:t>Coverage:</w:t>
      </w:r>
      <w:r w:rsidRPr="00EA1677">
        <w:rPr>
          <w:color w:val="000000" w:themeColor="text1"/>
        </w:rPr>
        <w:t xml:space="preserve"> The study explores class-based exclusions but could incorporate intersectional factors such as race and gender.</w:t>
      </w:r>
    </w:p>
    <w:p w14:paraId="0F46D959" w14:textId="1021598A" w:rsidR="0079411A" w:rsidRPr="00EA1677" w:rsidRDefault="00591396" w:rsidP="006171B0">
      <w:pPr>
        <w:spacing w:line="360" w:lineRule="auto"/>
        <w:rPr>
          <w:color w:val="000000" w:themeColor="text1"/>
        </w:rPr>
      </w:pPr>
      <w:r w:rsidRPr="00EA1677">
        <w:rPr>
          <w:b/>
          <w:bCs/>
          <w:color w:val="000000" w:themeColor="text1"/>
        </w:rPr>
        <w:t>Uniqueness:</w:t>
      </w:r>
      <w:r w:rsidRPr="00EA1677">
        <w:rPr>
          <w:color w:val="000000" w:themeColor="text1"/>
        </w:rPr>
        <w:t xml:space="preserve"> By applying Bourdieu’s</w:t>
      </w:r>
      <w:r w:rsidR="0079411A" w:rsidRPr="00EA1677">
        <w:rPr>
          <w:color w:val="000000" w:themeColor="text1"/>
        </w:rPr>
        <w:t xml:space="preserve"> (1977)</w:t>
      </w:r>
      <w:r w:rsidRPr="00EA1677">
        <w:rPr>
          <w:color w:val="000000" w:themeColor="text1"/>
        </w:rPr>
        <w:t xml:space="preserve"> theories, the research </w:t>
      </w:r>
      <w:r w:rsidR="00036B50" w:rsidRPr="00EA1677">
        <w:rPr>
          <w:color w:val="000000" w:themeColor="text1"/>
        </w:rPr>
        <w:t xml:space="preserve">linked to HE </w:t>
      </w:r>
      <w:r w:rsidR="0079411A" w:rsidRPr="00EA1677">
        <w:rPr>
          <w:color w:val="000000" w:themeColor="text1"/>
        </w:rPr>
        <w:t>is insightful, but the focus on elite universities may again impact on practical application of the findings.</w:t>
      </w:r>
    </w:p>
    <w:p w14:paraId="63553AE2" w14:textId="3E77A6CD" w:rsidR="00591396" w:rsidRPr="00EA1677" w:rsidRDefault="00591396" w:rsidP="006171B0">
      <w:pPr>
        <w:spacing w:line="360" w:lineRule="auto"/>
        <w:rPr>
          <w:color w:val="000000" w:themeColor="text1"/>
        </w:rPr>
      </w:pPr>
      <w:r w:rsidRPr="00EA1677">
        <w:rPr>
          <w:b/>
          <w:bCs/>
          <w:color w:val="000000" w:themeColor="text1"/>
        </w:rPr>
        <w:t>Epistemology, Ontology, and Axiology:</w:t>
      </w:r>
      <w:r w:rsidRPr="00EA1677">
        <w:rPr>
          <w:color w:val="000000" w:themeColor="text1"/>
        </w:rPr>
        <w:t xml:space="preserve"> The study centres on narratives shaped by class hierarchies, advocating systemic equity but requiring broader analysis.</w:t>
      </w:r>
    </w:p>
    <w:p w14:paraId="57C0C8F7" w14:textId="6F30F41D" w:rsidR="00591396" w:rsidRPr="00EA1677" w:rsidRDefault="00591396" w:rsidP="006171B0">
      <w:pPr>
        <w:spacing w:line="360" w:lineRule="auto"/>
        <w:rPr>
          <w:color w:val="000000" w:themeColor="text1"/>
        </w:rPr>
      </w:pPr>
      <w:r w:rsidRPr="00EA1677">
        <w:rPr>
          <w:b/>
          <w:bCs/>
          <w:color w:val="000000" w:themeColor="text1"/>
        </w:rPr>
        <w:t>Reliability, Validity, and Ethical Considerations:</w:t>
      </w:r>
      <w:r w:rsidRPr="00EA1677">
        <w:rPr>
          <w:color w:val="000000" w:themeColor="text1"/>
        </w:rPr>
        <w:t xml:space="preserve"> Reliability </w:t>
      </w:r>
      <w:r w:rsidR="0079411A" w:rsidRPr="00EA1677">
        <w:rPr>
          <w:color w:val="000000" w:themeColor="text1"/>
        </w:rPr>
        <w:t xml:space="preserve">is through </w:t>
      </w:r>
      <w:r w:rsidRPr="00EA1677">
        <w:rPr>
          <w:color w:val="000000" w:themeColor="text1"/>
        </w:rPr>
        <w:t xml:space="preserve">theoretical grounding, though validity could improve through diverse participant inclusion. Ethical considerations </w:t>
      </w:r>
      <w:r w:rsidR="0079411A" w:rsidRPr="00EA1677">
        <w:rPr>
          <w:color w:val="000000" w:themeColor="text1"/>
        </w:rPr>
        <w:t xml:space="preserve">do consider </w:t>
      </w:r>
      <w:r w:rsidRPr="00EA1677">
        <w:rPr>
          <w:color w:val="000000" w:themeColor="text1"/>
        </w:rPr>
        <w:t>participants’ experiences.</w:t>
      </w:r>
    </w:p>
    <w:p w14:paraId="19EA95E8" w14:textId="2F53E762" w:rsidR="00591396" w:rsidRPr="00EA1677" w:rsidRDefault="00591396" w:rsidP="006171B0">
      <w:pPr>
        <w:spacing w:line="360" w:lineRule="auto"/>
        <w:rPr>
          <w:color w:val="000000" w:themeColor="text1"/>
        </w:rPr>
      </w:pPr>
      <w:r w:rsidRPr="00EA1677">
        <w:rPr>
          <w:b/>
          <w:bCs/>
          <w:color w:val="000000" w:themeColor="text1"/>
        </w:rPr>
        <w:t>Future Research:</w:t>
      </w:r>
      <w:r w:rsidRPr="00EA1677">
        <w:rPr>
          <w:color w:val="000000" w:themeColor="text1"/>
        </w:rPr>
        <w:t xml:space="preserve"> Expanding demographic representation and exploring reforms across </w:t>
      </w:r>
      <w:r w:rsidR="0079411A" w:rsidRPr="00EA1677">
        <w:rPr>
          <w:color w:val="000000" w:themeColor="text1"/>
        </w:rPr>
        <w:t xml:space="preserve">wider </w:t>
      </w:r>
      <w:r w:rsidRPr="00EA1677">
        <w:rPr>
          <w:color w:val="000000" w:themeColor="text1"/>
        </w:rPr>
        <w:t xml:space="preserve">institutions </w:t>
      </w:r>
      <w:r w:rsidR="0079411A" w:rsidRPr="00EA1677">
        <w:rPr>
          <w:color w:val="000000" w:themeColor="text1"/>
        </w:rPr>
        <w:t xml:space="preserve">(not just elite institutions) </w:t>
      </w:r>
      <w:r w:rsidRPr="00EA1677">
        <w:rPr>
          <w:color w:val="000000" w:themeColor="text1"/>
        </w:rPr>
        <w:t>would strengthen the analysis.</w:t>
      </w:r>
    </w:p>
    <w:p w14:paraId="3D7862AC" w14:textId="194C1250" w:rsidR="00591396" w:rsidRPr="00EA1677" w:rsidRDefault="00591396" w:rsidP="006171B0">
      <w:pPr>
        <w:spacing w:line="360" w:lineRule="auto"/>
        <w:rPr>
          <w:color w:val="000000" w:themeColor="text1"/>
        </w:rPr>
      </w:pPr>
      <w:r w:rsidRPr="00EA1677">
        <w:rPr>
          <w:b/>
          <w:bCs/>
          <w:color w:val="000000" w:themeColor="text1"/>
        </w:rPr>
        <w:t>Conclusion:</w:t>
      </w:r>
      <w:r w:rsidRPr="00EA1677">
        <w:rPr>
          <w:color w:val="000000" w:themeColor="text1"/>
        </w:rPr>
        <w:t xml:space="preserve"> </w:t>
      </w:r>
      <w:r w:rsidR="0079411A" w:rsidRPr="00EA1677">
        <w:rPr>
          <w:color w:val="000000" w:themeColor="text1"/>
        </w:rPr>
        <w:t xml:space="preserve">The work </w:t>
      </w:r>
      <w:r w:rsidRPr="00EA1677">
        <w:rPr>
          <w:color w:val="000000" w:themeColor="text1"/>
        </w:rPr>
        <w:t xml:space="preserve">critiques meritocratic narratives but </w:t>
      </w:r>
      <w:r w:rsidR="0079411A" w:rsidRPr="00EA1677">
        <w:rPr>
          <w:color w:val="000000" w:themeColor="text1"/>
        </w:rPr>
        <w:t>would be improved if a greater diversity was employed alongside a wider institutional analysis.</w:t>
      </w:r>
    </w:p>
    <w:p w14:paraId="15D25D0B" w14:textId="77777777" w:rsidR="0079411A" w:rsidRPr="00EA1677" w:rsidRDefault="0079411A" w:rsidP="006171B0">
      <w:pPr>
        <w:spacing w:line="360" w:lineRule="auto"/>
      </w:pPr>
    </w:p>
    <w:p w14:paraId="341044A7" w14:textId="77777777" w:rsidR="00875A63" w:rsidRDefault="00591396" w:rsidP="006171B0">
      <w:pPr>
        <w:spacing w:line="360" w:lineRule="auto"/>
      </w:pPr>
      <w:r w:rsidRPr="00FC31B5">
        <w:t>Paper Five:</w:t>
      </w:r>
    </w:p>
    <w:p w14:paraId="21AAC13B" w14:textId="509660E6" w:rsidR="00682884" w:rsidRPr="00875A63" w:rsidRDefault="00682884" w:rsidP="006171B0">
      <w:pPr>
        <w:pStyle w:val="Heading2"/>
        <w:spacing w:line="360" w:lineRule="auto"/>
      </w:pPr>
      <w:r w:rsidRPr="00FC31B5">
        <w:br/>
      </w:r>
      <w:bookmarkStart w:id="10" w:name="_Toc188210489"/>
      <w:r w:rsidR="00AF7052" w:rsidRPr="00875A63">
        <w:t>Exploring socioeconomic inequalities and access to elite postgraduate education among English graduates</w:t>
      </w:r>
      <w:r w:rsidR="002E0EE8" w:rsidRPr="00875A63">
        <w:br/>
      </w:r>
      <w:r w:rsidRPr="00875A63">
        <w:t>(</w:t>
      </w:r>
      <w:bookmarkStart w:id="11" w:name="_Hlk188203874"/>
      <w:r w:rsidRPr="00875A63">
        <w:t xml:space="preserve">Mateos-González </w:t>
      </w:r>
      <w:bookmarkEnd w:id="11"/>
      <w:r w:rsidR="00036B50" w:rsidRPr="00875A63">
        <w:t xml:space="preserve">&amp; </w:t>
      </w:r>
      <w:r w:rsidRPr="00875A63">
        <w:t>Wakeling, 2021)</w:t>
      </w:r>
      <w:bookmarkEnd w:id="10"/>
    </w:p>
    <w:p w14:paraId="3FC3A7C0" w14:textId="4E038F27" w:rsidR="00F240B4" w:rsidRPr="00EA1677" w:rsidRDefault="00591396" w:rsidP="006171B0">
      <w:pPr>
        <w:spacing w:line="360" w:lineRule="auto"/>
        <w:rPr>
          <w:color w:val="000000" w:themeColor="text1"/>
        </w:rPr>
      </w:pPr>
      <w:r w:rsidRPr="00EA1677">
        <w:rPr>
          <w:b/>
          <w:bCs/>
          <w:color w:val="000000" w:themeColor="text1"/>
        </w:rPr>
        <w:t>Content Summary</w:t>
      </w:r>
      <w:r w:rsidR="006B1C79">
        <w:rPr>
          <w:color w:val="000000" w:themeColor="text1"/>
        </w:rPr>
        <w:t>:</w:t>
      </w:r>
      <w:r w:rsidR="00FC31B5">
        <w:rPr>
          <w:color w:val="000000" w:themeColor="text1"/>
        </w:rPr>
        <w:t xml:space="preserve"> </w:t>
      </w:r>
      <w:r w:rsidR="00036B50" w:rsidRPr="00EA1677">
        <w:rPr>
          <w:color w:val="000000" w:themeColor="text1"/>
        </w:rPr>
        <w:t xml:space="preserve">The research </w:t>
      </w:r>
      <w:r w:rsidR="00EA1677" w:rsidRPr="00EA1677">
        <w:rPr>
          <w:color w:val="000000" w:themeColor="text1"/>
        </w:rPr>
        <w:t>examines</w:t>
      </w:r>
      <w:r w:rsidRPr="00EA1677">
        <w:rPr>
          <w:color w:val="000000" w:themeColor="text1"/>
        </w:rPr>
        <w:t xml:space="preserve"> how socioeconomic factors shape access to elite postgraduate programs, with advantaged students significantly more likely to succeed. Educational pathways are identified as strong predictors of progression.</w:t>
      </w:r>
      <w:r w:rsidR="00036B50" w:rsidRPr="00EA1677">
        <w:rPr>
          <w:color w:val="000000" w:themeColor="text1"/>
        </w:rPr>
        <w:t xml:space="preserve"> </w:t>
      </w:r>
      <w:r w:rsidR="00F240B4" w:rsidRPr="00EA1677">
        <w:rPr>
          <w:color w:val="000000" w:themeColor="text1"/>
        </w:rPr>
        <w:t xml:space="preserve">The study </w:t>
      </w:r>
      <w:r w:rsidR="00036B50" w:rsidRPr="00EA1677">
        <w:rPr>
          <w:color w:val="000000" w:themeColor="text1"/>
        </w:rPr>
        <w:t>illustrates</w:t>
      </w:r>
      <w:r w:rsidR="00F240B4" w:rsidRPr="00EA1677">
        <w:rPr>
          <w:color w:val="000000" w:themeColor="text1"/>
        </w:rPr>
        <w:t xml:space="preserve"> significant </w:t>
      </w:r>
      <w:r w:rsidR="000F4DDE">
        <w:rPr>
          <w:color w:val="000000" w:themeColor="text1"/>
        </w:rPr>
        <w:t>socioeconomic</w:t>
      </w:r>
      <w:r w:rsidR="00F240B4" w:rsidRPr="00EA1677">
        <w:rPr>
          <w:color w:val="000000" w:themeColor="text1"/>
        </w:rPr>
        <w:t xml:space="preserve"> disparities in accessing elite postgraduate programmes</w:t>
      </w:r>
      <w:r w:rsidR="00036B50" w:rsidRPr="00EA1677">
        <w:rPr>
          <w:color w:val="000000" w:themeColor="text1"/>
        </w:rPr>
        <w:t>, a</w:t>
      </w:r>
      <w:r w:rsidR="00F240B4" w:rsidRPr="00EA1677">
        <w:rPr>
          <w:color w:val="000000" w:themeColor="text1"/>
        </w:rPr>
        <w:t xml:space="preserve">cademic achievement and undergraduate institutional prestige heavily </w:t>
      </w:r>
      <w:r w:rsidR="00036B50" w:rsidRPr="00EA1677">
        <w:rPr>
          <w:color w:val="000000" w:themeColor="text1"/>
        </w:rPr>
        <w:t>influences</w:t>
      </w:r>
      <w:r w:rsidR="00F240B4" w:rsidRPr="00EA1677">
        <w:rPr>
          <w:color w:val="000000" w:themeColor="text1"/>
        </w:rPr>
        <w:t xml:space="preserve"> postgraduate opportunities, </w:t>
      </w:r>
      <w:r w:rsidR="00036B50" w:rsidRPr="00EA1677">
        <w:rPr>
          <w:color w:val="000000" w:themeColor="text1"/>
        </w:rPr>
        <w:t xml:space="preserve">therefore </w:t>
      </w:r>
      <w:r w:rsidR="00F240B4" w:rsidRPr="00EA1677">
        <w:rPr>
          <w:color w:val="000000" w:themeColor="text1"/>
        </w:rPr>
        <w:t>reinforcing social stratification</w:t>
      </w:r>
      <w:r w:rsidR="00036B50" w:rsidRPr="00EA1677">
        <w:rPr>
          <w:color w:val="000000" w:themeColor="text1"/>
        </w:rPr>
        <w:t>.</w:t>
      </w:r>
    </w:p>
    <w:p w14:paraId="729114C3" w14:textId="49E03337" w:rsidR="00036B50" w:rsidRPr="00EA1677" w:rsidRDefault="00591396" w:rsidP="006171B0">
      <w:pPr>
        <w:spacing w:line="360" w:lineRule="auto"/>
        <w:rPr>
          <w:color w:val="000000" w:themeColor="text1"/>
        </w:rPr>
      </w:pPr>
      <w:r w:rsidRPr="00EA1677">
        <w:rPr>
          <w:b/>
          <w:bCs/>
          <w:color w:val="000000" w:themeColor="text1"/>
        </w:rPr>
        <w:t>Authority</w:t>
      </w:r>
      <w:r w:rsidR="006B1C79">
        <w:rPr>
          <w:b/>
          <w:bCs/>
          <w:color w:val="000000" w:themeColor="text1"/>
        </w:rPr>
        <w:t>:</w:t>
      </w:r>
      <w:r w:rsidRPr="00EA1677">
        <w:rPr>
          <w:color w:val="000000" w:themeColor="text1"/>
        </w:rPr>
        <w:t xml:space="preserve"> </w:t>
      </w:r>
      <w:proofErr w:type="spellStart"/>
      <w:r w:rsidR="00036B50" w:rsidRPr="00EA1677">
        <w:rPr>
          <w:color w:val="000000" w:themeColor="text1"/>
        </w:rPr>
        <w:t>Dr.</w:t>
      </w:r>
      <w:proofErr w:type="spellEnd"/>
      <w:r w:rsidR="00036B50" w:rsidRPr="00EA1677">
        <w:rPr>
          <w:color w:val="000000" w:themeColor="text1"/>
        </w:rPr>
        <w:t xml:space="preserve"> Mateos-González, associated with Catalonia’s HE assurance organisation, with 8 peer reviewed publications. </w:t>
      </w:r>
      <w:proofErr w:type="spellStart"/>
      <w:r w:rsidR="00036B50" w:rsidRPr="00EA1677">
        <w:rPr>
          <w:color w:val="000000" w:themeColor="text1"/>
        </w:rPr>
        <w:t>Dr.</w:t>
      </w:r>
      <w:proofErr w:type="spellEnd"/>
      <w:r w:rsidR="00036B50" w:rsidRPr="00EA1677">
        <w:rPr>
          <w:color w:val="000000" w:themeColor="text1"/>
        </w:rPr>
        <w:t xml:space="preserve"> Wakeling, PhD in Sociology with 43 peer reviewed publications and associated with the University of York.</w:t>
      </w:r>
    </w:p>
    <w:p w14:paraId="4CC6552D" w14:textId="391992FB" w:rsidR="00591396" w:rsidRPr="00EA1677" w:rsidRDefault="00591396" w:rsidP="006171B0">
      <w:pPr>
        <w:spacing w:line="360" w:lineRule="auto"/>
        <w:rPr>
          <w:color w:val="000000" w:themeColor="text1"/>
        </w:rPr>
      </w:pPr>
      <w:r w:rsidRPr="00EA1677">
        <w:rPr>
          <w:b/>
          <w:bCs/>
          <w:color w:val="000000" w:themeColor="text1"/>
        </w:rPr>
        <w:lastRenderedPageBreak/>
        <w:t>Methodology</w:t>
      </w:r>
      <w:r w:rsidR="006B1C79">
        <w:rPr>
          <w:b/>
          <w:bCs/>
          <w:color w:val="000000" w:themeColor="text1"/>
        </w:rPr>
        <w:t>:</w:t>
      </w:r>
      <w:r w:rsidRPr="00EA1677">
        <w:rPr>
          <w:color w:val="000000" w:themeColor="text1"/>
        </w:rPr>
        <w:t xml:space="preserve"> Quantitative methods analyse </w:t>
      </w:r>
      <w:r w:rsidR="00036B50" w:rsidRPr="00EA1677">
        <w:rPr>
          <w:color w:val="000000" w:themeColor="text1"/>
        </w:rPr>
        <w:t>Higher Education Statistics Agency (</w:t>
      </w:r>
      <w:proofErr w:type="spellStart"/>
      <w:r w:rsidRPr="00EA1677">
        <w:rPr>
          <w:color w:val="000000" w:themeColor="text1"/>
        </w:rPr>
        <w:t>HESA</w:t>
      </w:r>
      <w:proofErr w:type="spellEnd"/>
      <w:r w:rsidR="00036B50" w:rsidRPr="00EA1677">
        <w:rPr>
          <w:color w:val="000000" w:themeColor="text1"/>
        </w:rPr>
        <w:t>)</w:t>
      </w:r>
      <w:r w:rsidRPr="00EA1677">
        <w:rPr>
          <w:color w:val="000000" w:themeColor="text1"/>
        </w:rPr>
        <w:t xml:space="preserve"> data, using </w:t>
      </w:r>
      <w:r w:rsidR="00036B50" w:rsidRPr="00EA1677">
        <w:rPr>
          <w:color w:val="000000" w:themeColor="text1"/>
        </w:rPr>
        <w:t>statistical analysis</w:t>
      </w:r>
      <w:r w:rsidRPr="00EA1677">
        <w:rPr>
          <w:color w:val="000000" w:themeColor="text1"/>
        </w:rPr>
        <w:t xml:space="preserve"> to assess systemic inequalities.</w:t>
      </w:r>
    </w:p>
    <w:p w14:paraId="6FBE719E" w14:textId="77777777" w:rsidR="00591396" w:rsidRPr="00EA1677" w:rsidRDefault="00591396" w:rsidP="006171B0">
      <w:pPr>
        <w:spacing w:line="360" w:lineRule="auto"/>
        <w:rPr>
          <w:color w:val="000000" w:themeColor="text1"/>
        </w:rPr>
      </w:pPr>
      <w:r w:rsidRPr="00EA1677">
        <w:rPr>
          <w:b/>
          <w:bCs/>
          <w:color w:val="000000" w:themeColor="text1"/>
        </w:rPr>
        <w:t>Critical Assessment</w:t>
      </w:r>
      <w:r w:rsidRPr="00EA1677">
        <w:rPr>
          <w:color w:val="000000" w:themeColor="text1"/>
        </w:rPr>
        <w:t xml:space="preserve"> </w:t>
      </w:r>
      <w:r w:rsidRPr="00EA1677">
        <w:rPr>
          <w:b/>
          <w:bCs/>
          <w:color w:val="000000" w:themeColor="text1"/>
        </w:rPr>
        <w:t>Accuracy:</w:t>
      </w:r>
      <w:r w:rsidRPr="00EA1677">
        <w:rPr>
          <w:color w:val="000000" w:themeColor="text1"/>
        </w:rPr>
        <w:t xml:space="preserve"> The use of large datasets ensures reliability but lacks qualitative depth.</w:t>
      </w:r>
    </w:p>
    <w:p w14:paraId="7819A52B" w14:textId="7A5FB90B" w:rsidR="00591396" w:rsidRPr="00EA1677" w:rsidRDefault="00591396" w:rsidP="006171B0">
      <w:pPr>
        <w:spacing w:line="360" w:lineRule="auto"/>
        <w:rPr>
          <w:color w:val="000000" w:themeColor="text1"/>
        </w:rPr>
      </w:pPr>
      <w:r w:rsidRPr="00EA1677">
        <w:rPr>
          <w:b/>
          <w:bCs/>
          <w:color w:val="000000" w:themeColor="text1"/>
        </w:rPr>
        <w:t>Objectivity:</w:t>
      </w:r>
      <w:r w:rsidRPr="00EA1677">
        <w:rPr>
          <w:color w:val="000000" w:themeColor="text1"/>
        </w:rPr>
        <w:t xml:space="preserve"> The </w:t>
      </w:r>
      <w:r w:rsidR="00EA1677" w:rsidRPr="00EA1677">
        <w:rPr>
          <w:color w:val="000000" w:themeColor="text1"/>
        </w:rPr>
        <w:t xml:space="preserve">research </w:t>
      </w:r>
      <w:r w:rsidRPr="00EA1677">
        <w:rPr>
          <w:color w:val="000000" w:themeColor="text1"/>
        </w:rPr>
        <w:t>would benefit from qualitative insights into lived experiences.</w:t>
      </w:r>
    </w:p>
    <w:p w14:paraId="0AE25CAF" w14:textId="56E21ABE" w:rsidR="00591396" w:rsidRPr="00EA1677" w:rsidRDefault="00591396" w:rsidP="006171B0">
      <w:pPr>
        <w:spacing w:line="360" w:lineRule="auto"/>
        <w:rPr>
          <w:color w:val="000000" w:themeColor="text1"/>
        </w:rPr>
      </w:pPr>
      <w:r w:rsidRPr="00EA1677">
        <w:rPr>
          <w:b/>
          <w:bCs/>
          <w:color w:val="000000" w:themeColor="text1"/>
        </w:rPr>
        <w:t>Coverage:</w:t>
      </w:r>
      <w:r w:rsidRPr="00EA1677">
        <w:rPr>
          <w:color w:val="000000" w:themeColor="text1"/>
        </w:rPr>
        <w:t xml:space="preserve"> Intersectional analysis is </w:t>
      </w:r>
      <w:r w:rsidR="00EA1677" w:rsidRPr="00EA1677">
        <w:rPr>
          <w:color w:val="000000" w:themeColor="text1"/>
        </w:rPr>
        <w:t>lacking</w:t>
      </w:r>
      <w:r w:rsidRPr="00EA1677">
        <w:rPr>
          <w:color w:val="000000" w:themeColor="text1"/>
        </w:rPr>
        <w:t xml:space="preserve">, limiting </w:t>
      </w:r>
      <w:r w:rsidR="00EA1677" w:rsidRPr="00EA1677">
        <w:rPr>
          <w:color w:val="000000" w:themeColor="text1"/>
        </w:rPr>
        <w:t xml:space="preserve">analysis </w:t>
      </w:r>
      <w:r w:rsidRPr="00EA1677">
        <w:rPr>
          <w:color w:val="000000" w:themeColor="text1"/>
        </w:rPr>
        <w:t>of ethnicity and gender.</w:t>
      </w:r>
    </w:p>
    <w:p w14:paraId="290A5501" w14:textId="0A09D1A4" w:rsidR="00591396" w:rsidRPr="00EA1677" w:rsidRDefault="00591396" w:rsidP="006171B0">
      <w:pPr>
        <w:spacing w:line="360" w:lineRule="auto"/>
        <w:rPr>
          <w:color w:val="000000" w:themeColor="text1"/>
        </w:rPr>
      </w:pPr>
      <w:r w:rsidRPr="00EA1677">
        <w:rPr>
          <w:b/>
          <w:bCs/>
          <w:color w:val="000000" w:themeColor="text1"/>
        </w:rPr>
        <w:t>Uniqueness:</w:t>
      </w:r>
      <w:r w:rsidRPr="00EA1677">
        <w:rPr>
          <w:color w:val="000000" w:themeColor="text1"/>
        </w:rPr>
        <w:t xml:space="preserve"> The focus on postgraduate access highlights pathways for equity but</w:t>
      </w:r>
      <w:r w:rsidR="00EA1677" w:rsidRPr="00EA1677">
        <w:rPr>
          <w:color w:val="000000" w:themeColor="text1"/>
        </w:rPr>
        <w:t xml:space="preserve"> would benefit by using a greater level of comparative analysis. </w:t>
      </w:r>
    </w:p>
    <w:p w14:paraId="0C6BE062" w14:textId="57E623CD" w:rsidR="00591396" w:rsidRPr="00EA1677" w:rsidRDefault="00591396" w:rsidP="006171B0">
      <w:pPr>
        <w:spacing w:line="360" w:lineRule="auto"/>
        <w:rPr>
          <w:color w:val="000000" w:themeColor="text1"/>
        </w:rPr>
      </w:pPr>
      <w:r w:rsidRPr="00EA1677">
        <w:rPr>
          <w:b/>
          <w:bCs/>
          <w:color w:val="000000" w:themeColor="text1"/>
        </w:rPr>
        <w:t>Epistemology, Ontology, and Axiology:</w:t>
      </w:r>
      <w:r w:rsidRPr="00EA1677">
        <w:rPr>
          <w:color w:val="000000" w:themeColor="text1"/>
        </w:rPr>
        <w:t xml:space="preserve"> The study </w:t>
      </w:r>
      <w:r w:rsidR="00EA1677" w:rsidRPr="00EA1677">
        <w:rPr>
          <w:color w:val="000000" w:themeColor="text1"/>
        </w:rPr>
        <w:t xml:space="preserve">links </w:t>
      </w:r>
      <w:r w:rsidRPr="00EA1677">
        <w:rPr>
          <w:color w:val="000000" w:themeColor="text1"/>
        </w:rPr>
        <w:t xml:space="preserve">inequalities within measurable frameworks but could </w:t>
      </w:r>
      <w:r w:rsidR="00EA1677" w:rsidRPr="00EA1677">
        <w:rPr>
          <w:color w:val="000000" w:themeColor="text1"/>
        </w:rPr>
        <w:t>have used a</w:t>
      </w:r>
      <w:r w:rsidRPr="00EA1677">
        <w:rPr>
          <w:color w:val="000000" w:themeColor="text1"/>
        </w:rPr>
        <w:t xml:space="preserve"> qualitative </w:t>
      </w:r>
      <w:r w:rsidR="00EA1677" w:rsidRPr="00EA1677">
        <w:rPr>
          <w:color w:val="000000" w:themeColor="text1"/>
        </w:rPr>
        <w:t>approach for a deeper</w:t>
      </w:r>
      <w:r w:rsidRPr="00EA1677">
        <w:rPr>
          <w:color w:val="000000" w:themeColor="text1"/>
        </w:rPr>
        <w:t xml:space="preserve"> analysis.</w:t>
      </w:r>
    </w:p>
    <w:p w14:paraId="218BBAFD" w14:textId="77777777" w:rsidR="00591396" w:rsidRPr="00EA1677" w:rsidRDefault="00591396" w:rsidP="006171B0">
      <w:pPr>
        <w:spacing w:line="360" w:lineRule="auto"/>
        <w:rPr>
          <w:color w:val="000000" w:themeColor="text1"/>
        </w:rPr>
      </w:pPr>
      <w:r w:rsidRPr="00EA1677">
        <w:rPr>
          <w:b/>
          <w:bCs/>
          <w:color w:val="000000" w:themeColor="text1"/>
        </w:rPr>
        <w:t>Reliability, Validity, and Ethical Considerations:</w:t>
      </w:r>
      <w:r w:rsidRPr="00EA1677">
        <w:rPr>
          <w:color w:val="000000" w:themeColor="text1"/>
        </w:rPr>
        <w:t xml:space="preserve"> Data reliability is strong, though validity would improve with qualitative methods. Ethical recommendations focus on fairness.</w:t>
      </w:r>
    </w:p>
    <w:p w14:paraId="089135E9" w14:textId="6F4C593D" w:rsidR="00591396" w:rsidRPr="00EA1677" w:rsidRDefault="00591396" w:rsidP="006171B0">
      <w:pPr>
        <w:spacing w:line="360" w:lineRule="auto"/>
        <w:rPr>
          <w:color w:val="000000" w:themeColor="text1"/>
        </w:rPr>
      </w:pPr>
      <w:r w:rsidRPr="00EA1677">
        <w:rPr>
          <w:b/>
          <w:bCs/>
          <w:color w:val="000000" w:themeColor="text1"/>
        </w:rPr>
        <w:t>Future Research:</w:t>
      </w:r>
      <w:r w:rsidRPr="00EA1677">
        <w:rPr>
          <w:color w:val="000000" w:themeColor="text1"/>
        </w:rPr>
        <w:t xml:space="preserve"> Mixed methods and intersectional analyses could enhance </w:t>
      </w:r>
      <w:r w:rsidR="00EA1677" w:rsidRPr="00EA1677">
        <w:rPr>
          <w:color w:val="000000" w:themeColor="text1"/>
        </w:rPr>
        <w:t xml:space="preserve">the </w:t>
      </w:r>
      <w:r w:rsidRPr="00EA1677">
        <w:rPr>
          <w:color w:val="000000" w:themeColor="text1"/>
        </w:rPr>
        <w:t>understanding of access barriers.</w:t>
      </w:r>
    </w:p>
    <w:p w14:paraId="45CDCF63" w14:textId="0085074D" w:rsidR="00591396" w:rsidRPr="00EA1677" w:rsidRDefault="00591396" w:rsidP="006171B0">
      <w:pPr>
        <w:spacing w:line="360" w:lineRule="auto"/>
        <w:rPr>
          <w:color w:val="000000" w:themeColor="text1"/>
        </w:rPr>
      </w:pPr>
      <w:r w:rsidRPr="00EA1677">
        <w:rPr>
          <w:b/>
          <w:bCs/>
          <w:color w:val="000000" w:themeColor="text1"/>
        </w:rPr>
        <w:t>Conclusion:</w:t>
      </w:r>
      <w:r w:rsidRPr="00EA1677">
        <w:rPr>
          <w:color w:val="000000" w:themeColor="text1"/>
        </w:rPr>
        <w:t xml:space="preserve"> The study highlights inequalities in postgraduate access but needs qualitative perspectives to </w:t>
      </w:r>
      <w:r w:rsidR="00EA1677" w:rsidRPr="00EA1677">
        <w:rPr>
          <w:color w:val="000000" w:themeColor="text1"/>
        </w:rPr>
        <w:t>provide more depth.</w:t>
      </w:r>
      <w:r w:rsidRPr="00EA1677">
        <w:rPr>
          <w:color w:val="000000" w:themeColor="text1"/>
        </w:rPr>
        <w:t xml:space="preserve"> </w:t>
      </w:r>
    </w:p>
    <w:p w14:paraId="0399D519" w14:textId="334313DC" w:rsidR="00591396" w:rsidRPr="00591396" w:rsidRDefault="00591396" w:rsidP="006171B0">
      <w:pPr>
        <w:spacing w:line="360" w:lineRule="auto"/>
      </w:pPr>
    </w:p>
    <w:p w14:paraId="62771D93" w14:textId="77777777" w:rsidR="00875A63" w:rsidRDefault="00591396" w:rsidP="006171B0">
      <w:pPr>
        <w:spacing w:line="360" w:lineRule="auto"/>
      </w:pPr>
      <w:r w:rsidRPr="00FC31B5">
        <w:t>Paper Six:</w:t>
      </w:r>
    </w:p>
    <w:p w14:paraId="216F76E0" w14:textId="4D548EA0" w:rsidR="00FC31B5" w:rsidRPr="00875A63" w:rsidRDefault="00682884" w:rsidP="006171B0">
      <w:pPr>
        <w:pStyle w:val="Heading2"/>
        <w:spacing w:line="360" w:lineRule="auto"/>
      </w:pPr>
      <w:r w:rsidRPr="00FC31B5">
        <w:br/>
      </w:r>
      <w:bookmarkStart w:id="12" w:name="_Toc188210490"/>
      <w:r w:rsidR="00AF7052" w:rsidRPr="00875A63">
        <w:t xml:space="preserve">Students’ sense of belonging and their </w:t>
      </w:r>
      <w:r w:rsidR="000F4DDE">
        <w:t>socioeconomic</w:t>
      </w:r>
      <w:r w:rsidR="00AF7052" w:rsidRPr="00875A63">
        <w:t xml:space="preserve"> status in higher education: a quantitative approach</w:t>
      </w:r>
      <w:r w:rsidR="002E0EE8" w:rsidRPr="00875A63">
        <w:br/>
      </w:r>
      <w:r w:rsidR="00F240B4" w:rsidRPr="00875A63">
        <w:t>(Ahn &amp; Davis, 202</w:t>
      </w:r>
      <w:r w:rsidR="000E757E">
        <w:t>0</w:t>
      </w:r>
      <w:r w:rsidR="00F240B4" w:rsidRPr="00875A63">
        <w:t>)</w:t>
      </w:r>
      <w:bookmarkEnd w:id="12"/>
    </w:p>
    <w:p w14:paraId="5558F3E7" w14:textId="1B3EF0BC" w:rsidR="00F240B4" w:rsidRPr="00EA1677" w:rsidRDefault="00591396" w:rsidP="006171B0">
      <w:pPr>
        <w:spacing w:line="360" w:lineRule="auto"/>
        <w:rPr>
          <w:color w:val="000000" w:themeColor="text1"/>
        </w:rPr>
      </w:pPr>
      <w:r w:rsidRPr="00EA1677">
        <w:rPr>
          <w:b/>
          <w:bCs/>
          <w:color w:val="000000" w:themeColor="text1"/>
        </w:rPr>
        <w:t>Content Summary</w:t>
      </w:r>
      <w:r w:rsidR="006B1C79">
        <w:rPr>
          <w:b/>
          <w:bCs/>
          <w:color w:val="000000" w:themeColor="text1"/>
        </w:rPr>
        <w:t>:</w:t>
      </w:r>
      <w:r w:rsidRPr="00EA1677">
        <w:rPr>
          <w:color w:val="000000" w:themeColor="text1"/>
        </w:rPr>
        <w:t xml:space="preserve"> This study links socioeconomic factors to belonging and retention in </w:t>
      </w:r>
      <w:r w:rsidR="008958DE" w:rsidRPr="00EA1677">
        <w:rPr>
          <w:color w:val="000000" w:themeColor="text1"/>
        </w:rPr>
        <w:t>HE</w:t>
      </w:r>
      <w:r w:rsidRPr="00EA1677">
        <w:rPr>
          <w:color w:val="000000" w:themeColor="text1"/>
        </w:rPr>
        <w:t>, drawing on survey data from 380 participants across 16 departments.</w:t>
      </w:r>
      <w:r w:rsidR="00EA1677" w:rsidRPr="00EA1677">
        <w:rPr>
          <w:color w:val="000000" w:themeColor="text1"/>
        </w:rPr>
        <w:t xml:space="preserve"> Finds </w:t>
      </w:r>
      <w:r w:rsidR="00F240B4" w:rsidRPr="00EA1677">
        <w:rPr>
          <w:color w:val="000000" w:themeColor="text1"/>
        </w:rPr>
        <w:t xml:space="preserve">that </w:t>
      </w:r>
      <w:r w:rsidR="000F4DDE">
        <w:rPr>
          <w:color w:val="000000" w:themeColor="text1"/>
        </w:rPr>
        <w:t>socioeconomic</w:t>
      </w:r>
      <w:r w:rsidR="00F240B4" w:rsidRPr="00EA1677">
        <w:rPr>
          <w:color w:val="000000" w:themeColor="text1"/>
        </w:rPr>
        <w:t xml:space="preserve"> status significantly influences students’ sense of belonging</w:t>
      </w:r>
      <w:r w:rsidR="00EA1677" w:rsidRPr="00EA1677">
        <w:rPr>
          <w:color w:val="000000" w:themeColor="text1"/>
        </w:rPr>
        <w:t xml:space="preserve"> and that b</w:t>
      </w:r>
      <w:r w:rsidR="00F240B4" w:rsidRPr="00EA1677">
        <w:rPr>
          <w:color w:val="000000" w:themeColor="text1"/>
        </w:rPr>
        <w:t>oth academic and social engagement independently impact retention</w:t>
      </w:r>
      <w:r w:rsidR="00EA1677" w:rsidRPr="00EA1677">
        <w:rPr>
          <w:color w:val="000000" w:themeColor="text1"/>
        </w:rPr>
        <w:t xml:space="preserve">. The suggestion is </w:t>
      </w:r>
      <w:r w:rsidR="00F240B4" w:rsidRPr="00EA1677">
        <w:rPr>
          <w:color w:val="000000" w:themeColor="text1"/>
        </w:rPr>
        <w:t>a re-evaluation of disadvantage</w:t>
      </w:r>
      <w:r w:rsidR="00EA1677" w:rsidRPr="00EA1677">
        <w:rPr>
          <w:color w:val="000000" w:themeColor="text1"/>
        </w:rPr>
        <w:t xml:space="preserve"> metrics </w:t>
      </w:r>
      <w:r w:rsidR="00F240B4" w:rsidRPr="00EA1677">
        <w:rPr>
          <w:color w:val="000000" w:themeColor="text1"/>
        </w:rPr>
        <w:t>like social class and ethnicity​</w:t>
      </w:r>
      <w:r w:rsidR="00EA1677" w:rsidRPr="00EA1677">
        <w:rPr>
          <w:color w:val="000000" w:themeColor="text1"/>
        </w:rPr>
        <w:t>.</w:t>
      </w:r>
    </w:p>
    <w:p w14:paraId="5D9C4484" w14:textId="692089D7" w:rsidR="00591396" w:rsidRPr="00EA1677" w:rsidRDefault="00591396" w:rsidP="006171B0">
      <w:pPr>
        <w:spacing w:line="360" w:lineRule="auto"/>
        <w:rPr>
          <w:color w:val="000000" w:themeColor="text1"/>
        </w:rPr>
      </w:pPr>
      <w:r w:rsidRPr="00EA1677">
        <w:rPr>
          <w:b/>
          <w:bCs/>
          <w:color w:val="000000" w:themeColor="text1"/>
        </w:rPr>
        <w:lastRenderedPageBreak/>
        <w:t>Authority</w:t>
      </w:r>
      <w:r w:rsidR="006B1C79">
        <w:rPr>
          <w:b/>
          <w:bCs/>
          <w:color w:val="000000" w:themeColor="text1"/>
        </w:rPr>
        <w:t>:</w:t>
      </w:r>
      <w:r w:rsidRPr="00EA1677">
        <w:rPr>
          <w:color w:val="000000" w:themeColor="text1"/>
        </w:rPr>
        <w:t xml:space="preserve"> University College London and Bangor University</w:t>
      </w:r>
      <w:r w:rsidR="00EA1677" w:rsidRPr="00EA1677">
        <w:rPr>
          <w:color w:val="000000" w:themeColor="text1"/>
        </w:rPr>
        <w:t xml:space="preserve">. </w:t>
      </w:r>
      <w:r w:rsidR="00AF7052" w:rsidRPr="00EA1677">
        <w:rPr>
          <w:color w:val="000000" w:themeColor="text1"/>
        </w:rPr>
        <w:t xml:space="preserve">Funded through Bangor University. </w:t>
      </w:r>
    </w:p>
    <w:p w14:paraId="4EFD665A" w14:textId="2054EA34" w:rsidR="00591396" w:rsidRPr="00EA1677" w:rsidRDefault="00591396" w:rsidP="006171B0">
      <w:pPr>
        <w:spacing w:line="360" w:lineRule="auto"/>
        <w:rPr>
          <w:color w:val="000000" w:themeColor="text1"/>
        </w:rPr>
      </w:pPr>
      <w:r w:rsidRPr="00EA1677">
        <w:rPr>
          <w:b/>
          <w:bCs/>
          <w:color w:val="000000" w:themeColor="text1"/>
        </w:rPr>
        <w:t>Methodology</w:t>
      </w:r>
      <w:r w:rsidR="006B1C79">
        <w:rPr>
          <w:b/>
          <w:bCs/>
          <w:color w:val="000000" w:themeColor="text1"/>
        </w:rPr>
        <w:t>:</w:t>
      </w:r>
      <w:r w:rsidRPr="00EA1677">
        <w:rPr>
          <w:color w:val="000000" w:themeColor="text1"/>
        </w:rPr>
        <w:t xml:space="preserve"> Quantitative methods, including Principal Component Analysis and t-tests, are </w:t>
      </w:r>
      <w:r w:rsidR="00EA1677" w:rsidRPr="00EA1677">
        <w:rPr>
          <w:color w:val="000000" w:themeColor="text1"/>
        </w:rPr>
        <w:t>used</w:t>
      </w:r>
      <w:r w:rsidRPr="00EA1677">
        <w:rPr>
          <w:color w:val="000000" w:themeColor="text1"/>
        </w:rPr>
        <w:t xml:space="preserve"> to explore relationships between belonging and demographic factors.</w:t>
      </w:r>
    </w:p>
    <w:p w14:paraId="6A4C61D6" w14:textId="471146AA" w:rsidR="00591396" w:rsidRPr="00EA1677" w:rsidRDefault="00591396" w:rsidP="006171B0">
      <w:pPr>
        <w:spacing w:line="360" w:lineRule="auto"/>
        <w:rPr>
          <w:color w:val="000000" w:themeColor="text1"/>
        </w:rPr>
      </w:pPr>
      <w:r w:rsidRPr="00EA1677">
        <w:rPr>
          <w:b/>
          <w:bCs/>
          <w:color w:val="000000" w:themeColor="text1"/>
        </w:rPr>
        <w:t>Critical Assessment</w:t>
      </w:r>
      <w:r w:rsidRPr="00EA1677">
        <w:rPr>
          <w:color w:val="000000" w:themeColor="text1"/>
        </w:rPr>
        <w:t xml:space="preserve"> </w:t>
      </w:r>
      <w:r w:rsidRPr="00EA1677">
        <w:rPr>
          <w:b/>
          <w:bCs/>
          <w:color w:val="000000" w:themeColor="text1"/>
        </w:rPr>
        <w:t>Accuracy:</w:t>
      </w:r>
      <w:r w:rsidRPr="00EA1677">
        <w:rPr>
          <w:color w:val="000000" w:themeColor="text1"/>
        </w:rPr>
        <w:t xml:space="preserve"> Statistical methods provide </w:t>
      </w:r>
      <w:r w:rsidR="00EA1677" w:rsidRPr="00EA1677">
        <w:rPr>
          <w:color w:val="000000" w:themeColor="text1"/>
        </w:rPr>
        <w:t>good</w:t>
      </w:r>
      <w:r w:rsidRPr="00EA1677">
        <w:rPr>
          <w:color w:val="000000" w:themeColor="text1"/>
        </w:rPr>
        <w:t xml:space="preserve"> insight, though self-reported data introduces biases.</w:t>
      </w:r>
    </w:p>
    <w:p w14:paraId="0F52321A" w14:textId="1507E8FE" w:rsidR="00591396" w:rsidRPr="00EA1677" w:rsidRDefault="00591396" w:rsidP="006171B0">
      <w:pPr>
        <w:spacing w:line="360" w:lineRule="auto"/>
        <w:rPr>
          <w:color w:val="000000" w:themeColor="text1"/>
        </w:rPr>
      </w:pPr>
      <w:r w:rsidRPr="00EA1677">
        <w:rPr>
          <w:b/>
          <w:bCs/>
          <w:color w:val="000000" w:themeColor="text1"/>
        </w:rPr>
        <w:t>Objectivity:</w:t>
      </w:r>
      <w:r w:rsidRPr="00EA1677">
        <w:rPr>
          <w:color w:val="000000" w:themeColor="text1"/>
        </w:rPr>
        <w:t xml:space="preserve"> While evidence-based, the study </w:t>
      </w:r>
      <w:r w:rsidR="00EA1677" w:rsidRPr="00EA1677">
        <w:rPr>
          <w:color w:val="000000" w:themeColor="text1"/>
        </w:rPr>
        <w:t xml:space="preserve">is absent of </w:t>
      </w:r>
      <w:r w:rsidRPr="00EA1677">
        <w:rPr>
          <w:color w:val="000000" w:themeColor="text1"/>
        </w:rPr>
        <w:t>subjective experiences and intersectional analysis.</w:t>
      </w:r>
    </w:p>
    <w:p w14:paraId="5F58BD60" w14:textId="77777777" w:rsidR="00591396" w:rsidRPr="00EA1677" w:rsidRDefault="00591396" w:rsidP="006171B0">
      <w:pPr>
        <w:spacing w:line="360" w:lineRule="auto"/>
        <w:rPr>
          <w:color w:val="000000" w:themeColor="text1"/>
        </w:rPr>
      </w:pPr>
      <w:r w:rsidRPr="00EA1677">
        <w:rPr>
          <w:b/>
          <w:bCs/>
          <w:color w:val="000000" w:themeColor="text1"/>
        </w:rPr>
        <w:t>Coverage:</w:t>
      </w:r>
      <w:r w:rsidRPr="00EA1677">
        <w:rPr>
          <w:color w:val="000000" w:themeColor="text1"/>
        </w:rPr>
        <w:t xml:space="preserve"> The research examines belonging but lacks longitudinal and qualitative perspectives.</w:t>
      </w:r>
    </w:p>
    <w:p w14:paraId="5B8CAA96" w14:textId="7E65FBFB" w:rsidR="00EA1677" w:rsidRPr="00EA1677" w:rsidRDefault="00591396" w:rsidP="006171B0">
      <w:pPr>
        <w:spacing w:line="360" w:lineRule="auto"/>
        <w:rPr>
          <w:color w:val="000000" w:themeColor="text1"/>
        </w:rPr>
      </w:pPr>
      <w:r w:rsidRPr="00EA1677">
        <w:rPr>
          <w:b/>
          <w:bCs/>
          <w:color w:val="000000" w:themeColor="text1"/>
        </w:rPr>
        <w:t>Uniqueness:</w:t>
      </w:r>
      <w:r w:rsidRPr="00EA1677">
        <w:rPr>
          <w:color w:val="000000" w:themeColor="text1"/>
        </w:rPr>
        <w:t xml:space="preserve"> The study focuses on measurable </w:t>
      </w:r>
      <w:r w:rsidR="0063358E" w:rsidRPr="00EA1677">
        <w:rPr>
          <w:color w:val="000000" w:themeColor="text1"/>
        </w:rPr>
        <w:t>constructs but</w:t>
      </w:r>
      <w:r w:rsidR="00EA1677" w:rsidRPr="00EA1677">
        <w:rPr>
          <w:color w:val="000000" w:themeColor="text1"/>
        </w:rPr>
        <w:t xml:space="preserve"> probably misses an opportunity to explore ‘belonging’ qualitatively, at a much deeper level than was the case.</w:t>
      </w:r>
    </w:p>
    <w:p w14:paraId="64273842" w14:textId="2B54D5DF" w:rsidR="00591396" w:rsidRPr="00EA1677" w:rsidRDefault="00591396" w:rsidP="006171B0">
      <w:pPr>
        <w:spacing w:line="360" w:lineRule="auto"/>
        <w:rPr>
          <w:color w:val="000000" w:themeColor="text1"/>
        </w:rPr>
      </w:pPr>
      <w:r w:rsidRPr="00EA1677">
        <w:rPr>
          <w:b/>
          <w:bCs/>
          <w:color w:val="000000" w:themeColor="text1"/>
        </w:rPr>
        <w:t>Epistemology, Ontology, and Axiology:</w:t>
      </w:r>
      <w:r w:rsidRPr="00EA1677">
        <w:rPr>
          <w:color w:val="000000" w:themeColor="text1"/>
        </w:rPr>
        <w:t xml:space="preserve"> Belonging is treated as measurable, but subjective interpretations </w:t>
      </w:r>
      <w:r w:rsidR="00D14398">
        <w:rPr>
          <w:color w:val="000000" w:themeColor="text1"/>
        </w:rPr>
        <w:t xml:space="preserve">are </w:t>
      </w:r>
      <w:r w:rsidRPr="00EA1677">
        <w:rPr>
          <w:color w:val="000000" w:themeColor="text1"/>
        </w:rPr>
        <w:t>overlooked.</w:t>
      </w:r>
    </w:p>
    <w:p w14:paraId="4FA63B34" w14:textId="050EFC2B" w:rsidR="00591396" w:rsidRPr="00EA1677" w:rsidRDefault="00591396" w:rsidP="006171B0">
      <w:pPr>
        <w:spacing w:line="360" w:lineRule="auto"/>
        <w:rPr>
          <w:color w:val="000000" w:themeColor="text1"/>
        </w:rPr>
      </w:pPr>
      <w:r w:rsidRPr="00EA1677">
        <w:rPr>
          <w:b/>
          <w:bCs/>
          <w:color w:val="000000" w:themeColor="text1"/>
        </w:rPr>
        <w:t>Reliability, Validity, and Ethical Considerations:</w:t>
      </w:r>
      <w:r w:rsidRPr="00EA1677">
        <w:rPr>
          <w:color w:val="000000" w:themeColor="text1"/>
        </w:rPr>
        <w:t xml:space="preserve"> Reliability </w:t>
      </w:r>
      <w:r w:rsidR="00EA1677" w:rsidRPr="00EA1677">
        <w:rPr>
          <w:color w:val="000000" w:themeColor="text1"/>
        </w:rPr>
        <w:t>comes from the use of</w:t>
      </w:r>
      <w:r w:rsidRPr="00EA1677">
        <w:rPr>
          <w:color w:val="000000" w:themeColor="text1"/>
        </w:rPr>
        <w:t xml:space="preserve"> validated tools, though validity would benefit from mixed methods. Ethical concerns focus on equity</w:t>
      </w:r>
      <w:r w:rsidR="00EA1677" w:rsidRPr="00EA1677">
        <w:rPr>
          <w:color w:val="000000" w:themeColor="text1"/>
        </w:rPr>
        <w:t xml:space="preserve"> throughout</w:t>
      </w:r>
      <w:r w:rsidRPr="00EA1677">
        <w:rPr>
          <w:color w:val="000000" w:themeColor="text1"/>
        </w:rPr>
        <w:t>.</w:t>
      </w:r>
    </w:p>
    <w:p w14:paraId="373A2411" w14:textId="77777777" w:rsidR="00591396" w:rsidRPr="00EA1677" w:rsidRDefault="00591396" w:rsidP="006171B0">
      <w:pPr>
        <w:spacing w:line="360" w:lineRule="auto"/>
        <w:rPr>
          <w:color w:val="000000" w:themeColor="text1"/>
        </w:rPr>
      </w:pPr>
      <w:r w:rsidRPr="00EA1677">
        <w:rPr>
          <w:b/>
          <w:bCs/>
          <w:color w:val="000000" w:themeColor="text1"/>
        </w:rPr>
        <w:t>Future Research:</w:t>
      </w:r>
      <w:r w:rsidRPr="00EA1677">
        <w:rPr>
          <w:color w:val="000000" w:themeColor="text1"/>
        </w:rPr>
        <w:t xml:space="preserve"> Incorporating qualitative and longitudinal approaches could enhance the analysis.</w:t>
      </w:r>
    </w:p>
    <w:p w14:paraId="4C866269" w14:textId="084B8D50" w:rsidR="00591396" w:rsidRPr="00EA1677" w:rsidRDefault="00591396" w:rsidP="006171B0">
      <w:pPr>
        <w:spacing w:line="360" w:lineRule="auto"/>
        <w:rPr>
          <w:color w:val="000000" w:themeColor="text1"/>
        </w:rPr>
      </w:pPr>
      <w:r w:rsidRPr="00EA1677">
        <w:rPr>
          <w:b/>
          <w:bCs/>
          <w:color w:val="000000" w:themeColor="text1"/>
        </w:rPr>
        <w:t>Conclusion:</w:t>
      </w:r>
      <w:r w:rsidRPr="00EA1677">
        <w:rPr>
          <w:color w:val="000000" w:themeColor="text1"/>
        </w:rPr>
        <w:t xml:space="preserve"> The study </w:t>
      </w:r>
      <w:r w:rsidR="00EA1677" w:rsidRPr="00EA1677">
        <w:rPr>
          <w:color w:val="000000" w:themeColor="text1"/>
        </w:rPr>
        <w:t xml:space="preserve">does make some interesting points, particularly with respect to </w:t>
      </w:r>
      <w:r w:rsidR="00D14398">
        <w:rPr>
          <w:color w:val="000000" w:themeColor="text1"/>
        </w:rPr>
        <w:t>the concept of</w:t>
      </w:r>
      <w:r w:rsidRPr="00EA1677">
        <w:rPr>
          <w:color w:val="000000" w:themeColor="text1"/>
        </w:rPr>
        <w:t xml:space="preserve"> </w:t>
      </w:r>
      <w:r w:rsidR="00EA1677" w:rsidRPr="00EA1677">
        <w:rPr>
          <w:color w:val="000000" w:themeColor="text1"/>
        </w:rPr>
        <w:t>‘</w:t>
      </w:r>
      <w:r w:rsidRPr="00EA1677">
        <w:rPr>
          <w:color w:val="000000" w:themeColor="text1"/>
        </w:rPr>
        <w:t>belonging</w:t>
      </w:r>
      <w:r w:rsidR="00EA1677" w:rsidRPr="00EA1677">
        <w:rPr>
          <w:color w:val="000000" w:themeColor="text1"/>
        </w:rPr>
        <w:t>’</w:t>
      </w:r>
      <w:r w:rsidRPr="00EA1677">
        <w:rPr>
          <w:color w:val="000000" w:themeColor="text1"/>
        </w:rPr>
        <w:t xml:space="preserve"> but </w:t>
      </w:r>
      <w:r w:rsidR="00EA1677" w:rsidRPr="00EA1677">
        <w:rPr>
          <w:color w:val="000000" w:themeColor="text1"/>
        </w:rPr>
        <w:t xml:space="preserve">a </w:t>
      </w:r>
      <w:r w:rsidRPr="00EA1677">
        <w:rPr>
          <w:color w:val="000000" w:themeColor="text1"/>
        </w:rPr>
        <w:t xml:space="preserve">mixed methods </w:t>
      </w:r>
      <w:r w:rsidR="00D14398">
        <w:rPr>
          <w:color w:val="000000" w:themeColor="text1"/>
        </w:rPr>
        <w:t>would</w:t>
      </w:r>
      <w:r w:rsidRPr="00EA1677">
        <w:rPr>
          <w:color w:val="000000" w:themeColor="text1"/>
        </w:rPr>
        <w:t xml:space="preserve"> provide </w:t>
      </w:r>
      <w:r w:rsidR="00EA1677" w:rsidRPr="00EA1677">
        <w:rPr>
          <w:color w:val="000000" w:themeColor="text1"/>
        </w:rPr>
        <w:t>more depth.</w:t>
      </w:r>
    </w:p>
    <w:p w14:paraId="5A7A45DC" w14:textId="074A8038" w:rsidR="00591396" w:rsidRPr="00591396" w:rsidRDefault="00591396" w:rsidP="006171B0">
      <w:pPr>
        <w:spacing w:line="360" w:lineRule="auto"/>
      </w:pPr>
    </w:p>
    <w:p w14:paraId="7F79C8A7" w14:textId="77777777" w:rsidR="00875A63" w:rsidRDefault="00591396" w:rsidP="006171B0">
      <w:pPr>
        <w:spacing w:line="360" w:lineRule="auto"/>
      </w:pPr>
      <w:r w:rsidRPr="00875A63">
        <w:t>Paper Seven:</w:t>
      </w:r>
    </w:p>
    <w:p w14:paraId="38AD19C8" w14:textId="26114466" w:rsidR="00AE3699" w:rsidRPr="00875A63" w:rsidRDefault="00FC31B5" w:rsidP="006171B0">
      <w:pPr>
        <w:pStyle w:val="Heading2"/>
        <w:spacing w:line="360" w:lineRule="auto"/>
      </w:pPr>
      <w:r w:rsidRPr="00875A63">
        <w:lastRenderedPageBreak/>
        <w:br/>
      </w:r>
      <w:bookmarkStart w:id="13" w:name="_Toc188210491"/>
      <w:r w:rsidR="00AE3699" w:rsidRPr="00875A63">
        <w:t>Do interventions enhancing students’ self‐belief and confidence effectively contribute to widening participation in higher education? A qualitative research study</w:t>
      </w:r>
      <w:r w:rsidR="00767295" w:rsidRPr="00875A63">
        <w:br/>
      </w:r>
      <w:r w:rsidR="00AE3699" w:rsidRPr="00875A63">
        <w:t>(Bakour, 2024)</w:t>
      </w:r>
      <w:bookmarkEnd w:id="13"/>
    </w:p>
    <w:p w14:paraId="711D6401" w14:textId="56D11DD7" w:rsidR="00AE3699" w:rsidRPr="0063358E" w:rsidRDefault="00591396" w:rsidP="006171B0">
      <w:pPr>
        <w:spacing w:line="360" w:lineRule="auto"/>
        <w:rPr>
          <w:color w:val="000000" w:themeColor="text1"/>
        </w:rPr>
      </w:pPr>
      <w:r w:rsidRPr="0063358E">
        <w:rPr>
          <w:b/>
          <w:bCs/>
          <w:color w:val="000000" w:themeColor="text1"/>
        </w:rPr>
        <w:t>Content Summary</w:t>
      </w:r>
      <w:r w:rsidR="006B1C79">
        <w:rPr>
          <w:b/>
          <w:bCs/>
          <w:color w:val="000000" w:themeColor="text1"/>
        </w:rPr>
        <w:t>:</w:t>
      </w:r>
      <w:r w:rsidRPr="0063358E">
        <w:rPr>
          <w:color w:val="000000" w:themeColor="text1"/>
        </w:rPr>
        <w:t xml:space="preserve"> </w:t>
      </w:r>
      <w:r w:rsidR="0063358E" w:rsidRPr="0063358E">
        <w:rPr>
          <w:color w:val="000000" w:themeColor="text1"/>
        </w:rPr>
        <w:t>E</w:t>
      </w:r>
      <w:r w:rsidRPr="0063358E">
        <w:rPr>
          <w:color w:val="000000" w:themeColor="text1"/>
        </w:rPr>
        <w:t xml:space="preserve">valuates widening participation (WP) initiatives through interviews with WP tutors, focusing on </w:t>
      </w:r>
      <w:r w:rsidR="0063358E" w:rsidRPr="0063358E">
        <w:rPr>
          <w:color w:val="000000" w:themeColor="text1"/>
        </w:rPr>
        <w:t>‘</w:t>
      </w:r>
      <w:r w:rsidRPr="0063358E">
        <w:rPr>
          <w:color w:val="000000" w:themeColor="text1"/>
        </w:rPr>
        <w:t>self-belief</w:t>
      </w:r>
      <w:r w:rsidR="0063358E" w:rsidRPr="0063358E">
        <w:rPr>
          <w:color w:val="000000" w:themeColor="text1"/>
        </w:rPr>
        <w:t>’</w:t>
      </w:r>
      <w:r w:rsidRPr="0063358E">
        <w:rPr>
          <w:color w:val="000000" w:themeColor="text1"/>
        </w:rPr>
        <w:t xml:space="preserve"> among underrepresented students.</w:t>
      </w:r>
      <w:r w:rsidR="0063358E" w:rsidRPr="0063358E">
        <w:rPr>
          <w:color w:val="000000" w:themeColor="text1"/>
        </w:rPr>
        <w:t xml:space="preserve"> Finds that i</w:t>
      </w:r>
      <w:r w:rsidR="00AE3699" w:rsidRPr="0063358E">
        <w:rPr>
          <w:color w:val="000000" w:themeColor="text1"/>
        </w:rPr>
        <w:t xml:space="preserve">nterventions targeting self-belief and confidence positively impact underrepresented students’ access to </w:t>
      </w:r>
      <w:r w:rsidR="008958DE" w:rsidRPr="0063358E">
        <w:rPr>
          <w:color w:val="000000" w:themeColor="text1"/>
        </w:rPr>
        <w:t>HE</w:t>
      </w:r>
      <w:r w:rsidR="00AE3699" w:rsidRPr="0063358E">
        <w:rPr>
          <w:color w:val="000000" w:themeColor="text1"/>
        </w:rPr>
        <w:t>. However, systemic inequalities persist, limiting the full effectiveness of such strategies.</w:t>
      </w:r>
    </w:p>
    <w:p w14:paraId="3A8A0462" w14:textId="2F72A9C8" w:rsidR="00AE3699" w:rsidRPr="0063358E" w:rsidRDefault="00591396" w:rsidP="006171B0">
      <w:pPr>
        <w:spacing w:line="360" w:lineRule="auto"/>
        <w:rPr>
          <w:color w:val="000000" w:themeColor="text1"/>
        </w:rPr>
      </w:pPr>
      <w:r w:rsidRPr="0063358E">
        <w:rPr>
          <w:b/>
          <w:bCs/>
          <w:color w:val="000000" w:themeColor="text1"/>
        </w:rPr>
        <w:t>Authority</w:t>
      </w:r>
      <w:r w:rsidR="006B1C79">
        <w:rPr>
          <w:b/>
          <w:bCs/>
          <w:color w:val="000000" w:themeColor="text1"/>
        </w:rPr>
        <w:t>:</w:t>
      </w:r>
      <w:r w:rsidRPr="0063358E">
        <w:rPr>
          <w:color w:val="000000" w:themeColor="text1"/>
        </w:rPr>
        <w:t xml:space="preserve"> </w:t>
      </w:r>
      <w:r w:rsidR="00AE3699" w:rsidRPr="0063358E">
        <w:rPr>
          <w:color w:val="000000" w:themeColor="text1"/>
        </w:rPr>
        <w:t xml:space="preserve"> Assistant Professor University of Birmingham, Director of Medical Education, Aston University, Clinical Senior Lecturer (Teaching &amp; Clinical), Aston Medical School.</w:t>
      </w:r>
    </w:p>
    <w:p w14:paraId="5459872E" w14:textId="5CE82DFA" w:rsidR="00591396" w:rsidRPr="0063358E" w:rsidRDefault="00591396" w:rsidP="006171B0">
      <w:pPr>
        <w:spacing w:line="360" w:lineRule="auto"/>
        <w:rPr>
          <w:color w:val="000000" w:themeColor="text1"/>
        </w:rPr>
      </w:pPr>
      <w:r w:rsidRPr="0063358E">
        <w:rPr>
          <w:b/>
          <w:bCs/>
          <w:color w:val="000000" w:themeColor="text1"/>
        </w:rPr>
        <w:t>Methodology</w:t>
      </w:r>
      <w:r w:rsidR="006B1C79">
        <w:rPr>
          <w:b/>
          <w:bCs/>
          <w:color w:val="000000" w:themeColor="text1"/>
        </w:rPr>
        <w:t>:</w:t>
      </w:r>
      <w:r w:rsidRPr="0063358E">
        <w:rPr>
          <w:color w:val="000000" w:themeColor="text1"/>
        </w:rPr>
        <w:t xml:space="preserve"> Qualitative methods includ</w:t>
      </w:r>
      <w:r w:rsidR="0063358E" w:rsidRPr="0063358E">
        <w:rPr>
          <w:color w:val="000000" w:themeColor="text1"/>
        </w:rPr>
        <w:t>ing a</w:t>
      </w:r>
      <w:r w:rsidRPr="0063358E">
        <w:rPr>
          <w:color w:val="000000" w:themeColor="text1"/>
        </w:rPr>
        <w:t xml:space="preserve"> thematic analysis of semi-structured interviews.</w:t>
      </w:r>
    </w:p>
    <w:p w14:paraId="09A3C1FC" w14:textId="77777777" w:rsidR="00591396" w:rsidRPr="0063358E" w:rsidRDefault="00591396" w:rsidP="006171B0">
      <w:pPr>
        <w:spacing w:line="360" w:lineRule="auto"/>
        <w:rPr>
          <w:color w:val="000000" w:themeColor="text1"/>
        </w:rPr>
      </w:pPr>
      <w:r w:rsidRPr="0063358E">
        <w:rPr>
          <w:b/>
          <w:bCs/>
          <w:color w:val="000000" w:themeColor="text1"/>
        </w:rPr>
        <w:t>Critical Assessment</w:t>
      </w:r>
      <w:r w:rsidRPr="0063358E">
        <w:rPr>
          <w:color w:val="000000" w:themeColor="text1"/>
        </w:rPr>
        <w:t xml:space="preserve"> </w:t>
      </w:r>
      <w:r w:rsidRPr="0063358E">
        <w:rPr>
          <w:b/>
          <w:bCs/>
          <w:color w:val="000000" w:themeColor="text1"/>
        </w:rPr>
        <w:t>Accuracy:</w:t>
      </w:r>
      <w:r w:rsidRPr="0063358E">
        <w:rPr>
          <w:color w:val="000000" w:themeColor="text1"/>
        </w:rPr>
        <w:t xml:space="preserve"> Thematic analysis ensures depth but lacks quantitative validation.</w:t>
      </w:r>
    </w:p>
    <w:p w14:paraId="6A55A4F4" w14:textId="77777777" w:rsidR="00591396" w:rsidRPr="0063358E" w:rsidRDefault="00591396" w:rsidP="006171B0">
      <w:pPr>
        <w:spacing w:line="360" w:lineRule="auto"/>
        <w:rPr>
          <w:color w:val="000000" w:themeColor="text1"/>
        </w:rPr>
      </w:pPr>
      <w:r w:rsidRPr="0063358E">
        <w:rPr>
          <w:b/>
          <w:bCs/>
          <w:color w:val="000000" w:themeColor="text1"/>
        </w:rPr>
        <w:t>Objectivity:</w:t>
      </w:r>
      <w:r w:rsidRPr="0063358E">
        <w:rPr>
          <w:color w:val="000000" w:themeColor="text1"/>
        </w:rPr>
        <w:t xml:space="preserve"> Tutor perspectives are valuable but omit views from students and other stakeholders.</w:t>
      </w:r>
    </w:p>
    <w:p w14:paraId="72A61E9F" w14:textId="2115E117" w:rsidR="00591396" w:rsidRPr="0063358E" w:rsidRDefault="00591396" w:rsidP="006171B0">
      <w:pPr>
        <w:spacing w:line="360" w:lineRule="auto"/>
        <w:rPr>
          <w:color w:val="000000" w:themeColor="text1"/>
        </w:rPr>
      </w:pPr>
      <w:r w:rsidRPr="0063358E">
        <w:rPr>
          <w:b/>
          <w:bCs/>
          <w:color w:val="000000" w:themeColor="text1"/>
        </w:rPr>
        <w:t>Coverage:</w:t>
      </w:r>
      <w:r w:rsidRPr="0063358E">
        <w:rPr>
          <w:color w:val="000000" w:themeColor="text1"/>
        </w:rPr>
        <w:t xml:space="preserve"> The analysis excludes broader stakeholder perspectives, limiting scope</w:t>
      </w:r>
      <w:r w:rsidR="0063358E" w:rsidRPr="0063358E">
        <w:rPr>
          <w:color w:val="000000" w:themeColor="text1"/>
        </w:rPr>
        <w:t xml:space="preserve"> of the research.</w:t>
      </w:r>
    </w:p>
    <w:p w14:paraId="2AF13096" w14:textId="161D9C6A" w:rsidR="0063358E" w:rsidRPr="0063358E" w:rsidRDefault="00591396" w:rsidP="006171B0">
      <w:pPr>
        <w:spacing w:line="360" w:lineRule="auto"/>
        <w:rPr>
          <w:color w:val="000000" w:themeColor="text1"/>
        </w:rPr>
      </w:pPr>
      <w:r w:rsidRPr="0063358E">
        <w:rPr>
          <w:b/>
          <w:bCs/>
          <w:color w:val="000000" w:themeColor="text1"/>
        </w:rPr>
        <w:t>Uniqueness:</w:t>
      </w:r>
      <w:r w:rsidRPr="0063358E">
        <w:rPr>
          <w:color w:val="000000" w:themeColor="text1"/>
        </w:rPr>
        <w:t xml:space="preserve"> The focus on tutor insights </w:t>
      </w:r>
      <w:r w:rsidR="0063358E" w:rsidRPr="0063358E">
        <w:rPr>
          <w:color w:val="000000" w:themeColor="text1"/>
        </w:rPr>
        <w:t xml:space="preserve">is </w:t>
      </w:r>
      <w:r w:rsidR="00FC31B5" w:rsidRPr="0063358E">
        <w:rPr>
          <w:color w:val="000000" w:themeColor="text1"/>
        </w:rPr>
        <w:t>interesting but</w:t>
      </w:r>
      <w:r w:rsidR="0063358E" w:rsidRPr="0063358E">
        <w:rPr>
          <w:color w:val="000000" w:themeColor="text1"/>
        </w:rPr>
        <w:t xml:space="preserve"> lacked depth.</w:t>
      </w:r>
    </w:p>
    <w:p w14:paraId="77CE9D9D" w14:textId="006123FB" w:rsidR="00591396" w:rsidRPr="0063358E" w:rsidRDefault="00591396" w:rsidP="006171B0">
      <w:pPr>
        <w:spacing w:line="360" w:lineRule="auto"/>
        <w:rPr>
          <w:color w:val="000000" w:themeColor="text1"/>
        </w:rPr>
      </w:pPr>
      <w:r w:rsidRPr="0063358E">
        <w:rPr>
          <w:b/>
          <w:bCs/>
          <w:color w:val="000000" w:themeColor="text1"/>
        </w:rPr>
        <w:t>Epistemology, Ontology, and Axiology:</w:t>
      </w:r>
      <w:r w:rsidRPr="0063358E">
        <w:rPr>
          <w:color w:val="000000" w:themeColor="text1"/>
        </w:rPr>
        <w:t xml:space="preserve"> The study advocates equity but overlooks intersectional complexities</w:t>
      </w:r>
      <w:r w:rsidR="0063358E" w:rsidRPr="0063358E">
        <w:rPr>
          <w:color w:val="000000" w:themeColor="text1"/>
        </w:rPr>
        <w:t xml:space="preserve">, which may impact on </w:t>
      </w:r>
      <w:r w:rsidR="00FC31B5" w:rsidRPr="0063358E">
        <w:rPr>
          <w:color w:val="000000" w:themeColor="text1"/>
        </w:rPr>
        <w:t>individuals</w:t>
      </w:r>
      <w:r w:rsidR="0063358E" w:rsidRPr="0063358E">
        <w:rPr>
          <w:color w:val="000000" w:themeColor="text1"/>
        </w:rPr>
        <w:t>.</w:t>
      </w:r>
    </w:p>
    <w:p w14:paraId="4C8192DC" w14:textId="7EDA4CD2" w:rsidR="00591396" w:rsidRPr="0063358E" w:rsidRDefault="00591396" w:rsidP="006171B0">
      <w:pPr>
        <w:spacing w:line="360" w:lineRule="auto"/>
        <w:rPr>
          <w:color w:val="000000" w:themeColor="text1"/>
        </w:rPr>
      </w:pPr>
      <w:r w:rsidRPr="0063358E">
        <w:rPr>
          <w:b/>
          <w:bCs/>
          <w:color w:val="000000" w:themeColor="text1"/>
        </w:rPr>
        <w:t>Reliability, Validity, and Ethical Considerations:</w:t>
      </w:r>
      <w:r w:rsidRPr="0063358E">
        <w:rPr>
          <w:color w:val="000000" w:themeColor="text1"/>
        </w:rPr>
        <w:t xml:space="preserve"> Reliability </w:t>
      </w:r>
      <w:r w:rsidR="0063358E" w:rsidRPr="0063358E">
        <w:rPr>
          <w:color w:val="000000" w:themeColor="text1"/>
        </w:rPr>
        <w:t>is present through</w:t>
      </w:r>
      <w:r w:rsidRPr="0063358E">
        <w:rPr>
          <w:color w:val="000000" w:themeColor="text1"/>
        </w:rPr>
        <w:t xml:space="preserve"> thematic clarity, though validity </w:t>
      </w:r>
      <w:r w:rsidR="0063358E" w:rsidRPr="0063358E">
        <w:rPr>
          <w:color w:val="000000" w:themeColor="text1"/>
        </w:rPr>
        <w:t xml:space="preserve">again </w:t>
      </w:r>
      <w:r w:rsidRPr="0063358E">
        <w:rPr>
          <w:color w:val="000000" w:themeColor="text1"/>
        </w:rPr>
        <w:t>would</w:t>
      </w:r>
      <w:r w:rsidR="0063358E" w:rsidRPr="0063358E">
        <w:rPr>
          <w:color w:val="000000" w:themeColor="text1"/>
        </w:rPr>
        <w:t xml:space="preserve"> have benefited</w:t>
      </w:r>
      <w:r w:rsidRPr="0063358E">
        <w:rPr>
          <w:color w:val="000000" w:themeColor="text1"/>
        </w:rPr>
        <w:t xml:space="preserve"> </w:t>
      </w:r>
      <w:r w:rsidR="0063358E" w:rsidRPr="0063358E">
        <w:rPr>
          <w:color w:val="000000" w:themeColor="text1"/>
        </w:rPr>
        <w:t>with more</w:t>
      </w:r>
      <w:r w:rsidRPr="0063358E">
        <w:rPr>
          <w:color w:val="000000" w:themeColor="text1"/>
        </w:rPr>
        <w:t xml:space="preserve"> diverse perspectives. Ethical concerns focus on inclusivity</w:t>
      </w:r>
      <w:r w:rsidR="0063358E" w:rsidRPr="0063358E">
        <w:rPr>
          <w:color w:val="000000" w:themeColor="text1"/>
        </w:rPr>
        <w:t xml:space="preserve"> throughout.</w:t>
      </w:r>
    </w:p>
    <w:p w14:paraId="21EBE175" w14:textId="60AE336D" w:rsidR="00591396" w:rsidRPr="0063358E" w:rsidRDefault="00591396" w:rsidP="006171B0">
      <w:pPr>
        <w:spacing w:line="360" w:lineRule="auto"/>
        <w:rPr>
          <w:color w:val="000000" w:themeColor="text1"/>
        </w:rPr>
      </w:pPr>
      <w:r w:rsidRPr="0063358E">
        <w:rPr>
          <w:b/>
          <w:bCs/>
          <w:color w:val="000000" w:themeColor="text1"/>
        </w:rPr>
        <w:t>Future Research:</w:t>
      </w:r>
      <w:r w:rsidRPr="0063358E">
        <w:rPr>
          <w:color w:val="000000" w:themeColor="text1"/>
        </w:rPr>
        <w:t xml:space="preserve"> Mixed methods and </w:t>
      </w:r>
      <w:r w:rsidR="0063358E" w:rsidRPr="0063358E">
        <w:rPr>
          <w:color w:val="000000" w:themeColor="text1"/>
        </w:rPr>
        <w:t>more diversity would</w:t>
      </w:r>
      <w:r w:rsidRPr="0063358E">
        <w:rPr>
          <w:color w:val="000000" w:themeColor="text1"/>
        </w:rPr>
        <w:t xml:space="preserve"> enhance </w:t>
      </w:r>
      <w:r w:rsidR="0063358E" w:rsidRPr="0063358E">
        <w:rPr>
          <w:color w:val="000000" w:themeColor="text1"/>
        </w:rPr>
        <w:t xml:space="preserve">the </w:t>
      </w:r>
      <w:r w:rsidRPr="0063358E">
        <w:rPr>
          <w:color w:val="000000" w:themeColor="text1"/>
        </w:rPr>
        <w:t>analysis.</w:t>
      </w:r>
    </w:p>
    <w:p w14:paraId="71350FAE" w14:textId="5719A0DA" w:rsidR="00591396" w:rsidRPr="0063358E" w:rsidRDefault="00591396" w:rsidP="006171B0">
      <w:pPr>
        <w:spacing w:line="360" w:lineRule="auto"/>
        <w:rPr>
          <w:color w:val="000000" w:themeColor="text1"/>
        </w:rPr>
      </w:pPr>
      <w:r w:rsidRPr="0063358E">
        <w:rPr>
          <w:b/>
          <w:bCs/>
          <w:color w:val="000000" w:themeColor="text1"/>
        </w:rPr>
        <w:t>Conclusion:</w:t>
      </w:r>
      <w:r w:rsidRPr="0063358E">
        <w:rPr>
          <w:color w:val="000000" w:themeColor="text1"/>
        </w:rPr>
        <w:t xml:space="preserve"> The study </w:t>
      </w:r>
      <w:r w:rsidR="0063358E" w:rsidRPr="0063358E">
        <w:rPr>
          <w:color w:val="000000" w:themeColor="text1"/>
        </w:rPr>
        <w:t xml:space="preserve">does offer insight </w:t>
      </w:r>
      <w:r w:rsidRPr="0063358E">
        <w:rPr>
          <w:color w:val="000000" w:themeColor="text1"/>
        </w:rPr>
        <w:t>into WP initiatives but requires broader stakeholder engagement</w:t>
      </w:r>
      <w:r w:rsidR="0063358E" w:rsidRPr="0063358E">
        <w:rPr>
          <w:color w:val="000000" w:themeColor="text1"/>
        </w:rPr>
        <w:t xml:space="preserve"> to ensure validity.</w:t>
      </w:r>
    </w:p>
    <w:p w14:paraId="1BA77FAC" w14:textId="47D7574D" w:rsidR="00591396" w:rsidRPr="00591396" w:rsidRDefault="00591396" w:rsidP="006171B0">
      <w:pPr>
        <w:spacing w:line="360" w:lineRule="auto"/>
      </w:pPr>
    </w:p>
    <w:p w14:paraId="2D2D3601" w14:textId="77777777" w:rsidR="00875A63" w:rsidRDefault="00591396" w:rsidP="006171B0">
      <w:pPr>
        <w:spacing w:line="360" w:lineRule="auto"/>
      </w:pPr>
      <w:r w:rsidRPr="00FC31B5">
        <w:t>Paper Eight:</w:t>
      </w:r>
    </w:p>
    <w:p w14:paraId="15D2A26C" w14:textId="77391F45" w:rsidR="00682884" w:rsidRPr="00875A63" w:rsidRDefault="00FC31B5" w:rsidP="006171B0">
      <w:pPr>
        <w:pStyle w:val="Heading2"/>
        <w:spacing w:line="360" w:lineRule="auto"/>
      </w:pPr>
      <w:r w:rsidRPr="00FC31B5">
        <w:br/>
      </w:r>
      <w:bookmarkStart w:id="14" w:name="_Toc188210492"/>
      <w:r w:rsidR="000F4DDE">
        <w:t>Socioeconomic</w:t>
      </w:r>
      <w:r w:rsidR="00AE3699" w:rsidRPr="00875A63">
        <w:t xml:space="preserve"> status and subject choice at 14: do they interact to affect university access</w:t>
      </w:r>
      <w:r w:rsidR="00767295" w:rsidRPr="00875A63">
        <w:br/>
      </w:r>
      <w:r w:rsidR="00682884" w:rsidRPr="00875A63">
        <w:t>(Anders et al., 2017)</w:t>
      </w:r>
      <w:bookmarkEnd w:id="14"/>
    </w:p>
    <w:p w14:paraId="54012026" w14:textId="4FE235B6" w:rsidR="00AE3699" w:rsidRPr="00AA4918" w:rsidRDefault="00591396" w:rsidP="006171B0">
      <w:pPr>
        <w:spacing w:line="360" w:lineRule="auto"/>
        <w:rPr>
          <w:color w:val="000000" w:themeColor="text1"/>
        </w:rPr>
      </w:pPr>
      <w:r w:rsidRPr="00AA4918">
        <w:rPr>
          <w:b/>
          <w:bCs/>
          <w:color w:val="000000" w:themeColor="text1"/>
        </w:rPr>
        <w:t>Content Summary</w:t>
      </w:r>
      <w:r w:rsidR="006B1C79">
        <w:rPr>
          <w:b/>
          <w:bCs/>
          <w:color w:val="000000" w:themeColor="text1"/>
        </w:rPr>
        <w:t>:</w:t>
      </w:r>
      <w:r w:rsidRPr="00AA4918">
        <w:rPr>
          <w:color w:val="000000" w:themeColor="text1"/>
        </w:rPr>
        <w:t xml:space="preserve"> </w:t>
      </w:r>
      <w:r w:rsidR="00AA4918" w:rsidRPr="00AA4918">
        <w:rPr>
          <w:color w:val="000000" w:themeColor="text1"/>
        </w:rPr>
        <w:t>A</w:t>
      </w:r>
      <w:r w:rsidRPr="00AA4918">
        <w:rPr>
          <w:color w:val="000000" w:themeColor="text1"/>
        </w:rPr>
        <w:t>nalyse</w:t>
      </w:r>
      <w:r w:rsidR="00AA4918" w:rsidRPr="00AA4918">
        <w:rPr>
          <w:color w:val="000000" w:themeColor="text1"/>
        </w:rPr>
        <w:t>s</w:t>
      </w:r>
      <w:r w:rsidRPr="00AA4918">
        <w:rPr>
          <w:color w:val="000000" w:themeColor="text1"/>
        </w:rPr>
        <w:t xml:space="preserve"> the impact of subject choices at age 14 on access to selective universities, using data from the </w:t>
      </w:r>
      <w:r w:rsidR="00AA4918" w:rsidRPr="00AA4918">
        <w:rPr>
          <w:color w:val="000000" w:themeColor="text1"/>
        </w:rPr>
        <w:t>National Pupil Database (</w:t>
      </w:r>
      <w:r w:rsidRPr="00AA4918">
        <w:rPr>
          <w:color w:val="000000" w:themeColor="text1"/>
        </w:rPr>
        <w:t>NPD</w:t>
      </w:r>
      <w:r w:rsidR="00AA4918" w:rsidRPr="00AA4918">
        <w:rPr>
          <w:color w:val="000000" w:themeColor="text1"/>
        </w:rPr>
        <w:t>)</w:t>
      </w:r>
      <w:r w:rsidRPr="00AA4918">
        <w:rPr>
          <w:color w:val="000000" w:themeColor="text1"/>
        </w:rPr>
        <w:t xml:space="preserve"> and Next Steps datasets.</w:t>
      </w:r>
      <w:r w:rsidR="00AA4918" w:rsidRPr="00AA4918">
        <w:rPr>
          <w:color w:val="000000" w:themeColor="text1"/>
        </w:rPr>
        <w:t xml:space="preserve"> Finds s</w:t>
      </w:r>
      <w:r w:rsidR="00AE3699" w:rsidRPr="00AA4918">
        <w:rPr>
          <w:color w:val="000000" w:themeColor="text1"/>
        </w:rPr>
        <w:t xml:space="preserve">ubject choice at age 14 influences university access, with </w:t>
      </w:r>
      <w:r w:rsidR="000F4DDE">
        <w:rPr>
          <w:color w:val="000000" w:themeColor="text1"/>
        </w:rPr>
        <w:t>socioeconomic</w:t>
      </w:r>
      <w:r w:rsidR="00AE3699" w:rsidRPr="00AA4918">
        <w:rPr>
          <w:color w:val="000000" w:themeColor="text1"/>
        </w:rPr>
        <w:t xml:space="preserve"> disparities in curricula exacerbating inequities. Although policy-driven subject incentives show marginal effects, unequal curricular opportunities at school levels </w:t>
      </w:r>
      <w:r w:rsidR="00AA4918" w:rsidRPr="00AA4918">
        <w:rPr>
          <w:color w:val="000000" w:themeColor="text1"/>
        </w:rPr>
        <w:t>reduces</w:t>
      </w:r>
      <w:r w:rsidR="00AE3699" w:rsidRPr="00AA4918">
        <w:rPr>
          <w:color w:val="000000" w:themeColor="text1"/>
        </w:rPr>
        <w:t xml:space="preserve"> equity</w:t>
      </w:r>
      <w:r w:rsidR="00663E3E" w:rsidRPr="00AA4918">
        <w:rPr>
          <w:color w:val="000000" w:themeColor="text1"/>
        </w:rPr>
        <w:t>.</w:t>
      </w:r>
    </w:p>
    <w:p w14:paraId="773E3D27" w14:textId="12542682" w:rsidR="00663E3E" w:rsidRPr="00AA4918" w:rsidRDefault="00663E3E" w:rsidP="006171B0">
      <w:pPr>
        <w:spacing w:line="360" w:lineRule="auto"/>
        <w:rPr>
          <w:color w:val="000000" w:themeColor="text1"/>
        </w:rPr>
      </w:pPr>
      <w:r w:rsidRPr="00AA4918">
        <w:rPr>
          <w:color w:val="000000" w:themeColor="text1"/>
        </w:rPr>
        <w:t xml:space="preserve">Students from advantaged backgrounds are more likely to study selective, academically rigorous subjects, often leading to higher university attendance. However, the study suggests that addressing these disparities in curriculum choices alone will only marginally reduce educational inequalities, as </w:t>
      </w:r>
      <w:r w:rsidR="00AA4918" w:rsidRPr="00AA4918">
        <w:rPr>
          <w:color w:val="000000" w:themeColor="text1"/>
        </w:rPr>
        <w:t xml:space="preserve">wider </w:t>
      </w:r>
      <w:r w:rsidRPr="00AA4918">
        <w:rPr>
          <w:color w:val="000000" w:themeColor="text1"/>
        </w:rPr>
        <w:t>systemic barriers persist.</w:t>
      </w:r>
    </w:p>
    <w:p w14:paraId="4845E350" w14:textId="1AE02FFC" w:rsidR="00591396" w:rsidRPr="00AA4918" w:rsidRDefault="00591396" w:rsidP="006171B0">
      <w:pPr>
        <w:spacing w:line="360" w:lineRule="auto"/>
        <w:rPr>
          <w:color w:val="000000" w:themeColor="text1"/>
        </w:rPr>
      </w:pPr>
      <w:r w:rsidRPr="00AA4918">
        <w:rPr>
          <w:b/>
          <w:bCs/>
          <w:color w:val="000000" w:themeColor="text1"/>
        </w:rPr>
        <w:t>Authority</w:t>
      </w:r>
      <w:r w:rsidR="00AA4918" w:rsidRPr="00AA4918">
        <w:rPr>
          <w:b/>
          <w:bCs/>
          <w:color w:val="000000" w:themeColor="text1"/>
        </w:rPr>
        <w:t>:</w:t>
      </w:r>
      <w:r w:rsidRPr="00AA4918">
        <w:rPr>
          <w:color w:val="000000" w:themeColor="text1"/>
        </w:rPr>
        <w:t xml:space="preserve"> UCL</w:t>
      </w:r>
      <w:r w:rsidRPr="00AA4918">
        <w:rPr>
          <w:b/>
          <w:bCs/>
          <w:color w:val="000000" w:themeColor="text1"/>
        </w:rPr>
        <w:t xml:space="preserve"> </w:t>
      </w:r>
      <w:r w:rsidRPr="00AA4918">
        <w:rPr>
          <w:color w:val="000000" w:themeColor="text1"/>
        </w:rPr>
        <w:t>Institute of Education</w:t>
      </w:r>
      <w:r w:rsidR="00D17A6C" w:rsidRPr="00AA4918">
        <w:rPr>
          <w:color w:val="000000" w:themeColor="text1"/>
        </w:rPr>
        <w:t>, funded by the Economic and Social Research Council.</w:t>
      </w:r>
    </w:p>
    <w:p w14:paraId="3C2E4A3B" w14:textId="66F35A79" w:rsidR="00591396" w:rsidRPr="00AA4918" w:rsidRDefault="00591396" w:rsidP="006171B0">
      <w:pPr>
        <w:spacing w:line="360" w:lineRule="auto"/>
        <w:rPr>
          <w:color w:val="000000" w:themeColor="text1"/>
        </w:rPr>
      </w:pPr>
      <w:r w:rsidRPr="00AA4918">
        <w:rPr>
          <w:b/>
          <w:bCs/>
          <w:color w:val="000000" w:themeColor="text1"/>
        </w:rPr>
        <w:t>Methodology</w:t>
      </w:r>
      <w:r w:rsidR="006B1C79">
        <w:rPr>
          <w:b/>
          <w:bCs/>
          <w:color w:val="000000" w:themeColor="text1"/>
        </w:rPr>
        <w:t>:</w:t>
      </w:r>
      <w:r w:rsidRPr="00AA4918">
        <w:rPr>
          <w:color w:val="000000" w:themeColor="text1"/>
        </w:rPr>
        <w:t xml:space="preserve"> Quantitative methods include regression models to assess SES and curriculum decisions.</w:t>
      </w:r>
    </w:p>
    <w:p w14:paraId="56E28EED" w14:textId="2E19D485" w:rsidR="00591396" w:rsidRPr="00AA4918" w:rsidRDefault="00591396" w:rsidP="006171B0">
      <w:pPr>
        <w:spacing w:line="360" w:lineRule="auto"/>
        <w:rPr>
          <w:color w:val="000000" w:themeColor="text1"/>
        </w:rPr>
      </w:pPr>
      <w:r w:rsidRPr="00AA4918">
        <w:rPr>
          <w:b/>
          <w:bCs/>
          <w:color w:val="000000" w:themeColor="text1"/>
        </w:rPr>
        <w:t>Critical Assessment</w:t>
      </w:r>
      <w:r w:rsidRPr="00AA4918">
        <w:rPr>
          <w:color w:val="000000" w:themeColor="text1"/>
        </w:rPr>
        <w:t xml:space="preserve"> </w:t>
      </w:r>
      <w:r w:rsidRPr="00AA4918">
        <w:rPr>
          <w:b/>
          <w:bCs/>
          <w:color w:val="000000" w:themeColor="text1"/>
        </w:rPr>
        <w:t>Accuracy:</w:t>
      </w:r>
      <w:r w:rsidRPr="00AA4918">
        <w:rPr>
          <w:color w:val="000000" w:themeColor="text1"/>
        </w:rPr>
        <w:t xml:space="preserve"> Large datasets </w:t>
      </w:r>
      <w:r w:rsidR="00AA4918" w:rsidRPr="00AA4918">
        <w:rPr>
          <w:color w:val="000000" w:themeColor="text1"/>
        </w:rPr>
        <w:t xml:space="preserve">do indicate </w:t>
      </w:r>
      <w:r w:rsidRPr="00AA4918">
        <w:rPr>
          <w:color w:val="000000" w:themeColor="text1"/>
        </w:rPr>
        <w:t>reliability, but qualitative insights are missing.</w:t>
      </w:r>
    </w:p>
    <w:p w14:paraId="4C91FD9A" w14:textId="6A2C61CF" w:rsidR="00591396" w:rsidRPr="00AA4918" w:rsidRDefault="00591396" w:rsidP="006171B0">
      <w:pPr>
        <w:spacing w:line="360" w:lineRule="auto"/>
        <w:rPr>
          <w:color w:val="000000" w:themeColor="text1"/>
        </w:rPr>
      </w:pPr>
      <w:r w:rsidRPr="00AA4918">
        <w:rPr>
          <w:b/>
          <w:bCs/>
          <w:color w:val="000000" w:themeColor="text1"/>
        </w:rPr>
        <w:t>Objectivity:</w:t>
      </w:r>
      <w:r w:rsidRPr="00AA4918">
        <w:rPr>
          <w:color w:val="000000" w:themeColor="text1"/>
        </w:rPr>
        <w:t xml:space="preserve"> Findings advocate equity but lack </w:t>
      </w:r>
      <w:r w:rsidR="00AA4918" w:rsidRPr="00AA4918">
        <w:rPr>
          <w:color w:val="000000" w:themeColor="text1"/>
        </w:rPr>
        <w:t xml:space="preserve">qualitative </w:t>
      </w:r>
      <w:r w:rsidRPr="00AA4918">
        <w:rPr>
          <w:color w:val="000000" w:themeColor="text1"/>
        </w:rPr>
        <w:t>depth in exploring student motivations.</w:t>
      </w:r>
    </w:p>
    <w:p w14:paraId="17BADF2E" w14:textId="77777777" w:rsidR="00591396" w:rsidRPr="00AA4918" w:rsidRDefault="00591396" w:rsidP="006171B0">
      <w:pPr>
        <w:spacing w:line="360" w:lineRule="auto"/>
        <w:rPr>
          <w:color w:val="000000" w:themeColor="text1"/>
        </w:rPr>
      </w:pPr>
      <w:r w:rsidRPr="00AA4918">
        <w:rPr>
          <w:b/>
          <w:bCs/>
          <w:color w:val="000000" w:themeColor="text1"/>
        </w:rPr>
        <w:t>Coverage:</w:t>
      </w:r>
      <w:r w:rsidRPr="00AA4918">
        <w:rPr>
          <w:color w:val="000000" w:themeColor="text1"/>
        </w:rPr>
        <w:t xml:space="preserve"> The study highlights curriculum selectivity but overlooks intersectional factors.</w:t>
      </w:r>
    </w:p>
    <w:p w14:paraId="7710A034" w14:textId="4D4CB6EC" w:rsidR="00591396" w:rsidRPr="00AA4918" w:rsidRDefault="00591396" w:rsidP="006171B0">
      <w:pPr>
        <w:spacing w:line="360" w:lineRule="auto"/>
        <w:rPr>
          <w:color w:val="000000" w:themeColor="text1"/>
        </w:rPr>
      </w:pPr>
      <w:r w:rsidRPr="00AA4918">
        <w:rPr>
          <w:b/>
          <w:bCs/>
          <w:color w:val="000000" w:themeColor="text1"/>
        </w:rPr>
        <w:t>Uniqueness:</w:t>
      </w:r>
      <w:r w:rsidRPr="00AA4918">
        <w:rPr>
          <w:color w:val="000000" w:themeColor="text1"/>
        </w:rPr>
        <w:t xml:space="preserve"> The focus on subject choice offers new dimensions but requires qualitative depth</w:t>
      </w:r>
      <w:r w:rsidR="00AA4918" w:rsidRPr="00AA4918">
        <w:rPr>
          <w:color w:val="000000" w:themeColor="text1"/>
        </w:rPr>
        <w:t xml:space="preserve">, certainly to better explore the reasons for subject choice. </w:t>
      </w:r>
    </w:p>
    <w:p w14:paraId="53DEE972" w14:textId="7B62F686" w:rsidR="00591396" w:rsidRPr="00AA4918" w:rsidRDefault="00591396" w:rsidP="006171B0">
      <w:pPr>
        <w:spacing w:line="360" w:lineRule="auto"/>
        <w:rPr>
          <w:color w:val="000000" w:themeColor="text1"/>
        </w:rPr>
      </w:pPr>
      <w:r w:rsidRPr="00AA4918">
        <w:rPr>
          <w:b/>
          <w:bCs/>
          <w:color w:val="000000" w:themeColor="text1"/>
        </w:rPr>
        <w:t>Epistemology, Ontology, and Axiology:</w:t>
      </w:r>
      <w:r w:rsidRPr="00AA4918">
        <w:rPr>
          <w:color w:val="000000" w:themeColor="text1"/>
        </w:rPr>
        <w:t xml:space="preserve"> The study’s focus on measurable inequalities </w:t>
      </w:r>
      <w:r w:rsidR="00AA4918" w:rsidRPr="00AA4918">
        <w:rPr>
          <w:color w:val="000000" w:themeColor="text1"/>
        </w:rPr>
        <w:t xml:space="preserve">ignores </w:t>
      </w:r>
      <w:r w:rsidRPr="00AA4918">
        <w:rPr>
          <w:color w:val="000000" w:themeColor="text1"/>
        </w:rPr>
        <w:t>subjective narratives.</w:t>
      </w:r>
    </w:p>
    <w:p w14:paraId="29AE8C50" w14:textId="26063792" w:rsidR="00591396" w:rsidRPr="00AA4918" w:rsidRDefault="00591396" w:rsidP="006171B0">
      <w:pPr>
        <w:spacing w:line="360" w:lineRule="auto"/>
        <w:rPr>
          <w:color w:val="000000" w:themeColor="text1"/>
        </w:rPr>
      </w:pPr>
      <w:r w:rsidRPr="00AA4918">
        <w:rPr>
          <w:b/>
          <w:bCs/>
          <w:color w:val="000000" w:themeColor="text1"/>
        </w:rPr>
        <w:lastRenderedPageBreak/>
        <w:t>Reliability, Validity, and Ethical Considerations:</w:t>
      </w:r>
      <w:r w:rsidRPr="00AA4918">
        <w:rPr>
          <w:color w:val="000000" w:themeColor="text1"/>
        </w:rPr>
        <w:t xml:space="preserve"> Data reliability is strong, though validity requires qualitative methods. Ethical concerns include equity</w:t>
      </w:r>
      <w:r w:rsidR="00AA4918" w:rsidRPr="00AA4918">
        <w:rPr>
          <w:color w:val="000000" w:themeColor="text1"/>
        </w:rPr>
        <w:t xml:space="preserve"> within the subject of the research throughout.</w:t>
      </w:r>
    </w:p>
    <w:p w14:paraId="2849A0FF" w14:textId="33CD75D0" w:rsidR="00591396" w:rsidRPr="00AA4918" w:rsidRDefault="00591396" w:rsidP="006171B0">
      <w:pPr>
        <w:spacing w:line="360" w:lineRule="auto"/>
        <w:rPr>
          <w:color w:val="000000" w:themeColor="text1"/>
        </w:rPr>
      </w:pPr>
      <w:r w:rsidRPr="00AA4918">
        <w:rPr>
          <w:b/>
          <w:bCs/>
          <w:color w:val="000000" w:themeColor="text1"/>
        </w:rPr>
        <w:t>Future Research:</w:t>
      </w:r>
      <w:r w:rsidRPr="00AA4918">
        <w:rPr>
          <w:color w:val="000000" w:themeColor="text1"/>
        </w:rPr>
        <w:t xml:space="preserve"> Incorporating mixed methods would </w:t>
      </w:r>
      <w:r w:rsidR="00AA4918" w:rsidRPr="00AA4918">
        <w:rPr>
          <w:color w:val="000000" w:themeColor="text1"/>
        </w:rPr>
        <w:t>provide greater depth of analysis.</w:t>
      </w:r>
    </w:p>
    <w:p w14:paraId="2BB21880" w14:textId="77777777" w:rsidR="00591396" w:rsidRPr="00AA4918" w:rsidRDefault="00591396" w:rsidP="006171B0">
      <w:pPr>
        <w:spacing w:line="360" w:lineRule="auto"/>
        <w:rPr>
          <w:color w:val="000000" w:themeColor="text1"/>
        </w:rPr>
      </w:pPr>
      <w:r w:rsidRPr="00AA4918">
        <w:rPr>
          <w:b/>
          <w:bCs/>
          <w:color w:val="000000" w:themeColor="text1"/>
        </w:rPr>
        <w:t>Conclusion:</w:t>
      </w:r>
      <w:r w:rsidRPr="00AA4918">
        <w:rPr>
          <w:color w:val="000000" w:themeColor="text1"/>
        </w:rPr>
        <w:t xml:space="preserve"> The study examines SES impacts but needs qualitative depth.</w:t>
      </w:r>
    </w:p>
    <w:p w14:paraId="6A62B360" w14:textId="609789FE" w:rsidR="00591396" w:rsidRPr="00591396" w:rsidRDefault="00591396" w:rsidP="006171B0">
      <w:pPr>
        <w:spacing w:line="360" w:lineRule="auto"/>
      </w:pPr>
    </w:p>
    <w:p w14:paraId="4796694D" w14:textId="77777777" w:rsidR="00875A63" w:rsidRDefault="00591396" w:rsidP="006171B0">
      <w:pPr>
        <w:spacing w:line="360" w:lineRule="auto"/>
      </w:pPr>
      <w:r w:rsidRPr="00875A63">
        <w:t>Paper Nine:</w:t>
      </w:r>
    </w:p>
    <w:p w14:paraId="16B44199" w14:textId="57268E95" w:rsidR="00AE3699" w:rsidRPr="00875A63" w:rsidRDefault="00FC31B5" w:rsidP="006171B0">
      <w:pPr>
        <w:pStyle w:val="Heading2"/>
        <w:spacing w:line="360" w:lineRule="auto"/>
      </w:pPr>
      <w:r w:rsidRPr="00875A63">
        <w:br/>
      </w:r>
      <w:bookmarkStart w:id="15" w:name="_Toc188210493"/>
      <w:r w:rsidR="00AE3699" w:rsidRPr="00875A63">
        <w:t xml:space="preserve">The determinants of university dropout: A review of the </w:t>
      </w:r>
      <w:r w:rsidR="000F4DDE">
        <w:t>socioeconomic</w:t>
      </w:r>
      <w:r w:rsidR="00AE3699" w:rsidRPr="00875A63">
        <w:t xml:space="preserve"> literature</w:t>
      </w:r>
      <w:r w:rsidR="00767295" w:rsidRPr="00875A63">
        <w:br/>
      </w:r>
      <w:r w:rsidR="00AE3699" w:rsidRPr="00875A63">
        <w:t>(Aina et al., 202</w:t>
      </w:r>
      <w:r w:rsidR="00F2024C">
        <w:t>2</w:t>
      </w:r>
      <w:r w:rsidR="00AE3699" w:rsidRPr="00875A63">
        <w:t>)</w:t>
      </w:r>
      <w:bookmarkEnd w:id="15"/>
    </w:p>
    <w:p w14:paraId="54A7F55D" w14:textId="68B56036" w:rsidR="00663E3E" w:rsidRPr="00E04464" w:rsidRDefault="00591396" w:rsidP="006171B0">
      <w:pPr>
        <w:spacing w:line="360" w:lineRule="auto"/>
        <w:rPr>
          <w:color w:val="000000" w:themeColor="text1"/>
        </w:rPr>
      </w:pPr>
      <w:r w:rsidRPr="00E04464">
        <w:rPr>
          <w:b/>
          <w:bCs/>
          <w:color w:val="000000" w:themeColor="text1"/>
        </w:rPr>
        <w:t>Content Summary</w:t>
      </w:r>
      <w:r w:rsidR="006B1C79">
        <w:rPr>
          <w:b/>
          <w:bCs/>
          <w:color w:val="000000" w:themeColor="text1"/>
        </w:rPr>
        <w:t>:</w:t>
      </w:r>
      <w:r w:rsidRPr="00E04464">
        <w:rPr>
          <w:color w:val="000000" w:themeColor="text1"/>
        </w:rPr>
        <w:t xml:space="preserve"> This paper reviews </w:t>
      </w:r>
      <w:r w:rsidR="000F4DDE">
        <w:rPr>
          <w:color w:val="000000" w:themeColor="text1"/>
        </w:rPr>
        <w:t>socioeconomic</w:t>
      </w:r>
      <w:r w:rsidRPr="00E04464">
        <w:rPr>
          <w:color w:val="000000" w:themeColor="text1"/>
        </w:rPr>
        <w:t xml:space="preserve"> factors influencing university dropout rates, integrating economic and sociological perspectives</w:t>
      </w:r>
      <w:r w:rsidR="00E04464" w:rsidRPr="00E04464">
        <w:rPr>
          <w:color w:val="000000" w:themeColor="text1"/>
        </w:rPr>
        <w:t xml:space="preserve"> </w:t>
      </w:r>
      <w:r w:rsidR="00663E3E" w:rsidRPr="00E04464">
        <w:rPr>
          <w:color w:val="000000" w:themeColor="text1"/>
        </w:rPr>
        <w:t xml:space="preserve">in OECD countries. It identifies individual characteristics (e.g., </w:t>
      </w:r>
      <w:r w:rsidR="000F4DDE">
        <w:rPr>
          <w:color w:val="000000" w:themeColor="text1"/>
        </w:rPr>
        <w:t>socioeconomic</w:t>
      </w:r>
      <w:r w:rsidR="00663E3E" w:rsidRPr="00E04464">
        <w:rPr>
          <w:color w:val="000000" w:themeColor="text1"/>
        </w:rPr>
        <w:t xml:space="preserve"> background, academic preparedness), institutional dynamics (e.g., admission practices, campus integration), and external economic pressures as critical contributors. </w:t>
      </w:r>
      <w:r w:rsidR="00E04464" w:rsidRPr="00E04464">
        <w:rPr>
          <w:color w:val="000000" w:themeColor="text1"/>
        </w:rPr>
        <w:t>E</w:t>
      </w:r>
      <w:r w:rsidR="00663E3E" w:rsidRPr="00E04464">
        <w:rPr>
          <w:color w:val="000000" w:themeColor="text1"/>
        </w:rPr>
        <w:t>mphasises the importance of addressing information gaps and fostering social integration to reduce attrition rates. Policy recommendations include targeted interventions to improve access, retention, and student support.</w:t>
      </w:r>
    </w:p>
    <w:p w14:paraId="4C5F37E2" w14:textId="60DE98BD" w:rsidR="00E04464" w:rsidRDefault="00591396" w:rsidP="006171B0">
      <w:pPr>
        <w:spacing w:line="360" w:lineRule="auto"/>
      </w:pPr>
      <w:r w:rsidRPr="00591396">
        <w:rPr>
          <w:b/>
          <w:bCs/>
        </w:rPr>
        <w:t>Authority</w:t>
      </w:r>
      <w:r w:rsidR="00E04464">
        <w:t>: Authors</w:t>
      </w:r>
      <w:r w:rsidR="00FC31B5">
        <w:t>’</w:t>
      </w:r>
      <w:r w:rsidR="00E04464">
        <w:t xml:space="preserve"> experience includes, </w:t>
      </w:r>
      <w:proofErr w:type="spellStart"/>
      <w:proofErr w:type="gramStart"/>
      <w:r w:rsidR="00663E3E" w:rsidRPr="00663E3E">
        <w:t>Ph.D</w:t>
      </w:r>
      <w:proofErr w:type="spellEnd"/>
      <w:proofErr w:type="gramEnd"/>
      <w:r w:rsidR="00663E3E" w:rsidRPr="00663E3E">
        <w:t xml:space="preserve"> in Economics from the University of Pavia (Italy)</w:t>
      </w:r>
      <w:r w:rsidR="00E04464">
        <w:t xml:space="preserve">, visiting lecturer at the </w:t>
      </w:r>
      <w:r w:rsidR="00663E3E" w:rsidRPr="00663E3E">
        <w:t>Institute for Social and Economic Research (UK)</w:t>
      </w:r>
      <w:r w:rsidR="00E04464">
        <w:t xml:space="preserve">, </w:t>
      </w:r>
      <w:r w:rsidR="00663E3E" w:rsidRPr="00663E3E">
        <w:t>University of Essex (UK) and at the University of York (UK)</w:t>
      </w:r>
      <w:r w:rsidR="00663E3E">
        <w:t xml:space="preserve">, </w:t>
      </w:r>
      <w:r w:rsidR="00663E3E" w:rsidRPr="00663E3E">
        <w:t xml:space="preserve">Professor of Political Economy and Head of the Research Commission at the Department of Economics and Business Studies, Università del Piemonte Orientale (Italy). </w:t>
      </w:r>
    </w:p>
    <w:p w14:paraId="1A04CBF7" w14:textId="35D2DE85" w:rsidR="00591396" w:rsidRPr="00591396" w:rsidRDefault="00591396" w:rsidP="006171B0">
      <w:pPr>
        <w:spacing w:line="360" w:lineRule="auto"/>
      </w:pPr>
      <w:r w:rsidRPr="00591396">
        <w:rPr>
          <w:b/>
          <w:bCs/>
        </w:rPr>
        <w:t>Methodology</w:t>
      </w:r>
      <w:r w:rsidR="006B1C79">
        <w:rPr>
          <w:b/>
          <w:bCs/>
        </w:rPr>
        <w:t>:</w:t>
      </w:r>
      <w:r w:rsidRPr="00591396">
        <w:t xml:space="preserve"> A qualitative review </w:t>
      </w:r>
      <w:r w:rsidR="00E04464">
        <w:t>analyses</w:t>
      </w:r>
      <w:r w:rsidRPr="00591396">
        <w:t xml:space="preserve"> empirical evidence from multiple disciplines.</w:t>
      </w:r>
    </w:p>
    <w:p w14:paraId="451192AE" w14:textId="1BCDBCA0" w:rsidR="00591396" w:rsidRPr="00591396" w:rsidRDefault="00591396" w:rsidP="006171B0">
      <w:pPr>
        <w:spacing w:line="360" w:lineRule="auto"/>
      </w:pPr>
      <w:r w:rsidRPr="00591396">
        <w:rPr>
          <w:b/>
          <w:bCs/>
        </w:rPr>
        <w:t>Critical Assessment</w:t>
      </w:r>
      <w:r w:rsidRPr="00591396">
        <w:t xml:space="preserve"> </w:t>
      </w:r>
      <w:r w:rsidR="00E04464" w:rsidRPr="00591396">
        <w:rPr>
          <w:b/>
          <w:bCs/>
        </w:rPr>
        <w:t>Accuracy:</w:t>
      </w:r>
      <w:r w:rsidR="00E04464">
        <w:t xml:space="preserve"> Extensive historical and contemporary </w:t>
      </w:r>
      <w:r w:rsidRPr="00591396">
        <w:t>research provide</w:t>
      </w:r>
      <w:r w:rsidR="00E04464">
        <w:t>s</w:t>
      </w:r>
      <w:r w:rsidRPr="00591396">
        <w:t xml:space="preserve"> depth, </w:t>
      </w:r>
      <w:r w:rsidR="00E04464">
        <w:t>but a</w:t>
      </w:r>
      <w:r w:rsidRPr="00591396">
        <w:t xml:space="preserve"> reliance on secondary data </w:t>
      </w:r>
      <w:r w:rsidR="00E04464">
        <w:t xml:space="preserve">does </w:t>
      </w:r>
      <w:r w:rsidRPr="00591396">
        <w:t>limit context-specific insights.</w:t>
      </w:r>
    </w:p>
    <w:p w14:paraId="4E34EFC8" w14:textId="77777777" w:rsidR="00591396" w:rsidRPr="00591396" w:rsidRDefault="00591396" w:rsidP="006171B0">
      <w:pPr>
        <w:spacing w:line="360" w:lineRule="auto"/>
      </w:pPr>
      <w:r w:rsidRPr="00591396">
        <w:rPr>
          <w:b/>
          <w:bCs/>
        </w:rPr>
        <w:t>Objectivity:</w:t>
      </w:r>
      <w:r w:rsidRPr="00591396">
        <w:t xml:space="preserve"> The review critiques existing models but overlooks subjective experiences.</w:t>
      </w:r>
    </w:p>
    <w:p w14:paraId="5FDFABF0" w14:textId="77777777" w:rsidR="00591396" w:rsidRPr="00591396" w:rsidRDefault="00591396" w:rsidP="006171B0">
      <w:pPr>
        <w:spacing w:line="360" w:lineRule="auto"/>
      </w:pPr>
      <w:r w:rsidRPr="00591396">
        <w:rPr>
          <w:b/>
          <w:bCs/>
        </w:rPr>
        <w:t>Coverage:</w:t>
      </w:r>
      <w:r w:rsidRPr="00591396">
        <w:t xml:space="preserve"> Global trends are examined, but regional analysis is limited.</w:t>
      </w:r>
    </w:p>
    <w:p w14:paraId="22D3FFB0" w14:textId="77777777" w:rsidR="00591396" w:rsidRPr="00591396" w:rsidRDefault="00591396" w:rsidP="006171B0">
      <w:pPr>
        <w:spacing w:line="360" w:lineRule="auto"/>
      </w:pPr>
      <w:r w:rsidRPr="00591396">
        <w:rPr>
          <w:b/>
          <w:bCs/>
        </w:rPr>
        <w:lastRenderedPageBreak/>
        <w:t>Uniqueness:</w:t>
      </w:r>
      <w:r w:rsidRPr="00591396">
        <w:t xml:space="preserve"> The integration of economic and sociological perspectives is comprehensive but requires qualitative depth.</w:t>
      </w:r>
    </w:p>
    <w:p w14:paraId="3A04D330" w14:textId="402B83F3" w:rsidR="00591396" w:rsidRPr="00591396" w:rsidRDefault="00591396" w:rsidP="006171B0">
      <w:pPr>
        <w:spacing w:line="360" w:lineRule="auto"/>
      </w:pPr>
      <w:r w:rsidRPr="00591396">
        <w:rPr>
          <w:b/>
          <w:bCs/>
        </w:rPr>
        <w:t>Epistemology, Ontology, and Axiology:</w:t>
      </w:r>
      <w:r w:rsidRPr="00591396">
        <w:t xml:space="preserve"> The study </w:t>
      </w:r>
      <w:r w:rsidR="00E04464">
        <w:t>suggests ‘</w:t>
      </w:r>
      <w:r w:rsidRPr="00591396">
        <w:t>dropout</w:t>
      </w:r>
      <w:r w:rsidR="00E04464">
        <w:t>’</w:t>
      </w:r>
      <w:r w:rsidRPr="00591396">
        <w:t xml:space="preserve"> as multivariate but could include lived experiences.</w:t>
      </w:r>
    </w:p>
    <w:p w14:paraId="6626A084" w14:textId="13AB7DED" w:rsidR="00591396" w:rsidRPr="00591396" w:rsidRDefault="00591396" w:rsidP="006171B0">
      <w:pPr>
        <w:spacing w:line="360" w:lineRule="auto"/>
      </w:pPr>
      <w:r w:rsidRPr="00591396">
        <w:rPr>
          <w:b/>
          <w:bCs/>
        </w:rPr>
        <w:t>Reliability, Validity, and Ethical Considerations:</w:t>
      </w:r>
      <w:r w:rsidRPr="00591396">
        <w:t xml:space="preserve"> Established theories support reliability, though validity requires primary data. Ethical concerns focus on fairness</w:t>
      </w:r>
      <w:r w:rsidR="00E04464">
        <w:t xml:space="preserve"> as a core concept of the research.</w:t>
      </w:r>
    </w:p>
    <w:p w14:paraId="72E8DE1D" w14:textId="3576D4E4" w:rsidR="00591396" w:rsidRPr="00591396" w:rsidRDefault="00591396" w:rsidP="006171B0">
      <w:pPr>
        <w:spacing w:line="360" w:lineRule="auto"/>
      </w:pPr>
      <w:r w:rsidRPr="00591396">
        <w:rPr>
          <w:b/>
          <w:bCs/>
        </w:rPr>
        <w:t>Future Research:</w:t>
      </w:r>
      <w:r w:rsidRPr="00591396">
        <w:t xml:space="preserve"> Mixed methods and regional analysis </w:t>
      </w:r>
      <w:r w:rsidR="00E04464">
        <w:t xml:space="preserve">would </w:t>
      </w:r>
      <w:r w:rsidRPr="00591396">
        <w:t xml:space="preserve">enhance </w:t>
      </w:r>
      <w:r w:rsidR="00E04464">
        <w:t xml:space="preserve">practical application of findings. </w:t>
      </w:r>
    </w:p>
    <w:p w14:paraId="6A9DE988" w14:textId="5CDA2E4F" w:rsidR="00591396" w:rsidRPr="00591396" w:rsidRDefault="00591396" w:rsidP="006171B0">
      <w:pPr>
        <w:spacing w:line="360" w:lineRule="auto"/>
      </w:pPr>
      <w:r w:rsidRPr="00591396">
        <w:rPr>
          <w:b/>
          <w:bCs/>
        </w:rPr>
        <w:t>Conclusion:</w:t>
      </w:r>
      <w:r w:rsidRPr="00591396">
        <w:t xml:space="preserve"> The study highlights dropout determinants but </w:t>
      </w:r>
      <w:r w:rsidR="00E04464">
        <w:t xml:space="preserve">would have been improved </w:t>
      </w:r>
      <w:r w:rsidR="00FC31B5">
        <w:t xml:space="preserve">with </w:t>
      </w:r>
      <w:r w:rsidR="00FC31B5" w:rsidRPr="00591396">
        <w:t>primary</w:t>
      </w:r>
      <w:r w:rsidRPr="00591396">
        <w:t xml:space="preserve"> data</w:t>
      </w:r>
      <w:r w:rsidR="00E04464">
        <w:t xml:space="preserve"> and </w:t>
      </w:r>
      <w:r w:rsidRPr="00591396">
        <w:t>regional specificity.</w:t>
      </w:r>
    </w:p>
    <w:p w14:paraId="4714EEEE" w14:textId="4DCFB255" w:rsidR="00591396" w:rsidRPr="00591396" w:rsidRDefault="00591396" w:rsidP="006171B0">
      <w:pPr>
        <w:spacing w:line="360" w:lineRule="auto"/>
      </w:pPr>
    </w:p>
    <w:p w14:paraId="5D8A5D4E" w14:textId="77777777" w:rsidR="00875A63" w:rsidRDefault="00591396" w:rsidP="006171B0">
      <w:pPr>
        <w:spacing w:line="360" w:lineRule="auto"/>
      </w:pPr>
      <w:r w:rsidRPr="00FC31B5">
        <w:t xml:space="preserve">Paper Ten: </w:t>
      </w:r>
    </w:p>
    <w:p w14:paraId="1D08F39E" w14:textId="79AC2EBF" w:rsidR="00AE3699" w:rsidRPr="00875A63" w:rsidRDefault="00FC31B5" w:rsidP="006171B0">
      <w:pPr>
        <w:pStyle w:val="Heading2"/>
        <w:spacing w:line="360" w:lineRule="auto"/>
      </w:pPr>
      <w:r w:rsidRPr="00FC31B5">
        <w:br/>
      </w:r>
      <w:bookmarkStart w:id="16" w:name="_Toc188210494"/>
      <w:r w:rsidR="00591396" w:rsidRPr="00875A63">
        <w:t>Socioeconomic Status and Student Learning: Insights from an Umbrella Review</w:t>
      </w:r>
      <w:r w:rsidR="002B7689" w:rsidRPr="00875A63">
        <w:br/>
      </w:r>
      <w:r w:rsidR="00AE3699" w:rsidRPr="00875A63">
        <w:t>(Tan, 2024)</w:t>
      </w:r>
      <w:bookmarkEnd w:id="16"/>
    </w:p>
    <w:p w14:paraId="7AC5FB96" w14:textId="392F66D7" w:rsidR="00D17A6C" w:rsidRPr="006B1C79" w:rsidRDefault="00591396" w:rsidP="006171B0">
      <w:pPr>
        <w:spacing w:line="360" w:lineRule="auto"/>
        <w:rPr>
          <w:color w:val="000000" w:themeColor="text1"/>
        </w:rPr>
      </w:pPr>
      <w:r w:rsidRPr="006B1C79">
        <w:rPr>
          <w:b/>
          <w:bCs/>
          <w:color w:val="000000" w:themeColor="text1"/>
        </w:rPr>
        <w:t>Content Summary</w:t>
      </w:r>
      <w:r w:rsidR="00E04464" w:rsidRPr="006B1C79">
        <w:rPr>
          <w:color w:val="000000" w:themeColor="text1"/>
        </w:rPr>
        <w:t>: An</w:t>
      </w:r>
      <w:r w:rsidR="00D17A6C" w:rsidRPr="006B1C79">
        <w:rPr>
          <w:color w:val="000000" w:themeColor="text1"/>
        </w:rPr>
        <w:t xml:space="preserve"> umbrella review </w:t>
      </w:r>
      <w:r w:rsidR="00E04464" w:rsidRPr="006B1C79">
        <w:rPr>
          <w:color w:val="000000" w:themeColor="text1"/>
        </w:rPr>
        <w:t xml:space="preserve">that </w:t>
      </w:r>
      <w:r w:rsidR="00D17A6C" w:rsidRPr="006B1C79">
        <w:rPr>
          <w:color w:val="000000" w:themeColor="text1"/>
        </w:rPr>
        <w:t xml:space="preserve">synthesises findings from 48 reviews examining the relationship between socioeconomic status (SES) and student learning. </w:t>
      </w:r>
      <w:r w:rsidR="00E04464" w:rsidRPr="006B1C79">
        <w:rPr>
          <w:color w:val="000000" w:themeColor="text1"/>
        </w:rPr>
        <w:t xml:space="preserve">Finds </w:t>
      </w:r>
      <w:r w:rsidR="00D17A6C" w:rsidRPr="006B1C79">
        <w:rPr>
          <w:color w:val="000000" w:themeColor="text1"/>
        </w:rPr>
        <w:t>SES is a multifaceted construct encompassing individual, collective, objective, and subjective factors</w:t>
      </w:r>
      <w:r w:rsidR="00E04464" w:rsidRPr="006B1C79">
        <w:rPr>
          <w:color w:val="000000" w:themeColor="text1"/>
        </w:rPr>
        <w:t xml:space="preserve">, that </w:t>
      </w:r>
      <w:r w:rsidR="00D17A6C" w:rsidRPr="006B1C79">
        <w:rPr>
          <w:color w:val="000000" w:themeColor="text1"/>
        </w:rPr>
        <w:t xml:space="preserve">SES significantly influences learning outcomes, </w:t>
      </w:r>
      <w:r w:rsidR="00E04464" w:rsidRPr="006B1C79">
        <w:rPr>
          <w:color w:val="000000" w:themeColor="text1"/>
        </w:rPr>
        <w:t xml:space="preserve">and that SES </w:t>
      </w:r>
      <w:r w:rsidR="00D17A6C" w:rsidRPr="006B1C79">
        <w:rPr>
          <w:color w:val="000000" w:themeColor="text1"/>
        </w:rPr>
        <w:t xml:space="preserve">effects are mediated and moderated by ecological factors, such as family and school contexts. </w:t>
      </w:r>
      <w:r w:rsidR="00E04464" w:rsidRPr="006B1C79">
        <w:rPr>
          <w:color w:val="000000" w:themeColor="text1"/>
        </w:rPr>
        <w:t xml:space="preserve">Suggest </w:t>
      </w:r>
      <w:proofErr w:type="spellStart"/>
      <w:r w:rsidR="00D17A6C" w:rsidRPr="006B1C79">
        <w:rPr>
          <w:color w:val="000000" w:themeColor="text1"/>
        </w:rPr>
        <w:t>olicies</w:t>
      </w:r>
      <w:proofErr w:type="spellEnd"/>
      <w:r w:rsidR="00D17A6C" w:rsidRPr="006B1C79">
        <w:rPr>
          <w:color w:val="000000" w:themeColor="text1"/>
        </w:rPr>
        <w:t xml:space="preserve"> should holistically address systemic inequalities, enhance access to resources, and recognise the strengths of low-SES students. The </w:t>
      </w:r>
      <w:r w:rsidR="00E04464" w:rsidRPr="006B1C79">
        <w:rPr>
          <w:color w:val="000000" w:themeColor="text1"/>
        </w:rPr>
        <w:t>highlights the</w:t>
      </w:r>
      <w:r w:rsidR="00D17A6C" w:rsidRPr="006B1C79">
        <w:rPr>
          <w:color w:val="000000" w:themeColor="text1"/>
        </w:rPr>
        <w:t xml:space="preserve"> need for asset-based perspectives and culturally inclusive measures of SES.</w:t>
      </w:r>
    </w:p>
    <w:p w14:paraId="57213C92" w14:textId="090857F2" w:rsidR="00591396" w:rsidRPr="006B1C79" w:rsidRDefault="00591396" w:rsidP="006171B0">
      <w:pPr>
        <w:spacing w:line="360" w:lineRule="auto"/>
        <w:rPr>
          <w:color w:val="000000" w:themeColor="text1"/>
        </w:rPr>
      </w:pPr>
      <w:r w:rsidRPr="006B1C79">
        <w:rPr>
          <w:b/>
          <w:bCs/>
          <w:color w:val="000000" w:themeColor="text1"/>
        </w:rPr>
        <w:t>Authority</w:t>
      </w:r>
      <w:r w:rsidR="00E04464" w:rsidRPr="006B1C79">
        <w:rPr>
          <w:color w:val="000000" w:themeColor="text1"/>
        </w:rPr>
        <w:t xml:space="preserve">: </w:t>
      </w:r>
      <w:r w:rsidRPr="006B1C79">
        <w:rPr>
          <w:color w:val="000000" w:themeColor="text1"/>
        </w:rPr>
        <w:t>University of Hong Kong</w:t>
      </w:r>
      <w:r w:rsidR="00E04464" w:rsidRPr="006B1C79">
        <w:rPr>
          <w:color w:val="000000" w:themeColor="text1"/>
        </w:rPr>
        <w:t xml:space="preserve">. </w:t>
      </w:r>
      <w:r w:rsidR="00D17A6C" w:rsidRPr="006B1C79">
        <w:rPr>
          <w:color w:val="000000" w:themeColor="text1"/>
        </w:rPr>
        <w:t>Faculty of Education, The University of Hong Kong</w:t>
      </w:r>
      <w:r w:rsidR="00E04464" w:rsidRPr="006B1C79">
        <w:rPr>
          <w:color w:val="000000" w:themeColor="text1"/>
        </w:rPr>
        <w:t xml:space="preserve">. </w:t>
      </w:r>
      <w:r w:rsidR="00D17A6C" w:rsidRPr="006B1C79">
        <w:rPr>
          <w:color w:val="000000" w:themeColor="text1"/>
        </w:rPr>
        <w:t xml:space="preserve">25 </w:t>
      </w:r>
      <w:r w:rsidR="00891412">
        <w:rPr>
          <w:color w:val="000000" w:themeColor="text1"/>
        </w:rPr>
        <w:t>peer-reviewed</w:t>
      </w:r>
      <w:r w:rsidR="00D17A6C" w:rsidRPr="006B1C79">
        <w:rPr>
          <w:color w:val="000000" w:themeColor="text1"/>
        </w:rPr>
        <w:t xml:space="preserve"> papers. </w:t>
      </w:r>
    </w:p>
    <w:p w14:paraId="311D9F75" w14:textId="5DAB5709" w:rsidR="00591396" w:rsidRPr="006B1C79" w:rsidRDefault="00591396" w:rsidP="006171B0">
      <w:pPr>
        <w:spacing w:line="360" w:lineRule="auto"/>
        <w:rPr>
          <w:color w:val="000000" w:themeColor="text1"/>
        </w:rPr>
      </w:pPr>
      <w:r w:rsidRPr="006B1C79">
        <w:rPr>
          <w:b/>
          <w:bCs/>
          <w:color w:val="000000" w:themeColor="text1"/>
        </w:rPr>
        <w:t>Methodology</w:t>
      </w:r>
      <w:r w:rsidR="00E04464" w:rsidRPr="006B1C79">
        <w:rPr>
          <w:b/>
          <w:bCs/>
          <w:color w:val="000000" w:themeColor="text1"/>
        </w:rPr>
        <w:t>:</w:t>
      </w:r>
      <w:r w:rsidRPr="006B1C79">
        <w:rPr>
          <w:color w:val="000000" w:themeColor="text1"/>
        </w:rPr>
        <w:t xml:space="preserve"> A </w:t>
      </w:r>
      <w:proofErr w:type="gramStart"/>
      <w:r w:rsidRPr="006B1C79">
        <w:rPr>
          <w:color w:val="000000" w:themeColor="text1"/>
        </w:rPr>
        <w:t>mixed-methods</w:t>
      </w:r>
      <w:proofErr w:type="gramEnd"/>
      <w:r w:rsidRPr="006B1C79">
        <w:rPr>
          <w:color w:val="000000" w:themeColor="text1"/>
        </w:rPr>
        <w:t xml:space="preserve"> umbrella review integrat</w:t>
      </w:r>
      <w:r w:rsidR="00E04464" w:rsidRPr="006B1C79">
        <w:rPr>
          <w:color w:val="000000" w:themeColor="text1"/>
        </w:rPr>
        <w:t>ing</w:t>
      </w:r>
      <w:r w:rsidRPr="006B1C79">
        <w:rPr>
          <w:color w:val="000000" w:themeColor="text1"/>
        </w:rPr>
        <w:t xml:space="preserve"> qualitative, quantitative, and systematic studies.</w:t>
      </w:r>
    </w:p>
    <w:p w14:paraId="587B0CFD" w14:textId="044B0678" w:rsidR="00591396" w:rsidRPr="006B1C79" w:rsidRDefault="00591396" w:rsidP="006171B0">
      <w:pPr>
        <w:spacing w:line="360" w:lineRule="auto"/>
        <w:rPr>
          <w:color w:val="000000" w:themeColor="text1"/>
        </w:rPr>
      </w:pPr>
      <w:r w:rsidRPr="006B1C79">
        <w:rPr>
          <w:b/>
          <w:bCs/>
          <w:color w:val="000000" w:themeColor="text1"/>
        </w:rPr>
        <w:lastRenderedPageBreak/>
        <w:t>Critical Assessment</w:t>
      </w:r>
      <w:r w:rsidRPr="006B1C79">
        <w:rPr>
          <w:color w:val="000000" w:themeColor="text1"/>
        </w:rPr>
        <w:t xml:space="preserve"> </w:t>
      </w:r>
      <w:r w:rsidRPr="006B1C79">
        <w:rPr>
          <w:b/>
          <w:bCs/>
          <w:color w:val="000000" w:themeColor="text1"/>
        </w:rPr>
        <w:t>Accuracy:</w:t>
      </w:r>
      <w:r w:rsidRPr="006B1C79">
        <w:rPr>
          <w:color w:val="000000" w:themeColor="text1"/>
        </w:rPr>
        <w:t xml:space="preserve"> Thematic and meta-analytical methods ensure reliability, though secondary data </w:t>
      </w:r>
      <w:r w:rsidR="00E04464" w:rsidRPr="006B1C79">
        <w:rPr>
          <w:color w:val="000000" w:themeColor="text1"/>
        </w:rPr>
        <w:t xml:space="preserve">(e.g. selection bias) </w:t>
      </w:r>
      <w:r w:rsidRPr="006B1C79">
        <w:rPr>
          <w:color w:val="000000" w:themeColor="text1"/>
        </w:rPr>
        <w:t>introduces limitations.</w:t>
      </w:r>
    </w:p>
    <w:p w14:paraId="03AE3CAD" w14:textId="0918E5D9" w:rsidR="00591396" w:rsidRPr="006B1C79" w:rsidRDefault="00591396" w:rsidP="006171B0">
      <w:pPr>
        <w:spacing w:line="360" w:lineRule="auto"/>
        <w:rPr>
          <w:color w:val="000000" w:themeColor="text1"/>
        </w:rPr>
      </w:pPr>
      <w:r w:rsidRPr="006B1C79">
        <w:rPr>
          <w:b/>
          <w:bCs/>
          <w:color w:val="000000" w:themeColor="text1"/>
        </w:rPr>
        <w:t>Objectivity:</w:t>
      </w:r>
      <w:r w:rsidRPr="006B1C79">
        <w:rPr>
          <w:color w:val="000000" w:themeColor="text1"/>
        </w:rPr>
        <w:t xml:space="preserve"> The study challenges </w:t>
      </w:r>
      <w:r w:rsidR="00E04464" w:rsidRPr="006B1C79">
        <w:rPr>
          <w:color w:val="000000" w:themeColor="text1"/>
        </w:rPr>
        <w:t>‘</w:t>
      </w:r>
      <w:r w:rsidRPr="006B1C79">
        <w:rPr>
          <w:color w:val="000000" w:themeColor="text1"/>
        </w:rPr>
        <w:t>deficit</w:t>
      </w:r>
      <w:r w:rsidR="00E04464" w:rsidRPr="006B1C79">
        <w:rPr>
          <w:color w:val="000000" w:themeColor="text1"/>
        </w:rPr>
        <w:t>’</w:t>
      </w:r>
      <w:r w:rsidRPr="006B1C79">
        <w:rPr>
          <w:color w:val="000000" w:themeColor="text1"/>
        </w:rPr>
        <w:t xml:space="preserve"> narratives but lacks cultural specificity.</w:t>
      </w:r>
    </w:p>
    <w:p w14:paraId="4E5A6880" w14:textId="0D14B0D7" w:rsidR="00591396" w:rsidRPr="006B1C79" w:rsidRDefault="00591396" w:rsidP="006171B0">
      <w:pPr>
        <w:spacing w:line="360" w:lineRule="auto"/>
        <w:rPr>
          <w:color w:val="000000" w:themeColor="text1"/>
        </w:rPr>
      </w:pPr>
      <w:r w:rsidRPr="006B1C79">
        <w:rPr>
          <w:b/>
          <w:bCs/>
          <w:color w:val="000000" w:themeColor="text1"/>
        </w:rPr>
        <w:t>Coverage:</w:t>
      </w:r>
      <w:r w:rsidRPr="006B1C79">
        <w:rPr>
          <w:color w:val="000000" w:themeColor="text1"/>
        </w:rPr>
        <w:t xml:space="preserve"> </w:t>
      </w:r>
      <w:r w:rsidR="00E04464" w:rsidRPr="006B1C79">
        <w:rPr>
          <w:color w:val="000000" w:themeColor="text1"/>
        </w:rPr>
        <w:t>T</w:t>
      </w:r>
      <w:r w:rsidRPr="006B1C79">
        <w:rPr>
          <w:color w:val="000000" w:themeColor="text1"/>
        </w:rPr>
        <w:t>he study identifies gaps in intersectionality.</w:t>
      </w:r>
    </w:p>
    <w:p w14:paraId="7D67E46B" w14:textId="4F345949" w:rsidR="00591396" w:rsidRPr="006B1C79" w:rsidRDefault="00591396" w:rsidP="006171B0">
      <w:pPr>
        <w:spacing w:line="360" w:lineRule="auto"/>
        <w:rPr>
          <w:color w:val="000000" w:themeColor="text1"/>
        </w:rPr>
      </w:pPr>
      <w:r w:rsidRPr="006B1C79">
        <w:rPr>
          <w:b/>
          <w:bCs/>
          <w:color w:val="000000" w:themeColor="text1"/>
        </w:rPr>
        <w:t>Uniqueness:</w:t>
      </w:r>
      <w:r w:rsidRPr="006B1C79">
        <w:rPr>
          <w:color w:val="000000" w:themeColor="text1"/>
        </w:rPr>
        <w:t xml:space="preserve"> Expanding SES </w:t>
      </w:r>
      <w:r w:rsidR="00AA3A28" w:rsidRPr="006B1C79">
        <w:rPr>
          <w:color w:val="000000" w:themeColor="text1"/>
        </w:rPr>
        <w:t>and how it is viewed is positive</w:t>
      </w:r>
      <w:r w:rsidRPr="006B1C79">
        <w:rPr>
          <w:color w:val="000000" w:themeColor="text1"/>
        </w:rPr>
        <w:t xml:space="preserve"> but requires primary data</w:t>
      </w:r>
      <w:r w:rsidR="00AA3A28" w:rsidRPr="006B1C79">
        <w:rPr>
          <w:color w:val="000000" w:themeColor="text1"/>
        </w:rPr>
        <w:t xml:space="preserve"> to be more applicable and of practical use and confidence.</w:t>
      </w:r>
    </w:p>
    <w:p w14:paraId="15B2C89F" w14:textId="125F5F87" w:rsidR="00591396" w:rsidRPr="006B1C79" w:rsidRDefault="00591396" w:rsidP="006171B0">
      <w:pPr>
        <w:spacing w:line="360" w:lineRule="auto"/>
        <w:rPr>
          <w:color w:val="000000" w:themeColor="text1"/>
        </w:rPr>
      </w:pPr>
      <w:r w:rsidRPr="006B1C79">
        <w:rPr>
          <w:b/>
          <w:bCs/>
          <w:color w:val="000000" w:themeColor="text1"/>
        </w:rPr>
        <w:t>Epistemology, Ontology, and Axiology:</w:t>
      </w:r>
      <w:r w:rsidRPr="006B1C79">
        <w:rPr>
          <w:color w:val="000000" w:themeColor="text1"/>
        </w:rPr>
        <w:t xml:space="preserve"> The study’s ecological models provide depth but </w:t>
      </w:r>
      <w:r w:rsidR="00AA3A28" w:rsidRPr="006B1C79">
        <w:rPr>
          <w:color w:val="000000" w:themeColor="text1"/>
        </w:rPr>
        <w:t xml:space="preserve">need </w:t>
      </w:r>
      <w:r w:rsidRPr="006B1C79">
        <w:rPr>
          <w:color w:val="000000" w:themeColor="text1"/>
        </w:rPr>
        <w:t>subjective narratives</w:t>
      </w:r>
      <w:r w:rsidR="00AA3A28" w:rsidRPr="006B1C79">
        <w:rPr>
          <w:color w:val="000000" w:themeColor="text1"/>
        </w:rPr>
        <w:t xml:space="preserve"> to be confident the findings are reliable.</w:t>
      </w:r>
    </w:p>
    <w:p w14:paraId="06C73709" w14:textId="77387D20" w:rsidR="00591396" w:rsidRPr="006B1C79" w:rsidRDefault="00591396" w:rsidP="006171B0">
      <w:pPr>
        <w:spacing w:line="360" w:lineRule="auto"/>
        <w:rPr>
          <w:color w:val="000000" w:themeColor="text1"/>
        </w:rPr>
      </w:pPr>
      <w:r w:rsidRPr="006B1C79">
        <w:rPr>
          <w:b/>
          <w:bCs/>
          <w:color w:val="000000" w:themeColor="text1"/>
        </w:rPr>
        <w:t>Reliability, Validity, and Ethical Considerations:</w:t>
      </w:r>
      <w:r w:rsidRPr="006B1C79">
        <w:rPr>
          <w:color w:val="000000" w:themeColor="text1"/>
        </w:rPr>
        <w:t xml:space="preserve"> Multiple reviews support reliability, though validity </w:t>
      </w:r>
      <w:r w:rsidR="00AA3A28" w:rsidRPr="006B1C79">
        <w:rPr>
          <w:color w:val="000000" w:themeColor="text1"/>
        </w:rPr>
        <w:t xml:space="preserve">would improve through </w:t>
      </w:r>
      <w:r w:rsidRPr="006B1C79">
        <w:rPr>
          <w:color w:val="000000" w:themeColor="text1"/>
        </w:rPr>
        <w:t>cultural inclusivity. Ethical concerns focus on equity.</w:t>
      </w:r>
    </w:p>
    <w:p w14:paraId="2396FB62" w14:textId="77777777" w:rsidR="00591396" w:rsidRPr="006B1C79" w:rsidRDefault="00591396" w:rsidP="006171B0">
      <w:pPr>
        <w:spacing w:line="360" w:lineRule="auto"/>
        <w:rPr>
          <w:color w:val="000000" w:themeColor="text1"/>
        </w:rPr>
      </w:pPr>
      <w:r w:rsidRPr="006B1C79">
        <w:rPr>
          <w:b/>
          <w:bCs/>
          <w:color w:val="000000" w:themeColor="text1"/>
        </w:rPr>
        <w:t>Future Research:</w:t>
      </w:r>
      <w:r w:rsidRPr="006B1C79">
        <w:rPr>
          <w:color w:val="000000" w:themeColor="text1"/>
        </w:rPr>
        <w:t xml:space="preserve"> Culturally sensitive measures and mixed methods could enhance understanding.</w:t>
      </w:r>
    </w:p>
    <w:p w14:paraId="7236B165" w14:textId="77777777" w:rsidR="00591396" w:rsidRPr="006B1C79" w:rsidRDefault="00591396" w:rsidP="006171B0">
      <w:pPr>
        <w:spacing w:line="360" w:lineRule="auto"/>
        <w:rPr>
          <w:color w:val="000000" w:themeColor="text1"/>
        </w:rPr>
      </w:pPr>
      <w:r w:rsidRPr="006B1C79">
        <w:rPr>
          <w:b/>
          <w:bCs/>
          <w:color w:val="000000" w:themeColor="text1"/>
        </w:rPr>
        <w:t>Conclusion:</w:t>
      </w:r>
      <w:r w:rsidRPr="006B1C79">
        <w:rPr>
          <w:color w:val="000000" w:themeColor="text1"/>
        </w:rPr>
        <w:t xml:space="preserve"> The study examines SES impacts comprehensively but needs primary data and cultural specificity.</w:t>
      </w:r>
    </w:p>
    <w:bookmarkEnd w:id="5"/>
    <w:p w14:paraId="09C95D4D" w14:textId="77777777" w:rsidR="0089451A" w:rsidRPr="006B1C79" w:rsidRDefault="0089451A" w:rsidP="006171B0">
      <w:pPr>
        <w:spacing w:line="360" w:lineRule="auto"/>
        <w:rPr>
          <w:color w:val="000000" w:themeColor="text1"/>
        </w:rPr>
      </w:pPr>
    </w:p>
    <w:p w14:paraId="0D0D0148" w14:textId="26FDAC5A" w:rsidR="0089451A" w:rsidRPr="00767295" w:rsidRDefault="0089451A" w:rsidP="006171B0">
      <w:pPr>
        <w:pStyle w:val="Heading1"/>
        <w:spacing w:line="360" w:lineRule="auto"/>
      </w:pPr>
      <w:bookmarkStart w:id="17" w:name="_Toc188210495"/>
      <w:r w:rsidRPr="00767295">
        <w:t>Thematic Analysis of Research</w:t>
      </w:r>
      <w:r w:rsidR="00866138" w:rsidRPr="00767295">
        <w:t xml:space="preserve"> - Low-SES students and HE</w:t>
      </w:r>
      <w:bookmarkEnd w:id="17"/>
    </w:p>
    <w:p w14:paraId="28E9B184" w14:textId="017D46C5" w:rsidR="00696434" w:rsidRDefault="00696434" w:rsidP="006171B0">
      <w:pPr>
        <w:pStyle w:val="Heading2"/>
        <w:spacing w:line="360" w:lineRule="auto"/>
      </w:pPr>
      <w:bookmarkStart w:id="18" w:name="_Toc188210496"/>
      <w:bookmarkStart w:id="19" w:name="_Hlk187933066"/>
      <w:r w:rsidRPr="00696434">
        <w:t xml:space="preserve">Access to </w:t>
      </w:r>
      <w:r w:rsidR="008958DE">
        <w:t>HE</w:t>
      </w:r>
      <w:bookmarkEnd w:id="18"/>
      <w:r w:rsidR="00866138">
        <w:t xml:space="preserve"> </w:t>
      </w:r>
    </w:p>
    <w:p w14:paraId="08A3F9B7" w14:textId="005E46B5" w:rsidR="0089451A" w:rsidRPr="001D7135" w:rsidRDefault="0089451A" w:rsidP="006171B0">
      <w:pPr>
        <w:spacing w:line="360" w:lineRule="auto"/>
      </w:pPr>
      <w:r w:rsidRPr="001D7135">
        <w:t xml:space="preserve">The link between SES and access to </w:t>
      </w:r>
      <w:r w:rsidR="008958DE">
        <w:t>HE</w:t>
      </w:r>
      <w:r w:rsidRPr="001D7135">
        <w:t xml:space="preserve"> is well-established</w:t>
      </w:r>
      <w:r w:rsidR="00AC3F11">
        <w:t xml:space="preserve">. </w:t>
      </w:r>
      <w:r w:rsidRPr="001D7135">
        <w:t>Britton et al</w:t>
      </w:r>
      <w:r w:rsidR="00485459">
        <w:t>. (202</w:t>
      </w:r>
      <w:r w:rsidR="001E39B1">
        <w:t>1</w:t>
      </w:r>
      <w:r w:rsidR="00485459">
        <w:t xml:space="preserve">) </w:t>
      </w:r>
      <w:r w:rsidR="00485459" w:rsidRPr="00485459">
        <w:rPr>
          <w:color w:val="000000" w:themeColor="text1"/>
        </w:rPr>
        <w:t xml:space="preserve">highlight within </w:t>
      </w:r>
      <w:proofErr w:type="gramStart"/>
      <w:r w:rsidR="00485459">
        <w:rPr>
          <w:color w:val="000000" w:themeColor="text1"/>
        </w:rPr>
        <w:t>a</w:t>
      </w:r>
      <w:proofErr w:type="gramEnd"/>
      <w:r w:rsidR="00485459">
        <w:rPr>
          <w:color w:val="000000" w:themeColor="text1"/>
        </w:rPr>
        <w:t xml:space="preserve"> Institute</w:t>
      </w:r>
      <w:r w:rsidR="00485459" w:rsidRPr="00485459">
        <w:rPr>
          <w:color w:val="000000" w:themeColor="text1"/>
        </w:rPr>
        <w:t xml:space="preserve"> for Fiscal Studies (IFS) paper</w:t>
      </w:r>
      <w:r w:rsidR="00485459">
        <w:rPr>
          <w:color w:val="000000" w:themeColor="text1"/>
        </w:rPr>
        <w:t>,</w:t>
      </w:r>
      <w:r w:rsidR="00485459" w:rsidRPr="00485459">
        <w:rPr>
          <w:color w:val="000000" w:themeColor="text1"/>
        </w:rPr>
        <w:t xml:space="preserve"> the </w:t>
      </w:r>
      <w:r w:rsidRPr="001D7135">
        <w:t xml:space="preserve">disparities in access to elite institutions, showing that students from lower-income families are less likely to gain admission to prestigious universities such as those in the Russell Group. The </w:t>
      </w:r>
      <w:r w:rsidR="00485459">
        <w:t>use of</w:t>
      </w:r>
      <w:r w:rsidRPr="001D7135">
        <w:t xml:space="preserve"> economic metrics in their study </w:t>
      </w:r>
      <w:r w:rsidR="00485459">
        <w:t xml:space="preserve">does provide </w:t>
      </w:r>
      <w:r w:rsidRPr="001D7135">
        <w:t>clear quantitative</w:t>
      </w:r>
      <w:r w:rsidR="00485459">
        <w:t xml:space="preserve"> outcomes,</w:t>
      </w:r>
      <w:r w:rsidRPr="001D7135">
        <w:t xml:space="preserve"> but neglects qualitative dimensions, such as personal barriers faced by these students. </w:t>
      </w:r>
      <w:r w:rsidRPr="00F95DB8">
        <w:rPr>
          <w:color w:val="000000" w:themeColor="text1"/>
        </w:rPr>
        <w:t>Mateos-González</w:t>
      </w:r>
      <w:r w:rsidR="00F95DB8" w:rsidRPr="00F95DB8">
        <w:rPr>
          <w:color w:val="000000" w:themeColor="text1"/>
        </w:rPr>
        <w:t xml:space="preserve"> &amp; </w:t>
      </w:r>
      <w:r w:rsidRPr="00F95DB8">
        <w:rPr>
          <w:color w:val="000000" w:themeColor="text1"/>
        </w:rPr>
        <w:t xml:space="preserve">Wakeling </w:t>
      </w:r>
      <w:r w:rsidR="00F95DB8" w:rsidRPr="00F95DB8">
        <w:rPr>
          <w:color w:val="000000" w:themeColor="text1"/>
        </w:rPr>
        <w:t xml:space="preserve">(2021) </w:t>
      </w:r>
      <w:r w:rsidRPr="001D7135">
        <w:t xml:space="preserve">extend this analysis to postgraduate education, illustrating how SES influences enrolment in advanced degree programs. Their findings </w:t>
      </w:r>
      <w:r w:rsidR="00485459">
        <w:t>do illustrate the</w:t>
      </w:r>
      <w:r w:rsidRPr="001D7135">
        <w:t xml:space="preserve"> systemic nature of inequality but</w:t>
      </w:r>
      <w:r w:rsidR="00485459">
        <w:t xml:space="preserve"> fail</w:t>
      </w:r>
      <w:r w:rsidRPr="001D7135">
        <w:t xml:space="preserve"> </w:t>
      </w:r>
      <w:r w:rsidR="00485459">
        <w:t xml:space="preserve">to </w:t>
      </w:r>
      <w:r w:rsidRPr="001D7135">
        <w:t xml:space="preserve">explore the </w:t>
      </w:r>
      <w:r w:rsidR="00485459">
        <w:t>‘</w:t>
      </w:r>
      <w:r w:rsidRPr="001D7135">
        <w:t>intersection</w:t>
      </w:r>
      <w:r w:rsidR="00485459">
        <w:t>’</w:t>
      </w:r>
      <w:r w:rsidRPr="001D7135">
        <w:t xml:space="preserve"> of SES with other identity factors, such as race or gender.</w:t>
      </w:r>
    </w:p>
    <w:p w14:paraId="15AF95DC" w14:textId="1BF285D4" w:rsidR="0089451A" w:rsidRPr="00485459" w:rsidRDefault="0089451A" w:rsidP="006171B0">
      <w:pPr>
        <w:spacing w:line="360" w:lineRule="auto"/>
        <w:rPr>
          <w:rFonts w:cstheme="minorHAnsi"/>
        </w:rPr>
      </w:pPr>
      <w:r w:rsidRPr="00485459">
        <w:rPr>
          <w:rFonts w:cstheme="minorHAnsi"/>
          <w:color w:val="000000" w:themeColor="text1"/>
        </w:rPr>
        <w:lastRenderedPageBreak/>
        <w:t xml:space="preserve">Reay </w:t>
      </w:r>
      <w:r w:rsidR="005F6A41" w:rsidRPr="00485459">
        <w:rPr>
          <w:rFonts w:cstheme="minorHAnsi"/>
          <w:color w:val="000000" w:themeColor="text1"/>
        </w:rPr>
        <w:t xml:space="preserve">(2021) </w:t>
      </w:r>
      <w:r w:rsidRPr="00485459">
        <w:rPr>
          <w:rFonts w:cstheme="minorHAnsi"/>
        </w:rPr>
        <w:t xml:space="preserve">critiques the </w:t>
      </w:r>
      <w:r w:rsidR="00485459" w:rsidRPr="00485459">
        <w:rPr>
          <w:rFonts w:cstheme="minorHAnsi"/>
        </w:rPr>
        <w:t>‘</w:t>
      </w:r>
      <w:r w:rsidRPr="00485459">
        <w:rPr>
          <w:rFonts w:cstheme="minorHAnsi"/>
        </w:rPr>
        <w:t>meritocratic framing</w:t>
      </w:r>
      <w:r w:rsidR="00485459" w:rsidRPr="00485459">
        <w:rPr>
          <w:rFonts w:cstheme="minorHAnsi"/>
        </w:rPr>
        <w:t>’</w:t>
      </w:r>
      <w:r w:rsidRPr="00485459">
        <w:rPr>
          <w:rFonts w:cstheme="minorHAnsi"/>
        </w:rPr>
        <w:t xml:space="preserve"> of </w:t>
      </w:r>
      <w:r w:rsidR="008958DE">
        <w:rPr>
          <w:rFonts w:cstheme="minorHAnsi"/>
        </w:rPr>
        <w:t>HE</w:t>
      </w:r>
      <w:r w:rsidRPr="00485459">
        <w:rPr>
          <w:rFonts w:cstheme="minorHAnsi"/>
        </w:rPr>
        <w:t xml:space="preserve">, arguing that systemic barriers often negate the potential benefits of access for working-class students. Using qualitative methods, </w:t>
      </w:r>
      <w:r w:rsidRPr="00485459">
        <w:rPr>
          <w:rFonts w:cstheme="minorHAnsi"/>
          <w:color w:val="000000" w:themeColor="text1"/>
        </w:rPr>
        <w:t>Reay</w:t>
      </w:r>
      <w:r w:rsidR="005F6A41" w:rsidRPr="00485459">
        <w:rPr>
          <w:rFonts w:cstheme="minorHAnsi"/>
          <w:color w:val="000000" w:themeColor="text1"/>
        </w:rPr>
        <w:t xml:space="preserve"> (2021)</w:t>
      </w:r>
      <w:r w:rsidRPr="00485459">
        <w:rPr>
          <w:rFonts w:cstheme="minorHAnsi"/>
          <w:color w:val="FF0000"/>
        </w:rPr>
        <w:t xml:space="preserve"> </w:t>
      </w:r>
      <w:r w:rsidRPr="00485459">
        <w:rPr>
          <w:rFonts w:cstheme="minorHAnsi"/>
        </w:rPr>
        <w:t>challenge</w:t>
      </w:r>
      <w:r w:rsidR="00485459">
        <w:rPr>
          <w:rFonts w:cstheme="minorHAnsi"/>
        </w:rPr>
        <w:t>s</w:t>
      </w:r>
      <w:r w:rsidRPr="00485459">
        <w:rPr>
          <w:rFonts w:cstheme="minorHAnsi"/>
        </w:rPr>
        <w:t xml:space="preserve"> the positivist assumptions of studies like </w:t>
      </w:r>
      <w:r w:rsidRPr="00866138">
        <w:rPr>
          <w:rFonts w:cstheme="minorHAnsi"/>
        </w:rPr>
        <w:t xml:space="preserve">Britton et al. </w:t>
      </w:r>
      <w:r w:rsidR="00F95DB8">
        <w:rPr>
          <w:rFonts w:cstheme="minorHAnsi"/>
        </w:rPr>
        <w:t>(202</w:t>
      </w:r>
      <w:r w:rsidR="001E39B1">
        <w:rPr>
          <w:rFonts w:cstheme="minorHAnsi"/>
        </w:rPr>
        <w:t>1</w:t>
      </w:r>
      <w:r w:rsidR="00F95DB8">
        <w:rPr>
          <w:rFonts w:cstheme="minorHAnsi"/>
        </w:rPr>
        <w:t xml:space="preserve">). </w:t>
      </w:r>
      <w:r w:rsidRPr="00485459">
        <w:rPr>
          <w:rFonts w:cstheme="minorHAnsi"/>
        </w:rPr>
        <w:t xml:space="preserve">While both approaches identify barriers, they differ in their focus: Reay </w:t>
      </w:r>
      <w:r w:rsidR="00866138">
        <w:rPr>
          <w:rFonts w:cstheme="minorHAnsi"/>
        </w:rPr>
        <w:t xml:space="preserve">(2021) </w:t>
      </w:r>
      <w:r w:rsidRPr="00485459">
        <w:rPr>
          <w:rFonts w:cstheme="minorHAnsi"/>
        </w:rPr>
        <w:t xml:space="preserve">critiques systemic structures, whereas </w:t>
      </w:r>
      <w:r w:rsidRPr="00866138">
        <w:rPr>
          <w:rFonts w:cstheme="minorHAnsi"/>
        </w:rPr>
        <w:t>Britton et al.</w:t>
      </w:r>
      <w:r w:rsidR="00866138" w:rsidRPr="00866138">
        <w:rPr>
          <w:rFonts w:cstheme="minorHAnsi"/>
        </w:rPr>
        <w:t xml:space="preserve"> (202</w:t>
      </w:r>
      <w:r w:rsidR="001E39B1">
        <w:rPr>
          <w:rFonts w:cstheme="minorHAnsi"/>
        </w:rPr>
        <w:t>1</w:t>
      </w:r>
      <w:r w:rsidR="00866138" w:rsidRPr="00866138">
        <w:rPr>
          <w:rFonts w:cstheme="minorHAnsi"/>
        </w:rPr>
        <w:t>)</w:t>
      </w:r>
      <w:r w:rsidRPr="00866138">
        <w:rPr>
          <w:rFonts w:cstheme="minorHAnsi"/>
        </w:rPr>
        <w:t xml:space="preserve"> </w:t>
      </w:r>
      <w:r w:rsidR="00485459">
        <w:rPr>
          <w:rFonts w:cstheme="minorHAnsi"/>
          <w:color w:val="000000" w:themeColor="text1"/>
        </w:rPr>
        <w:t>highlights the relevance</w:t>
      </w:r>
      <w:r w:rsidR="00485459">
        <w:rPr>
          <w:rFonts w:cstheme="minorHAnsi"/>
        </w:rPr>
        <w:t xml:space="preserve"> of </w:t>
      </w:r>
      <w:r w:rsidRPr="00485459">
        <w:rPr>
          <w:rFonts w:cstheme="minorHAnsi"/>
        </w:rPr>
        <w:t>economic returns as a rationale for improving access.</w:t>
      </w:r>
    </w:p>
    <w:p w14:paraId="138E5762" w14:textId="140F156C" w:rsidR="00696434" w:rsidRDefault="00866138" w:rsidP="006171B0">
      <w:pPr>
        <w:pStyle w:val="Heading2"/>
        <w:spacing w:line="360" w:lineRule="auto"/>
      </w:pPr>
      <w:bookmarkStart w:id="20" w:name="_Toc188210497"/>
      <w:r w:rsidRPr="00866138">
        <w:t xml:space="preserve">Relevance of </w:t>
      </w:r>
      <w:r w:rsidR="00696434" w:rsidRPr="00696434">
        <w:t>Cultural Integration</w:t>
      </w:r>
      <w:bookmarkEnd w:id="20"/>
      <w:r>
        <w:t xml:space="preserve"> </w:t>
      </w:r>
    </w:p>
    <w:p w14:paraId="14C158EE" w14:textId="21D21F7F" w:rsidR="0089451A" w:rsidRPr="001D7135" w:rsidRDefault="0089451A" w:rsidP="006171B0">
      <w:pPr>
        <w:spacing w:line="360" w:lineRule="auto"/>
      </w:pPr>
      <w:r w:rsidRPr="001D7135">
        <w:t>Once admitted, students from low-SES backgrounds often face challenges integrating social</w:t>
      </w:r>
      <w:r w:rsidR="00485459">
        <w:t xml:space="preserve">ly and culturally into </w:t>
      </w:r>
      <w:r w:rsidR="008958DE">
        <w:t>HE</w:t>
      </w:r>
      <w:r w:rsidRPr="001D7135">
        <w:t xml:space="preserve"> institutions</w:t>
      </w:r>
      <w:r w:rsidRPr="00485459">
        <w:rPr>
          <w:color w:val="000000" w:themeColor="text1"/>
        </w:rPr>
        <w:t>.</w:t>
      </w:r>
      <w:r w:rsidRPr="0097714C">
        <w:rPr>
          <w:color w:val="FF0000"/>
        </w:rPr>
        <w:t xml:space="preserve"> </w:t>
      </w:r>
      <w:r w:rsidRPr="00866138">
        <w:t xml:space="preserve">Ahn </w:t>
      </w:r>
      <w:r w:rsidR="005F6A41" w:rsidRPr="00866138">
        <w:t xml:space="preserve">&amp; </w:t>
      </w:r>
      <w:r w:rsidRPr="00866138">
        <w:t xml:space="preserve">Davis </w:t>
      </w:r>
      <w:r w:rsidR="00866138" w:rsidRPr="00866138">
        <w:t xml:space="preserve">(2020) </w:t>
      </w:r>
      <w:r w:rsidRPr="001D7135">
        <w:t xml:space="preserve">use surveys to examine students’ sense of belonging, finding that engagement in academic and social activities can </w:t>
      </w:r>
      <w:r w:rsidR="00DB57AB">
        <w:t>reduce</w:t>
      </w:r>
      <w:r w:rsidRPr="001D7135">
        <w:t xml:space="preserve"> feelings of alienation. Their focus on measurable constructs </w:t>
      </w:r>
      <w:r w:rsidR="00DB57AB">
        <w:t xml:space="preserve">does </w:t>
      </w:r>
      <w:r w:rsidRPr="001D7135">
        <w:t>provide actionable</w:t>
      </w:r>
      <w:r w:rsidR="00DB57AB">
        <w:t xml:space="preserve"> findings,</w:t>
      </w:r>
      <w:r w:rsidRPr="001D7135">
        <w:t xml:space="preserve"> but </w:t>
      </w:r>
      <w:r w:rsidR="00866138">
        <w:t xml:space="preserve">it </w:t>
      </w:r>
      <w:r w:rsidRPr="001D7135">
        <w:t>simplifies the complexities of cultural disconnection.</w:t>
      </w:r>
    </w:p>
    <w:p w14:paraId="4CC92C37" w14:textId="77777777" w:rsidR="00866138" w:rsidRDefault="0089451A" w:rsidP="006171B0">
      <w:pPr>
        <w:spacing w:line="360" w:lineRule="auto"/>
      </w:pPr>
      <w:r w:rsidRPr="00866138">
        <w:t>Reay</w:t>
      </w:r>
      <w:r w:rsidR="00866138" w:rsidRPr="00866138">
        <w:t xml:space="preserve"> (2021)</w:t>
      </w:r>
      <w:r w:rsidR="00DB57AB" w:rsidRPr="00866138">
        <w:t xml:space="preserve"> </w:t>
      </w:r>
      <w:r w:rsidR="00DB57AB">
        <w:t xml:space="preserve">uses </w:t>
      </w:r>
      <w:r w:rsidRPr="001D7135">
        <w:t>qualitative interviews</w:t>
      </w:r>
      <w:r w:rsidR="00DB57AB">
        <w:t xml:space="preserve"> to </w:t>
      </w:r>
      <w:r w:rsidRPr="001D7135">
        <w:t>highlight the isolation experienced by working-class students in elite institutions</w:t>
      </w:r>
      <w:r w:rsidR="00DB57AB">
        <w:t xml:space="preserve">, finding these </w:t>
      </w:r>
      <w:r w:rsidRPr="001D7135">
        <w:t xml:space="preserve">students often encounter environments dominated by middle- and upper-class </w:t>
      </w:r>
      <w:r w:rsidR="00DB57AB">
        <w:t>‘</w:t>
      </w:r>
      <w:r w:rsidRPr="001D7135">
        <w:t>norms</w:t>
      </w:r>
      <w:r w:rsidR="00DB57AB">
        <w:t>’</w:t>
      </w:r>
      <w:r w:rsidRPr="001D7135">
        <w:t xml:space="preserve">, leading to feelings of inadequacy and exclusion. </w:t>
      </w:r>
      <w:r w:rsidRPr="00866138">
        <w:t xml:space="preserve">Cunningham and Samson </w:t>
      </w:r>
      <w:r w:rsidR="00866138" w:rsidRPr="00866138">
        <w:t xml:space="preserve">(2021) </w:t>
      </w:r>
      <w:r w:rsidRPr="001D7135">
        <w:t xml:space="preserve">explore the role of </w:t>
      </w:r>
      <w:r w:rsidR="00866138">
        <w:t>‘</w:t>
      </w:r>
      <w:r w:rsidRPr="001D7135">
        <w:t>cultural capital</w:t>
      </w:r>
      <w:r w:rsidR="00866138">
        <w:t>’</w:t>
      </w:r>
      <w:r w:rsidRPr="001D7135">
        <w:t xml:space="preserve">, demonstrating how its absence can </w:t>
      </w:r>
      <w:r w:rsidR="00866138">
        <w:t xml:space="preserve">reduce </w:t>
      </w:r>
      <w:r w:rsidRPr="001D7135">
        <w:t xml:space="preserve">integration. While </w:t>
      </w:r>
      <w:r w:rsidRPr="00866138">
        <w:t xml:space="preserve">Ahn </w:t>
      </w:r>
      <w:r w:rsidR="00866138" w:rsidRPr="00866138">
        <w:t xml:space="preserve">&amp; </w:t>
      </w:r>
      <w:r w:rsidRPr="00866138">
        <w:t xml:space="preserve">Davis </w:t>
      </w:r>
      <w:r w:rsidR="00866138" w:rsidRPr="00866138">
        <w:t xml:space="preserve">(2020) </w:t>
      </w:r>
      <w:r w:rsidRPr="001D7135">
        <w:t xml:space="preserve">suggest institutional interventions to </w:t>
      </w:r>
      <w:r w:rsidR="00DB57AB">
        <w:t>improve a sense of belonging</w:t>
      </w:r>
      <w:r w:rsidR="00866138">
        <w:t>.</w:t>
      </w:r>
    </w:p>
    <w:p w14:paraId="0C44D50B" w14:textId="21B580B7" w:rsidR="00696434" w:rsidRDefault="00866138" w:rsidP="006171B0">
      <w:pPr>
        <w:pStyle w:val="Heading2"/>
        <w:spacing w:line="360" w:lineRule="auto"/>
      </w:pPr>
      <w:bookmarkStart w:id="21" w:name="_Toc188210498"/>
      <w:r>
        <w:t xml:space="preserve">Relevance of </w:t>
      </w:r>
      <w:r w:rsidR="00696434" w:rsidRPr="00696434">
        <w:t>Economic Factors</w:t>
      </w:r>
      <w:bookmarkEnd w:id="21"/>
      <w:r w:rsidR="00696434" w:rsidRPr="00696434">
        <w:t xml:space="preserve"> </w:t>
      </w:r>
    </w:p>
    <w:p w14:paraId="3A9DEAB3" w14:textId="1A248A32" w:rsidR="0089451A" w:rsidRPr="001D7135" w:rsidRDefault="00DB57AB" w:rsidP="006171B0">
      <w:pPr>
        <w:spacing w:line="360" w:lineRule="auto"/>
      </w:pPr>
      <w:r>
        <w:t xml:space="preserve">The research literature indicates </w:t>
      </w:r>
      <w:r w:rsidR="00866138">
        <w:t xml:space="preserve">that financial challenges prevent low-SES students from accessing and succeeding in </w:t>
      </w:r>
      <w:r w:rsidR="008958DE">
        <w:t>HE</w:t>
      </w:r>
      <w:r w:rsidR="005B27E3">
        <w:t xml:space="preserve"> </w:t>
      </w:r>
      <w:r w:rsidR="00866138" w:rsidRPr="003D1725">
        <w:t xml:space="preserve">Bakour </w:t>
      </w:r>
      <w:r w:rsidR="003D1725" w:rsidRPr="003D1725">
        <w:t xml:space="preserve">(2024) </w:t>
      </w:r>
      <w:r w:rsidR="00866138" w:rsidRPr="003D1725">
        <w:t xml:space="preserve">examines </w:t>
      </w:r>
      <w:r w:rsidR="00866138">
        <w:t>the effectiveness of financial aid and interventions designed to boost confidence, suggesting that targeted support can reduce some of the same</w:t>
      </w:r>
      <w:r w:rsidR="0089451A" w:rsidRPr="001D7135">
        <w:t xml:space="preserve"> barriers. However, this is challenged by </w:t>
      </w:r>
      <w:r w:rsidR="0089451A" w:rsidRPr="003D1725">
        <w:t xml:space="preserve">Aina et al., </w:t>
      </w:r>
      <w:r w:rsidR="003D1725" w:rsidRPr="003D1725">
        <w:t xml:space="preserve">(2022) </w:t>
      </w:r>
      <w:r w:rsidR="0089451A" w:rsidRPr="001D7135">
        <w:t xml:space="preserve">who </w:t>
      </w:r>
      <w:r>
        <w:t>emphasise</w:t>
      </w:r>
      <w:r w:rsidR="0089451A" w:rsidRPr="001D7135">
        <w:t xml:space="preserve"> the </w:t>
      </w:r>
      <w:r>
        <w:t xml:space="preserve">relevance </w:t>
      </w:r>
      <w:r w:rsidR="0089451A" w:rsidRPr="001D7135">
        <w:t>of economic constraints in dropout rates. Their quantitative analysis shows that financial aid alone is insufficient</w:t>
      </w:r>
      <w:r>
        <w:t xml:space="preserve"> unless the </w:t>
      </w:r>
      <w:r w:rsidR="0089451A" w:rsidRPr="001D7135">
        <w:t>broader systemic issues</w:t>
      </w:r>
      <w:r>
        <w:t xml:space="preserve"> are addressed.</w:t>
      </w:r>
    </w:p>
    <w:p w14:paraId="5741A606" w14:textId="4F8717DB" w:rsidR="0089451A" w:rsidRPr="001D7135" w:rsidRDefault="0089451A" w:rsidP="006171B0">
      <w:pPr>
        <w:spacing w:line="360" w:lineRule="auto"/>
      </w:pPr>
      <w:r w:rsidRPr="003D1725">
        <w:t xml:space="preserve">Britton et al. </w:t>
      </w:r>
      <w:r w:rsidR="003D1725" w:rsidRPr="003D1725">
        <w:t>(202</w:t>
      </w:r>
      <w:r w:rsidR="001E39B1">
        <w:t>1</w:t>
      </w:r>
      <w:r w:rsidR="003D1725" w:rsidRPr="003D1725">
        <w:t xml:space="preserve">) </w:t>
      </w:r>
      <w:r w:rsidRPr="001D7135">
        <w:t xml:space="preserve">highlight the long-term economic returns of </w:t>
      </w:r>
      <w:proofErr w:type="gramStart"/>
      <w:r w:rsidR="008958DE">
        <w:t>HE,</w:t>
      </w:r>
      <w:r w:rsidRPr="001D7135">
        <w:t xml:space="preserve"> but</w:t>
      </w:r>
      <w:proofErr w:type="gramEnd"/>
      <w:r w:rsidR="00DB57AB">
        <w:t xml:space="preserve"> point out</w:t>
      </w:r>
      <w:r w:rsidRPr="001D7135">
        <w:t xml:space="preserve"> that low-SES students are often underrepresented in high-paying fields. This creates a cyclical pattern where financial barriers limit access to </w:t>
      </w:r>
      <w:r w:rsidR="00DB57AB">
        <w:t>higher-paid</w:t>
      </w:r>
      <w:r w:rsidRPr="001D7135">
        <w:t xml:space="preserve"> opportu</w:t>
      </w:r>
      <w:r w:rsidR="00DB57AB">
        <w:t>nities, maintaining</w:t>
      </w:r>
      <w:r w:rsidRPr="001D7135">
        <w:t xml:space="preserve"> income inequality. </w:t>
      </w:r>
      <w:r w:rsidR="008958DE">
        <w:t>However, t</w:t>
      </w:r>
      <w:r w:rsidRPr="001D7135">
        <w:t>h</w:t>
      </w:r>
      <w:r w:rsidR="008958DE">
        <w:t>is</w:t>
      </w:r>
      <w:r w:rsidRPr="001D7135">
        <w:t xml:space="preserve"> emphasis on economic outcomes in these studies contrasts with </w:t>
      </w:r>
      <w:r w:rsidRPr="001D7135">
        <w:lastRenderedPageBreak/>
        <w:t xml:space="preserve">the </w:t>
      </w:r>
      <w:r w:rsidR="00DB57AB">
        <w:t>‘</w:t>
      </w:r>
      <w:r w:rsidRPr="001D7135">
        <w:t>equity-focused</w:t>
      </w:r>
      <w:r w:rsidR="00DB57AB">
        <w:t>’</w:t>
      </w:r>
      <w:r w:rsidRPr="001D7135">
        <w:t xml:space="preserve"> perspectives of </w:t>
      </w:r>
      <w:r w:rsidRPr="003D1725">
        <w:t xml:space="preserve">Reay </w:t>
      </w:r>
      <w:r w:rsidR="003D1725" w:rsidRPr="003D1725">
        <w:t>(</w:t>
      </w:r>
      <w:r w:rsidR="003D1725">
        <w:t xml:space="preserve">2021) </w:t>
      </w:r>
      <w:r w:rsidRPr="001D7135">
        <w:t xml:space="preserve">and </w:t>
      </w:r>
      <w:r w:rsidRPr="003D1725">
        <w:t>Bakour</w:t>
      </w:r>
      <w:r w:rsidR="003D1725" w:rsidRPr="003D1725">
        <w:t xml:space="preserve"> (2024)</w:t>
      </w:r>
      <w:r w:rsidRPr="003D1725">
        <w:t xml:space="preserve"> </w:t>
      </w:r>
      <w:r w:rsidRPr="001D7135">
        <w:t xml:space="preserve">who </w:t>
      </w:r>
      <w:r w:rsidR="00DB57AB">
        <w:t>insist on</w:t>
      </w:r>
      <w:r w:rsidR="00DA6F38">
        <w:t xml:space="preserve"> </w:t>
      </w:r>
      <w:r w:rsidRPr="001D7135">
        <w:t xml:space="preserve">addressing structural barriers rather than merely </w:t>
      </w:r>
      <w:r w:rsidR="008958DE">
        <w:t xml:space="preserve">making judgement on and </w:t>
      </w:r>
      <w:r w:rsidRPr="001D7135">
        <w:t xml:space="preserve">improving financial </w:t>
      </w:r>
      <w:r w:rsidR="00DA6F38">
        <w:t>measures.</w:t>
      </w:r>
    </w:p>
    <w:p w14:paraId="2CE9DB58" w14:textId="5D83F953" w:rsidR="00866138" w:rsidRPr="002B7689" w:rsidRDefault="00866138" w:rsidP="006171B0">
      <w:pPr>
        <w:pStyle w:val="Heading2"/>
        <w:spacing w:line="360" w:lineRule="auto"/>
      </w:pPr>
      <w:bookmarkStart w:id="22" w:name="_Toc188210499"/>
      <w:r w:rsidRPr="002B7689">
        <w:t xml:space="preserve">Relevance of </w:t>
      </w:r>
      <w:r w:rsidR="008958DE" w:rsidRPr="002B7689">
        <w:t>HE</w:t>
      </w:r>
      <w:r w:rsidR="00696434" w:rsidRPr="002B7689">
        <w:t xml:space="preserve"> Policy and Institutional Interventions</w:t>
      </w:r>
      <w:bookmarkEnd w:id="22"/>
      <w:r w:rsidRPr="002B7689">
        <w:t xml:space="preserve"> </w:t>
      </w:r>
    </w:p>
    <w:p w14:paraId="4FADF014" w14:textId="2F2F7CF2" w:rsidR="0089451A" w:rsidRPr="001D7135" w:rsidRDefault="0089451A" w:rsidP="006171B0">
      <w:pPr>
        <w:spacing w:line="360" w:lineRule="auto"/>
      </w:pPr>
      <w:r w:rsidRPr="001D7135">
        <w:t xml:space="preserve">Widening participation initiatives have been central to addressing SES disparities in </w:t>
      </w:r>
      <w:r w:rsidR="008958DE">
        <w:t>HE</w:t>
      </w:r>
      <w:r w:rsidRPr="001D7135">
        <w:t>, but their effectiveness remains contested</w:t>
      </w:r>
      <w:r w:rsidR="00DA6F38">
        <w:t xml:space="preserve"> (Harrison &amp; Waller, 2017)</w:t>
      </w:r>
      <w:r w:rsidRPr="001D7135">
        <w:t>. Bakour identifies specific programs, such as mentoring and financial support, that have demonstrated success in improving access for low-SES students. Tan</w:t>
      </w:r>
      <w:r w:rsidR="003D1725">
        <w:t xml:space="preserve"> (2024)</w:t>
      </w:r>
      <w:r w:rsidRPr="001D7135">
        <w:t xml:space="preserve"> </w:t>
      </w:r>
      <w:r w:rsidR="003D1725" w:rsidRPr="003D1725">
        <w:t xml:space="preserve">considered </w:t>
      </w:r>
      <w:r w:rsidRPr="001D7135">
        <w:t xml:space="preserve">findings from multiple studies, </w:t>
      </w:r>
      <w:r w:rsidR="003D1725">
        <w:t>stating the importance of</w:t>
      </w:r>
      <w:r w:rsidRPr="001D7135">
        <w:t xml:space="preserve"> comprehensive policies that address both individual and systemic barriers. While these approaches highlight potential solutions, Reay </w:t>
      </w:r>
      <w:r w:rsidR="003D1725">
        <w:t xml:space="preserve">(2021) </w:t>
      </w:r>
      <w:r w:rsidRPr="001D7135">
        <w:t>critiques the broader policy framework, arguing that many interventions fail to tackle the root causes of inequality.</w:t>
      </w:r>
    </w:p>
    <w:p w14:paraId="5EE01E02" w14:textId="797D7C85" w:rsidR="0089451A" w:rsidRPr="001D7135" w:rsidRDefault="0089451A" w:rsidP="006171B0">
      <w:pPr>
        <w:spacing w:line="360" w:lineRule="auto"/>
      </w:pPr>
      <w:r w:rsidRPr="003D1725">
        <w:t>Cunningham</w:t>
      </w:r>
      <w:r w:rsidR="003D1725" w:rsidRPr="003D1725">
        <w:t xml:space="preserve"> </w:t>
      </w:r>
      <w:r w:rsidR="003D1725">
        <w:t xml:space="preserve">and Samson (2021) provide a theoretical critique of ‘neoliberal meritocracy’, highlighting how current policies often reinforce existing class divisions rather than reducing </w:t>
      </w:r>
      <w:r w:rsidRPr="001D7135">
        <w:t xml:space="preserve">them. Their </w:t>
      </w:r>
      <w:r w:rsidR="003D1725">
        <w:t>research conclusions</w:t>
      </w:r>
      <w:r w:rsidRPr="001D7135">
        <w:t xml:space="preserve"> challenge studies </w:t>
      </w:r>
      <w:r w:rsidR="003D1725">
        <w:t xml:space="preserve">such as </w:t>
      </w:r>
      <w:r w:rsidRPr="003D1725">
        <w:t>Bakour</w:t>
      </w:r>
      <w:r w:rsidR="003D1725" w:rsidRPr="003D1725">
        <w:t xml:space="preserve"> (2024)</w:t>
      </w:r>
      <w:r w:rsidRPr="003D1725">
        <w:t xml:space="preserve">, </w:t>
      </w:r>
      <w:r w:rsidRPr="001D7135">
        <w:t xml:space="preserve">suggesting that meaningful change requires a fundamental rethinking of institutional </w:t>
      </w:r>
      <w:r w:rsidR="003D1725">
        <w:t>policy and practice at a much higher societal level than that suggested by Bakour (2024).</w:t>
      </w:r>
    </w:p>
    <w:p w14:paraId="7EF23C41" w14:textId="723250CB" w:rsidR="00696434" w:rsidRDefault="00696434" w:rsidP="006171B0">
      <w:pPr>
        <w:pStyle w:val="Heading2"/>
        <w:spacing w:line="360" w:lineRule="auto"/>
      </w:pPr>
      <w:bookmarkStart w:id="23" w:name="_Toc188210500"/>
      <w:r w:rsidRPr="00696434">
        <w:t>Post-Graduation Opportunities</w:t>
      </w:r>
      <w:bookmarkEnd w:id="23"/>
    </w:p>
    <w:p w14:paraId="2C4121E6" w14:textId="3259DBDC" w:rsidR="0089451A" w:rsidRPr="001D7135" w:rsidRDefault="0089451A" w:rsidP="006171B0">
      <w:pPr>
        <w:spacing w:line="360" w:lineRule="auto"/>
      </w:pPr>
      <w:r w:rsidRPr="001D7135">
        <w:t xml:space="preserve">SES continues to influence access to postgraduate study </w:t>
      </w:r>
      <w:r w:rsidR="00E63851">
        <w:t xml:space="preserve">within </w:t>
      </w:r>
      <w:r w:rsidR="008958DE">
        <w:t>HE</w:t>
      </w:r>
      <w:r w:rsidR="00E63851">
        <w:t xml:space="preserve"> institutions. </w:t>
      </w:r>
      <w:r w:rsidRPr="001D7135">
        <w:t xml:space="preserve">Mateos-González and Wakeling demonstrate that students from higher-income families are more likely to pursue advanced degrees, securing advantages in competitive job markets. </w:t>
      </w:r>
      <w:r w:rsidRPr="003D1725">
        <w:t xml:space="preserve">Britton et al. </w:t>
      </w:r>
      <w:r w:rsidR="003D1725" w:rsidRPr="003D1725">
        <w:t>(202</w:t>
      </w:r>
      <w:r w:rsidR="003D2C47">
        <w:t>1</w:t>
      </w:r>
      <w:r w:rsidR="003D1725" w:rsidRPr="003D1725">
        <w:t xml:space="preserve">) </w:t>
      </w:r>
      <w:r w:rsidRPr="001D7135">
        <w:t>extend this analysis to employment outcomes, showing that low-SES graduates often face lower salaries and limited career progression, even with comparable qualifications.</w:t>
      </w:r>
    </w:p>
    <w:p w14:paraId="14445968" w14:textId="086214EF" w:rsidR="003A3D71" w:rsidRDefault="0089451A" w:rsidP="006171B0">
      <w:pPr>
        <w:spacing w:line="360" w:lineRule="auto"/>
      </w:pPr>
      <w:r w:rsidRPr="003D1725">
        <w:t xml:space="preserve">Reay </w:t>
      </w:r>
      <w:r w:rsidR="003D1725" w:rsidRPr="003D1725">
        <w:t xml:space="preserve">(2021) </w:t>
      </w:r>
      <w:r w:rsidR="003A3D71">
        <w:t>similarly looks at</w:t>
      </w:r>
      <w:r w:rsidRPr="001D7135">
        <w:t xml:space="preserve"> economic outcomes, arguing that the </w:t>
      </w:r>
      <w:r w:rsidR="003A3D71">
        <w:t xml:space="preserve">post-education </w:t>
      </w:r>
      <w:r w:rsidRPr="001D7135">
        <w:t xml:space="preserve">structural barriers faced by low-SES students limit the potential of </w:t>
      </w:r>
      <w:r w:rsidR="008958DE">
        <w:t>HE</w:t>
      </w:r>
      <w:r w:rsidR="003A3D71">
        <w:t xml:space="preserve"> to make a difference in their lives</w:t>
      </w:r>
      <w:r w:rsidRPr="001D7135">
        <w:t xml:space="preserve">. </w:t>
      </w:r>
      <w:r w:rsidR="003A3D71">
        <w:t>However, this challenges the perspective of Britton et al. (202</w:t>
      </w:r>
      <w:r w:rsidR="003D2C47">
        <w:t>1</w:t>
      </w:r>
      <w:r w:rsidR="003A3D71">
        <w:t>),</w:t>
      </w:r>
      <w:r w:rsidRPr="003D1725">
        <w:t xml:space="preserve"> </w:t>
      </w:r>
      <w:r w:rsidR="003A3D71">
        <w:t>who suggest that the measure for judging inequality should be more than simply judging individual financial outcomes.</w:t>
      </w:r>
      <w:r w:rsidRPr="001D7135">
        <w:t xml:space="preserve"> </w:t>
      </w:r>
    </w:p>
    <w:p w14:paraId="200D0D80" w14:textId="03415DD6" w:rsidR="00696434" w:rsidRDefault="00696434" w:rsidP="006171B0">
      <w:pPr>
        <w:pStyle w:val="Heading2"/>
        <w:spacing w:line="360" w:lineRule="auto"/>
      </w:pPr>
      <w:bookmarkStart w:id="24" w:name="_Toc188210501"/>
      <w:r w:rsidRPr="00696434">
        <w:lastRenderedPageBreak/>
        <w:t>Intersectionality</w:t>
      </w:r>
      <w:bookmarkEnd w:id="24"/>
    </w:p>
    <w:p w14:paraId="1D40B800" w14:textId="50950E6E" w:rsidR="0089451A" w:rsidRPr="001D7135" w:rsidRDefault="0089451A" w:rsidP="006171B0">
      <w:pPr>
        <w:spacing w:line="360" w:lineRule="auto"/>
      </w:pPr>
      <w:r w:rsidRPr="001D7135">
        <w:t xml:space="preserve">The intersection of SES </w:t>
      </w:r>
      <w:r w:rsidR="003A3D71">
        <w:t xml:space="preserve">students </w:t>
      </w:r>
      <w:r w:rsidRPr="001D7135">
        <w:t xml:space="preserve">with other identity factors, such as race, gender, and geographic location, adds another layer of complexity to </w:t>
      </w:r>
      <w:r w:rsidR="008958DE">
        <w:t>HE</w:t>
      </w:r>
      <w:r w:rsidR="00E63851">
        <w:t xml:space="preserve"> inequalities </w:t>
      </w:r>
      <w:r w:rsidR="00E63851" w:rsidRPr="00E63851">
        <w:t>(</w:t>
      </w:r>
      <w:proofErr w:type="spellStart"/>
      <w:r w:rsidR="00E63851" w:rsidRPr="00E63851">
        <w:t>Bécares</w:t>
      </w:r>
      <w:proofErr w:type="spellEnd"/>
      <w:r w:rsidR="00E63851" w:rsidRPr="00E63851">
        <w:t xml:space="preserve"> &amp; Priest, 2015</w:t>
      </w:r>
      <w:r w:rsidR="00E63851" w:rsidRPr="003A3D71">
        <w:t>)</w:t>
      </w:r>
      <w:r w:rsidR="00B23051" w:rsidRPr="003A3D71">
        <w:t>.</w:t>
      </w:r>
      <w:r w:rsidR="00E63851" w:rsidRPr="003A3D71">
        <w:t xml:space="preserve"> </w:t>
      </w:r>
      <w:r w:rsidRPr="003A3D71">
        <w:t xml:space="preserve">Reay </w:t>
      </w:r>
      <w:r w:rsidR="003A3D71">
        <w:t xml:space="preserve">(2021) </w:t>
      </w:r>
      <w:r w:rsidRPr="001D7135">
        <w:t xml:space="preserve">explores how </w:t>
      </w:r>
      <w:r w:rsidR="00B23051">
        <w:t>‘</w:t>
      </w:r>
      <w:r w:rsidRPr="001D7135">
        <w:t>compounded</w:t>
      </w:r>
      <w:r w:rsidR="00B23051">
        <w:t>’</w:t>
      </w:r>
      <w:r w:rsidRPr="001D7135">
        <w:t xml:space="preserve"> disadvantages </w:t>
      </w:r>
      <w:r w:rsidR="00B23051">
        <w:t xml:space="preserve">disproportionally </w:t>
      </w:r>
      <w:r w:rsidRPr="001D7135">
        <w:t xml:space="preserve">affect students from low-SES backgrounds, </w:t>
      </w:r>
      <w:r w:rsidR="003A3D71" w:rsidRPr="003A3D71">
        <w:t>highlighting</w:t>
      </w:r>
      <w:r w:rsidRPr="001D7135">
        <w:t xml:space="preserve"> the importance of</w:t>
      </w:r>
      <w:r w:rsidR="003A3D71">
        <w:t xml:space="preserve"> </w:t>
      </w:r>
      <w:r w:rsidRPr="001D7135">
        <w:t xml:space="preserve">considering these </w:t>
      </w:r>
      <w:r w:rsidR="00B23051">
        <w:t>‘</w:t>
      </w:r>
      <w:r w:rsidRPr="001D7135">
        <w:t>intersecting</w:t>
      </w:r>
      <w:r w:rsidR="00B23051">
        <w:t>’</w:t>
      </w:r>
      <w:r w:rsidRPr="001D7135">
        <w:t xml:space="preserve"> identities in research and policy. </w:t>
      </w:r>
      <w:r w:rsidRPr="003A3D71">
        <w:t xml:space="preserve">Tan </w:t>
      </w:r>
      <w:r w:rsidR="003A3D71">
        <w:t xml:space="preserve">(2024) </w:t>
      </w:r>
      <w:r w:rsidRPr="001D7135">
        <w:t xml:space="preserve">similarly </w:t>
      </w:r>
      <w:r w:rsidR="00B23051">
        <w:t>highlights the importance of</w:t>
      </w:r>
      <w:r w:rsidRPr="001D7135">
        <w:t xml:space="preserve"> intersectional </w:t>
      </w:r>
      <w:r w:rsidR="00B23051">
        <w:t xml:space="preserve">considerations, advocating </w:t>
      </w:r>
      <w:r w:rsidRPr="001D7135">
        <w:t xml:space="preserve">the need for targeted interventions that address multiple </w:t>
      </w:r>
      <w:r w:rsidR="00B23051">
        <w:t>areas</w:t>
      </w:r>
      <w:r w:rsidRPr="001D7135">
        <w:t xml:space="preserve"> of disadvantage.</w:t>
      </w:r>
    </w:p>
    <w:p w14:paraId="56DFA7A6" w14:textId="601D238B" w:rsidR="0089451A" w:rsidRPr="001D7135" w:rsidRDefault="0089451A" w:rsidP="006171B0">
      <w:pPr>
        <w:spacing w:line="360" w:lineRule="auto"/>
      </w:pPr>
      <w:r w:rsidRPr="003A3D71">
        <w:t>Ahn</w:t>
      </w:r>
      <w:r w:rsidR="003A3D71" w:rsidRPr="003A3D71">
        <w:t xml:space="preserve"> &amp; </w:t>
      </w:r>
      <w:r w:rsidRPr="003A3D71">
        <w:t>Davis</w:t>
      </w:r>
      <w:r w:rsidR="003A3D71" w:rsidRPr="003A3D71">
        <w:t xml:space="preserve"> </w:t>
      </w:r>
      <w:r w:rsidR="003A3D71">
        <w:t xml:space="preserve">(2020) </w:t>
      </w:r>
      <w:r w:rsidRPr="001D7135">
        <w:t xml:space="preserve">focusing solely on SES, provide a more limited perspective that </w:t>
      </w:r>
      <w:r w:rsidR="00B23051">
        <w:t xml:space="preserve">ignores </w:t>
      </w:r>
      <w:r w:rsidRPr="001D7135">
        <w:t xml:space="preserve">the </w:t>
      </w:r>
      <w:r w:rsidR="00B23051">
        <w:t xml:space="preserve">relevance of intersectionality, </w:t>
      </w:r>
      <w:r w:rsidR="003A3D71">
        <w:t xml:space="preserve">and </w:t>
      </w:r>
      <w:r w:rsidR="00B23051">
        <w:t xml:space="preserve">arguably fail to </w:t>
      </w:r>
      <w:r w:rsidRPr="001D7135">
        <w:t>fully capture</w:t>
      </w:r>
      <w:r w:rsidR="00B23051">
        <w:t xml:space="preserve"> the broader challenges </w:t>
      </w:r>
      <w:r w:rsidRPr="001D7135">
        <w:t xml:space="preserve">of </w:t>
      </w:r>
      <w:r w:rsidR="00B23051">
        <w:t>marginalised low-SES</w:t>
      </w:r>
      <w:r w:rsidRPr="001D7135">
        <w:t xml:space="preserve"> students.</w:t>
      </w:r>
    </w:p>
    <w:p w14:paraId="51A9A21C" w14:textId="77777777" w:rsidR="009F7D5B" w:rsidRPr="009F7D5B" w:rsidRDefault="009F7D5B" w:rsidP="006171B0">
      <w:pPr>
        <w:pStyle w:val="Heading2"/>
        <w:spacing w:line="360" w:lineRule="auto"/>
      </w:pPr>
      <w:bookmarkStart w:id="25" w:name="_Toc188210502"/>
      <w:r w:rsidRPr="009F7D5B">
        <w:t>Summary</w:t>
      </w:r>
      <w:bookmarkEnd w:id="25"/>
    </w:p>
    <w:p w14:paraId="34D21E46" w14:textId="77777777" w:rsidR="00DB2939" w:rsidRDefault="009F7D5B" w:rsidP="006171B0">
      <w:pPr>
        <w:spacing w:line="360" w:lineRule="auto"/>
      </w:pPr>
      <w:r>
        <w:t>T</w:t>
      </w:r>
      <w:r w:rsidR="0089451A" w:rsidRPr="001D7135">
        <w:t xml:space="preserve">he divide between positivist and constructivist approaches </w:t>
      </w:r>
      <w:r>
        <w:t xml:space="preserve">in trying to gain relevant insights into the challenges of low-SES students highlights the lack of on </w:t>
      </w:r>
      <w:r w:rsidR="0089451A" w:rsidRPr="001D7135">
        <w:t>how best to address SES disparities. Contradictions in findings, such as the effectiveness of interventions</w:t>
      </w:r>
      <w:r>
        <w:t xml:space="preserve">, </w:t>
      </w:r>
      <w:r w:rsidR="0089451A" w:rsidRPr="001D7135">
        <w:t xml:space="preserve">the role of systemic barriers, </w:t>
      </w:r>
      <w:r>
        <w:t xml:space="preserve">and the relevance of intersectionality and financial support, highlight </w:t>
      </w:r>
      <w:r w:rsidR="0089451A" w:rsidRPr="001D7135">
        <w:t>the need for further research</w:t>
      </w:r>
      <w:r>
        <w:t xml:space="preserve">, not just ‘doing more of the same’, but to identify the relevant criteria on which to assess the issues relating to low-SES. </w:t>
      </w:r>
    </w:p>
    <w:p w14:paraId="28D15D68" w14:textId="05B8C41E" w:rsidR="00284141" w:rsidRPr="001D7135" w:rsidRDefault="00591D4E" w:rsidP="006171B0">
      <w:pPr>
        <w:spacing w:line="360" w:lineRule="auto"/>
      </w:pPr>
      <w:r>
        <w:t xml:space="preserve">The </w:t>
      </w:r>
      <w:r w:rsidR="003A3D71">
        <w:t>literature</w:t>
      </w:r>
      <w:r>
        <w:t xml:space="preserve"> would </w:t>
      </w:r>
      <w:r w:rsidR="003A3D71">
        <w:t xml:space="preserve">therefore </w:t>
      </w:r>
      <w:r>
        <w:t>indicate that</w:t>
      </w:r>
      <w:r w:rsidR="00DB2939">
        <w:t xml:space="preserve"> researchers addressing low-SES inequalities </w:t>
      </w:r>
      <w:r>
        <w:t>still need</w:t>
      </w:r>
      <w:r w:rsidR="00DB2939">
        <w:t xml:space="preserve"> </w:t>
      </w:r>
      <w:r w:rsidR="009F7D5B">
        <w:t xml:space="preserve">to agree on what is </w:t>
      </w:r>
      <w:r w:rsidR="00DB2939">
        <w:t>relevant</w:t>
      </w:r>
      <w:r w:rsidR="003A3D71">
        <w:t>,</w:t>
      </w:r>
      <w:r w:rsidR="009F7D5B">
        <w:t xml:space="preserve"> and what is not</w:t>
      </w:r>
      <w:r w:rsidR="003A3D71">
        <w:t>,</w:t>
      </w:r>
      <w:r w:rsidR="00DB2939">
        <w:t xml:space="preserve"> if they are to provide the practical solutions the extensive SES research deserves </w:t>
      </w:r>
      <w:r w:rsidR="00DB2939" w:rsidRPr="00DB2939">
        <w:t>(</w:t>
      </w:r>
      <w:proofErr w:type="spellStart"/>
      <w:r w:rsidR="00DB2939" w:rsidRPr="00DB2939">
        <w:t>Zaneva</w:t>
      </w:r>
      <w:proofErr w:type="spellEnd"/>
      <w:r w:rsidR="00DB2939" w:rsidRPr="00DB2939">
        <w:t xml:space="preserve"> et al., 2024)</w:t>
      </w:r>
      <w:r w:rsidR="00DB2939">
        <w:t>.</w:t>
      </w:r>
      <w:bookmarkEnd w:id="19"/>
      <w:r w:rsidR="00DB2939">
        <w:t xml:space="preserve"> </w:t>
      </w:r>
    </w:p>
    <w:p w14:paraId="2F1D0089" w14:textId="77777777" w:rsidR="0089451A" w:rsidRPr="0003145B" w:rsidRDefault="0089451A" w:rsidP="006171B0">
      <w:pPr>
        <w:pStyle w:val="Heading1"/>
        <w:spacing w:line="360" w:lineRule="auto"/>
      </w:pPr>
      <w:bookmarkStart w:id="26" w:name="_Toc188210503"/>
      <w:r w:rsidRPr="0003145B">
        <w:t>Conclusion</w:t>
      </w:r>
      <w:bookmarkEnd w:id="26"/>
    </w:p>
    <w:p w14:paraId="242D1CD2" w14:textId="17A88E29" w:rsidR="006C2655" w:rsidRPr="0003145B" w:rsidRDefault="006C2655" w:rsidP="006171B0">
      <w:pPr>
        <w:spacing w:line="360" w:lineRule="auto"/>
      </w:pPr>
      <w:r w:rsidRPr="0003145B">
        <w:t>Th</w:t>
      </w:r>
      <w:r w:rsidR="000A35C2" w:rsidRPr="0003145B">
        <w:t>is narrative</w:t>
      </w:r>
      <w:r w:rsidRPr="0003145B">
        <w:t xml:space="preserve"> review identifies the impact of socioeconomic status (SES) on </w:t>
      </w:r>
      <w:r w:rsidR="008958DE">
        <w:t>HE</w:t>
      </w:r>
      <w:r w:rsidRPr="0003145B">
        <w:t xml:space="preserve">, </w:t>
      </w:r>
      <w:r w:rsidR="00193A71" w:rsidRPr="0003145B">
        <w:t xml:space="preserve">specifically </w:t>
      </w:r>
      <w:r w:rsidRPr="0003145B">
        <w:t xml:space="preserve">access, integration, retention, and post-graduation outcomes. </w:t>
      </w:r>
      <w:r w:rsidR="00193A71" w:rsidRPr="0003145B">
        <w:t>The q</w:t>
      </w:r>
      <w:r w:rsidRPr="0003145B">
        <w:t xml:space="preserve">uantitative research highlights systemic trends, such as disparities in access to elite institutions and the long-term economic returns of </w:t>
      </w:r>
      <w:r w:rsidR="008958DE">
        <w:t>HE</w:t>
      </w:r>
      <w:r w:rsidRPr="0003145B">
        <w:t xml:space="preserve"> (Britton et al., 202</w:t>
      </w:r>
      <w:r w:rsidR="001E39B1">
        <w:t>1</w:t>
      </w:r>
      <w:r w:rsidRPr="0003145B">
        <w:t xml:space="preserve">; Mateos-González &amp; Wakeling, 2021). </w:t>
      </w:r>
      <w:r w:rsidR="00193A71" w:rsidRPr="0003145B">
        <w:t>The q</w:t>
      </w:r>
      <w:r w:rsidRPr="0003145B">
        <w:t>ualitative studies provide</w:t>
      </w:r>
      <w:r w:rsidR="00193A71" w:rsidRPr="0003145B">
        <w:t xml:space="preserve"> a deeper, more nuanced narrative that digs deeper into the more lived or phenomenological </w:t>
      </w:r>
      <w:r w:rsidRPr="0003145B">
        <w:t>experiences</w:t>
      </w:r>
      <w:r w:rsidR="000A35C2" w:rsidRPr="0003145B">
        <w:t xml:space="preserve"> and identifies</w:t>
      </w:r>
      <w:r w:rsidR="00193A71" w:rsidRPr="0003145B">
        <w:t xml:space="preserve"> </w:t>
      </w:r>
      <w:r w:rsidRPr="0003145B">
        <w:t>cultural isolation and systemic barriers faced by low-SES students (Cunningham &amp; Samson, 2021</w:t>
      </w:r>
      <w:r w:rsidR="00023CF8">
        <w:t xml:space="preserve">; </w:t>
      </w:r>
      <w:r w:rsidR="00023CF8" w:rsidRPr="0003145B">
        <w:t>Reay, 2021</w:t>
      </w:r>
      <w:r w:rsidRPr="0003145B">
        <w:t xml:space="preserve">). While interventions </w:t>
      </w:r>
      <w:r w:rsidRPr="0003145B">
        <w:lastRenderedPageBreak/>
        <w:t xml:space="preserve">like financial aid and mentoring programs </w:t>
      </w:r>
      <w:r w:rsidR="00193A71" w:rsidRPr="0003145B">
        <w:t>have shown some potential in addressing low-SES issues</w:t>
      </w:r>
      <w:r w:rsidRPr="0003145B">
        <w:t xml:space="preserve"> (Bakour, 2024), they are often insufficient without addressing broader systemic</w:t>
      </w:r>
      <w:r w:rsidR="00193A71" w:rsidRPr="0003145B">
        <w:t xml:space="preserve"> societal</w:t>
      </w:r>
      <w:r w:rsidRPr="0003145B">
        <w:t xml:space="preserve"> inequities (Aina et al., 2022; Tan, 2024). </w:t>
      </w:r>
      <w:r w:rsidR="00193A71" w:rsidRPr="0003145B">
        <w:t xml:space="preserve">In addition, the research interestingly identifies, almost </w:t>
      </w:r>
      <w:r w:rsidR="00B44712" w:rsidRPr="0003145B">
        <w:t>counterintuitively, that the interconnection</w:t>
      </w:r>
      <w:r w:rsidRPr="0003145B">
        <w:t xml:space="preserve"> of policy frameworks and institutional practices frequently reinforces class-based divisions rather than mitigating them (Cunningham &amp; Samson, 2021)</w:t>
      </w:r>
      <w:r w:rsidR="00B44712" w:rsidRPr="0003145B">
        <w:t xml:space="preserve">, suggesting further research around critical theory (Devlin, 2014) in respect of low-SES may provide </w:t>
      </w:r>
      <w:r w:rsidR="000A35C2" w:rsidRPr="0003145B">
        <w:t>more significant</w:t>
      </w:r>
      <w:r w:rsidR="00B44712" w:rsidRPr="0003145B">
        <w:t xml:space="preserve"> insights</w:t>
      </w:r>
      <w:r w:rsidR="000A35C2" w:rsidRPr="0003145B">
        <w:t>.</w:t>
      </w:r>
    </w:p>
    <w:p w14:paraId="3A803A8C" w14:textId="1D95D0E3" w:rsidR="00DA34D5" w:rsidRPr="0003145B" w:rsidRDefault="00B44712" w:rsidP="006171B0">
      <w:pPr>
        <w:spacing w:line="360" w:lineRule="auto"/>
      </w:pPr>
      <w:r w:rsidRPr="0003145B">
        <w:t>The research</w:t>
      </w:r>
      <w:r w:rsidR="006C2655" w:rsidRPr="0003145B">
        <w:t xml:space="preserve"> </w:t>
      </w:r>
      <w:r w:rsidRPr="0003145B">
        <w:t xml:space="preserve">of the 10 papers </w:t>
      </w:r>
      <w:r w:rsidR="006C2655" w:rsidRPr="0003145B">
        <w:t>lacks consensus on the effectiveness of interventions, with discrepancies between studies focusing on immediate support and those advocating systemic reforms (Ahn &amp; Davis, 20</w:t>
      </w:r>
      <w:r w:rsidR="00023CF8">
        <w:t>20</w:t>
      </w:r>
      <w:r w:rsidR="006C2655" w:rsidRPr="0003145B">
        <w:t xml:space="preserve">; Reay, 2021). Intersectionality is insufficiently explored, particularly regarding </w:t>
      </w:r>
      <w:r w:rsidR="00BD199F" w:rsidRPr="0003145B">
        <w:t xml:space="preserve">potential </w:t>
      </w:r>
      <w:r w:rsidR="006C2655" w:rsidRPr="0003145B">
        <w:t>disadvantages related to race, gender, and geographic location (</w:t>
      </w:r>
      <w:r w:rsidR="00023CF8" w:rsidRPr="0003145B">
        <w:t>Reay, 2021</w:t>
      </w:r>
      <w:r w:rsidR="00023CF8">
        <w:t xml:space="preserve">; </w:t>
      </w:r>
      <w:r w:rsidR="006C2655" w:rsidRPr="0003145B">
        <w:t xml:space="preserve">Tan, 202). Methodological </w:t>
      </w:r>
      <w:r w:rsidR="00BD199F" w:rsidRPr="0003145B">
        <w:t>differences</w:t>
      </w:r>
      <w:r w:rsidR="006C2655" w:rsidRPr="0003145B">
        <w:t>, quantitative versus qualitative approaches, further complicate efforts to develop cohesive</w:t>
      </w:r>
      <w:r w:rsidR="00BD199F" w:rsidRPr="0003145B">
        <w:t xml:space="preserve"> and agreed</w:t>
      </w:r>
      <w:r w:rsidR="006C2655" w:rsidRPr="0003145B">
        <w:t xml:space="preserve"> strategies for addressing SES disparities (</w:t>
      </w:r>
      <w:r w:rsidR="001E39B1" w:rsidRPr="0003145B">
        <w:t>Bakour, 2024</w:t>
      </w:r>
      <w:r w:rsidR="001E39B1">
        <w:t xml:space="preserve">; </w:t>
      </w:r>
      <w:r w:rsidR="006C2655" w:rsidRPr="0003145B">
        <w:t>Britton et al., 202</w:t>
      </w:r>
      <w:r w:rsidR="001E39B1">
        <w:t>1</w:t>
      </w:r>
      <w:r w:rsidR="006C2655" w:rsidRPr="0003145B">
        <w:t>).</w:t>
      </w:r>
      <w:r w:rsidR="00DA34D5" w:rsidRPr="0003145B">
        <w:t xml:space="preserve"> </w:t>
      </w:r>
    </w:p>
    <w:p w14:paraId="45E59D36" w14:textId="4BCEAA80" w:rsidR="00DA34D5" w:rsidRPr="0003145B" w:rsidRDefault="00BD199F" w:rsidP="006171B0">
      <w:pPr>
        <w:spacing w:line="360" w:lineRule="auto"/>
      </w:pPr>
      <w:r w:rsidRPr="0003145B">
        <w:t>The f</w:t>
      </w:r>
      <w:r w:rsidR="006C2655" w:rsidRPr="0003145B">
        <w:t xml:space="preserve">indings </w:t>
      </w:r>
      <w:r w:rsidRPr="0003145B">
        <w:t xml:space="preserve">do </w:t>
      </w:r>
      <w:r w:rsidR="006C2655" w:rsidRPr="0003145B">
        <w:t xml:space="preserve">highlight the </w:t>
      </w:r>
      <w:r w:rsidRPr="0003145B">
        <w:t>importance</w:t>
      </w:r>
      <w:r w:rsidR="006C2655" w:rsidRPr="0003145B">
        <w:t xml:space="preserve"> of embedding </w:t>
      </w:r>
      <w:r w:rsidRPr="0003145B">
        <w:t xml:space="preserve">specific </w:t>
      </w:r>
      <w:r w:rsidR="006C2655" w:rsidRPr="0003145B">
        <w:t xml:space="preserve">equity-focused frameworks within </w:t>
      </w:r>
      <w:r w:rsidR="008958DE">
        <w:t>HE</w:t>
      </w:r>
      <w:r w:rsidR="006C2655" w:rsidRPr="0003145B">
        <w:t xml:space="preserve"> policy and practice. </w:t>
      </w:r>
      <w:r w:rsidRPr="0003145B">
        <w:t>The q</w:t>
      </w:r>
      <w:r w:rsidR="006C2655" w:rsidRPr="0003145B">
        <w:t xml:space="preserve">uantitative </w:t>
      </w:r>
      <w:r w:rsidRPr="0003145B">
        <w:t xml:space="preserve">studies do provide </w:t>
      </w:r>
      <w:r w:rsidR="006C2655" w:rsidRPr="0003145B">
        <w:t xml:space="preserve">insight </w:t>
      </w:r>
      <w:r w:rsidRPr="0003145B">
        <w:t xml:space="preserve">through data required </w:t>
      </w:r>
      <w:r w:rsidR="006C2655" w:rsidRPr="0003145B">
        <w:t>for large-scale interventions</w:t>
      </w:r>
      <w:r w:rsidRPr="0003145B">
        <w:t>, such as future government policy and practice</w:t>
      </w:r>
      <w:r w:rsidR="006C2655" w:rsidRPr="0003145B">
        <w:t xml:space="preserve"> (Mateos-González &amp; Wakeling, 2021), while </w:t>
      </w:r>
      <w:r w:rsidRPr="0003145B">
        <w:t xml:space="preserve">the </w:t>
      </w:r>
      <w:r w:rsidR="006C2655" w:rsidRPr="0003145B">
        <w:t xml:space="preserve">qualitative research </w:t>
      </w:r>
      <w:r w:rsidRPr="0003145B">
        <w:t>(</w:t>
      </w:r>
      <w:r w:rsidR="008141DE" w:rsidRPr="0003145B">
        <w:t>Cunningham &amp; Samson, 2021</w:t>
      </w:r>
      <w:r w:rsidR="008141DE">
        <w:t xml:space="preserve">; </w:t>
      </w:r>
      <w:r w:rsidRPr="0003145B">
        <w:t>Reay, 2021</w:t>
      </w:r>
      <w:proofErr w:type="gramStart"/>
      <w:r w:rsidRPr="0003145B">
        <w:t>; )</w:t>
      </w:r>
      <w:proofErr w:type="gramEnd"/>
      <w:r w:rsidRPr="0003145B">
        <w:t xml:space="preserve"> helps understand individual experiences, arguably more suited to allow </w:t>
      </w:r>
      <w:r w:rsidR="008B65D9" w:rsidRPr="0003145B">
        <w:t xml:space="preserve">individual </w:t>
      </w:r>
      <w:r w:rsidRPr="0003145B">
        <w:t>organisations to address specific,</w:t>
      </w:r>
      <w:r w:rsidR="006C2655" w:rsidRPr="0003145B">
        <w:t xml:space="preserve"> realities of low-SES. </w:t>
      </w:r>
    </w:p>
    <w:p w14:paraId="2363B838" w14:textId="5694F78F" w:rsidR="006C2655" w:rsidRPr="0003145B" w:rsidRDefault="00124249" w:rsidP="006171B0">
      <w:pPr>
        <w:spacing w:line="360" w:lineRule="auto"/>
      </w:pPr>
      <w:r w:rsidRPr="0003145B">
        <w:t>Therefore, the challenge to allow for a more holistic analysis of the SES equity in HE is</w:t>
      </w:r>
      <w:r w:rsidR="00BD199F" w:rsidRPr="0003145B">
        <w:t xml:space="preserve"> to fully utilise both methodologies, </w:t>
      </w:r>
      <w:r w:rsidRPr="0003145B">
        <w:t xml:space="preserve">subsequently </w:t>
      </w:r>
      <w:r w:rsidR="00BD199F" w:rsidRPr="0003145B">
        <w:t xml:space="preserve">enhancing </w:t>
      </w:r>
      <w:r w:rsidR="000A35C2" w:rsidRPr="0003145B">
        <w:t xml:space="preserve">theoretical understanding and thus providing more effective interventions that address </w:t>
      </w:r>
      <w:r w:rsidR="006C2655" w:rsidRPr="0003145B">
        <w:t xml:space="preserve">individual and structural </w:t>
      </w:r>
      <w:r w:rsidR="00A92E41" w:rsidRPr="0003145B">
        <w:t>factors</w:t>
      </w:r>
      <w:r w:rsidR="006C2655" w:rsidRPr="0003145B">
        <w:t xml:space="preserve"> </w:t>
      </w:r>
      <w:r w:rsidRPr="0003145B">
        <w:t>(</w:t>
      </w:r>
      <w:proofErr w:type="spellStart"/>
      <w:r w:rsidRPr="0003145B">
        <w:t>Tinmans</w:t>
      </w:r>
      <w:proofErr w:type="spellEnd"/>
      <w:r w:rsidRPr="0003145B">
        <w:t xml:space="preserve"> </w:t>
      </w:r>
      <w:r w:rsidR="00D7427A" w:rsidRPr="0003145B">
        <w:t>et al</w:t>
      </w:r>
      <w:r w:rsidRPr="0003145B">
        <w:t>., 2019</w:t>
      </w:r>
      <w:r w:rsidR="006C2655" w:rsidRPr="0003145B">
        <w:t>).</w:t>
      </w:r>
    </w:p>
    <w:p w14:paraId="362F3FC7" w14:textId="0F091925" w:rsidR="00DA34D5" w:rsidRPr="0003145B" w:rsidRDefault="00124249" w:rsidP="006171B0">
      <w:pPr>
        <w:spacing w:line="360" w:lineRule="auto"/>
      </w:pPr>
      <w:r w:rsidRPr="0003145B">
        <w:t>Mixed-methods approaches that integrate large-scale datasets with interviews or focus groups would better be able to connect systemic trends with personal experiences, enhancing studies such as Britton et al.</w:t>
      </w:r>
      <w:r w:rsidR="001E39B1">
        <w:t xml:space="preserve"> (2021)</w:t>
      </w:r>
      <w:r w:rsidRPr="0003145B">
        <w:t xml:space="preserve">, for example by exploring how low-SES students face mobility barriers. </w:t>
      </w:r>
      <w:r w:rsidR="00DA34D5" w:rsidRPr="0003145B">
        <w:t>C</w:t>
      </w:r>
      <w:r w:rsidR="00DA34D5" w:rsidRPr="00DA34D5">
        <w:t xml:space="preserve">ombining large-scale datasets with qualitative narratives to provide a more comprehensive understanding of inequalities in SES </w:t>
      </w:r>
      <w:r w:rsidR="00DA34D5" w:rsidRPr="0003145B">
        <w:t xml:space="preserve">would provide a more comprehensive level of research </w:t>
      </w:r>
      <w:r w:rsidR="00DA34D5" w:rsidRPr="00DA34D5">
        <w:t>(Stahl, et</w:t>
      </w:r>
      <w:r w:rsidR="007F48B0">
        <w:t xml:space="preserve"> </w:t>
      </w:r>
      <w:r w:rsidR="00DA34D5" w:rsidRPr="00DA34D5">
        <w:t xml:space="preserve">al., 2019). </w:t>
      </w:r>
    </w:p>
    <w:p w14:paraId="424161F4" w14:textId="6D93C283" w:rsidR="0003145B" w:rsidRPr="0003145B" w:rsidRDefault="000A35C2" w:rsidP="006171B0">
      <w:pPr>
        <w:spacing w:line="360" w:lineRule="auto"/>
      </w:pPr>
      <w:r w:rsidRPr="0003145B">
        <w:lastRenderedPageBreak/>
        <w:t xml:space="preserve">Again, the greater use of longitudinal studies would provide the level of understanding needed to assess the lasting impact of interventions and systemic barriers. Arguably more costly, </w:t>
      </w:r>
      <w:r w:rsidR="00D7427A" w:rsidRPr="0003145B">
        <w:t>time-consuming</w:t>
      </w:r>
      <w:r w:rsidRPr="0003145B">
        <w:t xml:space="preserve"> and has the risk of individual dropouts,</w:t>
      </w:r>
      <w:r w:rsidR="00D7427A" w:rsidRPr="0003145B">
        <w:t xml:space="preserve"> it offers better insight of phenomena widely separated over time (Hakim, 19</w:t>
      </w:r>
      <w:r w:rsidR="00A24CA5">
        <w:t>8</w:t>
      </w:r>
      <w:r w:rsidR="00D7427A" w:rsidRPr="0003145B">
        <w:t>7</w:t>
      </w:r>
      <w:r w:rsidR="0003145B" w:rsidRPr="0003145B">
        <w:t xml:space="preserve">; Hermanowicz, 2016) and better </w:t>
      </w:r>
      <w:r w:rsidR="005F5F5D" w:rsidRPr="0003145B">
        <w:t>guide effective policy development (Hill et al.</w:t>
      </w:r>
      <w:r w:rsidR="0003454A" w:rsidRPr="0003145B">
        <w:t>, 2015)</w:t>
      </w:r>
      <w:r w:rsidR="003A3D71">
        <w:t>.</w:t>
      </w:r>
    </w:p>
    <w:p w14:paraId="6B563A02" w14:textId="25B90015" w:rsidR="00DA34D5" w:rsidRPr="0003145B" w:rsidRDefault="00124249" w:rsidP="006171B0">
      <w:pPr>
        <w:spacing w:line="360" w:lineRule="auto"/>
      </w:pPr>
      <w:r w:rsidRPr="0003145B">
        <w:t>Ethical considerations</w:t>
      </w:r>
      <w:r w:rsidR="0003454A" w:rsidRPr="0003145B">
        <w:t xml:space="preserve"> are considered in </w:t>
      </w:r>
      <w:proofErr w:type="gramStart"/>
      <w:r w:rsidR="0003454A" w:rsidRPr="0003145B">
        <w:t>all of</w:t>
      </w:r>
      <w:proofErr w:type="gramEnd"/>
      <w:r w:rsidR="0003454A" w:rsidRPr="0003145B">
        <w:t xml:space="preserve"> the research. However, axiologically, areas relating to cultural inclusion, cultural assumptions, and awareness of the psychological effects of exclusion are absent in </w:t>
      </w:r>
      <w:proofErr w:type="gramStart"/>
      <w:r w:rsidR="0003454A" w:rsidRPr="0003145B">
        <w:t>the majority of</w:t>
      </w:r>
      <w:proofErr w:type="gramEnd"/>
      <w:r w:rsidR="0003454A" w:rsidRPr="0003145B">
        <w:t xml:space="preserve"> </w:t>
      </w:r>
      <w:r w:rsidR="005F5F5D" w:rsidRPr="0003145B">
        <w:t>the literature</w:t>
      </w:r>
      <w:r w:rsidR="0003454A" w:rsidRPr="0003145B">
        <w:t>. This is more prominent in the quantitative research</w:t>
      </w:r>
      <w:r w:rsidR="005F5F5D" w:rsidRPr="0003145B">
        <w:t xml:space="preserve"> papers</w:t>
      </w:r>
      <w:r w:rsidR="0003454A" w:rsidRPr="0003145B">
        <w:t xml:space="preserve">. However, the importance of qualitative, phenomenological approaches, not least given the lack of assumed </w:t>
      </w:r>
      <w:r w:rsidR="005F5F5D" w:rsidRPr="0003145B">
        <w:t xml:space="preserve">intrinsic </w:t>
      </w:r>
      <w:r w:rsidR="0003454A" w:rsidRPr="0003145B">
        <w:t xml:space="preserve">experience of low-SES </w:t>
      </w:r>
      <w:r w:rsidR="005F5F5D" w:rsidRPr="0003145B">
        <w:t>that may exist within those carrying out research, should not be overlooked if the findings are to be meaningful and actionable (Woodland et al., 2021).</w:t>
      </w:r>
    </w:p>
    <w:p w14:paraId="439F094C" w14:textId="5F78CD8A" w:rsidR="006C2655" w:rsidRPr="0003145B" w:rsidRDefault="0042005C" w:rsidP="006171B0">
      <w:pPr>
        <w:spacing w:line="360" w:lineRule="auto"/>
      </w:pPr>
      <w:r w:rsidRPr="0003145B">
        <w:t>A number of the research papers would benefit from the incorporation of intersectional analysis (Britton et al., 202</w:t>
      </w:r>
      <w:r w:rsidR="003D2C47">
        <w:t>1</w:t>
      </w:r>
      <w:proofErr w:type="gramStart"/>
      <w:r w:rsidRPr="0003145B">
        <w:t>;</w:t>
      </w:r>
      <w:r w:rsidR="00A24CA5">
        <w:t xml:space="preserve"> </w:t>
      </w:r>
      <w:r w:rsidRPr="0003145B">
        <w:t>;</w:t>
      </w:r>
      <w:proofErr w:type="gramEnd"/>
      <w:r w:rsidRPr="0003145B">
        <w:t xml:space="preserve"> Cunningham &amp; Samson, 2021; Reay, 2021</w:t>
      </w:r>
      <w:r w:rsidR="00A24CA5">
        <w:t xml:space="preserve">; </w:t>
      </w:r>
      <w:r w:rsidR="00A24CA5" w:rsidRPr="0003145B">
        <w:t>Wanti et al., 2022</w:t>
      </w:r>
      <w:r w:rsidRPr="0003145B">
        <w:t>). Expanding these studies to include considerations of race, gender, and geographic location would deepen the understanding of broader systemic inequities and be better able to analyse the causes of SES inequality (Harris &amp; Leonardo, 2018; Evans-Winters &amp; Esposito, 2019; Hopkins, 2024</w:t>
      </w:r>
      <w:r w:rsidR="00214ADC" w:rsidRPr="0003145B">
        <w:t>).</w:t>
      </w:r>
      <w:r w:rsidR="00364907" w:rsidRPr="0003145B">
        <w:t xml:space="preserve"> Specifically</w:t>
      </w:r>
      <w:r w:rsidR="00124249" w:rsidRPr="0003145B">
        <w:t xml:space="preserve">, </w:t>
      </w:r>
      <w:r w:rsidR="00364907" w:rsidRPr="0003145B">
        <w:t>i</w:t>
      </w:r>
      <w:r w:rsidR="006C2655" w:rsidRPr="0003145B">
        <w:t xml:space="preserve">ncorporating </w:t>
      </w:r>
      <w:r w:rsidR="00364907" w:rsidRPr="0003145B">
        <w:t>‘</w:t>
      </w:r>
      <w:r w:rsidR="006C2655" w:rsidRPr="0003145B">
        <w:t>culturally inclusive metrics</w:t>
      </w:r>
      <w:r w:rsidR="00364907" w:rsidRPr="0003145B">
        <w:t xml:space="preserve">’ and </w:t>
      </w:r>
      <w:r w:rsidR="00124249" w:rsidRPr="0003145B">
        <w:t>culturally captured qualitative findings would</w:t>
      </w:r>
      <w:r w:rsidR="006C2655" w:rsidRPr="0003145B">
        <w:t xml:space="preserve"> </w:t>
      </w:r>
      <w:r w:rsidR="00124249" w:rsidRPr="0003145B">
        <w:t>improve</w:t>
      </w:r>
      <w:r w:rsidR="006C2655" w:rsidRPr="0003145B">
        <w:t xml:space="preserve"> equity-focused </w:t>
      </w:r>
      <w:r w:rsidR="00124249" w:rsidRPr="0003145B">
        <w:t xml:space="preserve">findings and outcomes </w:t>
      </w:r>
      <w:r w:rsidR="00364907" w:rsidRPr="0003145B">
        <w:t>(Gatland</w:t>
      </w:r>
      <w:r w:rsidR="00A640B8">
        <w:t xml:space="preserve"> et al.</w:t>
      </w:r>
      <w:r w:rsidR="00364907" w:rsidRPr="0003145B">
        <w:t>, 2022; Means, 2024)</w:t>
      </w:r>
      <w:r w:rsidR="00124249" w:rsidRPr="0003145B">
        <w:t>.</w:t>
      </w:r>
    </w:p>
    <w:p w14:paraId="51C2B9E4" w14:textId="47E2051D" w:rsidR="008E5389" w:rsidRPr="0003145B" w:rsidRDefault="0042005C" w:rsidP="006171B0">
      <w:pPr>
        <w:spacing w:line="360" w:lineRule="auto"/>
      </w:pPr>
      <w:r w:rsidRPr="0003145B">
        <w:t>S</w:t>
      </w:r>
      <w:r w:rsidR="006C2655" w:rsidRPr="0003145B">
        <w:t>ome papers rely heavily on secondary data (</w:t>
      </w:r>
      <w:bookmarkStart w:id="27" w:name="_Hlk188124866"/>
      <w:r w:rsidR="006C2655" w:rsidRPr="0003145B">
        <w:t>Britton et al., 202</w:t>
      </w:r>
      <w:r w:rsidR="00483A08">
        <w:t>1</w:t>
      </w:r>
      <w:r w:rsidR="006C2655" w:rsidRPr="0003145B">
        <w:t>; Wanti et al., 2022; Cunningham &amp; Samson, 2021; Aina et al., 2022; Tan, 2024</w:t>
      </w:r>
      <w:bookmarkEnd w:id="27"/>
      <w:r w:rsidR="006C2655" w:rsidRPr="0003145B">
        <w:t xml:space="preserve">). </w:t>
      </w:r>
      <w:r w:rsidR="00011B97" w:rsidRPr="0003145B">
        <w:t>In a social sciences domain, the use of secondary data is ‘abundant’ across a wide range of international and national organisations,</w:t>
      </w:r>
      <w:r w:rsidR="00765298" w:rsidRPr="0003145B">
        <w:t xml:space="preserve"> </w:t>
      </w:r>
      <w:r w:rsidR="00011B97" w:rsidRPr="0003145B">
        <w:t xml:space="preserve">given the high level of government and large-sized organisations developing policy for often high numbers of individuals across a spectrum of fields (Li &amp; Zhang, 2022). </w:t>
      </w:r>
      <w:r w:rsidR="00765298" w:rsidRPr="0003145B">
        <w:t>Indeed,</w:t>
      </w:r>
      <w:r w:rsidR="00B47EA5" w:rsidRPr="0003145B">
        <w:t xml:space="preserve"> as an example of ‘management’ research</w:t>
      </w:r>
      <w:r w:rsidR="00D7427A" w:rsidRPr="0003145B">
        <w:t>,</w:t>
      </w:r>
      <w:r w:rsidR="00765298" w:rsidRPr="0003145B">
        <w:t xml:space="preserve"> there has been a significant decrease in the use of primary data in the last 50 years a</w:t>
      </w:r>
      <w:r w:rsidR="00B47EA5" w:rsidRPr="0003145B">
        <w:t>t</w:t>
      </w:r>
      <w:r w:rsidR="00765298" w:rsidRPr="0003145B">
        <w:t xml:space="preserve"> the expense of individual-level research (Nielsen </w:t>
      </w:r>
      <w:r w:rsidR="00B47EA5" w:rsidRPr="0003145B">
        <w:t>et al.,</w:t>
      </w:r>
      <w:r w:rsidR="00765298" w:rsidRPr="0003145B">
        <w:t xml:space="preserve"> 2020). </w:t>
      </w:r>
    </w:p>
    <w:p w14:paraId="44A1670A" w14:textId="7410B92B" w:rsidR="008E5389" w:rsidRPr="0003145B" w:rsidRDefault="00D14398" w:rsidP="006171B0">
      <w:pPr>
        <w:spacing w:line="360" w:lineRule="auto"/>
      </w:pPr>
      <w:r>
        <w:lastRenderedPageBreak/>
        <w:t>It is easy to see why s</w:t>
      </w:r>
      <w:r w:rsidR="00D7427A" w:rsidRPr="0003145B">
        <w:t xml:space="preserve">econdary data research </w:t>
      </w:r>
      <w:r>
        <w:t xml:space="preserve">is often preferred, not least with </w:t>
      </w:r>
      <w:r w:rsidR="00072E2D">
        <w:t xml:space="preserve">the </w:t>
      </w:r>
      <w:r w:rsidR="00D7427A" w:rsidRPr="0003145B">
        <w:t>advantage</w:t>
      </w:r>
      <w:r w:rsidR="00072E2D">
        <w:t xml:space="preserve"> of</w:t>
      </w:r>
      <w:r w:rsidR="008E5389" w:rsidRPr="0003145B">
        <w:t xml:space="preserve"> </w:t>
      </w:r>
      <w:r w:rsidR="007B6B67" w:rsidRPr="0003145B">
        <w:t xml:space="preserve">increasing </w:t>
      </w:r>
      <w:r w:rsidR="00072E2D">
        <w:t xml:space="preserve">amounts data now available, increasing avenues of access </w:t>
      </w:r>
      <w:r w:rsidR="007B6B67" w:rsidRPr="0003145B">
        <w:t xml:space="preserve">to online data, </w:t>
      </w:r>
      <w:r w:rsidR="00072E2D">
        <w:t xml:space="preserve">lower </w:t>
      </w:r>
      <w:r w:rsidR="007B6B67" w:rsidRPr="0003145B">
        <w:t>cost</w:t>
      </w:r>
      <w:r w:rsidR="00072E2D">
        <w:t>s</w:t>
      </w:r>
      <w:r w:rsidR="007B6B67" w:rsidRPr="0003145B">
        <w:t xml:space="preserve"> and </w:t>
      </w:r>
      <w:proofErr w:type="gramStart"/>
      <w:r w:rsidR="007B6B67" w:rsidRPr="0003145B">
        <w:t>time</w:t>
      </w:r>
      <w:r w:rsidR="00072E2D">
        <w:t>-saving</w:t>
      </w:r>
      <w:proofErr w:type="gramEnd"/>
      <w:r w:rsidR="007B6B67" w:rsidRPr="0003145B">
        <w:t xml:space="preserve"> (Lefever et al., 2006). </w:t>
      </w:r>
    </w:p>
    <w:p w14:paraId="26DFE0F4" w14:textId="1138F8CC" w:rsidR="008E5389" w:rsidRPr="0003145B" w:rsidRDefault="00B86CFD" w:rsidP="006171B0">
      <w:pPr>
        <w:spacing w:line="360" w:lineRule="auto"/>
      </w:pPr>
      <w:r w:rsidRPr="0003145B">
        <w:t xml:space="preserve">However primary data collection </w:t>
      </w:r>
      <w:r w:rsidR="008E5389" w:rsidRPr="0003145B">
        <w:t xml:space="preserve">can provide </w:t>
      </w:r>
      <w:r w:rsidRPr="0003145B">
        <w:t xml:space="preserve">more depth, a </w:t>
      </w:r>
      <w:r w:rsidR="00D7427A" w:rsidRPr="0003145B">
        <w:t>rich</w:t>
      </w:r>
      <w:r w:rsidR="008E5389" w:rsidRPr="0003145B">
        <w:t xml:space="preserve">er </w:t>
      </w:r>
      <w:r w:rsidR="00D7427A" w:rsidRPr="0003145B">
        <w:t>context (Cyr, 2024).</w:t>
      </w:r>
      <w:r w:rsidR="008E5389" w:rsidRPr="0003145B">
        <w:t xml:space="preserve"> It can minimise researcher selection bias, such as apophenia (see patterns in random data), confirmation bias (focus on evidence that is consistent with one’s beliefs) and hindsight bias (the tendency to view past events as predictable) can lead to HARK-</w:t>
      </w:r>
      <w:proofErr w:type="spellStart"/>
      <w:r w:rsidR="008E5389" w:rsidRPr="0003145B">
        <w:t>ing</w:t>
      </w:r>
      <w:proofErr w:type="spellEnd"/>
      <w:r w:rsidR="008E5389" w:rsidRPr="0003145B">
        <w:t xml:space="preserve"> (hypothesising after the facts are known) so that observed results appear more compelling (Greenland, 2017).</w:t>
      </w:r>
    </w:p>
    <w:p w14:paraId="70BA0C62" w14:textId="576DB6F1" w:rsidR="00011B97" w:rsidRPr="0003145B" w:rsidRDefault="00B86CFD" w:rsidP="006171B0">
      <w:pPr>
        <w:spacing w:line="360" w:lineRule="auto"/>
      </w:pPr>
      <w:r w:rsidRPr="0003145B">
        <w:t>Consequently, t</w:t>
      </w:r>
      <w:r w:rsidR="006C2655" w:rsidRPr="0003145B">
        <w:t>h</w:t>
      </w:r>
      <w:r w:rsidRPr="0003145B">
        <w:t>ose studies primarily reliant on secondary data (</w:t>
      </w:r>
      <w:r w:rsidR="00A640B8" w:rsidRPr="0003145B">
        <w:t>Aina et al., 2022</w:t>
      </w:r>
      <w:r w:rsidR="00A640B8">
        <w:t xml:space="preserve">; </w:t>
      </w:r>
      <w:r w:rsidRPr="0003145B">
        <w:t>Britton et al., 202</w:t>
      </w:r>
      <w:r w:rsidR="00483A08">
        <w:t>1</w:t>
      </w:r>
      <w:r w:rsidRPr="0003145B">
        <w:t xml:space="preserve">; </w:t>
      </w:r>
      <w:r w:rsidR="00A640B8" w:rsidRPr="0003145B">
        <w:t>Cunningham &amp; Samson, 2021</w:t>
      </w:r>
      <w:proofErr w:type="gramStart"/>
      <w:r w:rsidR="00A640B8">
        <w:t xml:space="preserve">; </w:t>
      </w:r>
      <w:r w:rsidRPr="0003145B">
        <w:t>;</w:t>
      </w:r>
      <w:proofErr w:type="gramEnd"/>
      <w:r w:rsidRPr="0003145B">
        <w:t xml:space="preserve"> Tan, 2024</w:t>
      </w:r>
      <w:r w:rsidR="00A640B8">
        <w:t xml:space="preserve">; </w:t>
      </w:r>
      <w:r w:rsidR="00A640B8" w:rsidRPr="0003145B">
        <w:t>Wanti et al., 2022</w:t>
      </w:r>
      <w:r w:rsidRPr="0003145B">
        <w:t>)</w:t>
      </w:r>
      <w:r w:rsidR="006C2655" w:rsidRPr="0003145B">
        <w:t xml:space="preserve"> would benefit from incorporating primary data collection, particularly through interviews or focus groups, to provide </w:t>
      </w:r>
      <w:r w:rsidRPr="0003145B">
        <w:t xml:space="preserve">a more holistic, more complex understanding that can identify </w:t>
      </w:r>
      <w:r w:rsidR="006C2655" w:rsidRPr="0003145B">
        <w:t>and address gaps in their analyses</w:t>
      </w:r>
      <w:r w:rsidR="00B47EA5" w:rsidRPr="0003145B">
        <w:t xml:space="preserve"> (Cyr, 2024).</w:t>
      </w:r>
    </w:p>
    <w:p w14:paraId="0F35B397" w14:textId="57755324" w:rsidR="00193A71" w:rsidRPr="0003145B" w:rsidRDefault="006C2655" w:rsidP="006171B0">
      <w:pPr>
        <w:spacing w:line="360" w:lineRule="auto"/>
      </w:pPr>
      <w:r w:rsidRPr="0003145B">
        <w:t xml:space="preserve">Understanding the </w:t>
      </w:r>
      <w:r w:rsidR="00BA5C7C" w:rsidRPr="0003145B">
        <w:t>complex</w:t>
      </w:r>
      <w:r w:rsidRPr="0003145B">
        <w:t xml:space="preserve">, diverse, and </w:t>
      </w:r>
      <w:r w:rsidR="00BA5C7C" w:rsidRPr="0003145B">
        <w:t xml:space="preserve">multidimensional impact of SES on </w:t>
      </w:r>
      <w:r w:rsidR="008958DE">
        <w:t>HE</w:t>
      </w:r>
      <w:r w:rsidR="00BA5C7C" w:rsidRPr="0003145B">
        <w:t xml:space="preserve"> is complicated and challenging. This is illustrated by the diverse ontological, epistemological, and axiological perspectives</w:t>
      </w:r>
      <w:r w:rsidR="000A35C2" w:rsidRPr="0003145B">
        <w:t xml:space="preserve">, </w:t>
      </w:r>
      <w:r w:rsidR="00193A71" w:rsidRPr="0003145B">
        <w:t>approaches, limitations,</w:t>
      </w:r>
      <w:r w:rsidRPr="0003145B">
        <w:t xml:space="preserve"> and conclusions reached by the </w:t>
      </w:r>
      <w:r w:rsidR="000A35C2" w:rsidRPr="0003145B">
        <w:t xml:space="preserve">wide </w:t>
      </w:r>
      <w:r w:rsidRPr="0003145B">
        <w:t xml:space="preserve">range of </w:t>
      </w:r>
      <w:r w:rsidR="000A35C2" w:rsidRPr="0003145B">
        <w:t xml:space="preserve">different </w:t>
      </w:r>
      <w:r w:rsidRPr="0003145B">
        <w:t xml:space="preserve">research in this review. However, </w:t>
      </w:r>
      <w:r w:rsidR="000A35C2" w:rsidRPr="0003145B">
        <w:t xml:space="preserve">finding a solution to that problem </w:t>
      </w:r>
      <w:r w:rsidRPr="0003145B">
        <w:t>is critical if low-SES individuals are to receive equitable access and outcomes</w:t>
      </w:r>
      <w:r w:rsidR="000A35C2" w:rsidRPr="0003145B">
        <w:t xml:space="preserve"> in HE organisations.</w:t>
      </w:r>
    </w:p>
    <w:p w14:paraId="14B44DC3" w14:textId="607E09CA" w:rsidR="00CD1602" w:rsidRPr="00F77F5A" w:rsidRDefault="006C2655" w:rsidP="006171B0">
      <w:pPr>
        <w:spacing w:line="360" w:lineRule="auto"/>
        <w:rPr>
          <w:color w:val="000000" w:themeColor="text1"/>
        </w:rPr>
      </w:pPr>
      <w:r w:rsidRPr="0003145B">
        <w:t xml:space="preserve">While substantial progress has been made, not least by the increase in low-SES students within HE in the last 40 years, high-SES students are still 3 times more likely to attend a high-status university than low-SES students (Hannon </w:t>
      </w:r>
      <w:r w:rsidR="00D7427A" w:rsidRPr="0003145B">
        <w:t>et al.</w:t>
      </w:r>
      <w:r w:rsidRPr="0003145B">
        <w:t xml:space="preserve">, 2017), with only </w:t>
      </w:r>
      <w:r w:rsidR="00193A71" w:rsidRPr="0003145B">
        <w:t>one</w:t>
      </w:r>
      <w:r w:rsidRPr="0003145B">
        <w:t xml:space="preserve"> in 20 enrolments of low-SES at selective HE institutions (</w:t>
      </w:r>
      <w:proofErr w:type="spellStart"/>
      <w:r w:rsidRPr="0003145B">
        <w:t>Jerrim</w:t>
      </w:r>
      <w:proofErr w:type="spellEnd"/>
      <w:r w:rsidRPr="0003145B">
        <w:t>, 2013</w:t>
      </w:r>
      <w:r w:rsidRPr="00416118">
        <w:rPr>
          <w:color w:val="000000" w:themeColor="text1"/>
        </w:rPr>
        <w:t>).</w:t>
      </w:r>
      <w:r w:rsidRPr="009F6096">
        <w:rPr>
          <w:color w:val="FF0000"/>
        </w:rPr>
        <w:t xml:space="preserve"> </w:t>
      </w:r>
      <w:r w:rsidRPr="00F77F5A">
        <w:rPr>
          <w:color w:val="000000" w:themeColor="text1"/>
        </w:rPr>
        <w:t>Th</w:t>
      </w:r>
      <w:r w:rsidR="00F77F5A" w:rsidRPr="00F77F5A">
        <w:rPr>
          <w:color w:val="000000" w:themeColor="text1"/>
        </w:rPr>
        <w:t>ese continuing inequalities</w:t>
      </w:r>
      <w:r w:rsidRPr="00F77F5A">
        <w:rPr>
          <w:color w:val="000000" w:themeColor="text1"/>
        </w:rPr>
        <w:t xml:space="preserve"> highlight the importance of continued research and reform, advancing equity in education, demanding sustained commitment to systemic change and individual support, and ensuring opportunities for all students to thrive</w:t>
      </w:r>
      <w:r w:rsidR="00BA5C7C" w:rsidRPr="00F77F5A">
        <w:rPr>
          <w:color w:val="000000" w:themeColor="text1"/>
        </w:rPr>
        <w:t xml:space="preserve"> and succeed, but just as importantly, </w:t>
      </w:r>
      <w:r w:rsidR="00F77F5A" w:rsidRPr="00F77F5A">
        <w:rPr>
          <w:color w:val="000000" w:themeColor="text1"/>
        </w:rPr>
        <w:t xml:space="preserve">policies </w:t>
      </w:r>
      <w:r w:rsidR="00BA5C7C" w:rsidRPr="00F77F5A">
        <w:rPr>
          <w:color w:val="000000" w:themeColor="text1"/>
        </w:rPr>
        <w:t xml:space="preserve">based on research </w:t>
      </w:r>
      <w:r w:rsidR="00F77F5A" w:rsidRPr="00F77F5A">
        <w:rPr>
          <w:color w:val="000000" w:themeColor="text1"/>
        </w:rPr>
        <w:t xml:space="preserve">that is </w:t>
      </w:r>
      <w:r w:rsidR="00BA5C7C" w:rsidRPr="00F77F5A">
        <w:rPr>
          <w:color w:val="000000" w:themeColor="text1"/>
        </w:rPr>
        <w:t>fit for purpose (OECD, 2025).</w:t>
      </w:r>
    </w:p>
    <w:p w14:paraId="794192DB" w14:textId="478EB0BC" w:rsidR="00663E3E" w:rsidRDefault="001D7135" w:rsidP="002B7689">
      <w:pPr>
        <w:pStyle w:val="Heading1"/>
      </w:pPr>
      <w:bookmarkStart w:id="28" w:name="_Toc188210504"/>
      <w:r w:rsidRPr="00591D4E">
        <w:lastRenderedPageBreak/>
        <w:t>References</w:t>
      </w:r>
      <w:bookmarkEnd w:id="28"/>
    </w:p>
    <w:p w14:paraId="1D9AF1D3" w14:textId="6BC9F818" w:rsidR="004B770D" w:rsidRPr="00AC3F11" w:rsidRDefault="004B770D" w:rsidP="00AC3F11">
      <w:pPr>
        <w:spacing w:before="100" w:beforeAutospacing="1" w:after="100" w:afterAutospacing="1" w:line="480" w:lineRule="auto"/>
        <w:ind w:left="680" w:hanging="680"/>
        <w:rPr>
          <w:rFonts w:ascii="Times New Roman" w:eastAsia="Times New Roman" w:hAnsi="Times New Roman" w:cs="Times New Roman"/>
          <w:color w:val="000000" w:themeColor="text1"/>
          <w:kern w:val="0"/>
          <w:lang w:eastAsia="en-GB"/>
          <w14:ligatures w14:val="none"/>
        </w:rPr>
      </w:pPr>
      <w:r w:rsidRPr="004B770D">
        <w:rPr>
          <w:rFonts w:ascii="Times New Roman" w:eastAsia="Times New Roman" w:hAnsi="Times New Roman" w:cs="Times New Roman"/>
          <w:kern w:val="0"/>
          <w:lang w:eastAsia="en-GB"/>
          <w14:ligatures w14:val="none"/>
        </w:rPr>
        <w:br/>
      </w:r>
      <w:r w:rsidRPr="00AC3F11">
        <w:rPr>
          <w:rFonts w:eastAsia="Times New Roman" w:cstheme="minorHAnsi"/>
          <w:color w:val="000000" w:themeColor="text1"/>
          <w:kern w:val="0"/>
          <w:lang w:eastAsia="en-GB"/>
          <w14:ligatures w14:val="none"/>
        </w:rPr>
        <w:t xml:space="preserve">Abel, G. A., Barclay, M. E., &amp; Payne, R. A. (2016). Adjusted indices of multiple deprivation to enable comparisons within and between constituent countries of the UK including an illustration using mortality rates. </w:t>
      </w:r>
      <w:r w:rsidRPr="00AC3F11">
        <w:rPr>
          <w:rFonts w:eastAsia="Times New Roman" w:cstheme="minorHAnsi"/>
          <w:i/>
          <w:iCs/>
          <w:color w:val="000000" w:themeColor="text1"/>
          <w:kern w:val="0"/>
          <w:lang w:eastAsia="en-GB"/>
          <w14:ligatures w14:val="none"/>
        </w:rPr>
        <w:t>BMJ Open, 6</w:t>
      </w:r>
      <w:r w:rsidRPr="00AC3F11">
        <w:rPr>
          <w:rFonts w:eastAsia="Times New Roman" w:cstheme="minorHAnsi"/>
          <w:color w:val="000000" w:themeColor="text1"/>
          <w:kern w:val="0"/>
          <w:lang w:eastAsia="en-GB"/>
          <w14:ligatures w14:val="none"/>
        </w:rPr>
        <w:t xml:space="preserve">(11), e012750. </w:t>
      </w:r>
      <w:hyperlink r:id="rId12" w:tgtFrame="_new" w:history="1">
        <w:r w:rsidRPr="00AC3F11">
          <w:rPr>
            <w:rFonts w:eastAsia="Times New Roman" w:cstheme="minorHAnsi"/>
            <w:color w:val="000000" w:themeColor="text1"/>
            <w:kern w:val="0"/>
            <w:lang w:eastAsia="en-GB"/>
            <w14:ligatures w14:val="none"/>
          </w:rPr>
          <w:t>https://doi.org/10.1136/bmjopen-2016-012750</w:t>
        </w:r>
      </w:hyperlink>
    </w:p>
    <w:p w14:paraId="5C3BDCBB" w14:textId="56B8C90B"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 xml:space="preserve">Ahn, M. Y., &amp; Davis, H. H. (2020). Students’ sense of belonging and their </w:t>
      </w:r>
      <w:r w:rsidR="000F4DDE">
        <w:rPr>
          <w:rFonts w:cstheme="minorHAnsi"/>
          <w:color w:val="000000" w:themeColor="text1"/>
        </w:rPr>
        <w:t>socioeconomic</w:t>
      </w:r>
      <w:r w:rsidRPr="00AC3F11">
        <w:rPr>
          <w:rFonts w:cstheme="minorHAnsi"/>
          <w:color w:val="000000" w:themeColor="text1"/>
        </w:rPr>
        <w:t xml:space="preserve"> status in higher education: a quantitative approach. </w:t>
      </w:r>
      <w:r w:rsidRPr="00AC3F11">
        <w:rPr>
          <w:rFonts w:cstheme="minorHAnsi"/>
          <w:i/>
          <w:iCs/>
          <w:color w:val="000000" w:themeColor="text1"/>
        </w:rPr>
        <w:t>Teaching in Higher Education</w:t>
      </w:r>
      <w:r w:rsidRPr="00AC3F11">
        <w:rPr>
          <w:rFonts w:cstheme="minorHAnsi"/>
          <w:color w:val="000000" w:themeColor="text1"/>
        </w:rPr>
        <w:t>, </w:t>
      </w:r>
      <w:r w:rsidRPr="00AC3F11">
        <w:rPr>
          <w:rFonts w:cstheme="minorHAnsi"/>
          <w:i/>
          <w:iCs/>
          <w:color w:val="000000" w:themeColor="text1"/>
        </w:rPr>
        <w:t>28</w:t>
      </w:r>
      <w:r w:rsidRPr="00AC3F11">
        <w:rPr>
          <w:rFonts w:cstheme="minorHAnsi"/>
          <w:color w:val="000000" w:themeColor="text1"/>
        </w:rPr>
        <w:t>(1), 136–149. https://doi.org/10.1080/13562517.2020.1778664</w:t>
      </w:r>
    </w:p>
    <w:p w14:paraId="7F8FCACC" w14:textId="77E9BC8D" w:rsidR="004B770D" w:rsidRPr="00AC3F11" w:rsidRDefault="004B770D" w:rsidP="00767295">
      <w:pPr>
        <w:spacing w:before="100" w:beforeAutospacing="1" w:after="100" w:afterAutospacing="1" w:line="480" w:lineRule="auto"/>
        <w:ind w:left="680" w:hanging="680"/>
        <w:rPr>
          <w:rFonts w:cstheme="minorHAnsi"/>
          <w:color w:val="000000" w:themeColor="text1"/>
        </w:rPr>
      </w:pPr>
      <w:r w:rsidRPr="00AC3F11">
        <w:rPr>
          <w:rFonts w:cstheme="minorHAnsi"/>
          <w:color w:val="000000" w:themeColor="text1"/>
        </w:rPr>
        <w:t xml:space="preserve">Aina, C., </w:t>
      </w:r>
      <w:proofErr w:type="spellStart"/>
      <w:r w:rsidRPr="00AC3F11">
        <w:rPr>
          <w:rFonts w:cstheme="minorHAnsi"/>
          <w:color w:val="000000" w:themeColor="text1"/>
        </w:rPr>
        <w:t>Baici</w:t>
      </w:r>
      <w:proofErr w:type="spellEnd"/>
      <w:r w:rsidRPr="00AC3F11">
        <w:rPr>
          <w:rFonts w:cstheme="minorHAnsi"/>
          <w:color w:val="000000" w:themeColor="text1"/>
        </w:rPr>
        <w:t xml:space="preserve">, E., </w:t>
      </w:r>
      <w:proofErr w:type="spellStart"/>
      <w:r w:rsidRPr="00AC3F11">
        <w:rPr>
          <w:rFonts w:cstheme="minorHAnsi"/>
          <w:color w:val="000000" w:themeColor="text1"/>
        </w:rPr>
        <w:t>Casalone</w:t>
      </w:r>
      <w:proofErr w:type="spellEnd"/>
      <w:r w:rsidRPr="00AC3F11">
        <w:rPr>
          <w:rFonts w:cstheme="minorHAnsi"/>
          <w:color w:val="000000" w:themeColor="text1"/>
        </w:rPr>
        <w:t xml:space="preserve">, G., &amp; Pastore, F. (2022). The determinants of university dropout: A review of the </w:t>
      </w:r>
      <w:r w:rsidR="000F4DDE">
        <w:rPr>
          <w:rFonts w:cstheme="minorHAnsi"/>
          <w:color w:val="000000" w:themeColor="text1"/>
        </w:rPr>
        <w:t>socioeconomic</w:t>
      </w:r>
      <w:r w:rsidRPr="00AC3F11">
        <w:rPr>
          <w:rFonts w:cstheme="minorHAnsi"/>
          <w:color w:val="000000" w:themeColor="text1"/>
        </w:rPr>
        <w:t xml:space="preserve"> literature. </w:t>
      </w:r>
      <w:r w:rsidR="000F4DDE">
        <w:rPr>
          <w:rFonts w:cstheme="minorHAnsi"/>
          <w:i/>
          <w:iCs/>
          <w:color w:val="000000" w:themeColor="text1"/>
        </w:rPr>
        <w:t>Socioeconomic</w:t>
      </w:r>
      <w:r w:rsidRPr="00AC3F11">
        <w:rPr>
          <w:rFonts w:cstheme="minorHAnsi"/>
          <w:i/>
          <w:iCs/>
          <w:color w:val="000000" w:themeColor="text1"/>
        </w:rPr>
        <w:t xml:space="preserve"> Planning Sciences, 79</w:t>
      </w:r>
      <w:r w:rsidRPr="00AC3F11">
        <w:rPr>
          <w:rFonts w:cstheme="minorHAnsi"/>
          <w:color w:val="000000" w:themeColor="text1"/>
        </w:rPr>
        <w:t xml:space="preserve">, 101102. </w:t>
      </w:r>
      <w:hyperlink r:id="rId13" w:tgtFrame="_new" w:history="1">
        <w:r w:rsidRPr="00AC3F11">
          <w:rPr>
            <w:rStyle w:val="Hyperlink"/>
            <w:rFonts w:cstheme="minorHAnsi"/>
            <w:color w:val="000000" w:themeColor="text1"/>
            <w:u w:val="none"/>
          </w:rPr>
          <w:t>https://doi.org/10.1016/j.seps.2021.101102</w:t>
        </w:r>
      </w:hyperlink>
    </w:p>
    <w:p w14:paraId="4A63DE48"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Al-Ababneh, M. M. (2020). Linking ontology, epistemology, and research methodology. </w:t>
      </w:r>
      <w:r w:rsidRPr="00AC3F11">
        <w:rPr>
          <w:rFonts w:eastAsia="Times New Roman" w:cstheme="minorHAnsi"/>
          <w:i/>
          <w:iCs/>
          <w:color w:val="000000" w:themeColor="text1"/>
          <w:kern w:val="0"/>
          <w:lang w:eastAsia="en-GB"/>
          <w14:ligatures w14:val="none"/>
        </w:rPr>
        <w:t>Directory of Open Access Journals (</w:t>
      </w:r>
      <w:proofErr w:type="spellStart"/>
      <w:r w:rsidRPr="00AC3F11">
        <w:rPr>
          <w:rFonts w:eastAsia="Times New Roman" w:cstheme="minorHAnsi"/>
          <w:i/>
          <w:iCs/>
          <w:color w:val="000000" w:themeColor="text1"/>
          <w:kern w:val="0"/>
          <w:lang w:eastAsia="en-GB"/>
          <w14:ligatures w14:val="none"/>
        </w:rPr>
        <w:t>DOAJ</w:t>
      </w:r>
      <w:proofErr w:type="spellEnd"/>
      <w:r w:rsidRPr="00AC3F11">
        <w:rPr>
          <w:rFonts w:eastAsia="Times New Roman" w:cstheme="minorHAnsi"/>
          <w:i/>
          <w:iCs/>
          <w:color w:val="000000" w:themeColor="text1"/>
          <w:kern w:val="0"/>
          <w:lang w:eastAsia="en-GB"/>
          <w14:ligatures w14:val="none"/>
        </w:rPr>
        <w:t>)</w:t>
      </w:r>
      <w:r w:rsidRPr="00AC3F11">
        <w:rPr>
          <w:rFonts w:eastAsia="Times New Roman" w:cstheme="minorHAnsi"/>
          <w:color w:val="000000" w:themeColor="text1"/>
          <w:kern w:val="0"/>
          <w:lang w:eastAsia="en-GB"/>
          <w14:ligatures w14:val="none"/>
        </w:rPr>
        <w:t xml:space="preserve">. </w:t>
      </w:r>
      <w:hyperlink r:id="rId14" w:tgtFrame="_new" w:history="1">
        <w:r w:rsidRPr="00AC3F11">
          <w:rPr>
            <w:rFonts w:eastAsia="Times New Roman" w:cstheme="minorHAnsi"/>
            <w:color w:val="000000" w:themeColor="text1"/>
            <w:kern w:val="0"/>
            <w:lang w:eastAsia="en-GB"/>
            <w14:ligatures w14:val="none"/>
          </w:rPr>
          <w:t>https://doi.org/10.23756/sp.v8i1.500</w:t>
        </w:r>
      </w:hyperlink>
    </w:p>
    <w:p w14:paraId="745358D4" w14:textId="77777777" w:rsidR="004B770D" w:rsidRPr="00AC3F11" w:rsidRDefault="004B770D" w:rsidP="00767295">
      <w:pPr>
        <w:spacing w:before="100" w:beforeAutospacing="1" w:after="100" w:afterAutospacing="1" w:line="480" w:lineRule="auto"/>
        <w:ind w:left="680" w:hanging="680"/>
        <w:rPr>
          <w:rFonts w:cstheme="minorHAnsi"/>
          <w:color w:val="000000" w:themeColor="text1"/>
        </w:rPr>
      </w:pPr>
      <w:proofErr w:type="spellStart"/>
      <w:r w:rsidRPr="00AC3F11">
        <w:rPr>
          <w:rFonts w:eastAsia="Times New Roman" w:cstheme="minorHAnsi"/>
          <w:color w:val="000000" w:themeColor="text1"/>
          <w:kern w:val="0"/>
          <w:lang w:eastAsia="en-GB"/>
          <w14:ligatures w14:val="none"/>
        </w:rPr>
        <w:t>Alharahsheh</w:t>
      </w:r>
      <w:proofErr w:type="spellEnd"/>
      <w:r w:rsidRPr="00AC3F11">
        <w:rPr>
          <w:rFonts w:eastAsia="Times New Roman" w:cstheme="minorHAnsi"/>
          <w:color w:val="000000" w:themeColor="text1"/>
          <w:kern w:val="0"/>
          <w:lang w:eastAsia="en-GB"/>
          <w14:ligatures w14:val="none"/>
        </w:rPr>
        <w:t xml:space="preserve">, H. H., &amp; Pius, A. (2020, December). A review of key paradigms: Positivism vs interpretivism. </w:t>
      </w:r>
      <w:r w:rsidRPr="00AC3F11">
        <w:rPr>
          <w:rFonts w:eastAsia="Times New Roman" w:cstheme="minorHAnsi"/>
          <w:i/>
          <w:iCs/>
          <w:color w:val="000000" w:themeColor="text1"/>
          <w:kern w:val="0"/>
          <w:lang w:eastAsia="en-GB"/>
          <w14:ligatures w14:val="none"/>
        </w:rPr>
        <w:t>ResearchGate</w:t>
      </w:r>
      <w:r w:rsidRPr="00AC3F11">
        <w:rPr>
          <w:rFonts w:eastAsia="Times New Roman" w:cstheme="minorHAnsi"/>
          <w:color w:val="000000" w:themeColor="text1"/>
          <w:kern w:val="0"/>
          <w:lang w:eastAsia="en-GB"/>
          <w14:ligatures w14:val="none"/>
        </w:rPr>
        <w:t xml:space="preserve">. </w:t>
      </w:r>
      <w:hyperlink r:id="rId15" w:tgtFrame="_new" w:history="1">
        <w:r w:rsidRPr="00AC3F11">
          <w:rPr>
            <w:rFonts w:eastAsia="Times New Roman" w:cstheme="minorHAnsi"/>
            <w:color w:val="000000" w:themeColor="text1"/>
            <w:kern w:val="0"/>
            <w:lang w:eastAsia="en-GB"/>
            <w14:ligatures w14:val="none"/>
          </w:rPr>
          <w:t>https://www.researchgate.net/publication/338244145_A_Review_of_key_paradigms_positivism_VS_interpretivism</w:t>
        </w:r>
      </w:hyperlink>
    </w:p>
    <w:p w14:paraId="3C83B3B4" w14:textId="77777777" w:rsidR="004B770D" w:rsidRPr="00AC3F11" w:rsidRDefault="004B770D" w:rsidP="00767295">
      <w:pPr>
        <w:spacing w:before="100" w:beforeAutospacing="1" w:after="100" w:afterAutospacing="1" w:line="480" w:lineRule="auto"/>
        <w:ind w:left="680" w:hanging="680"/>
        <w:rPr>
          <w:rFonts w:cstheme="minorHAnsi"/>
          <w:color w:val="000000" w:themeColor="text1"/>
        </w:rPr>
      </w:pPr>
      <w:r w:rsidRPr="00AC3F11">
        <w:rPr>
          <w:rFonts w:eastAsia="Times New Roman" w:cstheme="minorHAnsi"/>
          <w:color w:val="000000" w:themeColor="text1"/>
          <w:kern w:val="0"/>
          <w:lang w:eastAsia="en-GB"/>
          <w14:ligatures w14:val="none"/>
        </w:rPr>
        <w:t xml:space="preserve">Anders, J. (2012). The link between household income, university applications, and university attendance. </w:t>
      </w:r>
      <w:r w:rsidRPr="00AC3F11">
        <w:rPr>
          <w:rFonts w:eastAsia="Times New Roman" w:cstheme="minorHAnsi"/>
          <w:i/>
          <w:iCs/>
          <w:color w:val="000000" w:themeColor="text1"/>
          <w:kern w:val="0"/>
          <w:lang w:eastAsia="en-GB"/>
          <w14:ligatures w14:val="none"/>
        </w:rPr>
        <w:t>Fiscal Studies, 33</w:t>
      </w:r>
      <w:r w:rsidRPr="00AC3F11">
        <w:rPr>
          <w:rFonts w:eastAsia="Times New Roman" w:cstheme="minorHAnsi"/>
          <w:color w:val="000000" w:themeColor="text1"/>
          <w:kern w:val="0"/>
          <w:lang w:eastAsia="en-GB"/>
          <w14:ligatures w14:val="none"/>
        </w:rPr>
        <w:t xml:space="preserve">(2), 185–210. </w:t>
      </w:r>
      <w:hyperlink r:id="rId16" w:history="1">
        <w:r w:rsidRPr="00AC3F11">
          <w:rPr>
            <w:rStyle w:val="Hyperlink"/>
            <w:rFonts w:cstheme="minorHAnsi"/>
            <w:color w:val="000000" w:themeColor="text1"/>
            <w:u w:val="none"/>
          </w:rPr>
          <w:t>https://ifs.org.uk/journals/link-between-household-income-university-applications-and-university-attendance</w:t>
        </w:r>
      </w:hyperlink>
    </w:p>
    <w:p w14:paraId="2391CF71" w14:textId="01524501"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lastRenderedPageBreak/>
        <w:t xml:space="preserve">Anders, J., Henderson, M., Moulton, V., &amp; Sullivan, A. (2017). </w:t>
      </w:r>
      <w:r w:rsidR="000F4DDE">
        <w:rPr>
          <w:rFonts w:eastAsia="Times New Roman" w:cstheme="minorHAnsi"/>
          <w:color w:val="000000" w:themeColor="text1"/>
          <w:kern w:val="0"/>
          <w:lang w:eastAsia="en-GB"/>
          <w14:ligatures w14:val="none"/>
        </w:rPr>
        <w:t>Socioeconomic</w:t>
      </w:r>
      <w:r w:rsidRPr="00AC3F11">
        <w:rPr>
          <w:rFonts w:eastAsia="Times New Roman" w:cstheme="minorHAnsi"/>
          <w:color w:val="000000" w:themeColor="text1"/>
          <w:kern w:val="0"/>
          <w:lang w:eastAsia="en-GB"/>
          <w14:ligatures w14:val="none"/>
        </w:rPr>
        <w:t xml:space="preserve"> status and subject choice at 14: Do they interact to affect university access. UCL Institute of Education. </w:t>
      </w:r>
      <w:hyperlink r:id="rId17" w:history="1">
        <w:r w:rsidRPr="00AC3F11">
          <w:rPr>
            <w:rStyle w:val="Hyperlink"/>
            <w:rFonts w:eastAsia="Times New Roman" w:cstheme="minorHAnsi"/>
            <w:color w:val="000000" w:themeColor="text1"/>
            <w:kern w:val="0"/>
            <w:u w:val="none"/>
            <w:lang w:eastAsia="en-GB"/>
            <w14:ligatures w14:val="none"/>
          </w:rPr>
          <w:t>http://discovery.ucl.ac.uk/10038225/1/subjectchoicereport.pdf</w:t>
        </w:r>
      </w:hyperlink>
    </w:p>
    <w:p w14:paraId="2BCFEDBB" w14:textId="77777777" w:rsidR="004B770D" w:rsidRPr="00AC3F11" w:rsidRDefault="004B770D" w:rsidP="00767295">
      <w:pPr>
        <w:spacing w:before="100" w:beforeAutospacing="1" w:after="100" w:afterAutospacing="1" w:line="480" w:lineRule="auto"/>
        <w:ind w:left="680" w:hanging="680"/>
        <w:rPr>
          <w:rFonts w:cstheme="minorHAnsi"/>
          <w:color w:val="000000" w:themeColor="text1"/>
        </w:rPr>
      </w:pPr>
      <w:r w:rsidRPr="00AC3F11">
        <w:rPr>
          <w:rFonts w:eastAsia="Times New Roman" w:cstheme="minorHAnsi"/>
          <w:color w:val="000000" w:themeColor="text1"/>
          <w:kern w:val="0"/>
          <w:lang w:eastAsia="en-GB"/>
          <w14:ligatures w14:val="none"/>
        </w:rPr>
        <w:t xml:space="preserve">APA. (2018). Socioeconomic status. </w:t>
      </w:r>
      <w:r w:rsidRPr="00AC3F11">
        <w:rPr>
          <w:rFonts w:eastAsia="Times New Roman" w:cstheme="minorHAnsi"/>
          <w:i/>
          <w:iCs/>
          <w:color w:val="000000" w:themeColor="text1"/>
          <w:kern w:val="0"/>
          <w:lang w:eastAsia="en-GB"/>
          <w14:ligatures w14:val="none"/>
        </w:rPr>
        <w:t>American Psychological Association</w:t>
      </w:r>
      <w:r w:rsidRPr="00AC3F11">
        <w:rPr>
          <w:rFonts w:eastAsia="Times New Roman" w:cstheme="minorHAnsi"/>
          <w:color w:val="000000" w:themeColor="text1"/>
          <w:kern w:val="0"/>
          <w:lang w:eastAsia="en-GB"/>
          <w14:ligatures w14:val="none"/>
        </w:rPr>
        <w:t xml:space="preserve">. Retrieved from </w:t>
      </w:r>
      <w:hyperlink r:id="rId18" w:tgtFrame="_new" w:history="1">
        <w:r w:rsidRPr="00AC3F11">
          <w:rPr>
            <w:rFonts w:eastAsia="Times New Roman" w:cstheme="minorHAnsi"/>
            <w:color w:val="000000" w:themeColor="text1"/>
            <w:kern w:val="0"/>
            <w:lang w:eastAsia="en-GB"/>
            <w14:ligatures w14:val="none"/>
          </w:rPr>
          <w:t>http://www.apa.org/topics/socioeconomic/status/</w:t>
        </w:r>
      </w:hyperlink>
    </w:p>
    <w:p w14:paraId="62DFE3F1"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‌Bakour, S. (2024). Do interventions enhancing students’ self-belief and confidence effectively contribute to widening participation in higher education? A qualitative research study. </w:t>
      </w:r>
      <w:r w:rsidRPr="00AC3F11">
        <w:rPr>
          <w:rFonts w:cstheme="minorHAnsi"/>
          <w:i/>
          <w:iCs/>
          <w:color w:val="000000" w:themeColor="text1"/>
        </w:rPr>
        <w:t>Widening Participation and Lifelong Learning</w:t>
      </w:r>
      <w:r w:rsidRPr="00AC3F11">
        <w:rPr>
          <w:rFonts w:cstheme="minorHAnsi"/>
          <w:color w:val="000000" w:themeColor="text1"/>
        </w:rPr>
        <w:t>, </w:t>
      </w:r>
      <w:r w:rsidRPr="00AC3F11">
        <w:rPr>
          <w:rFonts w:cstheme="minorHAnsi"/>
          <w:i/>
          <w:iCs/>
          <w:color w:val="000000" w:themeColor="text1"/>
        </w:rPr>
        <w:t>26</w:t>
      </w:r>
      <w:r w:rsidRPr="00AC3F11">
        <w:rPr>
          <w:rFonts w:cstheme="minorHAnsi"/>
          <w:color w:val="000000" w:themeColor="text1"/>
        </w:rPr>
        <w:t xml:space="preserve">(2), 60–87. </w:t>
      </w:r>
      <w:hyperlink r:id="rId19" w:history="1">
        <w:r w:rsidRPr="00AC3F11">
          <w:rPr>
            <w:rStyle w:val="Hyperlink"/>
            <w:rFonts w:cstheme="minorHAnsi"/>
            <w:color w:val="000000" w:themeColor="text1"/>
            <w:u w:val="none"/>
          </w:rPr>
          <w:t>https://doi.org/10.5456/wpll.26.2.60</w:t>
        </w:r>
      </w:hyperlink>
    </w:p>
    <w:p w14:paraId="4238798E" w14:textId="2945BE47" w:rsidR="004B770D" w:rsidRPr="00AC3F11" w:rsidRDefault="004B770D" w:rsidP="00767295">
      <w:pPr>
        <w:spacing w:line="480" w:lineRule="auto"/>
        <w:ind w:left="680" w:hanging="680"/>
        <w:rPr>
          <w:rFonts w:cstheme="minorHAnsi"/>
          <w:color w:val="000000" w:themeColor="text1"/>
        </w:rPr>
      </w:pPr>
      <w:proofErr w:type="spellStart"/>
      <w:r w:rsidRPr="00AC3F11">
        <w:rPr>
          <w:rFonts w:cstheme="minorHAnsi"/>
          <w:color w:val="000000" w:themeColor="text1"/>
        </w:rPr>
        <w:t>Bécares</w:t>
      </w:r>
      <w:proofErr w:type="spellEnd"/>
      <w:r w:rsidRPr="00AC3F11">
        <w:rPr>
          <w:rFonts w:cstheme="minorHAnsi"/>
          <w:color w:val="000000" w:themeColor="text1"/>
        </w:rPr>
        <w:t>, L.</w:t>
      </w:r>
      <w:r w:rsidR="006E322B">
        <w:rPr>
          <w:rFonts w:cstheme="minorHAnsi"/>
          <w:color w:val="000000" w:themeColor="text1"/>
        </w:rPr>
        <w:t>,</w:t>
      </w:r>
      <w:r w:rsidRPr="00AC3F11">
        <w:rPr>
          <w:rFonts w:cstheme="minorHAnsi"/>
          <w:color w:val="000000" w:themeColor="text1"/>
        </w:rPr>
        <w:t xml:space="preserve"> &amp; Priest, N. (2015). Understanding the Influence of Race/Ethnicity, Gender, and Class on Inequalities in Academic and Non-Academic Outcomes among Eighth-Grade Students: Findings from an Intersectionality Approach. </w:t>
      </w:r>
      <w:proofErr w:type="spellStart"/>
      <w:r w:rsidRPr="00AC3F11">
        <w:rPr>
          <w:rFonts w:cstheme="minorHAnsi"/>
          <w:i/>
          <w:iCs/>
          <w:color w:val="000000" w:themeColor="text1"/>
        </w:rPr>
        <w:t>PLoS</w:t>
      </w:r>
      <w:proofErr w:type="spellEnd"/>
      <w:r w:rsidRPr="00AC3F11">
        <w:rPr>
          <w:rFonts w:cstheme="minorHAnsi"/>
          <w:i/>
          <w:iCs/>
          <w:color w:val="000000" w:themeColor="text1"/>
        </w:rPr>
        <w:t xml:space="preserve"> ONE</w:t>
      </w:r>
      <w:r w:rsidRPr="00AC3F11">
        <w:rPr>
          <w:rFonts w:cstheme="minorHAnsi"/>
          <w:color w:val="000000" w:themeColor="text1"/>
        </w:rPr>
        <w:t>, </w:t>
      </w:r>
      <w:r w:rsidRPr="00AC3F11">
        <w:rPr>
          <w:rFonts w:cstheme="minorHAnsi"/>
          <w:i/>
          <w:iCs/>
          <w:color w:val="000000" w:themeColor="text1"/>
        </w:rPr>
        <w:t>10</w:t>
      </w:r>
      <w:r w:rsidRPr="00AC3F11">
        <w:rPr>
          <w:rFonts w:cstheme="minorHAnsi"/>
          <w:color w:val="000000" w:themeColor="text1"/>
        </w:rPr>
        <w:t>(10), e0141363–e0141363. https://doi.org/10.1371/journal.pone.0141363</w:t>
      </w:r>
    </w:p>
    <w:p w14:paraId="0B9C10BC"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Bell, E., &amp; Bryman, A. (2006). The ethics of management research: An exploratory content analysis. </w:t>
      </w:r>
      <w:r w:rsidRPr="00AC3F11">
        <w:rPr>
          <w:rFonts w:eastAsia="Times New Roman" w:cstheme="minorHAnsi"/>
          <w:i/>
          <w:iCs/>
          <w:color w:val="000000" w:themeColor="text1"/>
          <w:kern w:val="0"/>
          <w:lang w:eastAsia="en-GB"/>
          <w14:ligatures w14:val="none"/>
        </w:rPr>
        <w:t>British Journal of Management, 18</w:t>
      </w:r>
      <w:r w:rsidRPr="00AC3F11">
        <w:rPr>
          <w:rFonts w:eastAsia="Times New Roman" w:cstheme="minorHAnsi"/>
          <w:color w:val="000000" w:themeColor="text1"/>
          <w:kern w:val="0"/>
          <w:lang w:eastAsia="en-GB"/>
          <w14:ligatures w14:val="none"/>
        </w:rPr>
        <w:t xml:space="preserve">(1), 63–77. </w:t>
      </w:r>
      <w:hyperlink r:id="rId20" w:tgtFrame="_new" w:history="1">
        <w:r w:rsidRPr="00AC3F11">
          <w:rPr>
            <w:rFonts w:eastAsia="Times New Roman" w:cstheme="minorHAnsi"/>
            <w:color w:val="000000" w:themeColor="text1"/>
            <w:kern w:val="0"/>
            <w:lang w:eastAsia="en-GB"/>
            <w14:ligatures w14:val="none"/>
          </w:rPr>
          <w:t>https://doi.org/10.1111/j.1467-8551.2006.00487.x</w:t>
        </w:r>
      </w:hyperlink>
    </w:p>
    <w:p w14:paraId="7D3AAF18" w14:textId="3A15A912"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proofErr w:type="spellStart"/>
      <w:r w:rsidRPr="00AC3F11">
        <w:rPr>
          <w:rFonts w:eastAsia="Times New Roman" w:cstheme="minorHAnsi"/>
          <w:color w:val="000000" w:themeColor="text1"/>
          <w:kern w:val="0"/>
          <w:lang w:eastAsia="en-GB"/>
          <w14:ligatures w14:val="none"/>
        </w:rPr>
        <w:t>Berghaeuser</w:t>
      </w:r>
      <w:proofErr w:type="spellEnd"/>
      <w:r w:rsidRPr="00AC3F11">
        <w:rPr>
          <w:rFonts w:eastAsia="Times New Roman" w:cstheme="minorHAnsi"/>
          <w:color w:val="000000" w:themeColor="text1"/>
          <w:kern w:val="0"/>
          <w:lang w:eastAsia="en-GB"/>
          <w14:ligatures w14:val="none"/>
        </w:rPr>
        <w:t>, H</w:t>
      </w:r>
      <w:r w:rsidR="000323AE">
        <w:rPr>
          <w:rFonts w:eastAsia="Times New Roman" w:cstheme="minorHAnsi"/>
          <w:color w:val="000000" w:themeColor="text1"/>
          <w:kern w:val="0"/>
          <w:lang w:eastAsia="en-GB"/>
          <w14:ligatures w14:val="none"/>
        </w:rPr>
        <w:t>.</w:t>
      </w:r>
      <w:r w:rsidRPr="00AC3F11">
        <w:rPr>
          <w:rFonts w:eastAsia="Times New Roman" w:cstheme="minorHAnsi"/>
          <w:color w:val="000000" w:themeColor="text1"/>
          <w:kern w:val="0"/>
          <w:lang w:eastAsia="en-GB"/>
          <w14:ligatures w14:val="none"/>
        </w:rPr>
        <w:t xml:space="preserve">, Prass, M., &amp; Lindner, R. (2024). Researchers’ practice and perception of research ethics and the role of institutional support: Insights from a pan-European researcher survey. </w:t>
      </w:r>
      <w:r w:rsidRPr="00AC3F11">
        <w:rPr>
          <w:rFonts w:eastAsia="Times New Roman" w:cstheme="minorHAnsi"/>
          <w:i/>
          <w:iCs/>
          <w:color w:val="000000" w:themeColor="text1"/>
          <w:kern w:val="0"/>
          <w:lang w:eastAsia="en-GB"/>
          <w14:ligatures w14:val="none"/>
        </w:rPr>
        <w:t>Journal of Academic Ethics.</w:t>
      </w:r>
      <w:r w:rsidRPr="00AC3F11">
        <w:rPr>
          <w:rFonts w:eastAsia="Times New Roman" w:cstheme="minorHAnsi"/>
          <w:color w:val="000000" w:themeColor="text1"/>
          <w:kern w:val="0"/>
          <w:lang w:eastAsia="en-GB"/>
          <w14:ligatures w14:val="none"/>
        </w:rPr>
        <w:t xml:space="preserve"> </w:t>
      </w:r>
      <w:hyperlink r:id="rId21" w:tgtFrame="_new" w:history="1">
        <w:r w:rsidRPr="00AC3F11">
          <w:rPr>
            <w:rFonts w:eastAsia="Times New Roman" w:cstheme="minorHAnsi"/>
            <w:color w:val="000000" w:themeColor="text1"/>
            <w:kern w:val="0"/>
            <w:lang w:eastAsia="en-GB"/>
            <w14:ligatures w14:val="none"/>
          </w:rPr>
          <w:t>https://doi.org/10.1007/s10805-024-09590-z</w:t>
        </w:r>
      </w:hyperlink>
    </w:p>
    <w:p w14:paraId="4F5C31C4"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lastRenderedPageBreak/>
        <w:t xml:space="preserve">Bolton, P., &amp; Lewis, J. (2024). Equality of access and outcomes in higher education in England. </w:t>
      </w:r>
      <w:r w:rsidRPr="00AC3F11">
        <w:rPr>
          <w:rFonts w:eastAsia="Times New Roman" w:cstheme="minorHAnsi"/>
          <w:i/>
          <w:iCs/>
          <w:color w:val="000000" w:themeColor="text1"/>
          <w:kern w:val="0"/>
          <w:lang w:eastAsia="en-GB"/>
          <w14:ligatures w14:val="none"/>
        </w:rPr>
        <w:t>House of Commons Library</w:t>
      </w:r>
      <w:r w:rsidRPr="00AC3F11">
        <w:rPr>
          <w:rFonts w:eastAsia="Times New Roman" w:cstheme="minorHAnsi"/>
          <w:color w:val="000000" w:themeColor="text1"/>
          <w:kern w:val="0"/>
          <w:lang w:eastAsia="en-GB"/>
          <w14:ligatures w14:val="none"/>
        </w:rPr>
        <w:t xml:space="preserve">. </w:t>
      </w:r>
      <w:hyperlink r:id="rId22" w:tgtFrame="_new" w:history="1">
        <w:r w:rsidRPr="00AC3F11">
          <w:rPr>
            <w:rFonts w:eastAsia="Times New Roman" w:cstheme="minorHAnsi"/>
            <w:color w:val="000000" w:themeColor="text1"/>
            <w:kern w:val="0"/>
            <w:lang w:eastAsia="en-GB"/>
            <w14:ligatures w14:val="none"/>
          </w:rPr>
          <w:t>https://researchbriefings.files.parliament.uk/documents/CBP-9195/CBP-9195.pdf</w:t>
        </w:r>
      </w:hyperlink>
    </w:p>
    <w:p w14:paraId="1EEE0465" w14:textId="77777777" w:rsidR="004B770D" w:rsidRPr="00AC3F11" w:rsidRDefault="004B770D" w:rsidP="00767295">
      <w:pPr>
        <w:spacing w:before="100" w:beforeAutospacing="1" w:after="100" w:afterAutospacing="1" w:line="480" w:lineRule="auto"/>
        <w:ind w:left="680" w:hanging="680"/>
        <w:rPr>
          <w:color w:val="000000" w:themeColor="text1"/>
        </w:rPr>
      </w:pPr>
      <w:r w:rsidRPr="00AC3F11">
        <w:rPr>
          <w:rFonts w:eastAsia="Times New Roman" w:cstheme="minorHAnsi"/>
          <w:color w:val="000000" w:themeColor="text1"/>
          <w:kern w:val="0"/>
          <w:lang w:eastAsia="en-GB"/>
          <w14:ligatures w14:val="none"/>
        </w:rPr>
        <w:t xml:space="preserve">Bornstein, M. H., &amp; Bradley, R. H. (Eds.). (2002). </w:t>
      </w:r>
      <w:r w:rsidRPr="00AC3F11">
        <w:rPr>
          <w:rFonts w:eastAsia="Times New Roman" w:cstheme="minorHAnsi"/>
          <w:i/>
          <w:iCs/>
          <w:color w:val="000000" w:themeColor="text1"/>
          <w:kern w:val="0"/>
          <w:lang w:eastAsia="en-GB"/>
          <w14:ligatures w14:val="none"/>
        </w:rPr>
        <w:t>Socioeconomic status, parenting, and child development</w:t>
      </w:r>
      <w:r w:rsidRPr="00AC3F11">
        <w:rPr>
          <w:rFonts w:eastAsia="Times New Roman" w:cstheme="minorHAnsi"/>
          <w:color w:val="000000" w:themeColor="text1"/>
          <w:kern w:val="0"/>
          <w:lang w:eastAsia="en-GB"/>
          <w14:ligatures w14:val="none"/>
        </w:rPr>
        <w:t xml:space="preserve"> (1st ed.). Routledge. </w:t>
      </w:r>
      <w:hyperlink r:id="rId23" w:tgtFrame="_new" w:history="1">
        <w:r w:rsidRPr="00AC3F11">
          <w:rPr>
            <w:rFonts w:eastAsia="Times New Roman" w:cstheme="minorHAnsi"/>
            <w:color w:val="000000" w:themeColor="text1"/>
            <w:kern w:val="0"/>
            <w:lang w:eastAsia="en-GB"/>
            <w14:ligatures w14:val="none"/>
          </w:rPr>
          <w:t>https://doi.org/10.4324/9781410607027</w:t>
        </w:r>
      </w:hyperlink>
    </w:p>
    <w:p w14:paraId="5A3811DD" w14:textId="77777777" w:rsidR="0079411A" w:rsidRPr="00AC3F11" w:rsidRDefault="0079411A" w:rsidP="00767295">
      <w:pPr>
        <w:spacing w:before="100" w:beforeAutospacing="1" w:after="100" w:afterAutospacing="1" w:line="480" w:lineRule="auto"/>
        <w:ind w:left="680" w:hanging="680"/>
        <w:rPr>
          <w:color w:val="000000" w:themeColor="text1"/>
        </w:rPr>
      </w:pPr>
      <w:r w:rsidRPr="00AC3F11">
        <w:rPr>
          <w:color w:val="000000" w:themeColor="text1"/>
        </w:rPr>
        <w:t xml:space="preserve">Bourdieu, P. (1977). </w:t>
      </w:r>
      <w:r w:rsidRPr="00AC3F11">
        <w:rPr>
          <w:i/>
          <w:iCs/>
          <w:color w:val="000000" w:themeColor="text1"/>
        </w:rPr>
        <w:t>Outline of a theory of practice</w:t>
      </w:r>
      <w:r w:rsidRPr="00AC3F11">
        <w:rPr>
          <w:color w:val="000000" w:themeColor="text1"/>
        </w:rPr>
        <w:t xml:space="preserve">. Cambridge: Cambridge University Press. In J. </w:t>
      </w:r>
      <w:proofErr w:type="spellStart"/>
      <w:r w:rsidRPr="00AC3F11">
        <w:rPr>
          <w:color w:val="000000" w:themeColor="text1"/>
        </w:rPr>
        <w:t>Karabel</w:t>
      </w:r>
      <w:proofErr w:type="spellEnd"/>
      <w:r w:rsidRPr="00AC3F11">
        <w:rPr>
          <w:color w:val="000000" w:themeColor="text1"/>
        </w:rPr>
        <w:t xml:space="preserve"> &amp; A. H. Halsey (Eds.), </w:t>
      </w:r>
      <w:r w:rsidRPr="00AC3F11">
        <w:rPr>
          <w:i/>
          <w:iCs/>
          <w:color w:val="000000" w:themeColor="text1"/>
        </w:rPr>
        <w:t>Power and ideology in education</w:t>
      </w:r>
      <w:r w:rsidRPr="00AC3F11">
        <w:rPr>
          <w:color w:val="000000" w:themeColor="text1"/>
        </w:rPr>
        <w:t>. Oxford: Oxford University Press.</w:t>
      </w:r>
    </w:p>
    <w:p w14:paraId="2C2B6884" w14:textId="679BAC91"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Brese, F., &amp; </w:t>
      </w:r>
      <w:proofErr w:type="spellStart"/>
      <w:r w:rsidRPr="00AC3F11">
        <w:rPr>
          <w:rFonts w:eastAsia="Times New Roman" w:cstheme="minorHAnsi"/>
          <w:color w:val="000000" w:themeColor="text1"/>
          <w:kern w:val="0"/>
          <w:lang w:eastAsia="en-GB"/>
          <w14:ligatures w14:val="none"/>
        </w:rPr>
        <w:t>Mirazchiyski</w:t>
      </w:r>
      <w:proofErr w:type="spellEnd"/>
      <w:r w:rsidRPr="00AC3F11">
        <w:rPr>
          <w:rFonts w:eastAsia="Times New Roman" w:cstheme="minorHAnsi"/>
          <w:color w:val="000000" w:themeColor="text1"/>
          <w:kern w:val="0"/>
          <w:lang w:eastAsia="en-GB"/>
          <w14:ligatures w14:val="none"/>
        </w:rPr>
        <w:t xml:space="preserve">, P. (2013). Measuring students’ family background in large-scale international education studies. </w:t>
      </w:r>
      <w:r w:rsidRPr="00AC3F11">
        <w:rPr>
          <w:rFonts w:eastAsia="Times New Roman" w:cstheme="minorHAnsi"/>
          <w:i/>
          <w:iCs/>
          <w:color w:val="000000" w:themeColor="text1"/>
          <w:kern w:val="0"/>
          <w:lang w:eastAsia="en-GB"/>
          <w14:ligatures w14:val="none"/>
        </w:rPr>
        <w:t>Issues and Methodologies in Large Scale Assessments, 2</w:t>
      </w:r>
      <w:r w:rsidRPr="00AC3F11">
        <w:rPr>
          <w:rFonts w:eastAsia="Times New Roman" w:cstheme="minorHAnsi"/>
          <w:color w:val="000000" w:themeColor="text1"/>
          <w:kern w:val="0"/>
          <w:lang w:eastAsia="en-GB"/>
          <w14:ligatures w14:val="none"/>
        </w:rPr>
        <w:t>.</w:t>
      </w:r>
    </w:p>
    <w:p w14:paraId="185550EB" w14:textId="79CE2F66" w:rsidR="004B770D" w:rsidRDefault="004B770D" w:rsidP="00767295">
      <w:pPr>
        <w:spacing w:before="100" w:beforeAutospacing="1" w:after="100" w:afterAutospacing="1" w:line="480" w:lineRule="auto"/>
        <w:ind w:left="680" w:hanging="680"/>
        <w:rPr>
          <w:color w:val="000000" w:themeColor="text1"/>
        </w:rPr>
      </w:pPr>
      <w:r w:rsidRPr="00AC3F11">
        <w:rPr>
          <w:rFonts w:eastAsia="Times New Roman" w:cstheme="minorHAnsi"/>
          <w:color w:val="000000" w:themeColor="text1"/>
          <w:kern w:val="0"/>
          <w:lang w:eastAsia="en-GB"/>
          <w14:ligatures w14:val="none"/>
        </w:rPr>
        <w:t xml:space="preserve">Britton, J., </w:t>
      </w:r>
      <w:r w:rsidR="00A77180">
        <w:rPr>
          <w:rFonts w:eastAsia="Times New Roman" w:cstheme="minorHAnsi"/>
          <w:color w:val="000000" w:themeColor="text1"/>
          <w:kern w:val="0"/>
          <w:lang w:eastAsia="en-GB"/>
          <w14:ligatures w14:val="none"/>
        </w:rPr>
        <w:t xml:space="preserve">Costa </w:t>
      </w:r>
      <w:r w:rsidRPr="00AC3F11">
        <w:rPr>
          <w:rFonts w:eastAsia="Times New Roman" w:cstheme="minorHAnsi"/>
          <w:color w:val="000000" w:themeColor="text1"/>
          <w:kern w:val="0"/>
          <w:lang w:eastAsia="en-GB"/>
          <w14:ligatures w14:val="none"/>
        </w:rPr>
        <w:t xml:space="preserve">Dias, M., &amp; Goll, D. (2023). </w:t>
      </w:r>
      <w:r w:rsidRPr="00AC3F11">
        <w:rPr>
          <w:rFonts w:eastAsia="Times New Roman" w:cstheme="minorHAnsi"/>
          <w:i/>
          <w:iCs/>
          <w:color w:val="000000" w:themeColor="text1"/>
          <w:kern w:val="0"/>
          <w:lang w:eastAsia="en-GB"/>
          <w14:ligatures w14:val="none"/>
        </w:rPr>
        <w:t>Can higher education policy boost intergenerational mobility? Evidence from an empirical matching model</w:t>
      </w:r>
      <w:r w:rsidRPr="00AC3F11">
        <w:rPr>
          <w:rFonts w:eastAsia="Times New Roman" w:cstheme="minorHAnsi"/>
          <w:color w:val="000000" w:themeColor="text1"/>
          <w:kern w:val="0"/>
          <w:lang w:eastAsia="en-GB"/>
          <w14:ligatures w14:val="none"/>
        </w:rPr>
        <w:t xml:space="preserve"> (Working Paper). Institute for Fiscal Studies. </w:t>
      </w:r>
      <w:hyperlink r:id="rId24" w:tgtFrame="_new" w:history="1">
        <w:r w:rsidRPr="00AC3F11">
          <w:rPr>
            <w:rFonts w:eastAsia="Times New Roman" w:cstheme="minorHAnsi"/>
            <w:color w:val="000000" w:themeColor="text1"/>
            <w:kern w:val="0"/>
            <w:lang w:eastAsia="en-GB"/>
            <w14:ligatures w14:val="none"/>
          </w:rPr>
          <w:t>https://ifs.org.uk/sites/default/files/2023-01/WP202306-Can-higher-education-policy-boost-intergenerational-mobility-evidence-from-an-empirical-matching-model.pdf</w:t>
        </w:r>
      </w:hyperlink>
    </w:p>
    <w:p w14:paraId="6230980F" w14:textId="506ABC01" w:rsidR="004E3A17" w:rsidRPr="004E3A17" w:rsidRDefault="004E3A17" w:rsidP="004E3A17">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4E3A17">
        <w:rPr>
          <w:rFonts w:eastAsia="Times New Roman" w:cstheme="minorHAnsi"/>
          <w:color w:val="000000" w:themeColor="text1"/>
          <w:kern w:val="0"/>
          <w:lang w:eastAsia="en-GB"/>
          <w14:ligatures w14:val="none"/>
        </w:rPr>
        <w:t xml:space="preserve">Britton, J., Drayton, E., &amp; Van </w:t>
      </w:r>
      <w:r w:rsidR="000323AE">
        <w:rPr>
          <w:rFonts w:eastAsia="Times New Roman" w:cstheme="minorHAnsi"/>
          <w:color w:val="000000" w:themeColor="text1"/>
          <w:kern w:val="0"/>
          <w:lang w:eastAsia="en-GB"/>
          <w14:ligatures w14:val="none"/>
        </w:rPr>
        <w:t>d</w:t>
      </w:r>
      <w:r w:rsidRPr="004E3A17">
        <w:rPr>
          <w:rFonts w:eastAsia="Times New Roman" w:cstheme="minorHAnsi"/>
          <w:color w:val="000000" w:themeColor="text1"/>
          <w:kern w:val="0"/>
          <w:lang w:eastAsia="en-GB"/>
          <w14:ligatures w14:val="none"/>
        </w:rPr>
        <w:t>er Erve, L. (2021). </w:t>
      </w:r>
      <w:r w:rsidRPr="004E3A17">
        <w:rPr>
          <w:rFonts w:eastAsia="Times New Roman" w:cstheme="minorHAnsi"/>
          <w:i/>
          <w:iCs/>
          <w:color w:val="000000" w:themeColor="text1"/>
          <w:kern w:val="0"/>
          <w:lang w:eastAsia="en-GB"/>
          <w14:ligatures w14:val="none"/>
        </w:rPr>
        <w:t>Which university degrees are best for intergenerationamobility?</w:t>
      </w:r>
      <w:r w:rsidRPr="004E3A17">
        <w:rPr>
          <w:rFonts w:eastAsia="Times New Roman" w:cstheme="minorHAnsi"/>
          <w:color w:val="000000" w:themeColor="text1"/>
          <w:kern w:val="0"/>
          <w:lang w:eastAsia="en-GB"/>
          <w14:ligatures w14:val="none"/>
        </w:rPr>
        <w:t> https://assets.publishing.service.gov.uk/media/619bba29e90e0704478a9cbf/Scorecards.pdf</w:t>
      </w:r>
    </w:p>
    <w:p w14:paraId="7D465A6E" w14:textId="77777777" w:rsidR="004E3A17" w:rsidRPr="004E3A17" w:rsidRDefault="004E3A17" w:rsidP="004E3A17">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4E3A17">
        <w:rPr>
          <w:rFonts w:eastAsia="Times New Roman" w:cstheme="minorHAnsi"/>
          <w:color w:val="000000" w:themeColor="text1"/>
          <w:kern w:val="0"/>
          <w:lang w:eastAsia="en-GB"/>
          <w14:ligatures w14:val="none"/>
        </w:rPr>
        <w:t>‌</w:t>
      </w:r>
    </w:p>
    <w:p w14:paraId="07C24329" w14:textId="77777777" w:rsidR="004E3A17" w:rsidRPr="00AC3F11" w:rsidRDefault="004E3A17"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p>
    <w:p w14:paraId="1C0E0D5B"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Broer, M., Bai, Y., &amp; Fonseca, F. (2019). A review of the literature on socioeconomic status and educational achievement. In M. Broer, Y. Bai, &amp; F. Fonseca (Eds.), </w:t>
      </w:r>
      <w:r w:rsidRPr="00AC3F11">
        <w:rPr>
          <w:rFonts w:eastAsia="Times New Roman" w:cstheme="minorHAnsi"/>
          <w:i/>
          <w:iCs/>
          <w:color w:val="000000" w:themeColor="text1"/>
          <w:kern w:val="0"/>
          <w:lang w:eastAsia="en-GB"/>
          <w14:ligatures w14:val="none"/>
        </w:rPr>
        <w:t>Socioeconomic inequality and educational outcomes</w:t>
      </w:r>
      <w:r w:rsidRPr="00AC3F11">
        <w:rPr>
          <w:rFonts w:eastAsia="Times New Roman" w:cstheme="minorHAnsi"/>
          <w:color w:val="000000" w:themeColor="text1"/>
          <w:kern w:val="0"/>
          <w:lang w:eastAsia="en-GB"/>
          <w14:ligatures w14:val="none"/>
        </w:rPr>
        <w:t xml:space="preserve"> (pp. 1–20). Springer. </w:t>
      </w:r>
      <w:hyperlink r:id="rId25" w:tgtFrame="_new" w:history="1">
        <w:r w:rsidRPr="00AC3F11">
          <w:rPr>
            <w:rFonts w:eastAsia="Times New Roman" w:cstheme="minorHAnsi"/>
            <w:color w:val="000000" w:themeColor="text1"/>
            <w:kern w:val="0"/>
            <w:lang w:eastAsia="en-GB"/>
            <w14:ligatures w14:val="none"/>
          </w:rPr>
          <w:t>https://doi.org/10.1007/978-3-030-11991-1_2</w:t>
        </w:r>
      </w:hyperlink>
    </w:p>
    <w:p w14:paraId="6223288F"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Broer, M., Bai, Y., &amp; Fonseca, F. (2019). Socioeconomic inequality and educational outcomes: An introduction. </w:t>
      </w:r>
      <w:r w:rsidRPr="00AC3F11">
        <w:rPr>
          <w:rFonts w:eastAsia="Times New Roman" w:cstheme="minorHAnsi"/>
          <w:i/>
          <w:iCs/>
          <w:color w:val="000000" w:themeColor="text1"/>
          <w:kern w:val="0"/>
          <w:lang w:eastAsia="en-GB"/>
          <w14:ligatures w14:val="none"/>
        </w:rPr>
        <w:t>IEA Research for Education, 5</w:t>
      </w:r>
      <w:r w:rsidRPr="00AC3F11">
        <w:rPr>
          <w:rFonts w:eastAsia="Times New Roman" w:cstheme="minorHAnsi"/>
          <w:color w:val="000000" w:themeColor="text1"/>
          <w:kern w:val="0"/>
          <w:lang w:eastAsia="en-GB"/>
          <w14:ligatures w14:val="none"/>
        </w:rPr>
        <w:t xml:space="preserve">, 1–6. </w:t>
      </w:r>
      <w:hyperlink r:id="rId26" w:tgtFrame="_new" w:history="1">
        <w:r w:rsidRPr="00AC3F11">
          <w:rPr>
            <w:rFonts w:eastAsia="Times New Roman" w:cstheme="minorHAnsi"/>
            <w:color w:val="000000" w:themeColor="text1"/>
            <w:kern w:val="0"/>
            <w:lang w:eastAsia="en-GB"/>
            <w14:ligatures w14:val="none"/>
          </w:rPr>
          <w:t>https://doi.org/10.1007/978-3-030-11991-1_1</w:t>
        </w:r>
      </w:hyperlink>
    </w:p>
    <w:p w14:paraId="79D7E13E"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Chetty, R., Friedman, J. N., Saez, E., Turner, N., &amp; Yagan, D. (2020). Income segregation and intergenerational mobility across colleges in the United States. </w:t>
      </w:r>
      <w:r w:rsidRPr="00AC3F11">
        <w:rPr>
          <w:rFonts w:eastAsia="Times New Roman" w:cstheme="minorHAnsi"/>
          <w:i/>
          <w:iCs/>
          <w:color w:val="000000" w:themeColor="text1"/>
          <w:kern w:val="0"/>
          <w:lang w:eastAsia="en-GB"/>
          <w14:ligatures w14:val="none"/>
        </w:rPr>
        <w:t>The Quarterly Journal of Economics, 135</w:t>
      </w:r>
      <w:r w:rsidRPr="00AC3F11">
        <w:rPr>
          <w:rFonts w:eastAsia="Times New Roman" w:cstheme="minorHAnsi"/>
          <w:color w:val="000000" w:themeColor="text1"/>
          <w:kern w:val="0"/>
          <w:lang w:eastAsia="en-GB"/>
          <w14:ligatures w14:val="none"/>
        </w:rPr>
        <w:t xml:space="preserve">(3), 1567–1633. </w:t>
      </w:r>
      <w:hyperlink r:id="rId27" w:tgtFrame="_new" w:history="1">
        <w:r w:rsidRPr="00AC3F11">
          <w:rPr>
            <w:rFonts w:eastAsia="Times New Roman" w:cstheme="minorHAnsi"/>
            <w:color w:val="000000" w:themeColor="text1"/>
            <w:kern w:val="0"/>
            <w:lang w:eastAsia="en-GB"/>
            <w14:ligatures w14:val="none"/>
          </w:rPr>
          <w:t>https://doi.org/10.1093/qje/qjaa005</w:t>
        </w:r>
      </w:hyperlink>
    </w:p>
    <w:p w14:paraId="69E90BEB"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proofErr w:type="spellStart"/>
      <w:r w:rsidRPr="00AC3F11">
        <w:rPr>
          <w:rFonts w:eastAsia="Times New Roman" w:cstheme="minorHAnsi"/>
          <w:color w:val="000000" w:themeColor="text1"/>
          <w:kern w:val="0"/>
          <w:lang w:eastAsia="en-GB"/>
          <w14:ligatures w14:val="none"/>
        </w:rPr>
        <w:t>Choondiyanil</w:t>
      </w:r>
      <w:proofErr w:type="spellEnd"/>
      <w:r w:rsidRPr="00AC3F11">
        <w:rPr>
          <w:rFonts w:eastAsia="Times New Roman" w:cstheme="minorHAnsi"/>
          <w:color w:val="000000" w:themeColor="text1"/>
          <w:kern w:val="0"/>
          <w:lang w:eastAsia="en-GB"/>
          <w14:ligatures w14:val="none"/>
        </w:rPr>
        <w:t xml:space="preserve">, A. (2024). Wealth and health inequality in the elderly: A narrative review of the challenges in an ageing UK population. </w:t>
      </w:r>
      <w:r w:rsidRPr="00AC3F11">
        <w:rPr>
          <w:rFonts w:eastAsia="Times New Roman" w:cstheme="minorHAnsi"/>
          <w:i/>
          <w:iCs/>
          <w:color w:val="000000" w:themeColor="text1"/>
          <w:kern w:val="0"/>
          <w:lang w:eastAsia="en-GB"/>
          <w14:ligatures w14:val="none"/>
        </w:rPr>
        <w:t>ResearchGate</w:t>
      </w:r>
      <w:r w:rsidRPr="00AC3F11">
        <w:rPr>
          <w:rFonts w:eastAsia="Times New Roman" w:cstheme="minorHAnsi"/>
          <w:color w:val="000000" w:themeColor="text1"/>
          <w:kern w:val="0"/>
          <w:lang w:eastAsia="en-GB"/>
          <w14:ligatures w14:val="none"/>
        </w:rPr>
        <w:t xml:space="preserve">. </w:t>
      </w:r>
      <w:hyperlink r:id="rId28" w:tgtFrame="_new" w:history="1">
        <w:r w:rsidRPr="00AC3F11">
          <w:rPr>
            <w:rFonts w:eastAsia="Times New Roman" w:cstheme="minorHAnsi"/>
            <w:color w:val="000000" w:themeColor="text1"/>
            <w:kern w:val="0"/>
            <w:lang w:eastAsia="en-GB"/>
            <w14:ligatures w14:val="none"/>
          </w:rPr>
          <w:t>https://www.researchgate.net/publication/383409318_Wealth_and_health_inequality_in_the_elderly_a_narrative_review_of_the_challenges_in_an_ageing_UK_population</w:t>
        </w:r>
      </w:hyperlink>
    </w:p>
    <w:p w14:paraId="2C7B3514" w14:textId="18CDA953"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Crawford, C. (2014). </w:t>
      </w:r>
      <w:r w:rsidR="000F4DDE">
        <w:rPr>
          <w:rFonts w:eastAsia="Times New Roman" w:cstheme="minorHAnsi"/>
          <w:color w:val="000000" w:themeColor="text1"/>
          <w:kern w:val="0"/>
          <w:lang w:eastAsia="en-GB"/>
          <w14:ligatures w14:val="none"/>
        </w:rPr>
        <w:t>Socioeconomic</w:t>
      </w:r>
      <w:r w:rsidRPr="00AC3F11">
        <w:rPr>
          <w:rFonts w:eastAsia="Times New Roman" w:cstheme="minorHAnsi"/>
          <w:color w:val="000000" w:themeColor="text1"/>
          <w:kern w:val="0"/>
          <w:lang w:eastAsia="en-GB"/>
          <w14:ligatures w14:val="none"/>
        </w:rPr>
        <w:t xml:space="preserve"> differences in university outcomes in the UK: Drop-out, degree completion, and degree class. </w:t>
      </w:r>
      <w:r w:rsidRPr="00AC3F11">
        <w:rPr>
          <w:rFonts w:eastAsia="Times New Roman" w:cstheme="minorHAnsi"/>
          <w:i/>
          <w:iCs/>
          <w:color w:val="000000" w:themeColor="text1"/>
          <w:kern w:val="0"/>
          <w:lang w:eastAsia="en-GB"/>
          <w14:ligatures w14:val="none"/>
        </w:rPr>
        <w:t>IFS Working Paper W14/31</w:t>
      </w:r>
      <w:r w:rsidRPr="00AC3F11">
        <w:rPr>
          <w:rFonts w:eastAsia="Times New Roman" w:cstheme="minorHAnsi"/>
          <w:color w:val="000000" w:themeColor="text1"/>
          <w:kern w:val="0"/>
          <w:lang w:eastAsia="en-GB"/>
          <w14:ligatures w14:val="none"/>
        </w:rPr>
        <w:t xml:space="preserve">. Retrieved January 16, 2025, from </w:t>
      </w:r>
      <w:hyperlink r:id="rId29" w:tgtFrame="_new" w:history="1">
        <w:r w:rsidRPr="00AC3F11">
          <w:rPr>
            <w:rFonts w:eastAsia="Times New Roman" w:cstheme="minorHAnsi"/>
            <w:color w:val="000000" w:themeColor="text1"/>
            <w:kern w:val="0"/>
            <w:lang w:eastAsia="en-GB"/>
            <w14:ligatures w14:val="none"/>
          </w:rPr>
          <w:t>https://ifs.org.uk/sites/default/files/output_url_files/WP201431.pdf</w:t>
        </w:r>
      </w:hyperlink>
    </w:p>
    <w:p w14:paraId="0DAFF9AA"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lastRenderedPageBreak/>
        <w:t xml:space="preserve">Crawford, C., Gregg, P., Macmillan, L., Vignoles, A., &amp; Wyness, G. (2016). Higher education, career opportunities, and intergenerational inequality. </w:t>
      </w:r>
      <w:r w:rsidRPr="00AC3F11">
        <w:rPr>
          <w:rFonts w:eastAsia="Times New Roman" w:cstheme="minorHAnsi"/>
          <w:i/>
          <w:iCs/>
          <w:color w:val="000000" w:themeColor="text1"/>
          <w:kern w:val="0"/>
          <w:lang w:eastAsia="en-GB"/>
          <w14:ligatures w14:val="none"/>
        </w:rPr>
        <w:t>Oxford Review of Economic Policy, 32</w:t>
      </w:r>
      <w:r w:rsidRPr="00AC3F11">
        <w:rPr>
          <w:rFonts w:eastAsia="Times New Roman" w:cstheme="minorHAnsi"/>
          <w:color w:val="000000" w:themeColor="text1"/>
          <w:kern w:val="0"/>
          <w:lang w:eastAsia="en-GB"/>
          <w14:ligatures w14:val="none"/>
        </w:rPr>
        <w:t xml:space="preserve">(4), 553–575. </w:t>
      </w:r>
      <w:hyperlink r:id="rId30" w:tgtFrame="_new" w:history="1">
        <w:r w:rsidRPr="00AC3F11">
          <w:rPr>
            <w:rFonts w:eastAsia="Times New Roman" w:cstheme="minorHAnsi"/>
            <w:color w:val="000000" w:themeColor="text1"/>
            <w:kern w:val="0"/>
            <w:lang w:eastAsia="en-GB"/>
            <w14:ligatures w14:val="none"/>
          </w:rPr>
          <w:t>https://doi.org/10.1093/oxrep/grw030</w:t>
        </w:r>
      </w:hyperlink>
    </w:p>
    <w:p w14:paraId="3309A77B"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Cunningham, C., &amp; Samson, C. (2021). Neoliberal Meritocracy: How “Widening Participation” to Universities in England Reinforces Class Divisions. </w:t>
      </w:r>
      <w:r w:rsidRPr="00AC3F11">
        <w:rPr>
          <w:rFonts w:cstheme="minorHAnsi"/>
          <w:i/>
          <w:iCs/>
          <w:color w:val="000000" w:themeColor="text1"/>
        </w:rPr>
        <w:t>On Education Journal for Research and Debate</w:t>
      </w:r>
      <w:r w:rsidRPr="00AC3F11">
        <w:rPr>
          <w:rFonts w:cstheme="minorHAnsi"/>
          <w:color w:val="000000" w:themeColor="text1"/>
        </w:rPr>
        <w:t>, </w:t>
      </w:r>
      <w:r w:rsidRPr="00AC3F11">
        <w:rPr>
          <w:rFonts w:cstheme="minorHAnsi"/>
          <w:i/>
          <w:iCs/>
          <w:color w:val="000000" w:themeColor="text1"/>
        </w:rPr>
        <w:t>4</w:t>
      </w:r>
      <w:r w:rsidRPr="00AC3F11">
        <w:rPr>
          <w:rFonts w:cstheme="minorHAnsi"/>
          <w:color w:val="000000" w:themeColor="text1"/>
        </w:rPr>
        <w:t>(10). https://doi.org/10.17899/on_ed.2021.10.8</w:t>
      </w:r>
    </w:p>
    <w:p w14:paraId="63302E54"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Cyr, J. (2024). Focus Groups. </w:t>
      </w:r>
      <w:r w:rsidRPr="00AC3F11">
        <w:rPr>
          <w:rFonts w:cstheme="minorHAnsi"/>
          <w:i/>
          <w:iCs/>
          <w:color w:val="000000" w:themeColor="text1"/>
        </w:rPr>
        <w:t xml:space="preserve">Oxford University Press </w:t>
      </w:r>
      <w:proofErr w:type="spellStart"/>
      <w:r w:rsidRPr="00AC3F11">
        <w:rPr>
          <w:rFonts w:cstheme="minorHAnsi"/>
          <w:i/>
          <w:iCs/>
          <w:color w:val="000000" w:themeColor="text1"/>
        </w:rPr>
        <w:t>EBooks</w:t>
      </w:r>
      <w:proofErr w:type="spellEnd"/>
      <w:r w:rsidRPr="00AC3F11">
        <w:rPr>
          <w:rFonts w:cstheme="minorHAnsi"/>
          <w:color w:val="000000" w:themeColor="text1"/>
        </w:rPr>
        <w:t xml:space="preserve">, 222–232. </w:t>
      </w:r>
      <w:hyperlink r:id="rId31" w:history="1">
        <w:r w:rsidRPr="00AC3F11">
          <w:rPr>
            <w:rStyle w:val="Hyperlink"/>
            <w:rFonts w:cstheme="minorHAnsi"/>
            <w:color w:val="000000" w:themeColor="text1"/>
            <w:u w:val="none"/>
          </w:rPr>
          <w:t>https://doi.org/10.1093/oso/9780197633137.003.0019</w:t>
        </w:r>
      </w:hyperlink>
    </w:p>
    <w:p w14:paraId="4A6E34F7" w14:textId="01BE127F"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Devlin, M. (20</w:t>
      </w:r>
      <w:r w:rsidR="006E322B">
        <w:rPr>
          <w:rFonts w:cstheme="minorHAnsi"/>
          <w:color w:val="000000" w:themeColor="text1"/>
        </w:rPr>
        <w:t>14</w:t>
      </w:r>
      <w:r w:rsidRPr="00AC3F11">
        <w:rPr>
          <w:rFonts w:cstheme="minorHAnsi"/>
          <w:color w:val="000000" w:themeColor="text1"/>
        </w:rPr>
        <w:t xml:space="preserve">). Reframing the problem: Students from low socioeconomic status backgrounds transitioning to university. In H. Brook, D. Fergie, M. </w:t>
      </w:r>
      <w:proofErr w:type="spellStart"/>
      <w:r w:rsidRPr="00AC3F11">
        <w:rPr>
          <w:rFonts w:cstheme="minorHAnsi"/>
          <w:color w:val="000000" w:themeColor="text1"/>
        </w:rPr>
        <w:t>Maeorg</w:t>
      </w:r>
      <w:proofErr w:type="spellEnd"/>
      <w:r w:rsidRPr="00AC3F11">
        <w:rPr>
          <w:rFonts w:cstheme="minorHAnsi"/>
          <w:color w:val="000000" w:themeColor="text1"/>
        </w:rPr>
        <w:t xml:space="preserve">, &amp; D. Michell (Eds.), </w:t>
      </w:r>
      <w:r w:rsidRPr="00AC3F11">
        <w:rPr>
          <w:rFonts w:cstheme="minorHAnsi"/>
          <w:i/>
          <w:iCs/>
          <w:color w:val="000000" w:themeColor="text1"/>
        </w:rPr>
        <w:t xml:space="preserve">Universities in transition: Foregrounding social contexts of knowledge in the </w:t>
      </w:r>
      <w:proofErr w:type="gramStart"/>
      <w:r w:rsidRPr="00AC3F11">
        <w:rPr>
          <w:rFonts w:cstheme="minorHAnsi"/>
          <w:i/>
          <w:iCs/>
          <w:color w:val="000000" w:themeColor="text1"/>
        </w:rPr>
        <w:t>first year</w:t>
      </w:r>
      <w:proofErr w:type="gramEnd"/>
      <w:r w:rsidRPr="00AC3F11">
        <w:rPr>
          <w:rFonts w:cstheme="minorHAnsi"/>
          <w:i/>
          <w:iCs/>
          <w:color w:val="000000" w:themeColor="text1"/>
        </w:rPr>
        <w:t xml:space="preserve"> experience</w:t>
      </w:r>
      <w:r w:rsidRPr="00AC3F11">
        <w:rPr>
          <w:rFonts w:cstheme="minorHAnsi"/>
          <w:color w:val="000000" w:themeColor="text1"/>
        </w:rPr>
        <w:t xml:space="preserve"> (pp. 97–125). Academia.edu.</w:t>
      </w:r>
    </w:p>
    <w:p w14:paraId="00F2C984" w14:textId="162189DE" w:rsidR="004B770D" w:rsidRPr="00AC3F11" w:rsidRDefault="004B770D" w:rsidP="00767295">
      <w:pPr>
        <w:spacing w:line="480" w:lineRule="auto"/>
        <w:ind w:left="680" w:hanging="680"/>
        <w:rPr>
          <w:rFonts w:cstheme="minorHAnsi"/>
          <w:color w:val="000000" w:themeColor="text1"/>
        </w:rPr>
      </w:pPr>
      <w:r w:rsidRPr="00AC3F11">
        <w:rPr>
          <w:rFonts w:eastAsia="Times New Roman" w:cstheme="minorHAnsi"/>
          <w:color w:val="000000" w:themeColor="text1"/>
          <w:kern w:val="0"/>
          <w:lang w:eastAsia="en-GB"/>
          <w14:ligatures w14:val="none"/>
        </w:rPr>
        <w:t xml:space="preserve">‌Early, E., Miller, S., Dunne, L., Thurston, A., &amp; Filiz, M. (2019). The influence of </w:t>
      </w:r>
      <w:r w:rsidR="000F4DDE">
        <w:rPr>
          <w:rFonts w:eastAsia="Times New Roman" w:cstheme="minorHAnsi"/>
          <w:color w:val="000000" w:themeColor="text1"/>
          <w:kern w:val="0"/>
          <w:lang w:eastAsia="en-GB"/>
          <w14:ligatures w14:val="none"/>
        </w:rPr>
        <w:t>socioeconomic</w:t>
      </w:r>
      <w:r w:rsidRPr="00AC3F11">
        <w:rPr>
          <w:rFonts w:eastAsia="Times New Roman" w:cstheme="minorHAnsi"/>
          <w:color w:val="000000" w:themeColor="text1"/>
          <w:kern w:val="0"/>
          <w:lang w:eastAsia="en-GB"/>
          <w14:ligatures w14:val="none"/>
        </w:rPr>
        <w:t xml:space="preserve"> background and gender on school attainment in the United Kingdom: A systematic review. </w:t>
      </w:r>
      <w:r w:rsidRPr="00AC3F11">
        <w:rPr>
          <w:rFonts w:eastAsia="Times New Roman" w:cstheme="minorHAnsi"/>
          <w:i/>
          <w:iCs/>
          <w:color w:val="000000" w:themeColor="text1"/>
          <w:kern w:val="0"/>
          <w:lang w:eastAsia="en-GB"/>
          <w14:ligatures w14:val="none"/>
        </w:rPr>
        <w:t>Review of Education, 8</w:t>
      </w:r>
      <w:r w:rsidRPr="00AC3F11">
        <w:rPr>
          <w:rFonts w:eastAsia="Times New Roman" w:cstheme="minorHAnsi"/>
          <w:color w:val="000000" w:themeColor="text1"/>
          <w:kern w:val="0"/>
          <w:lang w:eastAsia="en-GB"/>
          <w14:ligatures w14:val="none"/>
        </w:rPr>
        <w:t xml:space="preserve">(1), 120–152. </w:t>
      </w:r>
      <w:hyperlink r:id="rId32" w:tgtFrame="_new" w:history="1">
        <w:r w:rsidRPr="00AC3F11">
          <w:rPr>
            <w:rFonts w:eastAsia="Times New Roman" w:cstheme="minorHAnsi"/>
            <w:color w:val="000000" w:themeColor="text1"/>
            <w:kern w:val="0"/>
            <w:lang w:eastAsia="en-GB"/>
            <w14:ligatures w14:val="none"/>
          </w:rPr>
          <w:t>https://doi.org/10.1002/rev3.3175</w:t>
        </w:r>
      </w:hyperlink>
    </w:p>
    <w:p w14:paraId="7D298200"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Easterby-Smith, M., Thorpe, R., &amp; Jackson, P. R. (2008). </w:t>
      </w:r>
      <w:r w:rsidRPr="00AC3F11">
        <w:rPr>
          <w:rFonts w:eastAsia="Times New Roman" w:cstheme="minorHAnsi"/>
          <w:i/>
          <w:iCs/>
          <w:color w:val="000000" w:themeColor="text1"/>
          <w:kern w:val="0"/>
          <w:lang w:eastAsia="en-GB"/>
          <w14:ligatures w14:val="none"/>
        </w:rPr>
        <w:t>Management research</w:t>
      </w:r>
      <w:r w:rsidRPr="00AC3F11">
        <w:rPr>
          <w:rFonts w:eastAsia="Times New Roman" w:cstheme="minorHAnsi"/>
          <w:color w:val="000000" w:themeColor="text1"/>
          <w:kern w:val="0"/>
          <w:lang w:eastAsia="en-GB"/>
          <w14:ligatures w14:val="none"/>
        </w:rPr>
        <w:t xml:space="preserve"> (3rd ed.). Sage.</w:t>
      </w:r>
    </w:p>
    <w:p w14:paraId="3C6D2AEB"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Eurostat. 2020. “Children at Risk of Poverty or Social Exclusion - Statistics Explained.” 2020.https://ec.europa.eu/eurostat/statistics-explained/index.php/Children_at_risk_of_poverty_or_social_exclusion#Key_findings.</w:t>
      </w:r>
    </w:p>
    <w:p w14:paraId="4314548F" w14:textId="77777777" w:rsidR="004B770D" w:rsidRPr="00AC3F11" w:rsidRDefault="004B770D" w:rsidP="00767295">
      <w:pPr>
        <w:pStyle w:val="NormalWeb"/>
        <w:spacing w:line="480" w:lineRule="auto"/>
        <w:ind w:left="680" w:hanging="680"/>
        <w:rPr>
          <w:rFonts w:asciiTheme="minorHAnsi" w:hAnsiTheme="minorHAnsi" w:cstheme="minorHAnsi"/>
          <w:color w:val="000000" w:themeColor="text1"/>
        </w:rPr>
      </w:pPr>
      <w:r w:rsidRPr="00AC3F11">
        <w:rPr>
          <w:rFonts w:asciiTheme="minorHAnsi" w:hAnsiTheme="minorHAnsi" w:cstheme="minorHAnsi"/>
          <w:color w:val="000000" w:themeColor="text1"/>
        </w:rPr>
        <w:lastRenderedPageBreak/>
        <w:t>Evans-Winters, V. E., &amp; Esposito, J. (2019). Intersectionality in Education Research. </w:t>
      </w:r>
      <w:r w:rsidRPr="00AC3F11">
        <w:rPr>
          <w:rFonts w:asciiTheme="minorHAnsi" w:hAnsiTheme="minorHAnsi" w:cstheme="minorHAnsi"/>
          <w:i/>
          <w:iCs/>
          <w:color w:val="000000" w:themeColor="text1"/>
        </w:rPr>
        <w:t xml:space="preserve">Routledge </w:t>
      </w:r>
      <w:proofErr w:type="spellStart"/>
      <w:r w:rsidRPr="00AC3F11">
        <w:rPr>
          <w:rFonts w:asciiTheme="minorHAnsi" w:hAnsiTheme="minorHAnsi" w:cstheme="minorHAnsi"/>
          <w:i/>
          <w:iCs/>
          <w:color w:val="000000" w:themeColor="text1"/>
        </w:rPr>
        <w:t>EBooks</w:t>
      </w:r>
      <w:proofErr w:type="spellEnd"/>
      <w:r w:rsidRPr="00AC3F11">
        <w:rPr>
          <w:rFonts w:asciiTheme="minorHAnsi" w:hAnsiTheme="minorHAnsi" w:cstheme="minorHAnsi"/>
          <w:color w:val="000000" w:themeColor="text1"/>
        </w:rPr>
        <w:t xml:space="preserve">, 52–64. </w:t>
      </w:r>
      <w:hyperlink r:id="rId33" w:history="1">
        <w:r w:rsidRPr="00AC3F11">
          <w:rPr>
            <w:rStyle w:val="Hyperlink"/>
            <w:rFonts w:asciiTheme="minorHAnsi" w:hAnsiTheme="minorHAnsi" w:cstheme="minorHAnsi"/>
            <w:color w:val="000000" w:themeColor="text1"/>
            <w:u w:val="none"/>
          </w:rPr>
          <w:t>https://doi.org/10.4324/9780429056796-5</w:t>
        </w:r>
      </w:hyperlink>
    </w:p>
    <w:p w14:paraId="7DFCCDF5" w14:textId="29A9284C"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Galindo-Rueda, F., </w:t>
      </w:r>
      <w:proofErr w:type="spellStart"/>
      <w:r w:rsidRPr="00AC3F11">
        <w:rPr>
          <w:rFonts w:eastAsia="Times New Roman" w:cstheme="minorHAnsi"/>
          <w:color w:val="000000" w:themeColor="text1"/>
          <w:kern w:val="0"/>
          <w:lang w:eastAsia="en-GB"/>
          <w14:ligatures w14:val="none"/>
        </w:rPr>
        <w:t>Marcenaro</w:t>
      </w:r>
      <w:proofErr w:type="spellEnd"/>
      <w:r w:rsidRPr="00AC3F11">
        <w:rPr>
          <w:rFonts w:eastAsia="Times New Roman" w:cstheme="minorHAnsi"/>
          <w:color w:val="000000" w:themeColor="text1"/>
          <w:kern w:val="0"/>
          <w:lang w:eastAsia="en-GB"/>
          <w14:ligatures w14:val="none"/>
        </w:rPr>
        <w:t xml:space="preserve">-Gutierrez, O., &amp; Vignoles, A. (2004). The widening </w:t>
      </w:r>
      <w:r w:rsidR="000F4DDE">
        <w:rPr>
          <w:rFonts w:eastAsia="Times New Roman" w:cstheme="minorHAnsi"/>
          <w:color w:val="000000" w:themeColor="text1"/>
          <w:kern w:val="0"/>
          <w:lang w:eastAsia="en-GB"/>
          <w14:ligatures w14:val="none"/>
        </w:rPr>
        <w:t>socioeconomic</w:t>
      </w:r>
      <w:r w:rsidRPr="00AC3F11">
        <w:rPr>
          <w:rFonts w:eastAsia="Times New Roman" w:cstheme="minorHAnsi"/>
          <w:color w:val="000000" w:themeColor="text1"/>
          <w:kern w:val="0"/>
          <w:lang w:eastAsia="en-GB"/>
          <w14:ligatures w14:val="none"/>
        </w:rPr>
        <w:t xml:space="preserve"> gap in UK higher education. </w:t>
      </w:r>
      <w:r w:rsidRPr="00AC3F11">
        <w:rPr>
          <w:rFonts w:eastAsia="Times New Roman" w:cstheme="minorHAnsi"/>
          <w:i/>
          <w:iCs/>
          <w:color w:val="000000" w:themeColor="text1"/>
          <w:kern w:val="0"/>
          <w:lang w:eastAsia="en-GB"/>
          <w14:ligatures w14:val="none"/>
        </w:rPr>
        <w:t>National Institute Economic Review, 190</w:t>
      </w:r>
      <w:r w:rsidRPr="00AC3F11">
        <w:rPr>
          <w:rFonts w:eastAsia="Times New Roman" w:cstheme="minorHAnsi"/>
          <w:color w:val="000000" w:themeColor="text1"/>
          <w:kern w:val="0"/>
          <w:lang w:eastAsia="en-GB"/>
          <w14:ligatures w14:val="none"/>
        </w:rPr>
        <w:t xml:space="preserve">, 75–88. </w:t>
      </w:r>
      <w:hyperlink r:id="rId34" w:tgtFrame="_new" w:history="1">
        <w:r w:rsidRPr="00AC3F11">
          <w:rPr>
            <w:rFonts w:eastAsia="Times New Roman" w:cstheme="minorHAnsi"/>
            <w:color w:val="000000" w:themeColor="text1"/>
            <w:kern w:val="0"/>
            <w:lang w:eastAsia="en-GB"/>
            <w14:ligatures w14:val="none"/>
          </w:rPr>
          <w:t>https://doi.org/10.1177/002795010419000108</w:t>
        </w:r>
      </w:hyperlink>
    </w:p>
    <w:p w14:paraId="6676324D"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 xml:space="preserve">Gartland, D., Riggs, E., Giallo, R., Glover, K., Stowe, M., </w:t>
      </w:r>
      <w:proofErr w:type="spellStart"/>
      <w:r w:rsidRPr="00AC3F11">
        <w:rPr>
          <w:rFonts w:cstheme="minorHAnsi"/>
          <w:color w:val="000000" w:themeColor="text1"/>
        </w:rPr>
        <w:t>Mongta</w:t>
      </w:r>
      <w:proofErr w:type="spellEnd"/>
      <w:r w:rsidRPr="00AC3F11">
        <w:rPr>
          <w:rFonts w:cstheme="minorHAnsi"/>
          <w:color w:val="000000" w:themeColor="text1"/>
        </w:rPr>
        <w:t xml:space="preserve">, S., </w:t>
      </w:r>
      <w:proofErr w:type="spellStart"/>
      <w:r w:rsidRPr="00AC3F11">
        <w:rPr>
          <w:rFonts w:cstheme="minorHAnsi"/>
          <w:color w:val="000000" w:themeColor="text1"/>
        </w:rPr>
        <w:t>Weetra</w:t>
      </w:r>
      <w:proofErr w:type="spellEnd"/>
      <w:r w:rsidRPr="00AC3F11">
        <w:rPr>
          <w:rFonts w:cstheme="minorHAnsi"/>
          <w:color w:val="000000" w:themeColor="text1"/>
        </w:rPr>
        <w:t>, D., &amp; Brown, S. J. (2022). Development of a multidimensional culturally and socially inclusive measure of factors that support resilience: Child Resilience Questionnaire-Child report (</w:t>
      </w:r>
      <w:proofErr w:type="spellStart"/>
      <w:r w:rsidRPr="00AC3F11">
        <w:rPr>
          <w:rFonts w:cstheme="minorHAnsi"/>
          <w:color w:val="000000" w:themeColor="text1"/>
        </w:rPr>
        <w:t>CRQ</w:t>
      </w:r>
      <w:proofErr w:type="spellEnd"/>
      <w:r w:rsidRPr="00AC3F11">
        <w:rPr>
          <w:rFonts w:cstheme="minorHAnsi"/>
          <w:color w:val="000000" w:themeColor="text1"/>
        </w:rPr>
        <w:t>-C)—a community-based participatory research and psychometric testing study in Australia. </w:t>
      </w:r>
      <w:r w:rsidRPr="00AC3F11">
        <w:rPr>
          <w:rFonts w:cstheme="minorHAnsi"/>
          <w:i/>
          <w:iCs/>
          <w:color w:val="000000" w:themeColor="text1"/>
        </w:rPr>
        <w:t>BMJ Open</w:t>
      </w:r>
      <w:r w:rsidRPr="00AC3F11">
        <w:rPr>
          <w:rFonts w:cstheme="minorHAnsi"/>
          <w:color w:val="000000" w:themeColor="text1"/>
        </w:rPr>
        <w:t>, </w:t>
      </w:r>
      <w:r w:rsidRPr="00AC3F11">
        <w:rPr>
          <w:rFonts w:cstheme="minorHAnsi"/>
          <w:i/>
          <w:iCs/>
          <w:color w:val="000000" w:themeColor="text1"/>
        </w:rPr>
        <w:t>12</w:t>
      </w:r>
      <w:r w:rsidRPr="00AC3F11">
        <w:rPr>
          <w:rFonts w:cstheme="minorHAnsi"/>
          <w:color w:val="000000" w:themeColor="text1"/>
        </w:rPr>
        <w:t xml:space="preserve">(9), e060229–e060229. </w:t>
      </w:r>
      <w:hyperlink r:id="rId35" w:history="1">
        <w:r w:rsidRPr="00AC3F11">
          <w:rPr>
            <w:rStyle w:val="Hyperlink"/>
            <w:rFonts w:cstheme="minorHAnsi"/>
            <w:color w:val="000000" w:themeColor="text1"/>
            <w:u w:val="none"/>
          </w:rPr>
          <w:t>https://doi.org/10.1136/bmjopen-2021-060229</w:t>
        </w:r>
      </w:hyperlink>
    </w:p>
    <w:p w14:paraId="5F74AF61"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GOV.UK. (2024). Income returns to education: Social Mobility Commission state of the nation. </w:t>
      </w:r>
      <w:r w:rsidRPr="00AC3F11">
        <w:rPr>
          <w:rFonts w:eastAsia="Times New Roman" w:cstheme="minorHAnsi"/>
          <w:i/>
          <w:iCs/>
          <w:color w:val="000000" w:themeColor="text1"/>
          <w:kern w:val="0"/>
          <w:lang w:eastAsia="en-GB"/>
          <w14:ligatures w14:val="none"/>
        </w:rPr>
        <w:t>Data.gov.uk</w:t>
      </w:r>
      <w:r w:rsidRPr="00AC3F11">
        <w:rPr>
          <w:rFonts w:eastAsia="Times New Roman" w:cstheme="minorHAnsi"/>
          <w:color w:val="000000" w:themeColor="text1"/>
          <w:kern w:val="0"/>
          <w:lang w:eastAsia="en-GB"/>
          <w14:ligatures w14:val="none"/>
        </w:rPr>
        <w:t xml:space="preserve">. </w:t>
      </w:r>
      <w:hyperlink r:id="rId36" w:tgtFrame="_new" w:history="1">
        <w:r w:rsidRPr="00AC3F11">
          <w:rPr>
            <w:rFonts w:eastAsia="Times New Roman" w:cstheme="minorHAnsi"/>
            <w:color w:val="000000" w:themeColor="text1"/>
            <w:kern w:val="0"/>
            <w:lang w:eastAsia="en-GB"/>
            <w14:ligatures w14:val="none"/>
          </w:rPr>
          <w:t>https://social-mobility.data.gov.uk/intermediate_outcomes/work_in_early_adulthood_(25_to_29_years)/income_returns_to_education/latest</w:t>
        </w:r>
      </w:hyperlink>
    </w:p>
    <w:p w14:paraId="1A78FC4D" w14:textId="77777777" w:rsidR="004B770D" w:rsidRPr="00AC3F11" w:rsidRDefault="004B770D" w:rsidP="00767295">
      <w:pPr>
        <w:spacing w:before="100" w:beforeAutospacing="1" w:after="100" w:afterAutospacing="1" w:line="480" w:lineRule="auto"/>
        <w:ind w:left="680" w:hanging="680"/>
        <w:rPr>
          <w:rFonts w:cstheme="minorHAnsi"/>
          <w:color w:val="000000" w:themeColor="text1"/>
        </w:rPr>
      </w:pPr>
      <w:r w:rsidRPr="00AC3F11">
        <w:rPr>
          <w:rFonts w:cstheme="minorHAnsi"/>
          <w:color w:val="000000" w:themeColor="text1"/>
        </w:rPr>
        <w:t>Greenland, S. (2017). Invited Commentary: The Need for Cognitive Science in Methodology. </w:t>
      </w:r>
      <w:r w:rsidRPr="00AC3F11">
        <w:rPr>
          <w:rFonts w:cstheme="minorHAnsi"/>
          <w:i/>
          <w:iCs/>
          <w:color w:val="000000" w:themeColor="text1"/>
        </w:rPr>
        <w:t>American Journal of Epidemiology</w:t>
      </w:r>
      <w:r w:rsidRPr="00AC3F11">
        <w:rPr>
          <w:rFonts w:cstheme="minorHAnsi"/>
          <w:color w:val="000000" w:themeColor="text1"/>
        </w:rPr>
        <w:t>, </w:t>
      </w:r>
      <w:r w:rsidRPr="00AC3F11">
        <w:rPr>
          <w:rFonts w:cstheme="minorHAnsi"/>
          <w:i/>
          <w:iCs/>
          <w:color w:val="000000" w:themeColor="text1"/>
        </w:rPr>
        <w:t>186</w:t>
      </w:r>
      <w:r w:rsidRPr="00AC3F11">
        <w:rPr>
          <w:rFonts w:cstheme="minorHAnsi"/>
          <w:color w:val="000000" w:themeColor="text1"/>
        </w:rPr>
        <w:t>(6), 639–645. https://doi.org/10.1093/aje/kwx259</w:t>
      </w:r>
    </w:p>
    <w:p w14:paraId="2E73C434" w14:textId="78E8F74F"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Guba, E. G., &amp; Lincoln, Y. S. (199</w:t>
      </w:r>
      <w:r w:rsidR="00893445">
        <w:rPr>
          <w:rFonts w:eastAsia="Times New Roman" w:cstheme="minorHAnsi"/>
          <w:color w:val="000000" w:themeColor="text1"/>
          <w:kern w:val="0"/>
          <w:lang w:eastAsia="en-GB"/>
          <w14:ligatures w14:val="none"/>
        </w:rPr>
        <w:t>4</w:t>
      </w:r>
      <w:r w:rsidRPr="00AC3F11">
        <w:rPr>
          <w:rFonts w:eastAsia="Times New Roman" w:cstheme="minorHAnsi"/>
          <w:color w:val="000000" w:themeColor="text1"/>
          <w:kern w:val="0"/>
          <w:lang w:eastAsia="en-GB"/>
          <w14:ligatures w14:val="none"/>
        </w:rPr>
        <w:t xml:space="preserve">). Competing paradigms in qualitative research. In N. K. Denzin &amp; Y. S. Lincoln (Eds.), </w:t>
      </w:r>
      <w:r w:rsidRPr="00AC3F11">
        <w:rPr>
          <w:rFonts w:eastAsia="Times New Roman" w:cstheme="minorHAnsi"/>
          <w:i/>
          <w:iCs/>
          <w:color w:val="000000" w:themeColor="text1"/>
          <w:kern w:val="0"/>
          <w:lang w:eastAsia="en-GB"/>
          <w14:ligatures w14:val="none"/>
        </w:rPr>
        <w:t>The landscape of qualitative research</w:t>
      </w:r>
      <w:r w:rsidRPr="00AC3F11">
        <w:rPr>
          <w:rFonts w:eastAsia="Times New Roman" w:cstheme="minorHAnsi"/>
          <w:color w:val="000000" w:themeColor="text1"/>
          <w:kern w:val="0"/>
          <w:lang w:eastAsia="en-GB"/>
          <w14:ligatures w14:val="none"/>
        </w:rPr>
        <w:t xml:space="preserve"> (pp. 195–220). Sage.</w:t>
      </w:r>
    </w:p>
    <w:p w14:paraId="68CD0813" w14:textId="77777777" w:rsidR="00230FE5" w:rsidRPr="00AC3F11" w:rsidRDefault="00230FE5" w:rsidP="00767295">
      <w:pPr>
        <w:spacing w:before="100" w:beforeAutospacing="1" w:after="100" w:afterAutospacing="1" w:line="480" w:lineRule="auto"/>
        <w:ind w:left="680" w:hanging="680"/>
        <w:rPr>
          <w:color w:val="000000" w:themeColor="text1"/>
        </w:rPr>
      </w:pPr>
      <w:r w:rsidRPr="00AC3F11">
        <w:rPr>
          <w:color w:val="000000" w:themeColor="text1"/>
        </w:rPr>
        <w:lastRenderedPageBreak/>
        <w:t xml:space="preserve">Hakim, C. (1987). </w:t>
      </w:r>
      <w:r w:rsidRPr="00AC3F11">
        <w:rPr>
          <w:rStyle w:val="Emphasis"/>
          <w:color w:val="000000" w:themeColor="text1"/>
        </w:rPr>
        <w:t>Research design: Strategies and choices in the design of social research</w:t>
      </w:r>
      <w:r w:rsidRPr="00AC3F11">
        <w:rPr>
          <w:color w:val="000000" w:themeColor="text1"/>
        </w:rPr>
        <w:t>. Allen and Unwin.</w:t>
      </w:r>
    </w:p>
    <w:p w14:paraId="2F03AAD2" w14:textId="0E9E4516"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Hall, P. A. (2003). Aligning ontology and methodology in comparative research. In J. Mahoney &amp; D. </w:t>
      </w:r>
      <w:proofErr w:type="spellStart"/>
      <w:r w:rsidRPr="00AC3F11">
        <w:rPr>
          <w:rFonts w:eastAsia="Times New Roman" w:cstheme="minorHAnsi"/>
          <w:color w:val="000000" w:themeColor="text1"/>
          <w:kern w:val="0"/>
          <w:lang w:eastAsia="en-GB"/>
          <w14:ligatures w14:val="none"/>
        </w:rPr>
        <w:t>Rueschemeyer</w:t>
      </w:r>
      <w:proofErr w:type="spellEnd"/>
      <w:r w:rsidRPr="00AC3F11">
        <w:rPr>
          <w:rFonts w:eastAsia="Times New Roman" w:cstheme="minorHAnsi"/>
          <w:color w:val="000000" w:themeColor="text1"/>
          <w:kern w:val="0"/>
          <w:lang w:eastAsia="en-GB"/>
          <w14:ligatures w14:val="none"/>
        </w:rPr>
        <w:t xml:space="preserve"> (Eds.), </w:t>
      </w:r>
      <w:r w:rsidRPr="00AC3F11">
        <w:rPr>
          <w:rFonts w:eastAsia="Times New Roman" w:cstheme="minorHAnsi"/>
          <w:i/>
          <w:iCs/>
          <w:color w:val="000000" w:themeColor="text1"/>
          <w:kern w:val="0"/>
          <w:lang w:eastAsia="en-GB"/>
          <w14:ligatures w14:val="none"/>
        </w:rPr>
        <w:t>Comparative historical analysis in the social sciences</w:t>
      </w:r>
      <w:r w:rsidRPr="00AC3F11">
        <w:rPr>
          <w:rFonts w:eastAsia="Times New Roman" w:cstheme="minorHAnsi"/>
          <w:color w:val="000000" w:themeColor="text1"/>
          <w:kern w:val="0"/>
          <w:lang w:eastAsia="en-GB"/>
          <w14:ligatures w14:val="none"/>
        </w:rPr>
        <w:t xml:space="preserve"> (pp. 374–404). Cambridge University Press.</w:t>
      </w:r>
    </w:p>
    <w:p w14:paraId="3ABD14A7" w14:textId="76F49C44" w:rsidR="004B770D" w:rsidRDefault="004B770D" w:rsidP="00767295">
      <w:pPr>
        <w:spacing w:before="100" w:beforeAutospacing="1" w:after="100" w:afterAutospacing="1" w:line="480" w:lineRule="auto"/>
        <w:ind w:left="680" w:hanging="680"/>
        <w:rPr>
          <w:color w:val="000000" w:themeColor="text1"/>
        </w:rPr>
      </w:pPr>
      <w:r w:rsidRPr="00AC3F11">
        <w:rPr>
          <w:rFonts w:eastAsia="Times New Roman" w:cstheme="minorHAnsi"/>
          <w:color w:val="000000" w:themeColor="text1"/>
          <w:kern w:val="0"/>
          <w:lang w:eastAsia="en-GB"/>
          <w14:ligatures w14:val="none"/>
        </w:rPr>
        <w:t xml:space="preserve">Hannon, C., Faas, D., &amp; O’Sullivan, K. (2017). Widening the educational capabilities of </w:t>
      </w:r>
      <w:r w:rsidR="000F4DDE">
        <w:rPr>
          <w:rFonts w:eastAsia="Times New Roman" w:cstheme="minorHAnsi"/>
          <w:color w:val="000000" w:themeColor="text1"/>
          <w:kern w:val="0"/>
          <w:lang w:eastAsia="en-GB"/>
          <w14:ligatures w14:val="none"/>
        </w:rPr>
        <w:t>socioeconomic</w:t>
      </w:r>
      <w:r w:rsidRPr="00AC3F11">
        <w:rPr>
          <w:rFonts w:eastAsia="Times New Roman" w:cstheme="minorHAnsi"/>
          <w:color w:val="000000" w:themeColor="text1"/>
          <w:kern w:val="0"/>
          <w:lang w:eastAsia="en-GB"/>
          <w14:ligatures w14:val="none"/>
        </w:rPr>
        <w:t xml:space="preserve">ally disadvantaged students through a model of social and cultural capital development. </w:t>
      </w:r>
      <w:r w:rsidRPr="00AC3F11">
        <w:rPr>
          <w:rFonts w:eastAsia="Times New Roman" w:cstheme="minorHAnsi"/>
          <w:i/>
          <w:iCs/>
          <w:color w:val="000000" w:themeColor="text1"/>
          <w:kern w:val="0"/>
          <w:lang w:eastAsia="en-GB"/>
          <w14:ligatures w14:val="none"/>
        </w:rPr>
        <w:t>British Educational Research Journal, 43</w:t>
      </w:r>
      <w:r w:rsidRPr="00AC3F11">
        <w:rPr>
          <w:rFonts w:eastAsia="Times New Roman" w:cstheme="minorHAnsi"/>
          <w:color w:val="000000" w:themeColor="text1"/>
          <w:kern w:val="0"/>
          <w:lang w:eastAsia="en-GB"/>
          <w14:ligatures w14:val="none"/>
        </w:rPr>
        <w:t xml:space="preserve">(6), 1225–1245. </w:t>
      </w:r>
      <w:hyperlink r:id="rId37" w:tgtFrame="_new" w:history="1">
        <w:r w:rsidRPr="00AC3F11">
          <w:rPr>
            <w:rFonts w:eastAsia="Times New Roman" w:cstheme="minorHAnsi"/>
            <w:color w:val="000000" w:themeColor="text1"/>
            <w:kern w:val="0"/>
            <w:lang w:eastAsia="en-GB"/>
            <w14:ligatures w14:val="none"/>
          </w:rPr>
          <w:t>https://doi.org/10.1002/berj.3309</w:t>
        </w:r>
      </w:hyperlink>
    </w:p>
    <w:p w14:paraId="72F6D50E" w14:textId="39ED1486" w:rsidR="00A640B8" w:rsidRPr="00AC3F11" w:rsidRDefault="00A640B8" w:rsidP="00A640B8">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640B8">
        <w:rPr>
          <w:rFonts w:eastAsia="Times New Roman" w:cstheme="minorHAnsi"/>
          <w:color w:val="000000" w:themeColor="text1"/>
          <w:kern w:val="0"/>
          <w:lang w:eastAsia="en-GB"/>
          <w14:ligatures w14:val="none"/>
        </w:rPr>
        <w:t>Harris, A., &amp; Leonardo, Z. (2018). Intersectionality, Race-Gender Subordination, and Education. </w:t>
      </w:r>
      <w:r w:rsidRPr="00A640B8">
        <w:rPr>
          <w:rFonts w:eastAsia="Times New Roman" w:cstheme="minorHAnsi"/>
          <w:i/>
          <w:iCs/>
          <w:color w:val="000000" w:themeColor="text1"/>
          <w:kern w:val="0"/>
          <w:lang w:eastAsia="en-GB"/>
          <w14:ligatures w14:val="none"/>
        </w:rPr>
        <w:t>Review of Research in Education</w:t>
      </w:r>
      <w:r w:rsidRPr="00A640B8">
        <w:rPr>
          <w:rFonts w:eastAsia="Times New Roman" w:cstheme="minorHAnsi"/>
          <w:color w:val="000000" w:themeColor="text1"/>
          <w:kern w:val="0"/>
          <w:lang w:eastAsia="en-GB"/>
          <w14:ligatures w14:val="none"/>
        </w:rPr>
        <w:t>, </w:t>
      </w:r>
      <w:r w:rsidRPr="00A640B8">
        <w:rPr>
          <w:rFonts w:eastAsia="Times New Roman" w:cstheme="minorHAnsi"/>
          <w:i/>
          <w:iCs/>
          <w:color w:val="000000" w:themeColor="text1"/>
          <w:kern w:val="0"/>
          <w:lang w:eastAsia="en-GB"/>
          <w14:ligatures w14:val="none"/>
        </w:rPr>
        <w:t>42</w:t>
      </w:r>
      <w:r w:rsidRPr="00A640B8">
        <w:rPr>
          <w:rFonts w:eastAsia="Times New Roman" w:cstheme="minorHAnsi"/>
          <w:color w:val="000000" w:themeColor="text1"/>
          <w:kern w:val="0"/>
          <w:lang w:eastAsia="en-GB"/>
          <w14:ligatures w14:val="none"/>
        </w:rPr>
        <w:t>(1), 1–27. https://doi.org/10.3102/0091732x18759071</w:t>
      </w:r>
    </w:p>
    <w:p w14:paraId="02CE26C2"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Harrison, N., &amp; Waller, R. (2017). Success and Impact in Widening Participation Policy: What Works and How Do We Know? </w:t>
      </w:r>
      <w:r w:rsidRPr="00AC3F11">
        <w:rPr>
          <w:rFonts w:cstheme="minorHAnsi"/>
          <w:i/>
          <w:iCs/>
          <w:color w:val="000000" w:themeColor="text1"/>
        </w:rPr>
        <w:t>Higher Education Policy</w:t>
      </w:r>
      <w:r w:rsidRPr="00AC3F11">
        <w:rPr>
          <w:rFonts w:cstheme="minorHAnsi"/>
          <w:color w:val="000000" w:themeColor="text1"/>
        </w:rPr>
        <w:t>, </w:t>
      </w:r>
      <w:r w:rsidRPr="00AC3F11">
        <w:rPr>
          <w:rFonts w:cstheme="minorHAnsi"/>
          <w:i/>
          <w:iCs/>
          <w:color w:val="000000" w:themeColor="text1"/>
        </w:rPr>
        <w:t>30</w:t>
      </w:r>
      <w:r w:rsidRPr="00AC3F11">
        <w:rPr>
          <w:rFonts w:cstheme="minorHAnsi"/>
          <w:color w:val="000000" w:themeColor="text1"/>
        </w:rPr>
        <w:t>(2), 141–160. https://doi.org/10.1057/s41307-016-0020-x</w:t>
      </w:r>
    </w:p>
    <w:p w14:paraId="39B19D05" w14:textId="41252E00"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Has, S., Anders, J., </w:t>
      </w:r>
      <w:proofErr w:type="spellStart"/>
      <w:r w:rsidRPr="00AC3F11">
        <w:rPr>
          <w:rFonts w:eastAsia="Times New Roman" w:cstheme="minorHAnsi"/>
          <w:color w:val="000000" w:themeColor="text1"/>
          <w:kern w:val="0"/>
          <w:lang w:eastAsia="en-GB"/>
          <w14:ligatures w14:val="none"/>
        </w:rPr>
        <w:t>Jerrim</w:t>
      </w:r>
      <w:proofErr w:type="spellEnd"/>
      <w:r w:rsidRPr="00AC3F11">
        <w:rPr>
          <w:rFonts w:eastAsia="Times New Roman" w:cstheme="minorHAnsi"/>
          <w:color w:val="000000" w:themeColor="text1"/>
          <w:kern w:val="0"/>
          <w:lang w:eastAsia="en-GB"/>
          <w14:ligatures w14:val="none"/>
        </w:rPr>
        <w:t xml:space="preserve">, J., &amp; Shure, N. (2021). Educational expectations of UK teenagers and the role of </w:t>
      </w:r>
      <w:r w:rsidR="000F4DDE">
        <w:rPr>
          <w:rFonts w:eastAsia="Times New Roman" w:cstheme="minorHAnsi"/>
          <w:color w:val="000000" w:themeColor="text1"/>
          <w:kern w:val="0"/>
          <w:lang w:eastAsia="en-GB"/>
          <w14:ligatures w14:val="none"/>
        </w:rPr>
        <w:t>socioeconomic</w:t>
      </w:r>
      <w:r w:rsidRPr="00AC3F11">
        <w:rPr>
          <w:rFonts w:eastAsia="Times New Roman" w:cstheme="minorHAnsi"/>
          <w:color w:val="000000" w:themeColor="text1"/>
          <w:kern w:val="0"/>
          <w:lang w:eastAsia="en-GB"/>
          <w14:ligatures w14:val="none"/>
        </w:rPr>
        <w:t xml:space="preserve"> status and economic preferences (No. 21-11). UCL Centre for Education Policy and Equalising Opportunities.</w:t>
      </w:r>
    </w:p>
    <w:p w14:paraId="5BA79FC2" w14:textId="14A408E5" w:rsidR="00230FE5" w:rsidRPr="00AC3F11" w:rsidRDefault="00230FE5" w:rsidP="00767295">
      <w:pPr>
        <w:spacing w:before="100" w:beforeAutospacing="1" w:after="100" w:afterAutospacing="1" w:line="480" w:lineRule="auto"/>
        <w:ind w:left="680" w:hanging="680"/>
        <w:rPr>
          <w:rFonts w:cstheme="minorHAnsi"/>
          <w:color w:val="000000" w:themeColor="text1"/>
        </w:rPr>
      </w:pPr>
      <w:r w:rsidRPr="00AC3F11">
        <w:rPr>
          <w:color w:val="000000" w:themeColor="text1"/>
        </w:rPr>
        <w:t xml:space="preserve">Hermanowicz, J. C. (2016). Longitudinal qualitative research. In M. Shanahan, J. Mortimer, &amp; M. K. Johnson (Eds.), </w:t>
      </w:r>
      <w:r w:rsidRPr="00AC3F11">
        <w:rPr>
          <w:i/>
          <w:iCs/>
          <w:color w:val="000000" w:themeColor="text1"/>
        </w:rPr>
        <w:t>Handbook of the life course</w:t>
      </w:r>
      <w:r w:rsidRPr="00AC3F11">
        <w:rPr>
          <w:color w:val="000000" w:themeColor="text1"/>
        </w:rPr>
        <w:t xml:space="preserve"> (pp. 491–513). Springer. </w:t>
      </w:r>
      <w:hyperlink r:id="rId38" w:tgtFrame="_new" w:history="1">
        <w:r w:rsidRPr="00AC3F11">
          <w:rPr>
            <w:color w:val="000000" w:themeColor="text1"/>
          </w:rPr>
          <w:t>https://doi.org/10.1007/978-3-319-20880-0_22</w:t>
        </w:r>
      </w:hyperlink>
    </w:p>
    <w:p w14:paraId="02D0FF3B" w14:textId="2A38AF3E"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proofErr w:type="spellStart"/>
      <w:r w:rsidRPr="00AC3F11">
        <w:rPr>
          <w:rFonts w:eastAsia="Times New Roman" w:cstheme="minorHAnsi"/>
          <w:color w:val="000000" w:themeColor="text1"/>
          <w:kern w:val="0"/>
          <w:lang w:eastAsia="en-GB"/>
          <w14:ligatures w14:val="none"/>
        </w:rPr>
        <w:lastRenderedPageBreak/>
        <w:t>HESA</w:t>
      </w:r>
      <w:proofErr w:type="spellEnd"/>
      <w:r w:rsidRPr="00AC3F11">
        <w:rPr>
          <w:rFonts w:eastAsia="Times New Roman" w:cstheme="minorHAnsi"/>
          <w:color w:val="000000" w:themeColor="text1"/>
          <w:kern w:val="0"/>
          <w:lang w:eastAsia="en-GB"/>
          <w14:ligatures w14:val="none"/>
        </w:rPr>
        <w:t xml:space="preserve">. (2023). Degree attainment by socioeconomic background: UK, 2017/18 to 2020/21. </w:t>
      </w:r>
      <w:r w:rsidRPr="00AC3F11">
        <w:rPr>
          <w:rFonts w:eastAsia="Times New Roman" w:cstheme="minorHAnsi"/>
          <w:i/>
          <w:iCs/>
          <w:color w:val="000000" w:themeColor="text1"/>
          <w:kern w:val="0"/>
          <w:lang w:eastAsia="en-GB"/>
          <w14:ligatures w14:val="none"/>
        </w:rPr>
        <w:t>Higher Education Statistics Agency.</w:t>
      </w:r>
      <w:r w:rsidRPr="00AC3F11">
        <w:rPr>
          <w:rFonts w:eastAsia="Times New Roman" w:cstheme="minorHAnsi"/>
          <w:color w:val="000000" w:themeColor="text1"/>
          <w:kern w:val="0"/>
          <w:lang w:eastAsia="en-GB"/>
          <w14:ligatures w14:val="none"/>
        </w:rPr>
        <w:t xml:space="preserve"> Retrieved from </w:t>
      </w:r>
      <w:hyperlink r:id="rId39" w:tgtFrame="_new" w:history="1">
        <w:r w:rsidRPr="00AC3F11">
          <w:rPr>
            <w:rFonts w:eastAsia="Times New Roman" w:cstheme="minorHAnsi"/>
            <w:color w:val="000000" w:themeColor="text1"/>
            <w:kern w:val="0"/>
            <w:lang w:eastAsia="en-GB"/>
            <w14:ligatures w14:val="none"/>
          </w:rPr>
          <w:t>https://www.hesa.ac.uk/news/18-04-2023/ah2304-degree-attainment-socioeconomic-background</w:t>
        </w:r>
      </w:hyperlink>
    </w:p>
    <w:p w14:paraId="26DC2046"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Hill, K. G., Woodward, D., Woelfel, T., Hawkins, J. D., &amp; Green, S. (2015). Planning for Long-Term Follow-Up: Strategies Learned from Longitudinal Studies. </w:t>
      </w:r>
      <w:r w:rsidRPr="00AC3F11">
        <w:rPr>
          <w:rFonts w:cstheme="minorHAnsi"/>
          <w:i/>
          <w:iCs/>
          <w:color w:val="000000" w:themeColor="text1"/>
        </w:rPr>
        <w:t>Prevention Science</w:t>
      </w:r>
      <w:r w:rsidRPr="00AC3F11">
        <w:rPr>
          <w:rFonts w:cstheme="minorHAnsi"/>
          <w:color w:val="000000" w:themeColor="text1"/>
        </w:rPr>
        <w:t>, </w:t>
      </w:r>
      <w:r w:rsidRPr="00AC3F11">
        <w:rPr>
          <w:rFonts w:cstheme="minorHAnsi"/>
          <w:i/>
          <w:iCs/>
          <w:color w:val="000000" w:themeColor="text1"/>
        </w:rPr>
        <w:t>17</w:t>
      </w:r>
      <w:r w:rsidRPr="00AC3F11">
        <w:rPr>
          <w:rFonts w:cstheme="minorHAnsi"/>
          <w:color w:val="000000" w:themeColor="text1"/>
        </w:rPr>
        <w:t>(7), 806–818. https://doi.org/10.1007/s11121-015-0610-7</w:t>
      </w:r>
    </w:p>
    <w:p w14:paraId="4E616CB8" w14:textId="672620ED" w:rsidR="004B770D" w:rsidRPr="00AC3F11" w:rsidRDefault="00230FE5"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color w:val="000000" w:themeColor="text1"/>
        </w:rPr>
        <w:t xml:space="preserve">Hopkins, P. (2024). Intersectionality and geography. In B. Warf (Ed.), </w:t>
      </w:r>
      <w:r w:rsidRPr="00AC3F11">
        <w:rPr>
          <w:rStyle w:val="Emphasis"/>
          <w:color w:val="000000" w:themeColor="text1"/>
        </w:rPr>
        <w:t xml:space="preserve">The </w:t>
      </w:r>
      <w:proofErr w:type="spellStart"/>
      <w:r w:rsidRPr="00AC3F11">
        <w:rPr>
          <w:rStyle w:val="Emphasis"/>
          <w:color w:val="000000" w:themeColor="text1"/>
        </w:rPr>
        <w:t>encyclopedia</w:t>
      </w:r>
      <w:proofErr w:type="spellEnd"/>
      <w:r w:rsidRPr="00AC3F11">
        <w:rPr>
          <w:rStyle w:val="Emphasis"/>
          <w:color w:val="000000" w:themeColor="text1"/>
        </w:rPr>
        <w:t xml:space="preserve"> of human geography</w:t>
      </w:r>
      <w:r w:rsidRPr="00AC3F11">
        <w:rPr>
          <w:color w:val="000000" w:themeColor="text1"/>
        </w:rPr>
        <w:t>. Springer. https://doi.org/10.1007/978-3-031-25900-9_5</w:t>
      </w:r>
    </w:p>
    <w:p w14:paraId="721C747E" w14:textId="7168BE41" w:rsidR="00230FE5" w:rsidRPr="00AC3F11" w:rsidRDefault="00230FE5" w:rsidP="00767295">
      <w:pPr>
        <w:spacing w:before="100" w:beforeAutospacing="1" w:after="100" w:afterAutospacing="1" w:line="480" w:lineRule="auto"/>
        <w:ind w:left="680" w:hanging="680"/>
        <w:rPr>
          <w:rFonts w:cstheme="minorHAnsi"/>
          <w:color w:val="000000" w:themeColor="text1"/>
        </w:rPr>
      </w:pPr>
      <w:r w:rsidRPr="00AC3F11">
        <w:rPr>
          <w:color w:val="000000" w:themeColor="text1"/>
        </w:rPr>
        <w:t>IFS. (2022, September 13).</w:t>
      </w:r>
      <w:r w:rsidR="00794A9C" w:rsidRPr="00AC3F11">
        <w:rPr>
          <w:color w:val="000000" w:themeColor="text1"/>
        </w:rPr>
        <w:t xml:space="preserve"> </w:t>
      </w:r>
      <w:r w:rsidRPr="00AC3F11">
        <w:rPr>
          <w:color w:val="000000" w:themeColor="text1"/>
        </w:rPr>
        <w:t xml:space="preserve">The UK education system preserves inequality. </w:t>
      </w:r>
      <w:r w:rsidRPr="00AC3F11">
        <w:rPr>
          <w:i/>
          <w:iCs/>
          <w:color w:val="000000" w:themeColor="text1"/>
        </w:rPr>
        <w:t>Institute for Fiscal Studies</w:t>
      </w:r>
      <w:r w:rsidRPr="00AC3F11">
        <w:rPr>
          <w:color w:val="000000" w:themeColor="text1"/>
        </w:rPr>
        <w:t xml:space="preserve">. Retrieved December 10, 2024, from </w:t>
      </w:r>
      <w:hyperlink r:id="rId40" w:tgtFrame="_new" w:history="1">
        <w:r w:rsidRPr="00AC3F11">
          <w:rPr>
            <w:color w:val="000000" w:themeColor="text1"/>
          </w:rPr>
          <w:t>https://ifs.org.uk/articles/uk-education-system-preserves-inequality-new-report</w:t>
        </w:r>
      </w:hyperlink>
    </w:p>
    <w:p w14:paraId="02466833"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IFS. (2023). Housing quality and affordability for lower-income households. </w:t>
      </w:r>
      <w:r w:rsidRPr="00AC3F11">
        <w:rPr>
          <w:rFonts w:eastAsia="Times New Roman" w:cstheme="minorHAnsi"/>
          <w:i/>
          <w:iCs/>
          <w:color w:val="000000" w:themeColor="text1"/>
          <w:kern w:val="0"/>
          <w:lang w:eastAsia="en-GB"/>
          <w14:ligatures w14:val="none"/>
        </w:rPr>
        <w:t>Institute for Fiscal Studies.</w:t>
      </w:r>
      <w:r w:rsidRPr="00AC3F11">
        <w:rPr>
          <w:rFonts w:eastAsia="Times New Roman" w:cstheme="minorHAnsi"/>
          <w:color w:val="000000" w:themeColor="text1"/>
          <w:kern w:val="0"/>
          <w:lang w:eastAsia="en-GB"/>
          <w14:ligatures w14:val="none"/>
        </w:rPr>
        <w:t xml:space="preserve"> </w:t>
      </w:r>
      <w:hyperlink r:id="rId41" w:tgtFrame="_new" w:history="1">
        <w:r w:rsidRPr="00AC3F11">
          <w:rPr>
            <w:rFonts w:eastAsia="Times New Roman" w:cstheme="minorHAnsi"/>
            <w:color w:val="000000" w:themeColor="text1"/>
            <w:kern w:val="0"/>
            <w:lang w:eastAsia="en-GB"/>
            <w14:ligatures w14:val="none"/>
          </w:rPr>
          <w:t>https://ifs.org.uk/publications/housing-quality-and-affordability-lower-income-households</w:t>
        </w:r>
      </w:hyperlink>
    </w:p>
    <w:p w14:paraId="62182EFD"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proofErr w:type="spellStart"/>
      <w:r w:rsidRPr="00AC3F11">
        <w:rPr>
          <w:rFonts w:eastAsia="Times New Roman" w:cstheme="minorHAnsi"/>
          <w:color w:val="000000" w:themeColor="text1"/>
          <w:kern w:val="0"/>
          <w:lang w:eastAsia="en-GB"/>
          <w14:ligatures w14:val="none"/>
        </w:rPr>
        <w:t>Jerrim</w:t>
      </w:r>
      <w:proofErr w:type="spellEnd"/>
      <w:r w:rsidRPr="00AC3F11">
        <w:rPr>
          <w:rFonts w:eastAsia="Times New Roman" w:cstheme="minorHAnsi"/>
          <w:color w:val="000000" w:themeColor="text1"/>
          <w:kern w:val="0"/>
          <w:lang w:eastAsia="en-GB"/>
          <w14:ligatures w14:val="none"/>
        </w:rPr>
        <w:t>, J. (2013). </w:t>
      </w:r>
      <w:r w:rsidRPr="00AC3F11">
        <w:rPr>
          <w:rFonts w:eastAsia="Times New Roman" w:cstheme="minorHAnsi"/>
          <w:i/>
          <w:iCs/>
          <w:color w:val="000000" w:themeColor="text1"/>
          <w:kern w:val="0"/>
          <w:lang w:eastAsia="en-GB"/>
          <w14:ligatures w14:val="none"/>
        </w:rPr>
        <w:t>Family Background and access to “high status” universities</w:t>
      </w:r>
      <w:r w:rsidRPr="00AC3F11">
        <w:rPr>
          <w:rFonts w:eastAsia="Times New Roman" w:cstheme="minorHAnsi"/>
          <w:color w:val="000000" w:themeColor="text1"/>
          <w:kern w:val="0"/>
          <w:lang w:eastAsia="en-GB"/>
          <w14:ligatures w14:val="none"/>
        </w:rPr>
        <w:t>. https://www.suttontrust.com/wp-content/uploads/2019/12/john-jerrim-report-final-4.pdf</w:t>
      </w:r>
    </w:p>
    <w:p w14:paraId="54CF7E2C"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val="pl-PL" w:eastAsia="en-GB"/>
          <w14:ligatures w14:val="none"/>
        </w:rPr>
        <w:t xml:space="preserve">Kivunja, C., &amp; Kuyini, A. B. (2017). </w:t>
      </w:r>
      <w:r w:rsidRPr="00AC3F11">
        <w:rPr>
          <w:rFonts w:eastAsia="Times New Roman" w:cstheme="minorHAnsi"/>
          <w:color w:val="000000" w:themeColor="text1"/>
          <w:kern w:val="0"/>
          <w:lang w:eastAsia="en-GB"/>
          <w14:ligatures w14:val="none"/>
        </w:rPr>
        <w:t xml:space="preserve">Understanding and applying research paradigms in educational contexts. </w:t>
      </w:r>
      <w:r w:rsidRPr="00AC3F11">
        <w:rPr>
          <w:rFonts w:eastAsia="Times New Roman" w:cstheme="minorHAnsi"/>
          <w:i/>
          <w:iCs/>
          <w:color w:val="000000" w:themeColor="text1"/>
          <w:kern w:val="0"/>
          <w:lang w:eastAsia="en-GB"/>
          <w14:ligatures w14:val="none"/>
        </w:rPr>
        <w:t>International Journal of Higher Education, 6</w:t>
      </w:r>
      <w:r w:rsidRPr="00AC3F11">
        <w:rPr>
          <w:rFonts w:eastAsia="Times New Roman" w:cstheme="minorHAnsi"/>
          <w:color w:val="000000" w:themeColor="text1"/>
          <w:kern w:val="0"/>
          <w:lang w:eastAsia="en-GB"/>
          <w14:ligatures w14:val="none"/>
        </w:rPr>
        <w:t xml:space="preserve">(5), 26–41. </w:t>
      </w:r>
      <w:hyperlink r:id="rId42" w:tgtFrame="_new" w:history="1">
        <w:r w:rsidRPr="00AC3F11">
          <w:rPr>
            <w:rFonts w:eastAsia="Times New Roman" w:cstheme="minorHAnsi"/>
            <w:color w:val="000000" w:themeColor="text1"/>
            <w:kern w:val="0"/>
            <w:lang w:eastAsia="en-GB"/>
            <w14:ligatures w14:val="none"/>
          </w:rPr>
          <w:t>https://doi.org/10.5430/ijhe.v6n5p26</w:t>
        </w:r>
      </w:hyperlink>
    </w:p>
    <w:p w14:paraId="37283BCC" w14:textId="706585BC"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lastRenderedPageBreak/>
        <w:t>Lefever, S., Dal, M., &amp; Matthíasdóttir</w:t>
      </w:r>
      <w:r w:rsidR="00975B35">
        <w:rPr>
          <w:rFonts w:cstheme="minorHAnsi"/>
          <w:color w:val="000000" w:themeColor="text1"/>
        </w:rPr>
        <w:t>, A.</w:t>
      </w:r>
      <w:r w:rsidRPr="00AC3F11">
        <w:rPr>
          <w:rFonts w:cstheme="minorHAnsi"/>
          <w:color w:val="000000" w:themeColor="text1"/>
        </w:rPr>
        <w:t xml:space="preserve"> (2006). Online data collection in academic research: advantages and limitations. </w:t>
      </w:r>
      <w:r w:rsidRPr="00AC3F11">
        <w:rPr>
          <w:rFonts w:cstheme="minorHAnsi"/>
          <w:i/>
          <w:iCs/>
          <w:color w:val="000000" w:themeColor="text1"/>
        </w:rPr>
        <w:t>British Journal of Educational Technology</w:t>
      </w:r>
      <w:r w:rsidRPr="00AC3F11">
        <w:rPr>
          <w:rFonts w:cstheme="minorHAnsi"/>
          <w:color w:val="000000" w:themeColor="text1"/>
        </w:rPr>
        <w:t>, </w:t>
      </w:r>
      <w:r w:rsidRPr="00AC3F11">
        <w:rPr>
          <w:rFonts w:cstheme="minorHAnsi"/>
          <w:i/>
          <w:iCs/>
          <w:color w:val="000000" w:themeColor="text1"/>
        </w:rPr>
        <w:t>38</w:t>
      </w:r>
      <w:r w:rsidRPr="00AC3F11">
        <w:rPr>
          <w:rFonts w:cstheme="minorHAnsi"/>
          <w:color w:val="000000" w:themeColor="text1"/>
        </w:rPr>
        <w:t>(4), 574–582. https://doi.org/10.1111/j.1467-8535.2006.00638.x</w:t>
      </w:r>
    </w:p>
    <w:p w14:paraId="1D8AC479"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Li, Y., &amp; Zhang, S. (2022). Data Collection. </w:t>
      </w:r>
      <w:r w:rsidRPr="00AC3F11">
        <w:rPr>
          <w:rFonts w:eastAsia="Times New Roman" w:cstheme="minorHAnsi"/>
          <w:i/>
          <w:iCs/>
          <w:color w:val="000000" w:themeColor="text1"/>
          <w:kern w:val="0"/>
          <w:lang w:eastAsia="en-GB"/>
          <w14:ligatures w14:val="none"/>
        </w:rPr>
        <w:t xml:space="preserve">Springer </w:t>
      </w:r>
      <w:proofErr w:type="spellStart"/>
      <w:r w:rsidRPr="00AC3F11">
        <w:rPr>
          <w:rFonts w:eastAsia="Times New Roman" w:cstheme="minorHAnsi"/>
          <w:i/>
          <w:iCs/>
          <w:color w:val="000000" w:themeColor="text1"/>
          <w:kern w:val="0"/>
          <w:lang w:eastAsia="en-GB"/>
          <w14:ligatures w14:val="none"/>
        </w:rPr>
        <w:t>EBooks</w:t>
      </w:r>
      <w:proofErr w:type="spellEnd"/>
      <w:r w:rsidRPr="00AC3F11">
        <w:rPr>
          <w:rFonts w:eastAsia="Times New Roman" w:cstheme="minorHAnsi"/>
          <w:color w:val="000000" w:themeColor="text1"/>
          <w:kern w:val="0"/>
          <w:lang w:eastAsia="en-GB"/>
          <w14:ligatures w14:val="none"/>
        </w:rPr>
        <w:t>, 37–65. https://doi.org/10.1007/978-3-030-93574-0_4</w:t>
      </w:r>
    </w:p>
    <w:p w14:paraId="6FA014BF"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Li, Y., Savage, M., &amp; Warde, A. (2008). Social mobility and social capital in contemporary Britain. </w:t>
      </w:r>
      <w:r w:rsidRPr="00AC3F11">
        <w:rPr>
          <w:rFonts w:eastAsia="Times New Roman" w:cstheme="minorHAnsi"/>
          <w:i/>
          <w:iCs/>
          <w:color w:val="000000" w:themeColor="text1"/>
          <w:kern w:val="0"/>
          <w:lang w:eastAsia="en-GB"/>
          <w14:ligatures w14:val="none"/>
        </w:rPr>
        <w:t>British Journal of Sociology, 59</w:t>
      </w:r>
      <w:r w:rsidRPr="00AC3F11">
        <w:rPr>
          <w:rFonts w:eastAsia="Times New Roman" w:cstheme="minorHAnsi"/>
          <w:color w:val="000000" w:themeColor="text1"/>
          <w:kern w:val="0"/>
          <w:lang w:eastAsia="en-GB"/>
          <w14:ligatures w14:val="none"/>
        </w:rPr>
        <w:t xml:space="preserve">(3), 391–411. </w:t>
      </w:r>
      <w:hyperlink r:id="rId43" w:tgtFrame="_new" w:history="1">
        <w:r w:rsidRPr="00AC3F11">
          <w:rPr>
            <w:rFonts w:eastAsia="Times New Roman" w:cstheme="minorHAnsi"/>
            <w:color w:val="000000" w:themeColor="text1"/>
            <w:kern w:val="0"/>
            <w:lang w:eastAsia="en-GB"/>
            <w14:ligatures w14:val="none"/>
          </w:rPr>
          <w:t>https://doi.org/10.1111/j.1468-4446.2008.00200.x</w:t>
        </w:r>
      </w:hyperlink>
    </w:p>
    <w:p w14:paraId="6B48C577"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Martini, M., &amp; Robertson, S. L. (2022). UK higher education, neoliberal meritocracy, and the culture of the new capitalism: A computational‐linguistics analysis. </w:t>
      </w:r>
      <w:r w:rsidRPr="00AC3F11">
        <w:rPr>
          <w:rFonts w:cstheme="minorHAnsi"/>
          <w:i/>
          <w:iCs/>
          <w:color w:val="000000" w:themeColor="text1"/>
        </w:rPr>
        <w:t>Sociology Compass</w:t>
      </w:r>
      <w:r w:rsidRPr="00AC3F11">
        <w:rPr>
          <w:rFonts w:cstheme="minorHAnsi"/>
          <w:color w:val="000000" w:themeColor="text1"/>
        </w:rPr>
        <w:t>, </w:t>
      </w:r>
      <w:r w:rsidRPr="00AC3F11">
        <w:rPr>
          <w:rFonts w:cstheme="minorHAnsi"/>
          <w:i/>
          <w:iCs/>
          <w:color w:val="000000" w:themeColor="text1"/>
        </w:rPr>
        <w:t>16</w:t>
      </w:r>
      <w:r w:rsidRPr="00AC3F11">
        <w:rPr>
          <w:rFonts w:cstheme="minorHAnsi"/>
          <w:color w:val="000000" w:themeColor="text1"/>
        </w:rPr>
        <w:t xml:space="preserve">(12). </w:t>
      </w:r>
      <w:hyperlink r:id="rId44" w:history="1">
        <w:r w:rsidRPr="00AC3F11">
          <w:rPr>
            <w:rStyle w:val="Hyperlink"/>
            <w:rFonts w:cstheme="minorHAnsi"/>
            <w:color w:val="000000" w:themeColor="text1"/>
            <w:u w:val="none"/>
          </w:rPr>
          <w:t>https://doi.org/10.1111/soc4.13020</w:t>
        </w:r>
      </w:hyperlink>
    </w:p>
    <w:p w14:paraId="61CC5D97" w14:textId="20BE22DB"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 xml:space="preserve">Mateos-González, </w:t>
      </w:r>
      <w:r w:rsidR="006F1C37">
        <w:rPr>
          <w:rFonts w:cstheme="minorHAnsi"/>
          <w:color w:val="000000" w:themeColor="text1"/>
        </w:rPr>
        <w:t>J</w:t>
      </w:r>
      <w:r w:rsidRPr="00AC3F11">
        <w:rPr>
          <w:rFonts w:cstheme="minorHAnsi"/>
          <w:color w:val="000000" w:themeColor="text1"/>
        </w:rPr>
        <w:t>. L.</w:t>
      </w:r>
      <w:r w:rsidR="00623D35">
        <w:rPr>
          <w:rFonts w:cstheme="minorHAnsi"/>
          <w:color w:val="000000" w:themeColor="text1"/>
        </w:rPr>
        <w:t xml:space="preserve">, </w:t>
      </w:r>
      <w:r w:rsidRPr="00AC3F11">
        <w:rPr>
          <w:rFonts w:cstheme="minorHAnsi"/>
          <w:color w:val="000000" w:themeColor="text1"/>
        </w:rPr>
        <w:t>&amp; Wakeling, P. (2021). Exploring socioeconomic inequalities and access to elite postgraduate education among English graduates. </w:t>
      </w:r>
      <w:r w:rsidRPr="00AC3F11">
        <w:rPr>
          <w:rFonts w:cstheme="minorHAnsi"/>
          <w:i/>
          <w:iCs/>
          <w:color w:val="000000" w:themeColor="text1"/>
        </w:rPr>
        <w:t>Higher Education</w:t>
      </w:r>
      <w:r w:rsidRPr="00AC3F11">
        <w:rPr>
          <w:rFonts w:cstheme="minorHAnsi"/>
          <w:color w:val="000000" w:themeColor="text1"/>
        </w:rPr>
        <w:t>, </w:t>
      </w:r>
      <w:r w:rsidRPr="00AC3F11">
        <w:rPr>
          <w:rFonts w:cstheme="minorHAnsi"/>
          <w:i/>
          <w:iCs/>
          <w:color w:val="000000" w:themeColor="text1"/>
        </w:rPr>
        <w:t>83</w:t>
      </w:r>
      <w:r w:rsidRPr="00AC3F11">
        <w:rPr>
          <w:rFonts w:cstheme="minorHAnsi"/>
          <w:color w:val="000000" w:themeColor="text1"/>
        </w:rPr>
        <w:t>(3), 673–694. https://doi.org/10.1007/s10734-021-00693-9</w:t>
      </w:r>
    </w:p>
    <w:p w14:paraId="4A4FFDCC" w14:textId="6D6599A6"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Means, D.</w:t>
      </w:r>
      <w:r w:rsidR="006F1C37">
        <w:rPr>
          <w:rFonts w:cstheme="minorHAnsi"/>
          <w:color w:val="000000" w:themeColor="text1"/>
        </w:rPr>
        <w:t xml:space="preserve"> </w:t>
      </w:r>
      <w:r w:rsidRPr="00AC3F11">
        <w:rPr>
          <w:rFonts w:cstheme="minorHAnsi"/>
          <w:color w:val="000000" w:themeColor="text1"/>
        </w:rPr>
        <w:t>R., Chapman-Hilliard, C., Lindsey, D.</w:t>
      </w:r>
      <w:proofErr w:type="gramStart"/>
      <w:r w:rsidR="008141DE">
        <w:rPr>
          <w:rFonts w:cstheme="minorHAnsi"/>
          <w:color w:val="000000" w:themeColor="text1"/>
        </w:rPr>
        <w:t>,</w:t>
      </w:r>
      <w:r w:rsidRPr="00AC3F11">
        <w:rPr>
          <w:rFonts w:cstheme="minorHAnsi"/>
          <w:color w:val="000000" w:themeColor="text1"/>
        </w:rPr>
        <w:t xml:space="preserve"> </w:t>
      </w:r>
      <w:r w:rsidR="008141DE" w:rsidRPr="008141DE">
        <w:rPr>
          <w:rFonts w:cstheme="minorHAnsi"/>
          <w:color w:val="000000" w:themeColor="text1"/>
        </w:rPr>
        <w:t xml:space="preserve"> Jr.</w:t>
      </w:r>
      <w:proofErr w:type="gramEnd"/>
      <w:r w:rsidR="008141DE" w:rsidRPr="008141DE">
        <w:rPr>
          <w:rFonts w:cstheme="minorHAnsi"/>
          <w:color w:val="000000" w:themeColor="text1"/>
        </w:rPr>
        <w:t xml:space="preserve">, Page, C. H., Hayes, B., &amp; Mann, D. (2024). </w:t>
      </w:r>
      <w:r w:rsidRPr="00AC3F11">
        <w:rPr>
          <w:rFonts w:cstheme="minorHAnsi"/>
          <w:color w:val="000000" w:themeColor="text1"/>
        </w:rPr>
        <w:t xml:space="preserve"> A Mixed Methods, Critical, Participatory Approach for Studying Rural Black Youth’s Postsecondary Education Access and Opportunity. </w:t>
      </w:r>
      <w:proofErr w:type="spellStart"/>
      <w:r w:rsidRPr="00AC3F11">
        <w:rPr>
          <w:rFonts w:cstheme="minorHAnsi"/>
          <w:color w:val="000000" w:themeColor="text1"/>
        </w:rPr>
        <w:t>Innov</w:t>
      </w:r>
      <w:proofErr w:type="spellEnd"/>
      <w:r w:rsidRPr="00AC3F11">
        <w:rPr>
          <w:rFonts w:cstheme="minorHAnsi"/>
          <w:color w:val="000000" w:themeColor="text1"/>
        </w:rPr>
        <w:t xml:space="preserve"> High </w:t>
      </w:r>
      <w:proofErr w:type="spellStart"/>
      <w:r w:rsidRPr="00AC3F11">
        <w:rPr>
          <w:rFonts w:cstheme="minorHAnsi"/>
          <w:color w:val="000000" w:themeColor="text1"/>
        </w:rPr>
        <w:t>Educ</w:t>
      </w:r>
      <w:proofErr w:type="spellEnd"/>
      <w:r w:rsidRPr="00AC3F11">
        <w:rPr>
          <w:rFonts w:cstheme="minorHAnsi"/>
          <w:color w:val="000000" w:themeColor="text1"/>
        </w:rPr>
        <w:t xml:space="preserve"> 49, 1127–1150 (2024). https://doi.org/10.1007/s10755-024-09731-7</w:t>
      </w:r>
    </w:p>
    <w:p w14:paraId="79C865BB"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Moser, P. K. (2009). </w:t>
      </w:r>
      <w:r w:rsidRPr="00AC3F11">
        <w:rPr>
          <w:rFonts w:eastAsia="Times New Roman" w:cstheme="minorHAnsi"/>
          <w:i/>
          <w:iCs/>
          <w:color w:val="000000" w:themeColor="text1"/>
          <w:kern w:val="0"/>
          <w:lang w:eastAsia="en-GB"/>
          <w14:ligatures w14:val="none"/>
        </w:rPr>
        <w:t>The Oxford handbook of epistemology.</w:t>
      </w:r>
      <w:r w:rsidRPr="00AC3F11">
        <w:rPr>
          <w:rFonts w:eastAsia="Times New Roman" w:cstheme="minorHAnsi"/>
          <w:color w:val="000000" w:themeColor="text1"/>
          <w:kern w:val="0"/>
          <w:lang w:eastAsia="en-GB"/>
          <w14:ligatures w14:val="none"/>
        </w:rPr>
        <w:t xml:space="preserve"> Oxford University Press. </w:t>
      </w:r>
      <w:hyperlink r:id="rId45" w:tgtFrame="_new" w:history="1">
        <w:r w:rsidRPr="00AC3F11">
          <w:rPr>
            <w:rFonts w:eastAsia="Times New Roman" w:cstheme="minorHAnsi"/>
            <w:color w:val="000000" w:themeColor="text1"/>
            <w:kern w:val="0"/>
            <w:lang w:eastAsia="en-GB"/>
            <w14:ligatures w14:val="none"/>
          </w:rPr>
          <w:t>https://doi.org/10.1093/oxfordhb/9780195301700.001.0001</w:t>
        </w:r>
      </w:hyperlink>
    </w:p>
    <w:p w14:paraId="17F3A2FC"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lastRenderedPageBreak/>
        <w:t xml:space="preserve">Nguyen, D. (2019). Regional economic disparities and development in the UK (No. 10). </w:t>
      </w:r>
      <w:r w:rsidRPr="00AC3F11">
        <w:rPr>
          <w:rFonts w:eastAsia="Times New Roman" w:cstheme="minorHAnsi"/>
          <w:i/>
          <w:iCs/>
          <w:color w:val="000000" w:themeColor="text1"/>
          <w:kern w:val="0"/>
          <w:lang w:eastAsia="en-GB"/>
          <w14:ligatures w14:val="none"/>
        </w:rPr>
        <w:t>National Institute of Economic and Social Research.</w:t>
      </w:r>
    </w:p>
    <w:p w14:paraId="0489A983"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Nichol, A. J., Hastings, C., &amp; Elder-Vass, D. (2023). Putting philosophy to work: Developing the conceptual architecture of research projects. </w:t>
      </w:r>
      <w:r w:rsidRPr="00AC3F11">
        <w:rPr>
          <w:rFonts w:eastAsia="Times New Roman" w:cstheme="minorHAnsi"/>
          <w:i/>
          <w:iCs/>
          <w:color w:val="000000" w:themeColor="text1"/>
          <w:kern w:val="0"/>
          <w:lang w:eastAsia="en-GB"/>
          <w14:ligatures w14:val="none"/>
        </w:rPr>
        <w:t>Journal of Critical Realism, 22</w:t>
      </w:r>
      <w:r w:rsidRPr="00AC3F11">
        <w:rPr>
          <w:rFonts w:eastAsia="Times New Roman" w:cstheme="minorHAnsi"/>
          <w:color w:val="000000" w:themeColor="text1"/>
          <w:kern w:val="0"/>
          <w:lang w:eastAsia="en-GB"/>
          <w14:ligatures w14:val="none"/>
        </w:rPr>
        <w:t xml:space="preserve">(3), 364–383. </w:t>
      </w:r>
      <w:hyperlink r:id="rId46" w:tgtFrame="_new" w:history="1">
        <w:r w:rsidRPr="00AC3F11">
          <w:rPr>
            <w:rFonts w:eastAsia="Times New Roman" w:cstheme="minorHAnsi"/>
            <w:color w:val="000000" w:themeColor="text1"/>
            <w:kern w:val="0"/>
            <w:lang w:eastAsia="en-GB"/>
            <w14:ligatures w14:val="none"/>
          </w:rPr>
          <w:t>https://doi.org/10.1080/14767430.2023.2217054</w:t>
        </w:r>
      </w:hyperlink>
    </w:p>
    <w:p w14:paraId="3038B4AC" w14:textId="2785579A" w:rsidR="004B770D" w:rsidRPr="00AC3F11" w:rsidRDefault="004B770D" w:rsidP="00767295">
      <w:pPr>
        <w:pStyle w:val="NormalWeb"/>
        <w:spacing w:line="480" w:lineRule="auto"/>
        <w:ind w:left="680" w:hanging="680"/>
        <w:rPr>
          <w:rFonts w:asciiTheme="minorHAnsi" w:hAnsiTheme="minorHAnsi" w:cstheme="minorHAnsi"/>
          <w:color w:val="000000" w:themeColor="text1"/>
        </w:rPr>
      </w:pPr>
      <w:r w:rsidRPr="00AC3F11">
        <w:rPr>
          <w:rFonts w:asciiTheme="minorHAnsi" w:hAnsiTheme="minorHAnsi" w:cstheme="minorHAnsi"/>
          <w:color w:val="000000" w:themeColor="text1"/>
        </w:rPr>
        <w:t>Nielsen, B. B., Welch, C., Chidlow, A., Miller, S. R.,</w:t>
      </w:r>
      <w:r w:rsidR="00770173" w:rsidRPr="00770173">
        <w:rPr>
          <w:rFonts w:asciiTheme="minorHAnsi" w:hAnsiTheme="minorHAnsi" w:cstheme="minorHAnsi"/>
          <w:color w:val="000000" w:themeColor="text1"/>
        </w:rPr>
        <w:t xml:space="preserve"> </w:t>
      </w:r>
      <w:proofErr w:type="spellStart"/>
      <w:r w:rsidR="00770173" w:rsidRPr="00770173">
        <w:rPr>
          <w:rFonts w:asciiTheme="minorHAnsi" w:hAnsiTheme="minorHAnsi" w:cstheme="minorHAnsi"/>
          <w:color w:val="000000" w:themeColor="text1"/>
        </w:rPr>
        <w:t>Aguzzoli</w:t>
      </w:r>
      <w:proofErr w:type="spellEnd"/>
      <w:r w:rsidR="00770173" w:rsidRPr="00770173">
        <w:rPr>
          <w:rFonts w:asciiTheme="minorHAnsi" w:hAnsiTheme="minorHAnsi" w:cstheme="minorHAnsi"/>
          <w:color w:val="000000" w:themeColor="text1"/>
        </w:rPr>
        <w:t>,</w:t>
      </w:r>
      <w:r w:rsidR="00770173">
        <w:rPr>
          <w:rFonts w:asciiTheme="minorHAnsi" w:hAnsiTheme="minorHAnsi" w:cstheme="minorHAnsi"/>
          <w:color w:val="000000" w:themeColor="text1"/>
        </w:rPr>
        <w:t xml:space="preserve"> R., </w:t>
      </w:r>
      <w:r w:rsidR="00770173" w:rsidRPr="00770173">
        <w:rPr>
          <w:rFonts w:asciiTheme="minorHAnsi" w:hAnsiTheme="minorHAnsi" w:cstheme="minorHAnsi"/>
          <w:color w:val="000000" w:themeColor="text1"/>
        </w:rPr>
        <w:t>Gardner,</w:t>
      </w:r>
      <w:r w:rsidR="00770173">
        <w:rPr>
          <w:rFonts w:asciiTheme="minorHAnsi" w:hAnsiTheme="minorHAnsi" w:cstheme="minorHAnsi"/>
          <w:color w:val="000000" w:themeColor="text1"/>
        </w:rPr>
        <w:t xml:space="preserve"> E., </w:t>
      </w:r>
      <w:proofErr w:type="spellStart"/>
      <w:r w:rsidR="00770173" w:rsidRPr="00770173">
        <w:rPr>
          <w:rFonts w:asciiTheme="minorHAnsi" w:hAnsiTheme="minorHAnsi" w:cstheme="minorHAnsi"/>
          <w:color w:val="000000" w:themeColor="text1"/>
        </w:rPr>
        <w:t>Karafyllia</w:t>
      </w:r>
      <w:proofErr w:type="spellEnd"/>
      <w:r w:rsidR="00770173">
        <w:rPr>
          <w:rFonts w:asciiTheme="minorHAnsi" w:hAnsiTheme="minorHAnsi" w:cstheme="minorHAnsi"/>
          <w:color w:val="000000" w:themeColor="text1"/>
        </w:rPr>
        <w:t xml:space="preserve">, M., &amp; </w:t>
      </w:r>
      <w:r w:rsidR="00770173" w:rsidRPr="00770173">
        <w:rPr>
          <w:rFonts w:asciiTheme="minorHAnsi" w:hAnsiTheme="minorHAnsi" w:cstheme="minorHAnsi"/>
          <w:color w:val="000000" w:themeColor="text1"/>
        </w:rPr>
        <w:t>Pegoraro</w:t>
      </w:r>
      <w:r w:rsidR="00770173">
        <w:rPr>
          <w:rFonts w:asciiTheme="minorHAnsi" w:hAnsiTheme="minorHAnsi" w:cstheme="minorHAnsi"/>
          <w:color w:val="000000" w:themeColor="text1"/>
        </w:rPr>
        <w:t xml:space="preserve">, D. </w:t>
      </w:r>
      <w:r w:rsidR="006F1C37">
        <w:rPr>
          <w:rFonts w:asciiTheme="minorHAnsi" w:hAnsiTheme="minorHAnsi" w:cstheme="minorHAnsi"/>
          <w:color w:val="000000" w:themeColor="text1"/>
        </w:rPr>
        <w:t>(</w:t>
      </w:r>
      <w:r w:rsidRPr="00AC3F11">
        <w:rPr>
          <w:rFonts w:asciiTheme="minorHAnsi" w:hAnsiTheme="minorHAnsi" w:cstheme="minorHAnsi"/>
          <w:color w:val="000000" w:themeColor="text1"/>
        </w:rPr>
        <w:t>2020</w:t>
      </w:r>
      <w:r w:rsidR="006F1C37">
        <w:rPr>
          <w:rFonts w:asciiTheme="minorHAnsi" w:hAnsiTheme="minorHAnsi" w:cstheme="minorHAnsi"/>
          <w:color w:val="000000" w:themeColor="text1"/>
        </w:rPr>
        <w:t>)</w:t>
      </w:r>
      <w:r w:rsidRPr="00AC3F11">
        <w:rPr>
          <w:rFonts w:asciiTheme="minorHAnsi" w:hAnsiTheme="minorHAnsi" w:cstheme="minorHAnsi"/>
          <w:color w:val="000000" w:themeColor="text1"/>
        </w:rPr>
        <w:t xml:space="preserve">. Fifty years of methodological trends in JIBS: Why future </w:t>
      </w:r>
      <w:proofErr w:type="spellStart"/>
      <w:r w:rsidRPr="00AC3F11">
        <w:rPr>
          <w:rFonts w:asciiTheme="minorHAnsi" w:hAnsiTheme="minorHAnsi" w:cstheme="minorHAnsi"/>
          <w:color w:val="000000" w:themeColor="text1"/>
        </w:rPr>
        <w:t>IB</w:t>
      </w:r>
      <w:proofErr w:type="spellEnd"/>
      <w:r w:rsidRPr="00AC3F11">
        <w:rPr>
          <w:rFonts w:asciiTheme="minorHAnsi" w:hAnsiTheme="minorHAnsi" w:cstheme="minorHAnsi"/>
          <w:color w:val="000000" w:themeColor="text1"/>
        </w:rPr>
        <w:t xml:space="preserve"> research needs more triangulation. Journal of International Business Studies., 51(9): 1478–1499.</w:t>
      </w:r>
    </w:p>
    <w:p w14:paraId="0A77F92A" w14:textId="44CD806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OECD</w:t>
      </w:r>
      <w:r w:rsidR="006F1C37">
        <w:rPr>
          <w:rFonts w:cstheme="minorHAnsi"/>
          <w:color w:val="000000" w:themeColor="text1"/>
        </w:rPr>
        <w:t>.</w:t>
      </w:r>
      <w:r w:rsidRPr="00AC3F11">
        <w:rPr>
          <w:rFonts w:cstheme="minorHAnsi"/>
          <w:color w:val="000000" w:themeColor="text1"/>
        </w:rPr>
        <w:t xml:space="preserve"> (2025) </w:t>
      </w:r>
      <w:r w:rsidRPr="00AC3F11">
        <w:rPr>
          <w:rFonts w:cstheme="minorHAnsi"/>
          <w:i/>
          <w:iCs/>
          <w:color w:val="000000" w:themeColor="text1"/>
        </w:rPr>
        <w:t>Strengthening the Impact of Education Research</w:t>
      </w:r>
      <w:r w:rsidRPr="00AC3F11">
        <w:rPr>
          <w:rFonts w:cstheme="minorHAnsi"/>
          <w:color w:val="000000" w:themeColor="text1"/>
        </w:rPr>
        <w:t xml:space="preserve">. Strengthening the impact of education research. Retrieved from </w:t>
      </w:r>
      <w:hyperlink r:id="rId47" w:history="1">
        <w:r w:rsidRPr="00AC3F11">
          <w:rPr>
            <w:rStyle w:val="Hyperlink"/>
            <w:rFonts w:cstheme="minorHAnsi"/>
            <w:color w:val="000000" w:themeColor="text1"/>
            <w:u w:val="none"/>
          </w:rPr>
          <w:t>https://www.oecd.org/en/about/projects/strengthening-the-impact-of-education-research.html</w:t>
        </w:r>
      </w:hyperlink>
    </w:p>
    <w:p w14:paraId="379E6918"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Ohler, L. (2001). Ethical considerations in research: A framework for practice. </w:t>
      </w:r>
      <w:r w:rsidRPr="00AC3F11">
        <w:rPr>
          <w:rFonts w:eastAsia="Times New Roman" w:cstheme="minorHAnsi"/>
          <w:i/>
          <w:iCs/>
          <w:color w:val="000000" w:themeColor="text1"/>
          <w:kern w:val="0"/>
          <w:lang w:eastAsia="en-GB"/>
          <w14:ligatures w14:val="none"/>
        </w:rPr>
        <w:t>Progress in Transplantation, 11</w:t>
      </w:r>
      <w:r w:rsidRPr="00AC3F11">
        <w:rPr>
          <w:rFonts w:eastAsia="Times New Roman" w:cstheme="minorHAnsi"/>
          <w:color w:val="000000" w:themeColor="text1"/>
          <w:kern w:val="0"/>
          <w:lang w:eastAsia="en-GB"/>
          <w14:ligatures w14:val="none"/>
        </w:rPr>
        <w:t xml:space="preserve">(4), 240–242. </w:t>
      </w:r>
      <w:hyperlink r:id="rId48" w:tgtFrame="_new" w:history="1">
        <w:r w:rsidRPr="00AC3F11">
          <w:rPr>
            <w:rFonts w:eastAsia="Times New Roman" w:cstheme="minorHAnsi"/>
            <w:color w:val="000000" w:themeColor="text1"/>
            <w:kern w:val="0"/>
            <w:lang w:eastAsia="en-GB"/>
            <w14:ligatures w14:val="none"/>
          </w:rPr>
          <w:t>https://doi.org/10.1177/152692480101100401</w:t>
        </w:r>
      </w:hyperlink>
    </w:p>
    <w:p w14:paraId="53329755" w14:textId="4071B115"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ONS. (2021). The National Statistics </w:t>
      </w:r>
      <w:r w:rsidR="000F4DDE">
        <w:rPr>
          <w:rFonts w:eastAsia="Times New Roman" w:cstheme="minorHAnsi"/>
          <w:color w:val="000000" w:themeColor="text1"/>
          <w:kern w:val="0"/>
          <w:lang w:eastAsia="en-GB"/>
          <w14:ligatures w14:val="none"/>
        </w:rPr>
        <w:t>Socioeconomic</w:t>
      </w:r>
      <w:r w:rsidRPr="00AC3F11">
        <w:rPr>
          <w:rFonts w:eastAsia="Times New Roman" w:cstheme="minorHAnsi"/>
          <w:color w:val="000000" w:themeColor="text1"/>
          <w:kern w:val="0"/>
          <w:lang w:eastAsia="en-GB"/>
          <w14:ligatures w14:val="none"/>
        </w:rPr>
        <w:t xml:space="preserve"> Classification (NS-SEC). </w:t>
      </w:r>
      <w:r w:rsidRPr="00AC3F11">
        <w:rPr>
          <w:rFonts w:eastAsia="Times New Roman" w:cstheme="minorHAnsi"/>
          <w:i/>
          <w:iCs/>
          <w:color w:val="000000" w:themeColor="text1"/>
          <w:kern w:val="0"/>
          <w:lang w:eastAsia="en-GB"/>
          <w14:ligatures w14:val="none"/>
        </w:rPr>
        <w:t>Office for National Statistics.</w:t>
      </w:r>
      <w:r w:rsidRPr="00AC3F11">
        <w:rPr>
          <w:rFonts w:eastAsia="Times New Roman" w:cstheme="minorHAnsi"/>
          <w:color w:val="000000" w:themeColor="text1"/>
          <w:kern w:val="0"/>
          <w:lang w:eastAsia="en-GB"/>
          <w14:ligatures w14:val="none"/>
        </w:rPr>
        <w:t xml:space="preserve"> Retrieved from </w:t>
      </w:r>
      <w:hyperlink r:id="rId49" w:tgtFrame="_new" w:history="1">
        <w:r w:rsidRPr="00AC3F11">
          <w:rPr>
            <w:rFonts w:eastAsia="Times New Roman" w:cstheme="minorHAnsi"/>
            <w:color w:val="000000" w:themeColor="text1"/>
            <w:kern w:val="0"/>
            <w:lang w:eastAsia="en-GB"/>
            <w14:ligatures w14:val="none"/>
          </w:rPr>
          <w:t>https://www.ons.gov.uk/methodology/classificationsandstandards/otherclassifications/thenationalstatisticssocioeconomicclassificationnssecrebasedonsoc2010</w:t>
        </w:r>
      </w:hyperlink>
    </w:p>
    <w:p w14:paraId="56E47B02"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proofErr w:type="spellStart"/>
      <w:r w:rsidRPr="00AC3F11">
        <w:rPr>
          <w:rFonts w:eastAsia="Times New Roman" w:cstheme="minorHAnsi"/>
          <w:color w:val="000000" w:themeColor="text1"/>
          <w:kern w:val="0"/>
          <w:lang w:eastAsia="en-GB"/>
          <w14:ligatures w14:val="none"/>
        </w:rPr>
        <w:lastRenderedPageBreak/>
        <w:t>Pessu</w:t>
      </w:r>
      <w:proofErr w:type="spellEnd"/>
      <w:r w:rsidRPr="00AC3F11">
        <w:rPr>
          <w:rFonts w:eastAsia="Times New Roman" w:cstheme="minorHAnsi"/>
          <w:color w:val="000000" w:themeColor="text1"/>
          <w:kern w:val="0"/>
          <w:lang w:eastAsia="en-GB"/>
          <w14:ligatures w14:val="none"/>
        </w:rPr>
        <w:t xml:space="preserve">, T. R. (2019). Understanding research paradigms: An ontological perspective to business research. </w:t>
      </w:r>
      <w:proofErr w:type="spellStart"/>
      <w:r w:rsidRPr="00AC3F11">
        <w:rPr>
          <w:rFonts w:eastAsia="Times New Roman" w:cstheme="minorHAnsi"/>
          <w:i/>
          <w:iCs/>
          <w:color w:val="000000" w:themeColor="text1"/>
          <w:kern w:val="0"/>
          <w:lang w:eastAsia="en-GB"/>
          <w14:ligatures w14:val="none"/>
        </w:rPr>
        <w:t>IOSR</w:t>
      </w:r>
      <w:proofErr w:type="spellEnd"/>
      <w:r w:rsidRPr="00AC3F11">
        <w:rPr>
          <w:rFonts w:eastAsia="Times New Roman" w:cstheme="minorHAnsi"/>
          <w:i/>
          <w:iCs/>
          <w:color w:val="000000" w:themeColor="text1"/>
          <w:kern w:val="0"/>
          <w:lang w:eastAsia="en-GB"/>
          <w14:ligatures w14:val="none"/>
        </w:rPr>
        <w:t xml:space="preserve"> Journal of Research &amp; Method in Education, 9</w:t>
      </w:r>
      <w:r w:rsidRPr="00AC3F11">
        <w:rPr>
          <w:rFonts w:eastAsia="Times New Roman" w:cstheme="minorHAnsi"/>
          <w:color w:val="000000" w:themeColor="text1"/>
          <w:kern w:val="0"/>
          <w:lang w:eastAsia="en-GB"/>
          <w14:ligatures w14:val="none"/>
        </w:rPr>
        <w:t xml:space="preserve">(4), 38–40. </w:t>
      </w:r>
      <w:hyperlink r:id="rId50" w:tgtFrame="_new" w:history="1">
        <w:r w:rsidRPr="00AC3F11">
          <w:rPr>
            <w:rFonts w:eastAsia="Times New Roman" w:cstheme="minorHAnsi"/>
            <w:color w:val="000000" w:themeColor="text1"/>
            <w:kern w:val="0"/>
            <w:lang w:eastAsia="en-GB"/>
            <w14:ligatures w14:val="none"/>
          </w:rPr>
          <w:t>https://doi.org/10.9790/1959-0904033840</w:t>
        </w:r>
      </w:hyperlink>
    </w:p>
    <w:p w14:paraId="1189F8CA"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Reay, D. (2021). The working classes and higher education: Meritocratic fallacies of upward mobility in the United Kingdom. </w:t>
      </w:r>
      <w:r w:rsidRPr="00AC3F11">
        <w:rPr>
          <w:rFonts w:eastAsia="Times New Roman" w:cstheme="minorHAnsi"/>
          <w:i/>
          <w:iCs/>
          <w:color w:val="000000" w:themeColor="text1"/>
          <w:kern w:val="0"/>
          <w:lang w:eastAsia="en-GB"/>
          <w14:ligatures w14:val="none"/>
        </w:rPr>
        <w:t>European Journal of Education</w:t>
      </w:r>
      <w:r w:rsidRPr="00AC3F11">
        <w:rPr>
          <w:rFonts w:eastAsia="Times New Roman" w:cstheme="minorHAnsi"/>
          <w:color w:val="000000" w:themeColor="text1"/>
          <w:kern w:val="0"/>
          <w:lang w:eastAsia="en-GB"/>
          <w14:ligatures w14:val="none"/>
        </w:rPr>
        <w:t>, </w:t>
      </w:r>
      <w:r w:rsidRPr="00AC3F11">
        <w:rPr>
          <w:rFonts w:eastAsia="Times New Roman" w:cstheme="minorHAnsi"/>
          <w:i/>
          <w:iCs/>
          <w:color w:val="000000" w:themeColor="text1"/>
          <w:kern w:val="0"/>
          <w:lang w:eastAsia="en-GB"/>
          <w14:ligatures w14:val="none"/>
        </w:rPr>
        <w:t>56</w:t>
      </w:r>
      <w:r w:rsidRPr="00AC3F11">
        <w:rPr>
          <w:rFonts w:eastAsia="Times New Roman" w:cstheme="minorHAnsi"/>
          <w:color w:val="000000" w:themeColor="text1"/>
          <w:kern w:val="0"/>
          <w:lang w:eastAsia="en-GB"/>
          <w14:ligatures w14:val="none"/>
        </w:rPr>
        <w:t xml:space="preserve">(1), 53–64. </w:t>
      </w:r>
      <w:hyperlink r:id="rId51" w:history="1">
        <w:r w:rsidRPr="00AC3F11">
          <w:rPr>
            <w:rStyle w:val="Hyperlink"/>
            <w:rFonts w:eastAsia="Times New Roman" w:cstheme="minorHAnsi"/>
            <w:color w:val="000000" w:themeColor="text1"/>
            <w:kern w:val="0"/>
            <w:u w:val="none"/>
            <w:lang w:eastAsia="en-GB"/>
            <w14:ligatures w14:val="none"/>
          </w:rPr>
          <w:t>https://doi.org/10.1111/ejed.12438</w:t>
        </w:r>
      </w:hyperlink>
    </w:p>
    <w:p w14:paraId="751A0D56"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Saunders, M. (2009). </w:t>
      </w:r>
      <w:r w:rsidRPr="00AC3F11">
        <w:rPr>
          <w:rFonts w:eastAsia="Times New Roman" w:cstheme="minorHAnsi"/>
          <w:i/>
          <w:iCs/>
          <w:color w:val="000000" w:themeColor="text1"/>
          <w:kern w:val="0"/>
          <w:lang w:eastAsia="en-GB"/>
          <w14:ligatures w14:val="none"/>
        </w:rPr>
        <w:t>Research methods for business students.</w:t>
      </w:r>
      <w:r w:rsidRPr="00AC3F11">
        <w:rPr>
          <w:rFonts w:eastAsia="Times New Roman" w:cstheme="minorHAnsi"/>
          <w:color w:val="000000" w:themeColor="text1"/>
          <w:kern w:val="0"/>
          <w:lang w:eastAsia="en-GB"/>
          <w14:ligatures w14:val="none"/>
        </w:rPr>
        <w:t xml:space="preserve"> Pearson Education Limited.</w:t>
      </w:r>
    </w:p>
    <w:p w14:paraId="037E7FAD" w14:textId="77777777" w:rsidR="004B770D" w:rsidRPr="00AC3F11" w:rsidRDefault="004B770D" w:rsidP="00767295">
      <w:pPr>
        <w:pStyle w:val="NormalWeb"/>
        <w:spacing w:line="480" w:lineRule="auto"/>
        <w:ind w:left="680" w:hanging="680"/>
        <w:rPr>
          <w:rFonts w:asciiTheme="minorHAnsi" w:hAnsiTheme="minorHAnsi" w:cstheme="minorHAnsi"/>
          <w:color w:val="000000" w:themeColor="text1"/>
        </w:rPr>
      </w:pPr>
      <w:r w:rsidRPr="00AC3F11">
        <w:rPr>
          <w:rFonts w:asciiTheme="minorHAnsi" w:hAnsiTheme="minorHAnsi" w:cstheme="minorHAnsi"/>
          <w:color w:val="000000" w:themeColor="text1"/>
        </w:rPr>
        <w:t>Stahl, N., Lampi, J., &amp; King, J. R. (2019). Expanding Approaches for Research: Mixed Methods.</w:t>
      </w:r>
      <w:r w:rsidRPr="00AC3F11">
        <w:rPr>
          <w:rFonts w:asciiTheme="minorHAnsi" w:hAnsiTheme="minorHAnsi" w:cstheme="minorHAnsi"/>
          <w:i/>
          <w:iCs/>
          <w:color w:val="000000" w:themeColor="text1"/>
        </w:rPr>
        <w:t> Journal of Developmental Education, 42</w:t>
      </w:r>
      <w:r w:rsidRPr="00AC3F11">
        <w:rPr>
          <w:rFonts w:asciiTheme="minorHAnsi" w:hAnsiTheme="minorHAnsi" w:cstheme="minorHAnsi"/>
          <w:color w:val="000000" w:themeColor="text1"/>
        </w:rPr>
        <w:t>(2), 28-30. https://www.proquest.com/scholarly-journals/expanding-approaches-research-mixed-methods/docview/2220136548/se-2</w:t>
      </w:r>
    </w:p>
    <w:p w14:paraId="26F4C4D3" w14:textId="7777777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t xml:space="preserve">Takeuchi, H., Yamaguchi, E., Wada, H., &amp; Sato, Y. (2017). Socioeconomic status based on household income - Findings from Japan. </w:t>
      </w:r>
      <w:r w:rsidRPr="00AC3F11">
        <w:rPr>
          <w:rFonts w:eastAsia="Times New Roman" w:cstheme="minorHAnsi"/>
          <w:i/>
          <w:iCs/>
          <w:color w:val="000000" w:themeColor="text1"/>
          <w:kern w:val="0"/>
          <w:lang w:eastAsia="en-GB"/>
          <w14:ligatures w14:val="none"/>
        </w:rPr>
        <w:t>European Journal of Public Health, 27</w:t>
      </w:r>
      <w:r w:rsidRPr="00AC3F11">
        <w:rPr>
          <w:rFonts w:eastAsia="Times New Roman" w:cstheme="minorHAnsi"/>
          <w:color w:val="000000" w:themeColor="text1"/>
          <w:kern w:val="0"/>
          <w:lang w:eastAsia="en-GB"/>
          <w14:ligatures w14:val="none"/>
        </w:rPr>
        <w:t xml:space="preserve">(suppl_3). </w:t>
      </w:r>
      <w:hyperlink r:id="rId52" w:tgtFrame="_new" w:history="1">
        <w:r w:rsidRPr="00AC3F11">
          <w:rPr>
            <w:rFonts w:eastAsia="Times New Roman" w:cstheme="minorHAnsi"/>
            <w:color w:val="000000" w:themeColor="text1"/>
            <w:kern w:val="0"/>
            <w:lang w:eastAsia="en-GB"/>
            <w14:ligatures w14:val="none"/>
          </w:rPr>
          <w:t>https://doi.org/10.1093/eurpub/ckx186.307</w:t>
        </w:r>
      </w:hyperlink>
    </w:p>
    <w:p w14:paraId="172F963E"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 xml:space="preserve">Tan, C. Y. (2024). Socioeconomic status and student learning: Insights from an Umbrella Review. </w:t>
      </w:r>
      <w:r w:rsidRPr="00AC3F11">
        <w:rPr>
          <w:rFonts w:cstheme="minorHAnsi"/>
          <w:i/>
          <w:iCs/>
          <w:color w:val="000000" w:themeColor="text1"/>
        </w:rPr>
        <w:t>Educational Psychology Review, 36</w:t>
      </w:r>
      <w:r w:rsidRPr="00AC3F11">
        <w:rPr>
          <w:rFonts w:cstheme="minorHAnsi"/>
          <w:color w:val="000000" w:themeColor="text1"/>
        </w:rPr>
        <w:t xml:space="preserve">(100). </w:t>
      </w:r>
      <w:hyperlink r:id="rId53" w:tgtFrame="_new" w:history="1">
        <w:r w:rsidRPr="00AC3F11">
          <w:rPr>
            <w:rStyle w:val="Hyperlink"/>
            <w:rFonts w:cstheme="minorHAnsi"/>
            <w:color w:val="000000" w:themeColor="text1"/>
            <w:u w:val="none"/>
          </w:rPr>
          <w:t>https://doi.org/10.1007/s10648-024-09929-3</w:t>
        </w:r>
      </w:hyperlink>
    </w:p>
    <w:p w14:paraId="17A375DC" w14:textId="77777777" w:rsidR="004B770D" w:rsidRPr="00AC3F11" w:rsidRDefault="004B770D" w:rsidP="00767295">
      <w:pPr>
        <w:spacing w:line="480" w:lineRule="auto"/>
        <w:ind w:left="680" w:hanging="680"/>
        <w:rPr>
          <w:rFonts w:cstheme="minorHAnsi"/>
          <w:color w:val="000000" w:themeColor="text1"/>
        </w:rPr>
      </w:pPr>
      <w:proofErr w:type="spellStart"/>
      <w:r w:rsidRPr="00AC3F11">
        <w:rPr>
          <w:rFonts w:cstheme="minorHAnsi"/>
          <w:color w:val="000000" w:themeColor="text1"/>
        </w:rPr>
        <w:t>Timans</w:t>
      </w:r>
      <w:proofErr w:type="spellEnd"/>
      <w:r w:rsidRPr="00AC3F11">
        <w:rPr>
          <w:rFonts w:cstheme="minorHAnsi"/>
          <w:color w:val="000000" w:themeColor="text1"/>
        </w:rPr>
        <w:t>, R., Wouters, P., &amp; Heilbron, J. (2019). Mixed methods research: what it is and what it could be. </w:t>
      </w:r>
      <w:r w:rsidRPr="00AC3F11">
        <w:rPr>
          <w:rFonts w:cstheme="minorHAnsi"/>
          <w:i/>
          <w:iCs/>
          <w:color w:val="000000" w:themeColor="text1"/>
        </w:rPr>
        <w:t>Theory and Society</w:t>
      </w:r>
      <w:r w:rsidRPr="00AC3F11">
        <w:rPr>
          <w:rFonts w:cstheme="minorHAnsi"/>
          <w:color w:val="000000" w:themeColor="text1"/>
        </w:rPr>
        <w:t>, </w:t>
      </w:r>
      <w:r w:rsidRPr="00AC3F11">
        <w:rPr>
          <w:rFonts w:cstheme="minorHAnsi"/>
          <w:i/>
          <w:iCs/>
          <w:color w:val="000000" w:themeColor="text1"/>
        </w:rPr>
        <w:t>48</w:t>
      </w:r>
      <w:r w:rsidRPr="00AC3F11">
        <w:rPr>
          <w:rFonts w:cstheme="minorHAnsi"/>
          <w:color w:val="000000" w:themeColor="text1"/>
        </w:rPr>
        <w:t>(2), 193–216. https://doi.org/10.1007/s11186-019-09345-5</w:t>
      </w:r>
    </w:p>
    <w:p w14:paraId="74ED2846" w14:textId="66E1D2F7" w:rsidR="004B770D" w:rsidRPr="00AC3F11" w:rsidRDefault="004B770D" w:rsidP="00767295">
      <w:pPr>
        <w:spacing w:before="100" w:beforeAutospacing="1" w:after="100" w:afterAutospacing="1" w:line="480" w:lineRule="auto"/>
        <w:ind w:left="680" w:hanging="680"/>
        <w:rPr>
          <w:rFonts w:eastAsia="Times New Roman" w:cstheme="minorHAnsi"/>
          <w:color w:val="000000" w:themeColor="text1"/>
          <w:kern w:val="0"/>
          <w:lang w:eastAsia="en-GB"/>
          <w14:ligatures w14:val="none"/>
        </w:rPr>
      </w:pPr>
      <w:r w:rsidRPr="00AC3F11">
        <w:rPr>
          <w:rFonts w:eastAsia="Times New Roman" w:cstheme="minorHAnsi"/>
          <w:color w:val="000000" w:themeColor="text1"/>
          <w:kern w:val="0"/>
          <w:lang w:eastAsia="en-GB"/>
          <w14:ligatures w14:val="none"/>
        </w:rPr>
        <w:lastRenderedPageBreak/>
        <w:t xml:space="preserve">Tomaszewski, W., Xiang, N., &amp; Kubler, M. (2024). </w:t>
      </w:r>
      <w:r w:rsidR="000F4DDE">
        <w:rPr>
          <w:rFonts w:eastAsia="Times New Roman" w:cstheme="minorHAnsi"/>
          <w:color w:val="000000" w:themeColor="text1"/>
          <w:kern w:val="0"/>
          <w:lang w:eastAsia="en-GB"/>
          <w14:ligatures w14:val="none"/>
        </w:rPr>
        <w:t>Socioeconomic</w:t>
      </w:r>
      <w:r w:rsidRPr="00AC3F11">
        <w:rPr>
          <w:rFonts w:eastAsia="Times New Roman" w:cstheme="minorHAnsi"/>
          <w:color w:val="000000" w:themeColor="text1"/>
          <w:kern w:val="0"/>
          <w:lang w:eastAsia="en-GB"/>
          <w14:ligatures w14:val="none"/>
        </w:rPr>
        <w:t xml:space="preserve"> status, school performance, and university participation: Evidence from linked administrative and survey data from Australia. </w:t>
      </w:r>
      <w:r w:rsidRPr="00AC3F11">
        <w:rPr>
          <w:rFonts w:eastAsia="Times New Roman" w:cstheme="minorHAnsi"/>
          <w:i/>
          <w:iCs/>
          <w:color w:val="000000" w:themeColor="text1"/>
          <w:kern w:val="0"/>
          <w:lang w:eastAsia="en-GB"/>
          <w14:ligatures w14:val="none"/>
        </w:rPr>
        <w:t>Higher Education.</w:t>
      </w:r>
      <w:r w:rsidRPr="00AC3F11">
        <w:rPr>
          <w:rFonts w:eastAsia="Times New Roman" w:cstheme="minorHAnsi"/>
          <w:color w:val="000000" w:themeColor="text1"/>
          <w:kern w:val="0"/>
          <w:lang w:eastAsia="en-GB"/>
          <w14:ligatures w14:val="none"/>
        </w:rPr>
        <w:t xml:space="preserve"> </w:t>
      </w:r>
      <w:hyperlink r:id="rId54" w:tgtFrame="_new" w:history="1">
        <w:r w:rsidRPr="00AC3F11">
          <w:rPr>
            <w:rFonts w:eastAsia="Times New Roman" w:cstheme="minorHAnsi"/>
            <w:color w:val="000000" w:themeColor="text1"/>
            <w:kern w:val="0"/>
            <w:lang w:eastAsia="en-GB"/>
            <w14:ligatures w14:val="none"/>
          </w:rPr>
          <w:t>https://doi.org/10.1007/s10734-024-01245-7</w:t>
        </w:r>
      </w:hyperlink>
    </w:p>
    <w:p w14:paraId="492EFDD7" w14:textId="55FFEECD"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 xml:space="preserve">Wanti, </w:t>
      </w:r>
      <w:r w:rsidR="006F1C37">
        <w:rPr>
          <w:rFonts w:cstheme="minorHAnsi"/>
          <w:color w:val="000000" w:themeColor="text1"/>
        </w:rPr>
        <w:t xml:space="preserve">M., </w:t>
      </w:r>
      <w:r w:rsidRPr="00AC3F11">
        <w:rPr>
          <w:rFonts w:cstheme="minorHAnsi"/>
          <w:color w:val="000000" w:themeColor="text1"/>
        </w:rPr>
        <w:t>Wesselink, R., Biemans, H, &amp; den Brok, P. (2022). Determining factors of access and equity in higher education: A systematic review. </w:t>
      </w:r>
      <w:r w:rsidRPr="00AC3F11">
        <w:rPr>
          <w:rFonts w:cstheme="minorHAnsi"/>
          <w:i/>
          <w:iCs/>
          <w:color w:val="000000" w:themeColor="text1"/>
        </w:rPr>
        <w:t>Equity in Education &amp; Society</w:t>
      </w:r>
      <w:r w:rsidRPr="00AC3F11">
        <w:rPr>
          <w:rFonts w:cstheme="minorHAnsi"/>
          <w:color w:val="000000" w:themeColor="text1"/>
        </w:rPr>
        <w:t>, </w:t>
      </w:r>
      <w:r w:rsidRPr="00AC3F11">
        <w:rPr>
          <w:rFonts w:cstheme="minorHAnsi"/>
          <w:i/>
          <w:iCs/>
          <w:color w:val="000000" w:themeColor="text1"/>
        </w:rPr>
        <w:t>1</w:t>
      </w:r>
      <w:r w:rsidRPr="00AC3F11">
        <w:rPr>
          <w:rFonts w:cstheme="minorHAnsi"/>
          <w:color w:val="000000" w:themeColor="text1"/>
        </w:rPr>
        <w:t>(2), 279–296. https://doi.org/10.1177/27526461221092429</w:t>
      </w:r>
    </w:p>
    <w:p w14:paraId="2ACCF70D" w14:textId="77777777" w:rsidR="004B770D" w:rsidRPr="00AC3F11" w:rsidRDefault="004B770D" w:rsidP="00767295">
      <w:pPr>
        <w:spacing w:line="480" w:lineRule="auto"/>
        <w:ind w:left="680" w:hanging="680"/>
        <w:rPr>
          <w:rFonts w:cstheme="minorHAnsi"/>
          <w:color w:val="000000" w:themeColor="text1"/>
        </w:rPr>
      </w:pPr>
      <w:r w:rsidRPr="00AC3F11">
        <w:rPr>
          <w:rFonts w:cstheme="minorHAnsi"/>
          <w:color w:val="000000" w:themeColor="text1"/>
        </w:rPr>
        <w:t>Woodland, L., Blignault, I., O’Callaghan, C., &amp; Harris-Roxas, B. (2021). A framework for preferred practices in conducting culturally competent health research in a multicultural society. </w:t>
      </w:r>
      <w:r w:rsidRPr="00AC3F11">
        <w:rPr>
          <w:rFonts w:cstheme="minorHAnsi"/>
          <w:i/>
          <w:iCs/>
          <w:color w:val="000000" w:themeColor="text1"/>
        </w:rPr>
        <w:t>Health Research Policy and Systems</w:t>
      </w:r>
      <w:r w:rsidRPr="00AC3F11">
        <w:rPr>
          <w:rFonts w:cstheme="minorHAnsi"/>
          <w:color w:val="000000" w:themeColor="text1"/>
        </w:rPr>
        <w:t>, </w:t>
      </w:r>
      <w:r w:rsidRPr="00AC3F11">
        <w:rPr>
          <w:rFonts w:cstheme="minorHAnsi"/>
          <w:i/>
          <w:iCs/>
          <w:color w:val="000000" w:themeColor="text1"/>
        </w:rPr>
        <w:t>19</w:t>
      </w:r>
      <w:r w:rsidRPr="00AC3F11">
        <w:rPr>
          <w:rFonts w:cstheme="minorHAnsi"/>
          <w:color w:val="000000" w:themeColor="text1"/>
        </w:rPr>
        <w:t>(1). https://doi.org/10.1186/s12961-020-00657-y</w:t>
      </w:r>
    </w:p>
    <w:p w14:paraId="142E6E50" w14:textId="77777777" w:rsidR="004B770D" w:rsidRPr="00AC3F11" w:rsidRDefault="004B770D" w:rsidP="00767295">
      <w:pPr>
        <w:spacing w:line="480" w:lineRule="auto"/>
        <w:ind w:left="680" w:hanging="680"/>
        <w:rPr>
          <w:color w:val="000000" w:themeColor="text1"/>
        </w:rPr>
      </w:pPr>
      <w:r w:rsidRPr="00AC3F11">
        <w:rPr>
          <w:color w:val="000000" w:themeColor="text1"/>
        </w:rPr>
        <w:t>‌‌</w:t>
      </w:r>
      <w:proofErr w:type="spellStart"/>
      <w:r w:rsidRPr="00AC3F11">
        <w:rPr>
          <w:color w:val="000000" w:themeColor="text1"/>
        </w:rPr>
        <w:t>Zaneva</w:t>
      </w:r>
      <w:proofErr w:type="spellEnd"/>
      <w:r w:rsidRPr="00AC3F11">
        <w:rPr>
          <w:color w:val="000000" w:themeColor="text1"/>
        </w:rPr>
        <w:t xml:space="preserve">, M., </w:t>
      </w:r>
      <w:proofErr w:type="spellStart"/>
      <w:r w:rsidRPr="00AC3F11">
        <w:rPr>
          <w:color w:val="000000" w:themeColor="text1"/>
        </w:rPr>
        <w:t>Dumbalska</w:t>
      </w:r>
      <w:proofErr w:type="spellEnd"/>
      <w:r w:rsidRPr="00AC3F11">
        <w:rPr>
          <w:color w:val="000000" w:themeColor="text1"/>
        </w:rPr>
        <w:t>, T., Reeves, A., &amp; Bowes, L. (2024). What do we mean when we talk about socioeconomic status? Implications for measurement, mechanisms and interventions from a critical review on adolescent mental health. </w:t>
      </w:r>
      <w:r w:rsidRPr="00AC3F11">
        <w:rPr>
          <w:i/>
          <w:iCs/>
          <w:color w:val="000000" w:themeColor="text1"/>
        </w:rPr>
        <w:t>General Psychiatry</w:t>
      </w:r>
      <w:r w:rsidRPr="00AC3F11">
        <w:rPr>
          <w:color w:val="000000" w:themeColor="text1"/>
        </w:rPr>
        <w:t>, </w:t>
      </w:r>
      <w:r w:rsidRPr="00AC3F11">
        <w:rPr>
          <w:i/>
          <w:iCs/>
          <w:color w:val="000000" w:themeColor="text1"/>
        </w:rPr>
        <w:t>37</w:t>
      </w:r>
      <w:r w:rsidRPr="00AC3F11">
        <w:rPr>
          <w:color w:val="000000" w:themeColor="text1"/>
        </w:rPr>
        <w:t xml:space="preserve">(6), e101455. </w:t>
      </w:r>
      <w:hyperlink r:id="rId55" w:history="1">
        <w:r w:rsidRPr="00AC3F11">
          <w:rPr>
            <w:rStyle w:val="Hyperlink"/>
            <w:color w:val="000000" w:themeColor="text1"/>
            <w:u w:val="none"/>
          </w:rPr>
          <w:t>https://doi.org/10.1136/gpsych-2023-101455</w:t>
        </w:r>
      </w:hyperlink>
    </w:p>
    <w:p w14:paraId="4EC814DE" w14:textId="77777777" w:rsidR="003A3D71" w:rsidRPr="003A3D71" w:rsidRDefault="003A3D71" w:rsidP="003A3D71"/>
    <w:p w14:paraId="63B09600" w14:textId="77777777" w:rsidR="003A3D71" w:rsidRPr="003A3D71" w:rsidRDefault="003A3D71" w:rsidP="003A3D71">
      <w:pPr>
        <w:rPr>
          <w:sz w:val="28"/>
          <w:szCs w:val="28"/>
        </w:rPr>
      </w:pPr>
      <w:r w:rsidRPr="003A3D71">
        <w:rPr>
          <w:sz w:val="28"/>
          <w:szCs w:val="28"/>
        </w:rPr>
        <w:t>‌</w:t>
      </w:r>
    </w:p>
    <w:p w14:paraId="6F8896DC" w14:textId="08777271" w:rsidR="005B27E3" w:rsidRPr="005B27E3" w:rsidRDefault="005B27E3" w:rsidP="005B27E3">
      <w:pPr>
        <w:rPr>
          <w:sz w:val="28"/>
          <w:szCs w:val="28"/>
        </w:rPr>
      </w:pPr>
    </w:p>
    <w:p w14:paraId="3FFF1BF1" w14:textId="77777777" w:rsidR="00DA6F38" w:rsidRPr="00B50EC8" w:rsidRDefault="00DA6F38" w:rsidP="00B50EC8">
      <w:pPr>
        <w:rPr>
          <w:sz w:val="28"/>
          <w:szCs w:val="28"/>
        </w:rPr>
      </w:pPr>
    </w:p>
    <w:p w14:paraId="057B55D4" w14:textId="77777777" w:rsidR="001D7135" w:rsidRDefault="001D7135" w:rsidP="001D7135">
      <w:pPr>
        <w:rPr>
          <w:b/>
          <w:bCs/>
          <w:sz w:val="28"/>
          <w:szCs w:val="28"/>
        </w:rPr>
      </w:pPr>
    </w:p>
    <w:p w14:paraId="67984A0E" w14:textId="77777777" w:rsidR="001D7135" w:rsidRDefault="001D7135" w:rsidP="001D7135">
      <w:pPr>
        <w:rPr>
          <w:b/>
          <w:bCs/>
          <w:sz w:val="28"/>
          <w:szCs w:val="28"/>
        </w:rPr>
      </w:pPr>
    </w:p>
    <w:p w14:paraId="585DE316" w14:textId="77777777" w:rsidR="001D7135" w:rsidRDefault="001D7135" w:rsidP="001D7135">
      <w:pPr>
        <w:rPr>
          <w:b/>
          <w:bCs/>
          <w:sz w:val="28"/>
          <w:szCs w:val="28"/>
        </w:rPr>
      </w:pPr>
    </w:p>
    <w:p w14:paraId="6EC61C63" w14:textId="485CCEA9" w:rsidR="00AC3F11" w:rsidRDefault="00AC3F11" w:rsidP="00474431">
      <w:pPr>
        <w:pStyle w:val="Heading1"/>
        <w:sectPr w:rsidR="00AC3F11">
          <w:footerReference w:type="default" r:id="rId56"/>
          <w:pgSz w:w="11906" w:h="16838"/>
          <w:pgMar w:top="1440" w:right="1440" w:bottom="1440" w:left="1440" w:header="708" w:footer="708" w:gutter="0"/>
          <w:cols w:space="708"/>
          <w:docGrid w:linePitch="360"/>
        </w:sectPr>
      </w:pPr>
    </w:p>
    <w:p w14:paraId="51B2D73C" w14:textId="092C2B14" w:rsidR="001D7135" w:rsidRDefault="001D7135" w:rsidP="00474431">
      <w:pPr>
        <w:pStyle w:val="Heading1"/>
      </w:pPr>
      <w:bookmarkStart w:id="29" w:name="_Toc188210505"/>
      <w:r w:rsidRPr="001D7135">
        <w:lastRenderedPageBreak/>
        <w:t>Appendices</w:t>
      </w:r>
      <w:bookmarkEnd w:id="29"/>
    </w:p>
    <w:p w14:paraId="54F7E812" w14:textId="27BAE20F" w:rsidR="001D7135" w:rsidRPr="002B7689" w:rsidRDefault="002B7689" w:rsidP="002B7689">
      <w:pPr>
        <w:pStyle w:val="Heading2"/>
        <w:ind w:left="-993"/>
      </w:pPr>
      <w:bookmarkStart w:id="30" w:name="_Toc188210506"/>
      <w:r>
        <w:t>Appendix A: Outline Planning Document</w:t>
      </w:r>
      <w:bookmarkEnd w:id="30"/>
    </w:p>
    <w:tbl>
      <w:tblPr>
        <w:tblStyle w:val="TableGrid"/>
        <w:tblW w:w="5793" w:type="pct"/>
        <w:tblInd w:w="-998" w:type="dxa"/>
        <w:tblLook w:val="04A0" w:firstRow="1" w:lastRow="0" w:firstColumn="1" w:lastColumn="0" w:noHBand="0" w:noVBand="1"/>
      </w:tblPr>
      <w:tblGrid>
        <w:gridCol w:w="3647"/>
        <w:gridCol w:w="1888"/>
        <w:gridCol w:w="1517"/>
        <w:gridCol w:w="2101"/>
        <w:gridCol w:w="1477"/>
        <w:gridCol w:w="1432"/>
        <w:gridCol w:w="4098"/>
      </w:tblGrid>
      <w:tr w:rsidR="00AC3F11" w:rsidRPr="001D7135" w14:paraId="3F345371" w14:textId="77777777" w:rsidTr="00AC3F11">
        <w:tc>
          <w:tcPr>
            <w:tcW w:w="1128" w:type="pct"/>
            <w:shd w:val="clear" w:color="auto" w:fill="D0CECE" w:themeFill="background2" w:themeFillShade="E6"/>
            <w:vAlign w:val="center"/>
          </w:tcPr>
          <w:p w14:paraId="458EDB1F" w14:textId="77777777" w:rsidR="001D7135" w:rsidRPr="002B7689" w:rsidRDefault="001D7135" w:rsidP="001D7135">
            <w:pPr>
              <w:spacing w:after="160" w:line="278" w:lineRule="auto"/>
              <w:rPr>
                <w:rFonts w:asciiTheme="minorHAnsi" w:eastAsiaTheme="minorHAnsi" w:hAnsiTheme="minorHAnsi" w:cstheme="minorHAnsi"/>
                <w:b/>
                <w:bCs/>
                <w:kern w:val="2"/>
                <w:sz w:val="18"/>
                <w:szCs w:val="18"/>
                <w:lang w:eastAsia="en-US"/>
                <w14:ligatures w14:val="standardContextual"/>
              </w:rPr>
            </w:pPr>
            <w:r w:rsidRPr="002B7689">
              <w:rPr>
                <w:rFonts w:asciiTheme="minorHAnsi" w:eastAsiaTheme="minorHAnsi" w:hAnsiTheme="minorHAnsi" w:cstheme="minorHAnsi"/>
                <w:b/>
                <w:bCs/>
                <w:kern w:val="2"/>
                <w:sz w:val="18"/>
                <w:szCs w:val="18"/>
                <w:lang w:eastAsia="en-US"/>
                <w14:ligatures w14:val="standardContextual"/>
              </w:rPr>
              <w:t>Paper</w:t>
            </w:r>
          </w:p>
        </w:tc>
        <w:tc>
          <w:tcPr>
            <w:tcW w:w="584" w:type="pct"/>
            <w:shd w:val="clear" w:color="auto" w:fill="D0CECE" w:themeFill="background2" w:themeFillShade="E6"/>
            <w:vAlign w:val="center"/>
          </w:tcPr>
          <w:p w14:paraId="14791346" w14:textId="77777777" w:rsidR="001D7135" w:rsidRPr="002B7689" w:rsidRDefault="001D7135" w:rsidP="001D7135">
            <w:pPr>
              <w:spacing w:after="160" w:line="278" w:lineRule="auto"/>
              <w:rPr>
                <w:rFonts w:asciiTheme="minorHAnsi" w:eastAsiaTheme="minorHAnsi" w:hAnsiTheme="minorHAnsi" w:cstheme="minorHAnsi"/>
                <w:b/>
                <w:bCs/>
                <w:kern w:val="2"/>
                <w:sz w:val="18"/>
                <w:szCs w:val="18"/>
                <w:lang w:eastAsia="en-US"/>
                <w14:ligatures w14:val="standardContextual"/>
              </w:rPr>
            </w:pPr>
            <w:r w:rsidRPr="002B7689">
              <w:rPr>
                <w:rFonts w:asciiTheme="minorHAnsi" w:eastAsiaTheme="minorHAnsi" w:hAnsiTheme="minorHAnsi" w:cstheme="minorHAnsi"/>
                <w:b/>
                <w:bCs/>
                <w:kern w:val="2"/>
                <w:sz w:val="18"/>
                <w:szCs w:val="18"/>
                <w:lang w:eastAsia="en-US"/>
                <w14:ligatures w14:val="standardContextual"/>
              </w:rPr>
              <w:t>Methodology</w:t>
            </w:r>
          </w:p>
        </w:tc>
        <w:tc>
          <w:tcPr>
            <w:tcW w:w="469" w:type="pct"/>
            <w:shd w:val="clear" w:color="auto" w:fill="D0CECE" w:themeFill="background2" w:themeFillShade="E6"/>
            <w:vAlign w:val="center"/>
          </w:tcPr>
          <w:p w14:paraId="03E52433" w14:textId="77777777" w:rsidR="001D7135" w:rsidRPr="002B7689" w:rsidRDefault="001D7135" w:rsidP="001D7135">
            <w:pPr>
              <w:spacing w:after="160" w:line="278" w:lineRule="auto"/>
              <w:rPr>
                <w:rFonts w:asciiTheme="minorHAnsi" w:eastAsiaTheme="minorHAnsi" w:hAnsiTheme="minorHAnsi" w:cstheme="minorHAnsi"/>
                <w:b/>
                <w:bCs/>
                <w:kern w:val="2"/>
                <w:sz w:val="18"/>
                <w:szCs w:val="18"/>
                <w:lang w:eastAsia="en-US"/>
                <w14:ligatures w14:val="standardContextual"/>
              </w:rPr>
            </w:pPr>
            <w:r w:rsidRPr="002B7689">
              <w:rPr>
                <w:rFonts w:asciiTheme="minorHAnsi" w:eastAsiaTheme="minorHAnsi" w:hAnsiTheme="minorHAnsi" w:cstheme="minorHAnsi"/>
                <w:b/>
                <w:bCs/>
                <w:kern w:val="2"/>
                <w:sz w:val="18"/>
                <w:szCs w:val="18"/>
                <w:lang w:eastAsia="en-US"/>
                <w14:ligatures w14:val="standardContextual"/>
              </w:rPr>
              <w:t>Ontology</w:t>
            </w:r>
          </w:p>
        </w:tc>
        <w:tc>
          <w:tcPr>
            <w:tcW w:w="650" w:type="pct"/>
            <w:shd w:val="clear" w:color="auto" w:fill="D0CECE" w:themeFill="background2" w:themeFillShade="E6"/>
            <w:vAlign w:val="center"/>
          </w:tcPr>
          <w:p w14:paraId="08AA5BBF" w14:textId="77777777" w:rsidR="001D7135" w:rsidRPr="002B7689" w:rsidRDefault="001D7135" w:rsidP="001D7135">
            <w:pPr>
              <w:spacing w:after="160" w:line="278" w:lineRule="auto"/>
              <w:rPr>
                <w:rFonts w:asciiTheme="minorHAnsi" w:eastAsiaTheme="minorHAnsi" w:hAnsiTheme="minorHAnsi" w:cstheme="minorHAnsi"/>
                <w:b/>
                <w:bCs/>
                <w:kern w:val="2"/>
                <w:sz w:val="18"/>
                <w:szCs w:val="18"/>
                <w:lang w:eastAsia="en-US"/>
                <w14:ligatures w14:val="standardContextual"/>
              </w:rPr>
            </w:pPr>
            <w:r w:rsidRPr="002B7689">
              <w:rPr>
                <w:rFonts w:asciiTheme="minorHAnsi" w:eastAsiaTheme="minorHAnsi" w:hAnsiTheme="minorHAnsi" w:cstheme="minorHAnsi"/>
                <w:b/>
                <w:bCs/>
                <w:kern w:val="2"/>
                <w:sz w:val="18"/>
                <w:szCs w:val="18"/>
                <w:lang w:eastAsia="en-US"/>
                <w14:ligatures w14:val="standardContextual"/>
              </w:rPr>
              <w:t>Epistemology</w:t>
            </w:r>
          </w:p>
        </w:tc>
        <w:tc>
          <w:tcPr>
            <w:tcW w:w="457" w:type="pct"/>
            <w:shd w:val="clear" w:color="auto" w:fill="D0CECE" w:themeFill="background2" w:themeFillShade="E6"/>
            <w:vAlign w:val="center"/>
          </w:tcPr>
          <w:p w14:paraId="0A8E701A" w14:textId="77777777" w:rsidR="001D7135" w:rsidRPr="002B7689" w:rsidRDefault="001D7135" w:rsidP="001D7135">
            <w:pPr>
              <w:spacing w:after="160" w:line="278" w:lineRule="auto"/>
              <w:rPr>
                <w:rFonts w:asciiTheme="minorHAnsi" w:eastAsiaTheme="minorHAnsi" w:hAnsiTheme="minorHAnsi" w:cstheme="minorHAnsi"/>
                <w:b/>
                <w:bCs/>
                <w:kern w:val="2"/>
                <w:sz w:val="18"/>
                <w:szCs w:val="18"/>
                <w:lang w:eastAsia="en-US"/>
                <w14:ligatures w14:val="standardContextual"/>
              </w:rPr>
            </w:pPr>
            <w:r w:rsidRPr="002B7689">
              <w:rPr>
                <w:rFonts w:asciiTheme="minorHAnsi" w:eastAsiaTheme="minorHAnsi" w:hAnsiTheme="minorHAnsi" w:cstheme="minorHAnsi"/>
                <w:b/>
                <w:bCs/>
                <w:kern w:val="2"/>
                <w:sz w:val="18"/>
                <w:szCs w:val="18"/>
                <w:lang w:eastAsia="en-US"/>
                <w14:ligatures w14:val="standardContextual"/>
              </w:rPr>
              <w:t>Axiology</w:t>
            </w:r>
          </w:p>
        </w:tc>
        <w:tc>
          <w:tcPr>
            <w:tcW w:w="443" w:type="pct"/>
            <w:shd w:val="clear" w:color="auto" w:fill="D0CECE" w:themeFill="background2" w:themeFillShade="E6"/>
            <w:vAlign w:val="center"/>
          </w:tcPr>
          <w:p w14:paraId="156F5463" w14:textId="77777777" w:rsidR="001D7135" w:rsidRPr="002B7689" w:rsidRDefault="001D7135" w:rsidP="001D7135">
            <w:pPr>
              <w:spacing w:after="160" w:line="278" w:lineRule="auto"/>
              <w:rPr>
                <w:rFonts w:asciiTheme="minorHAnsi" w:eastAsiaTheme="minorHAnsi" w:hAnsiTheme="minorHAnsi" w:cstheme="minorHAnsi"/>
                <w:b/>
                <w:bCs/>
                <w:kern w:val="2"/>
                <w:sz w:val="18"/>
                <w:szCs w:val="18"/>
                <w:lang w:eastAsia="en-US"/>
                <w14:ligatures w14:val="standardContextual"/>
              </w:rPr>
            </w:pPr>
            <w:r w:rsidRPr="002B7689">
              <w:rPr>
                <w:rFonts w:asciiTheme="minorHAnsi" w:eastAsiaTheme="minorHAnsi" w:hAnsiTheme="minorHAnsi" w:cstheme="minorHAnsi"/>
                <w:b/>
                <w:bCs/>
                <w:kern w:val="2"/>
                <w:sz w:val="18"/>
                <w:szCs w:val="18"/>
                <w:lang w:eastAsia="en-US"/>
                <w14:ligatures w14:val="standardContextual"/>
              </w:rPr>
              <w:t>Methods Used</w:t>
            </w:r>
          </w:p>
        </w:tc>
        <w:tc>
          <w:tcPr>
            <w:tcW w:w="1268" w:type="pct"/>
            <w:shd w:val="clear" w:color="auto" w:fill="D0CECE" w:themeFill="background2" w:themeFillShade="E6"/>
            <w:vAlign w:val="center"/>
          </w:tcPr>
          <w:p w14:paraId="6B05239E" w14:textId="77777777" w:rsidR="001D7135" w:rsidRPr="002B7689" w:rsidRDefault="001D7135" w:rsidP="001D7135">
            <w:pPr>
              <w:spacing w:after="160" w:line="278" w:lineRule="auto"/>
              <w:rPr>
                <w:rFonts w:asciiTheme="minorHAnsi" w:eastAsiaTheme="minorHAnsi" w:hAnsiTheme="minorHAnsi" w:cstheme="minorHAnsi"/>
                <w:b/>
                <w:bCs/>
                <w:kern w:val="2"/>
                <w:sz w:val="18"/>
                <w:szCs w:val="18"/>
                <w:lang w:eastAsia="en-US"/>
                <w14:ligatures w14:val="standardContextual"/>
              </w:rPr>
            </w:pPr>
            <w:r w:rsidRPr="002B7689">
              <w:rPr>
                <w:rFonts w:asciiTheme="minorHAnsi" w:eastAsiaTheme="minorHAnsi" w:hAnsiTheme="minorHAnsi" w:cstheme="minorHAnsi"/>
                <w:b/>
                <w:bCs/>
                <w:kern w:val="2"/>
                <w:sz w:val="18"/>
                <w:szCs w:val="18"/>
                <w:lang w:eastAsia="en-US"/>
                <w14:ligatures w14:val="standardContextual"/>
              </w:rPr>
              <w:t>Contradictions</w:t>
            </w:r>
          </w:p>
        </w:tc>
      </w:tr>
      <w:tr w:rsidR="00AC3F11" w:rsidRPr="001D7135" w14:paraId="4D6FC36B" w14:textId="77777777" w:rsidTr="00AC3F11">
        <w:tc>
          <w:tcPr>
            <w:tcW w:w="1128" w:type="pct"/>
            <w:vAlign w:val="center"/>
          </w:tcPr>
          <w:p w14:paraId="5571F762"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Britton et al., </w:t>
            </w:r>
            <w:r w:rsidRPr="002B7689">
              <w:rPr>
                <w:rFonts w:asciiTheme="minorHAnsi" w:eastAsiaTheme="minorHAnsi" w:hAnsiTheme="minorHAnsi" w:cstheme="minorHAnsi"/>
                <w:i/>
                <w:iCs/>
                <w:kern w:val="2"/>
                <w:sz w:val="18"/>
                <w:szCs w:val="18"/>
                <w:lang w:eastAsia="en-US"/>
                <w14:ligatures w14:val="standardContextual"/>
              </w:rPr>
              <w:t>What Degrees Are Best for Social Mobility?</w:t>
            </w:r>
          </w:p>
        </w:tc>
        <w:tc>
          <w:tcPr>
            <w:tcW w:w="584" w:type="pct"/>
            <w:vAlign w:val="center"/>
          </w:tcPr>
          <w:p w14:paraId="102C4292"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Quantitative: relies on economic data to measure degree outcomes</w:t>
            </w:r>
          </w:p>
        </w:tc>
        <w:tc>
          <w:tcPr>
            <w:tcW w:w="469" w:type="pct"/>
            <w:vAlign w:val="center"/>
          </w:tcPr>
          <w:p w14:paraId="0D0297F6"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Positivist</w:t>
            </w:r>
          </w:p>
        </w:tc>
        <w:tc>
          <w:tcPr>
            <w:tcW w:w="650" w:type="pct"/>
            <w:vAlign w:val="center"/>
          </w:tcPr>
          <w:p w14:paraId="378C5F55"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Empirical: based on measurable variables</w:t>
            </w:r>
          </w:p>
        </w:tc>
        <w:tc>
          <w:tcPr>
            <w:tcW w:w="457" w:type="pct"/>
            <w:vAlign w:val="center"/>
          </w:tcPr>
          <w:p w14:paraId="1F3204BE"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Economic mobility: prioritises income as a key metric</w:t>
            </w:r>
          </w:p>
        </w:tc>
        <w:tc>
          <w:tcPr>
            <w:tcW w:w="443" w:type="pct"/>
            <w:vAlign w:val="center"/>
          </w:tcPr>
          <w:p w14:paraId="5CEC9DBA"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Statistical analysis of employment and income data</w:t>
            </w:r>
          </w:p>
        </w:tc>
        <w:tc>
          <w:tcPr>
            <w:tcW w:w="1268" w:type="pct"/>
            <w:vAlign w:val="center"/>
          </w:tcPr>
          <w:p w14:paraId="7C6BC4F4"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Suggests education improves mobility but overlooks systemic barriers highlighted by Reay</w:t>
            </w:r>
          </w:p>
        </w:tc>
      </w:tr>
      <w:tr w:rsidR="00AC3F11" w:rsidRPr="001D7135" w14:paraId="379EC21C" w14:textId="77777777" w:rsidTr="00AC3F11">
        <w:tc>
          <w:tcPr>
            <w:tcW w:w="1128" w:type="pct"/>
            <w:vAlign w:val="center"/>
          </w:tcPr>
          <w:p w14:paraId="53A8C699"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Mateos-González &amp; Wakeling, </w:t>
            </w:r>
            <w:r w:rsidRPr="002B7689">
              <w:rPr>
                <w:rFonts w:asciiTheme="minorHAnsi" w:eastAsiaTheme="minorHAnsi" w:hAnsiTheme="minorHAnsi" w:cstheme="minorHAnsi"/>
                <w:i/>
                <w:iCs/>
                <w:kern w:val="2"/>
                <w:sz w:val="18"/>
                <w:szCs w:val="18"/>
                <w:lang w:eastAsia="en-US"/>
                <w14:ligatures w14:val="standardContextual"/>
              </w:rPr>
              <w:t>Socioeconomic Inequalities in Postgraduate Access</w:t>
            </w:r>
          </w:p>
        </w:tc>
        <w:tc>
          <w:tcPr>
            <w:tcW w:w="584" w:type="pct"/>
            <w:vAlign w:val="center"/>
          </w:tcPr>
          <w:p w14:paraId="0CD7B68C"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Quantitative: focuses on postgraduate enrolment data</w:t>
            </w:r>
          </w:p>
        </w:tc>
        <w:tc>
          <w:tcPr>
            <w:tcW w:w="469" w:type="pct"/>
            <w:vAlign w:val="center"/>
          </w:tcPr>
          <w:p w14:paraId="4A82DFF7"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Positivist</w:t>
            </w:r>
          </w:p>
        </w:tc>
        <w:tc>
          <w:tcPr>
            <w:tcW w:w="650" w:type="pct"/>
            <w:vAlign w:val="center"/>
          </w:tcPr>
          <w:p w14:paraId="19D6EF09" w14:textId="56EC9175"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Empirical: </w:t>
            </w:r>
            <w:r w:rsidR="00B854EE" w:rsidRPr="002B7689">
              <w:rPr>
                <w:rFonts w:asciiTheme="minorHAnsi" w:eastAsiaTheme="minorHAnsi" w:hAnsiTheme="minorHAnsi" w:cstheme="minorHAnsi"/>
                <w:kern w:val="2"/>
                <w:sz w:val="18"/>
                <w:szCs w:val="18"/>
                <w:lang w:eastAsia="en-US"/>
                <w14:ligatures w14:val="standardContextual"/>
              </w:rPr>
              <w:t>Patterns</w:t>
            </w:r>
            <w:r w:rsidRPr="002B7689">
              <w:rPr>
                <w:rFonts w:asciiTheme="minorHAnsi" w:eastAsiaTheme="minorHAnsi" w:hAnsiTheme="minorHAnsi" w:cstheme="minorHAnsi"/>
                <w:kern w:val="2"/>
                <w:sz w:val="18"/>
                <w:szCs w:val="18"/>
                <w:lang w:eastAsia="en-US"/>
                <w14:ligatures w14:val="standardContextual"/>
              </w:rPr>
              <w:t xml:space="preserve"> in enrolment data</w:t>
            </w:r>
          </w:p>
        </w:tc>
        <w:tc>
          <w:tcPr>
            <w:tcW w:w="457" w:type="pct"/>
            <w:vAlign w:val="center"/>
          </w:tcPr>
          <w:p w14:paraId="659CD9C0"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Mobility through postgraduate education</w:t>
            </w:r>
          </w:p>
        </w:tc>
        <w:tc>
          <w:tcPr>
            <w:tcW w:w="443" w:type="pct"/>
            <w:vAlign w:val="center"/>
          </w:tcPr>
          <w:p w14:paraId="4D5A7E67"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Analysis of progression rates using institutional datasets</w:t>
            </w:r>
          </w:p>
        </w:tc>
        <w:tc>
          <w:tcPr>
            <w:tcW w:w="1268" w:type="pct"/>
            <w:vAlign w:val="center"/>
          </w:tcPr>
          <w:p w14:paraId="23B02596"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Highlights elite education’s role in mobility; Reay argues systemic barriers limit these benefits</w:t>
            </w:r>
          </w:p>
        </w:tc>
      </w:tr>
      <w:tr w:rsidR="00AC3F11" w:rsidRPr="001D7135" w14:paraId="2D5CBD51" w14:textId="77777777" w:rsidTr="00AC3F11">
        <w:tc>
          <w:tcPr>
            <w:tcW w:w="1128" w:type="pct"/>
            <w:vAlign w:val="center"/>
          </w:tcPr>
          <w:p w14:paraId="6089851C"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Reay, </w:t>
            </w:r>
            <w:r w:rsidRPr="002B7689">
              <w:rPr>
                <w:rFonts w:asciiTheme="minorHAnsi" w:eastAsiaTheme="minorHAnsi" w:hAnsiTheme="minorHAnsi" w:cstheme="minorHAnsi"/>
                <w:i/>
                <w:iCs/>
                <w:kern w:val="2"/>
                <w:sz w:val="18"/>
                <w:szCs w:val="18"/>
                <w:lang w:eastAsia="en-US"/>
                <w14:ligatures w14:val="standardContextual"/>
              </w:rPr>
              <w:t>The Working Classes and Higher Education</w:t>
            </w:r>
          </w:p>
        </w:tc>
        <w:tc>
          <w:tcPr>
            <w:tcW w:w="584" w:type="pct"/>
            <w:vAlign w:val="center"/>
          </w:tcPr>
          <w:p w14:paraId="16C47451"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Qualitative: relies on narratives and interviews</w:t>
            </w:r>
          </w:p>
        </w:tc>
        <w:tc>
          <w:tcPr>
            <w:tcW w:w="469" w:type="pct"/>
            <w:vAlign w:val="center"/>
          </w:tcPr>
          <w:p w14:paraId="09AF058C"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Constructivist</w:t>
            </w:r>
          </w:p>
        </w:tc>
        <w:tc>
          <w:tcPr>
            <w:tcW w:w="650" w:type="pct"/>
            <w:vAlign w:val="center"/>
          </w:tcPr>
          <w:p w14:paraId="1A746F3A"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Interpretivist: focuses on lived experiences</w:t>
            </w:r>
          </w:p>
        </w:tc>
        <w:tc>
          <w:tcPr>
            <w:tcW w:w="457" w:type="pct"/>
            <w:vAlign w:val="center"/>
          </w:tcPr>
          <w:p w14:paraId="7FDBD3B7" w14:textId="5380521B"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Social justice: </w:t>
            </w:r>
            <w:r w:rsidR="00B854EE" w:rsidRPr="002B7689">
              <w:rPr>
                <w:rFonts w:asciiTheme="minorHAnsi" w:eastAsiaTheme="minorHAnsi" w:hAnsiTheme="minorHAnsi" w:cstheme="minorHAnsi"/>
                <w:kern w:val="2"/>
                <w:sz w:val="18"/>
                <w:szCs w:val="18"/>
                <w:lang w:eastAsia="en-US"/>
                <w14:ligatures w14:val="standardContextual"/>
              </w:rPr>
              <w:t>Critiques</w:t>
            </w:r>
            <w:r w:rsidRPr="002B7689">
              <w:rPr>
                <w:rFonts w:asciiTheme="minorHAnsi" w:eastAsiaTheme="minorHAnsi" w:hAnsiTheme="minorHAnsi" w:cstheme="minorHAnsi"/>
                <w:kern w:val="2"/>
                <w:sz w:val="18"/>
                <w:szCs w:val="18"/>
                <w:lang w:eastAsia="en-US"/>
                <w14:ligatures w14:val="standardContextual"/>
              </w:rPr>
              <w:t xml:space="preserve"> systemic inequities</w:t>
            </w:r>
          </w:p>
        </w:tc>
        <w:tc>
          <w:tcPr>
            <w:tcW w:w="443" w:type="pct"/>
            <w:vAlign w:val="center"/>
          </w:tcPr>
          <w:p w14:paraId="2F5616E8"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Thematic analysis of student interviews</w:t>
            </w:r>
          </w:p>
        </w:tc>
        <w:tc>
          <w:tcPr>
            <w:tcW w:w="1268" w:type="pct"/>
            <w:vAlign w:val="center"/>
          </w:tcPr>
          <w:p w14:paraId="14B98CD6"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Contradicts Britton and Mateos-González by arguing that systemic inequities negate mobility benefits</w:t>
            </w:r>
          </w:p>
        </w:tc>
      </w:tr>
      <w:tr w:rsidR="00AC3F11" w:rsidRPr="001D7135" w14:paraId="2878A73C" w14:textId="77777777" w:rsidTr="00AC3F11">
        <w:tc>
          <w:tcPr>
            <w:tcW w:w="1128" w:type="pct"/>
            <w:vAlign w:val="center"/>
          </w:tcPr>
          <w:p w14:paraId="59D7A284"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Ahn &amp; Davis, </w:t>
            </w:r>
            <w:r w:rsidRPr="002B7689">
              <w:rPr>
                <w:rFonts w:asciiTheme="minorHAnsi" w:eastAsiaTheme="minorHAnsi" w:hAnsiTheme="minorHAnsi" w:cstheme="minorHAnsi"/>
                <w:i/>
                <w:iCs/>
                <w:kern w:val="2"/>
                <w:sz w:val="18"/>
                <w:szCs w:val="18"/>
                <w:lang w:eastAsia="en-US"/>
                <w14:ligatures w14:val="standardContextual"/>
              </w:rPr>
              <w:t>Sense of Belonging and Socioeconomic Status</w:t>
            </w:r>
          </w:p>
        </w:tc>
        <w:tc>
          <w:tcPr>
            <w:tcW w:w="584" w:type="pct"/>
            <w:vAlign w:val="center"/>
          </w:tcPr>
          <w:p w14:paraId="408296D7"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Quantitative surveys measuring belonging and engagement</w:t>
            </w:r>
          </w:p>
        </w:tc>
        <w:tc>
          <w:tcPr>
            <w:tcW w:w="469" w:type="pct"/>
            <w:vAlign w:val="center"/>
          </w:tcPr>
          <w:p w14:paraId="6CE19DBB"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Positivist</w:t>
            </w:r>
          </w:p>
        </w:tc>
        <w:tc>
          <w:tcPr>
            <w:tcW w:w="650" w:type="pct"/>
            <w:vAlign w:val="center"/>
          </w:tcPr>
          <w:p w14:paraId="266CF0CB" w14:textId="643034ED"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Empirical: </w:t>
            </w:r>
            <w:r w:rsidR="00B854EE" w:rsidRPr="002B7689">
              <w:rPr>
                <w:rFonts w:asciiTheme="minorHAnsi" w:eastAsiaTheme="minorHAnsi" w:hAnsiTheme="minorHAnsi" w:cstheme="minorHAnsi"/>
                <w:kern w:val="2"/>
                <w:sz w:val="18"/>
                <w:szCs w:val="18"/>
                <w:lang w:eastAsia="en-US"/>
                <w14:ligatures w14:val="standardContextual"/>
              </w:rPr>
              <w:t>Surveys</w:t>
            </w:r>
            <w:r w:rsidRPr="002B7689">
              <w:rPr>
                <w:rFonts w:asciiTheme="minorHAnsi" w:eastAsiaTheme="minorHAnsi" w:hAnsiTheme="minorHAnsi" w:cstheme="minorHAnsi"/>
                <w:kern w:val="2"/>
                <w:sz w:val="18"/>
                <w:szCs w:val="18"/>
                <w:lang w:eastAsia="en-US"/>
                <w14:ligatures w14:val="standardContextual"/>
              </w:rPr>
              <w:t xml:space="preserve"> measure student attitudes</w:t>
            </w:r>
          </w:p>
        </w:tc>
        <w:tc>
          <w:tcPr>
            <w:tcW w:w="457" w:type="pct"/>
            <w:vAlign w:val="center"/>
          </w:tcPr>
          <w:p w14:paraId="3C5E57EA"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Institutional focus: prioritises belonging as a measurable construct</w:t>
            </w:r>
          </w:p>
        </w:tc>
        <w:tc>
          <w:tcPr>
            <w:tcW w:w="443" w:type="pct"/>
            <w:vAlign w:val="center"/>
          </w:tcPr>
          <w:p w14:paraId="0A5F8061"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Surveys and statistical analysis</w:t>
            </w:r>
          </w:p>
        </w:tc>
        <w:tc>
          <w:tcPr>
            <w:tcW w:w="1268" w:type="pct"/>
            <w:vAlign w:val="center"/>
          </w:tcPr>
          <w:p w14:paraId="0CCCD0F3"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Suggests engagement improves belonging; Reay challenges this, emphasising systemic exclusion</w:t>
            </w:r>
          </w:p>
        </w:tc>
      </w:tr>
      <w:tr w:rsidR="00AC3F11" w:rsidRPr="001D7135" w14:paraId="34178A22" w14:textId="77777777" w:rsidTr="00AC3F11">
        <w:tc>
          <w:tcPr>
            <w:tcW w:w="1128" w:type="pct"/>
            <w:vAlign w:val="center"/>
          </w:tcPr>
          <w:p w14:paraId="37B4820A"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Bakour, </w:t>
            </w:r>
            <w:r w:rsidRPr="002B7689">
              <w:rPr>
                <w:rFonts w:asciiTheme="minorHAnsi" w:eastAsiaTheme="minorHAnsi" w:hAnsiTheme="minorHAnsi" w:cstheme="minorHAnsi"/>
                <w:i/>
                <w:iCs/>
                <w:kern w:val="2"/>
                <w:sz w:val="18"/>
                <w:szCs w:val="18"/>
                <w:lang w:eastAsia="en-US"/>
                <w14:ligatures w14:val="standardContextual"/>
              </w:rPr>
              <w:t>Interventions for Enhancing Self-Belief</w:t>
            </w:r>
          </w:p>
        </w:tc>
        <w:tc>
          <w:tcPr>
            <w:tcW w:w="584" w:type="pct"/>
            <w:vAlign w:val="center"/>
          </w:tcPr>
          <w:p w14:paraId="22ED79EC"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Qualitative: examines the effectiveness of confidence-building interventions</w:t>
            </w:r>
          </w:p>
        </w:tc>
        <w:tc>
          <w:tcPr>
            <w:tcW w:w="469" w:type="pct"/>
            <w:vAlign w:val="center"/>
          </w:tcPr>
          <w:p w14:paraId="0B6B26BC"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Constructivist</w:t>
            </w:r>
          </w:p>
        </w:tc>
        <w:tc>
          <w:tcPr>
            <w:tcW w:w="650" w:type="pct"/>
            <w:vAlign w:val="center"/>
          </w:tcPr>
          <w:p w14:paraId="28B99F2A"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Interpretivist: explores individual perspectives</w:t>
            </w:r>
          </w:p>
        </w:tc>
        <w:tc>
          <w:tcPr>
            <w:tcW w:w="457" w:type="pct"/>
            <w:vAlign w:val="center"/>
          </w:tcPr>
          <w:p w14:paraId="741BCFD1"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Equity in </w:t>
            </w:r>
            <w:proofErr w:type="gramStart"/>
            <w:r w:rsidRPr="002B7689">
              <w:rPr>
                <w:rFonts w:asciiTheme="minorHAnsi" w:eastAsiaTheme="minorHAnsi" w:hAnsiTheme="minorHAnsi" w:cstheme="minorHAnsi"/>
                <w:kern w:val="2"/>
                <w:sz w:val="18"/>
                <w:szCs w:val="18"/>
                <w:lang w:eastAsia="en-US"/>
                <w14:ligatures w14:val="standardContextual"/>
              </w:rPr>
              <w:t>education:</w:t>
            </w:r>
            <w:proofErr w:type="gramEnd"/>
            <w:r w:rsidRPr="002B7689">
              <w:rPr>
                <w:rFonts w:asciiTheme="minorHAnsi" w:eastAsiaTheme="minorHAnsi" w:hAnsiTheme="minorHAnsi" w:cstheme="minorHAnsi"/>
                <w:kern w:val="2"/>
                <w:sz w:val="18"/>
                <w:szCs w:val="18"/>
                <w:lang w:eastAsia="en-US"/>
                <w14:ligatures w14:val="standardContextual"/>
              </w:rPr>
              <w:t xml:space="preserve"> focuses on personal growth</w:t>
            </w:r>
          </w:p>
        </w:tc>
        <w:tc>
          <w:tcPr>
            <w:tcW w:w="443" w:type="pct"/>
            <w:vAlign w:val="center"/>
          </w:tcPr>
          <w:p w14:paraId="6A0082A7"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Case studies and participant narratives</w:t>
            </w:r>
          </w:p>
        </w:tc>
        <w:tc>
          <w:tcPr>
            <w:tcW w:w="1268" w:type="pct"/>
            <w:vAlign w:val="center"/>
          </w:tcPr>
          <w:p w14:paraId="30A13914"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Finds interventions effective, but Aina et al. argue financial and systemic factors play a larger role</w:t>
            </w:r>
          </w:p>
        </w:tc>
      </w:tr>
      <w:tr w:rsidR="00AC3F11" w:rsidRPr="001D7135" w14:paraId="3881F887" w14:textId="77777777" w:rsidTr="00AC3F11">
        <w:tc>
          <w:tcPr>
            <w:tcW w:w="1128" w:type="pct"/>
            <w:vAlign w:val="center"/>
          </w:tcPr>
          <w:p w14:paraId="061B1A57"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lastRenderedPageBreak/>
              <w:t xml:space="preserve">Anders et al., </w:t>
            </w:r>
            <w:r w:rsidRPr="002B7689">
              <w:rPr>
                <w:rFonts w:asciiTheme="minorHAnsi" w:eastAsiaTheme="minorHAnsi" w:hAnsiTheme="minorHAnsi" w:cstheme="minorHAnsi"/>
                <w:i/>
                <w:iCs/>
                <w:kern w:val="2"/>
                <w:sz w:val="18"/>
                <w:szCs w:val="18"/>
                <w:lang w:eastAsia="en-US"/>
                <w14:ligatures w14:val="standardContextual"/>
              </w:rPr>
              <w:t>Socioeconomic Status and Subject Choice</w:t>
            </w:r>
          </w:p>
        </w:tc>
        <w:tc>
          <w:tcPr>
            <w:tcW w:w="584" w:type="pct"/>
            <w:vAlign w:val="center"/>
          </w:tcPr>
          <w:p w14:paraId="58CE22DE"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Quantitative focuses on early academic tracking and its effects on access</w:t>
            </w:r>
          </w:p>
        </w:tc>
        <w:tc>
          <w:tcPr>
            <w:tcW w:w="469" w:type="pct"/>
            <w:vAlign w:val="center"/>
          </w:tcPr>
          <w:p w14:paraId="771C7F61"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Positivist</w:t>
            </w:r>
          </w:p>
        </w:tc>
        <w:tc>
          <w:tcPr>
            <w:tcW w:w="650" w:type="pct"/>
            <w:vAlign w:val="center"/>
          </w:tcPr>
          <w:p w14:paraId="1B4F9930"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Empirical: tracks academic outcomes</w:t>
            </w:r>
          </w:p>
        </w:tc>
        <w:tc>
          <w:tcPr>
            <w:tcW w:w="457" w:type="pct"/>
            <w:vAlign w:val="center"/>
          </w:tcPr>
          <w:p w14:paraId="57B47E1C"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Academic readiness; prioritises early interventions</w:t>
            </w:r>
          </w:p>
        </w:tc>
        <w:tc>
          <w:tcPr>
            <w:tcW w:w="443" w:type="pct"/>
            <w:vAlign w:val="center"/>
          </w:tcPr>
          <w:p w14:paraId="4256D070"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Longitudinal analysis of academic and enrolment data</w:t>
            </w:r>
          </w:p>
        </w:tc>
        <w:tc>
          <w:tcPr>
            <w:tcW w:w="1268" w:type="pct"/>
            <w:vAlign w:val="center"/>
          </w:tcPr>
          <w:p w14:paraId="1787317B"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Suggests early tracking is key; Ahn &amp; Davis emphasise ongoing support as equally important</w:t>
            </w:r>
          </w:p>
        </w:tc>
      </w:tr>
      <w:tr w:rsidR="00AC3F11" w:rsidRPr="001D7135" w14:paraId="2BF67FC1" w14:textId="77777777" w:rsidTr="00AC3F11">
        <w:tc>
          <w:tcPr>
            <w:tcW w:w="1128" w:type="pct"/>
            <w:vAlign w:val="center"/>
          </w:tcPr>
          <w:p w14:paraId="6D281966"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 xml:space="preserve">Aina et al., </w:t>
            </w:r>
            <w:r w:rsidRPr="002B7689">
              <w:rPr>
                <w:rFonts w:asciiTheme="minorHAnsi" w:eastAsiaTheme="minorHAnsi" w:hAnsiTheme="minorHAnsi" w:cstheme="minorHAnsi"/>
                <w:i/>
                <w:iCs/>
                <w:kern w:val="2"/>
                <w:sz w:val="18"/>
                <w:szCs w:val="18"/>
                <w:lang w:eastAsia="en-US"/>
                <w14:ligatures w14:val="standardContextual"/>
              </w:rPr>
              <w:t>Determinants of University Dropout</w:t>
            </w:r>
          </w:p>
        </w:tc>
        <w:tc>
          <w:tcPr>
            <w:tcW w:w="584" w:type="pct"/>
            <w:vAlign w:val="center"/>
          </w:tcPr>
          <w:p w14:paraId="36634D66"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Quantitative: examines dropout rates using statistical models</w:t>
            </w:r>
          </w:p>
        </w:tc>
        <w:tc>
          <w:tcPr>
            <w:tcW w:w="469" w:type="pct"/>
            <w:vAlign w:val="center"/>
          </w:tcPr>
          <w:p w14:paraId="1A9D18E6"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Positivist</w:t>
            </w:r>
          </w:p>
        </w:tc>
        <w:tc>
          <w:tcPr>
            <w:tcW w:w="650" w:type="pct"/>
            <w:vAlign w:val="center"/>
          </w:tcPr>
          <w:p w14:paraId="17D0F70A"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Empirical: relies on large-scale datasets</w:t>
            </w:r>
          </w:p>
        </w:tc>
        <w:tc>
          <w:tcPr>
            <w:tcW w:w="457" w:type="pct"/>
            <w:vAlign w:val="center"/>
          </w:tcPr>
          <w:p w14:paraId="46A1F90C"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Retention focus; highlights economic and academic integration</w:t>
            </w:r>
          </w:p>
        </w:tc>
        <w:tc>
          <w:tcPr>
            <w:tcW w:w="443" w:type="pct"/>
            <w:vAlign w:val="center"/>
          </w:tcPr>
          <w:p w14:paraId="4EDC26F6"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Statistical analysis of dropout and retention rates</w:t>
            </w:r>
          </w:p>
        </w:tc>
        <w:tc>
          <w:tcPr>
            <w:tcW w:w="1268" w:type="pct"/>
            <w:vAlign w:val="center"/>
          </w:tcPr>
          <w:p w14:paraId="6ECF90E4" w14:textId="77777777" w:rsidR="001D7135" w:rsidRPr="002B7689" w:rsidRDefault="001D7135" w:rsidP="001D7135">
            <w:pPr>
              <w:spacing w:after="160" w:line="278" w:lineRule="auto"/>
              <w:rPr>
                <w:rFonts w:asciiTheme="minorHAnsi" w:eastAsiaTheme="minorHAnsi" w:hAnsiTheme="minorHAnsi" w:cstheme="minorHAnsi"/>
                <w:kern w:val="2"/>
                <w:sz w:val="18"/>
                <w:szCs w:val="18"/>
                <w:lang w:eastAsia="en-US"/>
                <w14:ligatures w14:val="standardContextual"/>
              </w:rPr>
            </w:pPr>
            <w:r w:rsidRPr="002B7689">
              <w:rPr>
                <w:rFonts w:asciiTheme="minorHAnsi" w:eastAsiaTheme="minorHAnsi" w:hAnsiTheme="minorHAnsi" w:cstheme="minorHAnsi"/>
                <w:kern w:val="2"/>
                <w:sz w:val="18"/>
                <w:szCs w:val="18"/>
                <w:lang w:eastAsia="en-US"/>
                <w14:ligatures w14:val="standardContextual"/>
              </w:rPr>
              <w:t>Links dropout to finances and integration; Bakour emphasises interventions can mitigate some challenges</w:t>
            </w:r>
          </w:p>
        </w:tc>
      </w:tr>
      <w:tr w:rsidR="00AC3F11" w:rsidRPr="001D7135" w14:paraId="4CE73575" w14:textId="77777777" w:rsidTr="00AC3F11">
        <w:tc>
          <w:tcPr>
            <w:tcW w:w="1128" w:type="pct"/>
            <w:vAlign w:val="center"/>
          </w:tcPr>
          <w:p w14:paraId="2A8FCB95"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 xml:space="preserve">Tan, </w:t>
            </w:r>
            <w:r w:rsidRPr="001D7135">
              <w:rPr>
                <w:rFonts w:asciiTheme="minorHAnsi" w:eastAsiaTheme="minorHAnsi" w:hAnsiTheme="minorHAnsi" w:cstheme="minorBidi"/>
                <w:i/>
                <w:iCs/>
                <w:kern w:val="2"/>
                <w:sz w:val="18"/>
                <w:szCs w:val="18"/>
                <w:lang w:eastAsia="en-US"/>
                <w14:ligatures w14:val="standardContextual"/>
              </w:rPr>
              <w:t>Socioeconomic Status and Student Learning Insights</w:t>
            </w:r>
          </w:p>
        </w:tc>
        <w:tc>
          <w:tcPr>
            <w:tcW w:w="584" w:type="pct"/>
            <w:vAlign w:val="center"/>
          </w:tcPr>
          <w:p w14:paraId="6981DD02"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Quantitative (Meta-analysis) uses findings from prior studies</w:t>
            </w:r>
          </w:p>
        </w:tc>
        <w:tc>
          <w:tcPr>
            <w:tcW w:w="469" w:type="pct"/>
            <w:vAlign w:val="center"/>
          </w:tcPr>
          <w:p w14:paraId="36087350"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Pragmatic</w:t>
            </w:r>
          </w:p>
        </w:tc>
        <w:tc>
          <w:tcPr>
            <w:tcW w:w="650" w:type="pct"/>
            <w:vAlign w:val="center"/>
          </w:tcPr>
          <w:p w14:paraId="7D3C98E1"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Mixed uses empirical and theoretical insights</w:t>
            </w:r>
          </w:p>
        </w:tc>
        <w:tc>
          <w:tcPr>
            <w:tcW w:w="457" w:type="pct"/>
            <w:vAlign w:val="center"/>
          </w:tcPr>
          <w:p w14:paraId="18C1E142"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Systemic equity advocates multi-level interventions</w:t>
            </w:r>
          </w:p>
        </w:tc>
        <w:tc>
          <w:tcPr>
            <w:tcW w:w="443" w:type="pct"/>
            <w:vAlign w:val="center"/>
          </w:tcPr>
          <w:p w14:paraId="60EB5BA5"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Literature review and second-order meta-analysis</w:t>
            </w:r>
          </w:p>
        </w:tc>
        <w:tc>
          <w:tcPr>
            <w:tcW w:w="1268" w:type="pct"/>
            <w:vAlign w:val="center"/>
          </w:tcPr>
          <w:p w14:paraId="4027AB66"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Argues comprehensive policy reform is needed; Reay critiques similar policies as superficial</w:t>
            </w:r>
          </w:p>
        </w:tc>
      </w:tr>
      <w:tr w:rsidR="00AC3F11" w:rsidRPr="001D7135" w14:paraId="42746B28" w14:textId="77777777" w:rsidTr="00AC3F11">
        <w:tc>
          <w:tcPr>
            <w:tcW w:w="1128" w:type="pct"/>
            <w:vAlign w:val="center"/>
          </w:tcPr>
          <w:p w14:paraId="5CFA9554"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 xml:space="preserve">Cunningham &amp; Samson, </w:t>
            </w:r>
            <w:r w:rsidRPr="001D7135">
              <w:rPr>
                <w:rFonts w:asciiTheme="minorHAnsi" w:eastAsiaTheme="minorHAnsi" w:hAnsiTheme="minorHAnsi" w:cstheme="minorBidi"/>
                <w:i/>
                <w:iCs/>
                <w:kern w:val="2"/>
                <w:sz w:val="18"/>
                <w:szCs w:val="18"/>
                <w:lang w:eastAsia="en-US"/>
                <w14:ligatures w14:val="standardContextual"/>
              </w:rPr>
              <w:t>Neoliberal Meritocracy</w:t>
            </w:r>
          </w:p>
        </w:tc>
        <w:tc>
          <w:tcPr>
            <w:tcW w:w="584" w:type="pct"/>
            <w:vAlign w:val="center"/>
          </w:tcPr>
          <w:p w14:paraId="143FB0D4"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Qualitative:  explores class divisions through interviews and theoretical critique</w:t>
            </w:r>
          </w:p>
        </w:tc>
        <w:tc>
          <w:tcPr>
            <w:tcW w:w="469" w:type="pct"/>
            <w:vAlign w:val="center"/>
          </w:tcPr>
          <w:p w14:paraId="6A6F6B69"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Constructivist</w:t>
            </w:r>
          </w:p>
        </w:tc>
        <w:tc>
          <w:tcPr>
            <w:tcW w:w="650" w:type="pct"/>
            <w:vAlign w:val="center"/>
          </w:tcPr>
          <w:p w14:paraId="4F789667"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Interpretivist critique of ‘meritocratic’ frameworks</w:t>
            </w:r>
          </w:p>
        </w:tc>
        <w:tc>
          <w:tcPr>
            <w:tcW w:w="457" w:type="pct"/>
            <w:vAlign w:val="center"/>
          </w:tcPr>
          <w:p w14:paraId="602EBF8A"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Social equity highlights structural inequality</w:t>
            </w:r>
          </w:p>
        </w:tc>
        <w:tc>
          <w:tcPr>
            <w:tcW w:w="443" w:type="pct"/>
            <w:vAlign w:val="center"/>
          </w:tcPr>
          <w:p w14:paraId="7C76EDF7"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Thematic analysis of policy critiques and interviews</w:t>
            </w:r>
          </w:p>
        </w:tc>
        <w:tc>
          <w:tcPr>
            <w:tcW w:w="1268" w:type="pct"/>
            <w:vAlign w:val="center"/>
          </w:tcPr>
          <w:p w14:paraId="79941EF4"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Challenges policies’ effectiveness; contrasts with Bakour’s optimism about interventions</w:t>
            </w:r>
          </w:p>
        </w:tc>
      </w:tr>
      <w:tr w:rsidR="00AC3F11" w:rsidRPr="001D7135" w14:paraId="6921268B" w14:textId="77777777" w:rsidTr="00AC3F11">
        <w:tc>
          <w:tcPr>
            <w:tcW w:w="1128" w:type="pct"/>
            <w:vAlign w:val="center"/>
          </w:tcPr>
          <w:p w14:paraId="073FA265"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 xml:space="preserve">Anders et al., </w:t>
            </w:r>
            <w:r w:rsidRPr="001D7135">
              <w:rPr>
                <w:rFonts w:asciiTheme="minorHAnsi" w:eastAsiaTheme="minorHAnsi" w:hAnsiTheme="minorHAnsi" w:cstheme="minorBidi"/>
                <w:i/>
                <w:iCs/>
                <w:kern w:val="2"/>
                <w:sz w:val="18"/>
                <w:szCs w:val="18"/>
                <w:lang w:eastAsia="en-US"/>
                <w14:ligatures w14:val="standardContextual"/>
              </w:rPr>
              <w:t>Socioeconomic Status and Subject Choice</w:t>
            </w:r>
          </w:p>
        </w:tc>
        <w:tc>
          <w:tcPr>
            <w:tcW w:w="584" w:type="pct"/>
            <w:vAlign w:val="center"/>
          </w:tcPr>
          <w:p w14:paraId="2F45AD65"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Quantitative: tracks academic outcomes linked to early subject choices</w:t>
            </w:r>
          </w:p>
        </w:tc>
        <w:tc>
          <w:tcPr>
            <w:tcW w:w="469" w:type="pct"/>
            <w:vAlign w:val="center"/>
          </w:tcPr>
          <w:p w14:paraId="1F19D815"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Positivist</w:t>
            </w:r>
          </w:p>
        </w:tc>
        <w:tc>
          <w:tcPr>
            <w:tcW w:w="650" w:type="pct"/>
            <w:vAlign w:val="center"/>
          </w:tcPr>
          <w:p w14:paraId="3D834FAE"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Empirical; longitudinal tracking of outcomes</w:t>
            </w:r>
          </w:p>
        </w:tc>
        <w:tc>
          <w:tcPr>
            <w:tcW w:w="457" w:type="pct"/>
            <w:vAlign w:val="center"/>
          </w:tcPr>
          <w:p w14:paraId="7194ACEF"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Academic progression focuses on systemic academic interventions</w:t>
            </w:r>
          </w:p>
        </w:tc>
        <w:tc>
          <w:tcPr>
            <w:tcW w:w="443" w:type="pct"/>
            <w:vAlign w:val="center"/>
          </w:tcPr>
          <w:p w14:paraId="6FBB4E26" w14:textId="77777777"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Longitudinal tracking and regression analysis</w:t>
            </w:r>
          </w:p>
        </w:tc>
        <w:tc>
          <w:tcPr>
            <w:tcW w:w="1268" w:type="pct"/>
            <w:vAlign w:val="center"/>
          </w:tcPr>
          <w:p w14:paraId="7FB1F56C" w14:textId="722E60B0" w:rsidR="001D7135" w:rsidRPr="001D7135" w:rsidRDefault="001D7135" w:rsidP="001D7135">
            <w:pPr>
              <w:spacing w:after="160" w:line="278" w:lineRule="auto"/>
              <w:rPr>
                <w:rFonts w:asciiTheme="minorHAnsi" w:eastAsiaTheme="minorHAnsi" w:hAnsiTheme="minorHAnsi" w:cstheme="minorBidi"/>
                <w:kern w:val="2"/>
                <w:sz w:val="18"/>
                <w:szCs w:val="18"/>
                <w:lang w:eastAsia="en-US"/>
                <w14:ligatures w14:val="standardContextual"/>
              </w:rPr>
            </w:pPr>
            <w:r w:rsidRPr="001D7135">
              <w:rPr>
                <w:rFonts w:asciiTheme="minorHAnsi" w:eastAsiaTheme="minorHAnsi" w:hAnsiTheme="minorHAnsi" w:cstheme="minorBidi"/>
                <w:kern w:val="2"/>
                <w:sz w:val="18"/>
                <w:szCs w:val="18"/>
                <w:lang w:eastAsia="en-US"/>
                <w14:ligatures w14:val="standardContextual"/>
              </w:rPr>
              <w:t>Argues academic tracking determines outcomes, contrasts with Ahn &amp; Davis emphasis on engagement</w:t>
            </w:r>
          </w:p>
        </w:tc>
      </w:tr>
    </w:tbl>
    <w:p w14:paraId="37D09B82" w14:textId="77777777" w:rsidR="001D7135" w:rsidRPr="001D7135" w:rsidRDefault="001D7135" w:rsidP="001D7135">
      <w:pPr>
        <w:rPr>
          <w:b/>
          <w:bCs/>
          <w:sz w:val="28"/>
          <w:szCs w:val="28"/>
        </w:rPr>
      </w:pPr>
    </w:p>
    <w:p w14:paraId="58EA8B1D" w14:textId="77777777" w:rsidR="00CB3891" w:rsidRPr="0056077F" w:rsidRDefault="00CB3891" w:rsidP="0056077F">
      <w:pPr>
        <w:rPr>
          <w:sz w:val="28"/>
          <w:szCs w:val="28"/>
        </w:rPr>
      </w:pPr>
    </w:p>
    <w:p w14:paraId="38E7BCEA" w14:textId="77777777" w:rsidR="0056077F" w:rsidRDefault="0056077F" w:rsidP="001232BC">
      <w:pPr>
        <w:rPr>
          <w:sz w:val="28"/>
          <w:szCs w:val="28"/>
        </w:rPr>
      </w:pPr>
    </w:p>
    <w:p w14:paraId="234EF1B4" w14:textId="77777777" w:rsidR="001232BC" w:rsidRPr="0004195A" w:rsidRDefault="001232BC" w:rsidP="0004195A">
      <w:pPr>
        <w:rPr>
          <w:sz w:val="28"/>
          <w:szCs w:val="28"/>
        </w:rPr>
      </w:pPr>
    </w:p>
    <w:sectPr w:rsidR="001232BC" w:rsidRPr="0004195A" w:rsidSect="00AC3F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3EF9D" w14:textId="77777777" w:rsidR="005A17E6" w:rsidRDefault="005A17E6" w:rsidP="00696434">
      <w:pPr>
        <w:spacing w:after="0" w:line="240" w:lineRule="auto"/>
      </w:pPr>
      <w:r>
        <w:separator/>
      </w:r>
    </w:p>
  </w:endnote>
  <w:endnote w:type="continuationSeparator" w:id="0">
    <w:p w14:paraId="0B25C3A8" w14:textId="77777777" w:rsidR="005A17E6" w:rsidRDefault="005A17E6" w:rsidP="00696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052956"/>
      <w:docPartObj>
        <w:docPartGallery w:val="Page Numbers (Bottom of Page)"/>
        <w:docPartUnique/>
      </w:docPartObj>
    </w:sdtPr>
    <w:sdtEndPr>
      <w:rPr>
        <w:noProof/>
      </w:rPr>
    </w:sdtEndPr>
    <w:sdtContent>
      <w:p w14:paraId="1ADF8BA5" w14:textId="79252083" w:rsidR="00767295" w:rsidRDefault="007672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7702A0" w14:textId="77777777" w:rsidR="00696434" w:rsidRDefault="00696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F413B" w14:textId="77777777" w:rsidR="005A17E6" w:rsidRDefault="005A17E6" w:rsidP="00696434">
      <w:pPr>
        <w:spacing w:after="0" w:line="240" w:lineRule="auto"/>
      </w:pPr>
      <w:r>
        <w:separator/>
      </w:r>
    </w:p>
  </w:footnote>
  <w:footnote w:type="continuationSeparator" w:id="0">
    <w:p w14:paraId="66152478" w14:textId="77777777" w:rsidR="005A17E6" w:rsidRDefault="005A17E6" w:rsidP="00696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A30BC"/>
    <w:multiLevelType w:val="multilevel"/>
    <w:tmpl w:val="A334A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D927FD"/>
    <w:multiLevelType w:val="multilevel"/>
    <w:tmpl w:val="A50E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BC308D"/>
    <w:multiLevelType w:val="multilevel"/>
    <w:tmpl w:val="9476DFE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621FA4"/>
    <w:multiLevelType w:val="multilevel"/>
    <w:tmpl w:val="40DA5F4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952780">
    <w:abstractNumId w:val="0"/>
  </w:num>
  <w:num w:numId="2" w16cid:durableId="143351722">
    <w:abstractNumId w:val="2"/>
  </w:num>
  <w:num w:numId="3" w16cid:durableId="1773208883">
    <w:abstractNumId w:val="3"/>
  </w:num>
  <w:num w:numId="4" w16cid:durableId="1077022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35F"/>
    <w:rsid w:val="00011B97"/>
    <w:rsid w:val="00023CF8"/>
    <w:rsid w:val="0003145B"/>
    <w:rsid w:val="000323AE"/>
    <w:rsid w:val="0003454A"/>
    <w:rsid w:val="00036B50"/>
    <w:rsid w:val="0004195A"/>
    <w:rsid w:val="00072E2D"/>
    <w:rsid w:val="000A35C2"/>
    <w:rsid w:val="000B14DF"/>
    <w:rsid w:val="000E757E"/>
    <w:rsid w:val="000F4DDE"/>
    <w:rsid w:val="00102C87"/>
    <w:rsid w:val="0011098E"/>
    <w:rsid w:val="001232BC"/>
    <w:rsid w:val="00124249"/>
    <w:rsid w:val="00133C0F"/>
    <w:rsid w:val="0016413E"/>
    <w:rsid w:val="00193A71"/>
    <w:rsid w:val="001B0BB8"/>
    <w:rsid w:val="001C475E"/>
    <w:rsid w:val="001D7135"/>
    <w:rsid w:val="001E39B1"/>
    <w:rsid w:val="00214ADC"/>
    <w:rsid w:val="00222324"/>
    <w:rsid w:val="00230FE5"/>
    <w:rsid w:val="0025453E"/>
    <w:rsid w:val="00267301"/>
    <w:rsid w:val="00284141"/>
    <w:rsid w:val="002A2153"/>
    <w:rsid w:val="002B7689"/>
    <w:rsid w:val="002C19A5"/>
    <w:rsid w:val="002E0EE8"/>
    <w:rsid w:val="00316D05"/>
    <w:rsid w:val="00334D0C"/>
    <w:rsid w:val="00364907"/>
    <w:rsid w:val="00376B47"/>
    <w:rsid w:val="003821DE"/>
    <w:rsid w:val="00387B0C"/>
    <w:rsid w:val="0039103D"/>
    <w:rsid w:val="003A3D71"/>
    <w:rsid w:val="003A51E2"/>
    <w:rsid w:val="003A68DD"/>
    <w:rsid w:val="003D0607"/>
    <w:rsid w:val="003D1725"/>
    <w:rsid w:val="003D2C47"/>
    <w:rsid w:val="00412BD1"/>
    <w:rsid w:val="00413098"/>
    <w:rsid w:val="00416118"/>
    <w:rsid w:val="0042005C"/>
    <w:rsid w:val="004219B2"/>
    <w:rsid w:val="004272F4"/>
    <w:rsid w:val="00441F20"/>
    <w:rsid w:val="00446EAD"/>
    <w:rsid w:val="00452963"/>
    <w:rsid w:val="0046127C"/>
    <w:rsid w:val="00474431"/>
    <w:rsid w:val="0047465B"/>
    <w:rsid w:val="00483A08"/>
    <w:rsid w:val="00485459"/>
    <w:rsid w:val="004A04C1"/>
    <w:rsid w:val="004B770D"/>
    <w:rsid w:val="004D7EB0"/>
    <w:rsid w:val="004E3A17"/>
    <w:rsid w:val="004F2749"/>
    <w:rsid w:val="00534D86"/>
    <w:rsid w:val="0056077F"/>
    <w:rsid w:val="00573A9F"/>
    <w:rsid w:val="00591396"/>
    <w:rsid w:val="00591D4E"/>
    <w:rsid w:val="005A17E6"/>
    <w:rsid w:val="005B27E3"/>
    <w:rsid w:val="005B4FEA"/>
    <w:rsid w:val="005C4945"/>
    <w:rsid w:val="005F5F5D"/>
    <w:rsid w:val="005F6A41"/>
    <w:rsid w:val="006171B0"/>
    <w:rsid w:val="00617823"/>
    <w:rsid w:val="00620275"/>
    <w:rsid w:val="00622DC8"/>
    <w:rsid w:val="00623D35"/>
    <w:rsid w:val="0063358E"/>
    <w:rsid w:val="006353E2"/>
    <w:rsid w:val="006615AB"/>
    <w:rsid w:val="00663E3E"/>
    <w:rsid w:val="00682884"/>
    <w:rsid w:val="00686A97"/>
    <w:rsid w:val="00696434"/>
    <w:rsid w:val="006A1E73"/>
    <w:rsid w:val="006A37EC"/>
    <w:rsid w:val="006B1C79"/>
    <w:rsid w:val="006B3822"/>
    <w:rsid w:val="006C2655"/>
    <w:rsid w:val="006E322B"/>
    <w:rsid w:val="006F1C37"/>
    <w:rsid w:val="0070117C"/>
    <w:rsid w:val="00705255"/>
    <w:rsid w:val="00765298"/>
    <w:rsid w:val="00767295"/>
    <w:rsid w:val="007677D9"/>
    <w:rsid w:val="00770173"/>
    <w:rsid w:val="0077735F"/>
    <w:rsid w:val="0079411A"/>
    <w:rsid w:val="00794A9C"/>
    <w:rsid w:val="007B6B67"/>
    <w:rsid w:val="007F48B0"/>
    <w:rsid w:val="008108F3"/>
    <w:rsid w:val="008141DE"/>
    <w:rsid w:val="00836DF5"/>
    <w:rsid w:val="0084242E"/>
    <w:rsid w:val="00866138"/>
    <w:rsid w:val="00875A63"/>
    <w:rsid w:val="00891412"/>
    <w:rsid w:val="00893445"/>
    <w:rsid w:val="0089451A"/>
    <w:rsid w:val="008958DE"/>
    <w:rsid w:val="008B3AE5"/>
    <w:rsid w:val="008B3F9D"/>
    <w:rsid w:val="008B65D9"/>
    <w:rsid w:val="008E5389"/>
    <w:rsid w:val="008E73DF"/>
    <w:rsid w:val="008F7BD9"/>
    <w:rsid w:val="00900C14"/>
    <w:rsid w:val="00910A0E"/>
    <w:rsid w:val="00932E3B"/>
    <w:rsid w:val="00943670"/>
    <w:rsid w:val="009712D3"/>
    <w:rsid w:val="00975114"/>
    <w:rsid w:val="00975B35"/>
    <w:rsid w:val="009769AD"/>
    <w:rsid w:val="0097714C"/>
    <w:rsid w:val="009965DB"/>
    <w:rsid w:val="009A5E7A"/>
    <w:rsid w:val="009F6096"/>
    <w:rsid w:val="009F7D5B"/>
    <w:rsid w:val="00A24CA5"/>
    <w:rsid w:val="00A357D9"/>
    <w:rsid w:val="00A640B8"/>
    <w:rsid w:val="00A77180"/>
    <w:rsid w:val="00A92E41"/>
    <w:rsid w:val="00AA3A28"/>
    <w:rsid w:val="00AA4918"/>
    <w:rsid w:val="00AB03CE"/>
    <w:rsid w:val="00AC287D"/>
    <w:rsid w:val="00AC3612"/>
    <w:rsid w:val="00AC3F11"/>
    <w:rsid w:val="00AE3699"/>
    <w:rsid w:val="00AE3BFD"/>
    <w:rsid w:val="00AF7052"/>
    <w:rsid w:val="00B23051"/>
    <w:rsid w:val="00B317A8"/>
    <w:rsid w:val="00B44712"/>
    <w:rsid w:val="00B47EA5"/>
    <w:rsid w:val="00B50EC8"/>
    <w:rsid w:val="00B77C2E"/>
    <w:rsid w:val="00B854EE"/>
    <w:rsid w:val="00B86CFD"/>
    <w:rsid w:val="00BA5C7C"/>
    <w:rsid w:val="00BD199F"/>
    <w:rsid w:val="00C26BE4"/>
    <w:rsid w:val="00C67E35"/>
    <w:rsid w:val="00C71B3C"/>
    <w:rsid w:val="00C9318D"/>
    <w:rsid w:val="00CB3891"/>
    <w:rsid w:val="00CD1602"/>
    <w:rsid w:val="00CE1D2A"/>
    <w:rsid w:val="00CE49A9"/>
    <w:rsid w:val="00D06416"/>
    <w:rsid w:val="00D14398"/>
    <w:rsid w:val="00D17A6C"/>
    <w:rsid w:val="00D262ED"/>
    <w:rsid w:val="00D61D35"/>
    <w:rsid w:val="00D7427A"/>
    <w:rsid w:val="00D74D80"/>
    <w:rsid w:val="00D966B4"/>
    <w:rsid w:val="00DA1224"/>
    <w:rsid w:val="00DA34D5"/>
    <w:rsid w:val="00DA6F38"/>
    <w:rsid w:val="00DA78D4"/>
    <w:rsid w:val="00DB2939"/>
    <w:rsid w:val="00DB57AB"/>
    <w:rsid w:val="00DE6C52"/>
    <w:rsid w:val="00E04464"/>
    <w:rsid w:val="00E43736"/>
    <w:rsid w:val="00E461BC"/>
    <w:rsid w:val="00E63851"/>
    <w:rsid w:val="00E650A5"/>
    <w:rsid w:val="00E929FF"/>
    <w:rsid w:val="00E93CB2"/>
    <w:rsid w:val="00EA1677"/>
    <w:rsid w:val="00EB3B01"/>
    <w:rsid w:val="00EC5EA3"/>
    <w:rsid w:val="00ED2A49"/>
    <w:rsid w:val="00EE778B"/>
    <w:rsid w:val="00F2024C"/>
    <w:rsid w:val="00F240B4"/>
    <w:rsid w:val="00F24A2E"/>
    <w:rsid w:val="00F26985"/>
    <w:rsid w:val="00F32DCD"/>
    <w:rsid w:val="00F70782"/>
    <w:rsid w:val="00F77F5A"/>
    <w:rsid w:val="00F95DB8"/>
    <w:rsid w:val="00FB276B"/>
    <w:rsid w:val="00FC0F6A"/>
    <w:rsid w:val="00FC31B5"/>
    <w:rsid w:val="00FC3DA2"/>
    <w:rsid w:val="00FD5CC9"/>
    <w:rsid w:val="00FE3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AC8EAB"/>
  <w15:chartTrackingRefBased/>
  <w15:docId w15:val="{CF53435B-9A34-4584-A67C-4C598392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A0E"/>
  </w:style>
  <w:style w:type="paragraph" w:styleId="Heading1">
    <w:name w:val="heading 1"/>
    <w:basedOn w:val="Normal"/>
    <w:next w:val="Normal"/>
    <w:link w:val="Heading1Char"/>
    <w:uiPriority w:val="9"/>
    <w:qFormat/>
    <w:rsid w:val="002B7689"/>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B7689"/>
    <w:pPr>
      <w:keepNext/>
      <w:keepLines/>
      <w:spacing w:before="160" w:after="80"/>
      <w:outlineLvl w:val="1"/>
    </w:pPr>
    <w:rPr>
      <w:rFonts w:asciiTheme="majorHAnsi" w:eastAsiaTheme="majorEastAsia" w:hAnsiTheme="majorHAnsi" w:cstheme="majorBidi"/>
      <w:b/>
      <w:color w:val="000000" w:themeColor="text1"/>
      <w:szCs w:val="32"/>
    </w:rPr>
  </w:style>
  <w:style w:type="paragraph" w:styleId="Heading3">
    <w:name w:val="heading 3"/>
    <w:basedOn w:val="Normal"/>
    <w:next w:val="Normal"/>
    <w:link w:val="Heading3Char"/>
    <w:uiPriority w:val="9"/>
    <w:semiHidden/>
    <w:unhideWhenUsed/>
    <w:qFormat/>
    <w:rsid w:val="007773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73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73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73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3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3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3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689"/>
    <w:rPr>
      <w:rFonts w:eastAsiaTheme="majorEastAsia" w:cstheme="majorBidi"/>
      <w:b/>
      <w:color w:val="000000" w:themeColor="text1"/>
      <w:sz w:val="28"/>
      <w:szCs w:val="40"/>
    </w:rPr>
  </w:style>
  <w:style w:type="character" w:customStyle="1" w:styleId="Heading2Char">
    <w:name w:val="Heading 2 Char"/>
    <w:basedOn w:val="DefaultParagraphFont"/>
    <w:link w:val="Heading2"/>
    <w:uiPriority w:val="9"/>
    <w:rsid w:val="002B7689"/>
    <w:rPr>
      <w:rFonts w:asciiTheme="majorHAnsi" w:eastAsiaTheme="majorEastAsia" w:hAnsiTheme="majorHAnsi" w:cstheme="majorBidi"/>
      <w:b/>
      <w:color w:val="000000" w:themeColor="text1"/>
      <w:szCs w:val="32"/>
    </w:rPr>
  </w:style>
  <w:style w:type="character" w:customStyle="1" w:styleId="Heading3Char">
    <w:name w:val="Heading 3 Char"/>
    <w:basedOn w:val="DefaultParagraphFont"/>
    <w:link w:val="Heading3"/>
    <w:uiPriority w:val="9"/>
    <w:semiHidden/>
    <w:rsid w:val="007773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73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73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73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3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3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35F"/>
    <w:rPr>
      <w:rFonts w:eastAsiaTheme="majorEastAsia" w:cstheme="majorBidi"/>
      <w:color w:val="272727" w:themeColor="text1" w:themeTint="D8"/>
    </w:rPr>
  </w:style>
  <w:style w:type="paragraph" w:styleId="Title">
    <w:name w:val="Title"/>
    <w:basedOn w:val="Normal"/>
    <w:next w:val="Normal"/>
    <w:link w:val="TitleChar"/>
    <w:uiPriority w:val="10"/>
    <w:qFormat/>
    <w:rsid w:val="007773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3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73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3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735F"/>
    <w:pPr>
      <w:spacing w:before="160"/>
      <w:jc w:val="center"/>
    </w:pPr>
    <w:rPr>
      <w:i/>
      <w:iCs/>
      <w:color w:val="404040" w:themeColor="text1" w:themeTint="BF"/>
    </w:rPr>
  </w:style>
  <w:style w:type="character" w:customStyle="1" w:styleId="QuoteChar">
    <w:name w:val="Quote Char"/>
    <w:basedOn w:val="DefaultParagraphFont"/>
    <w:link w:val="Quote"/>
    <w:uiPriority w:val="29"/>
    <w:rsid w:val="0077735F"/>
    <w:rPr>
      <w:i/>
      <w:iCs/>
      <w:color w:val="404040" w:themeColor="text1" w:themeTint="BF"/>
    </w:rPr>
  </w:style>
  <w:style w:type="paragraph" w:styleId="ListParagraph">
    <w:name w:val="List Paragraph"/>
    <w:basedOn w:val="Normal"/>
    <w:uiPriority w:val="34"/>
    <w:qFormat/>
    <w:rsid w:val="0077735F"/>
    <w:pPr>
      <w:ind w:left="720"/>
      <w:contextualSpacing/>
    </w:pPr>
  </w:style>
  <w:style w:type="character" w:styleId="IntenseEmphasis">
    <w:name w:val="Intense Emphasis"/>
    <w:basedOn w:val="DefaultParagraphFont"/>
    <w:uiPriority w:val="21"/>
    <w:qFormat/>
    <w:rsid w:val="0077735F"/>
    <w:rPr>
      <w:i/>
      <w:iCs/>
      <w:color w:val="2F5496" w:themeColor="accent1" w:themeShade="BF"/>
    </w:rPr>
  </w:style>
  <w:style w:type="paragraph" w:styleId="IntenseQuote">
    <w:name w:val="Intense Quote"/>
    <w:basedOn w:val="Normal"/>
    <w:next w:val="Normal"/>
    <w:link w:val="IntenseQuoteChar"/>
    <w:uiPriority w:val="30"/>
    <w:qFormat/>
    <w:rsid w:val="007773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735F"/>
    <w:rPr>
      <w:i/>
      <w:iCs/>
      <w:color w:val="2F5496" w:themeColor="accent1" w:themeShade="BF"/>
    </w:rPr>
  </w:style>
  <w:style w:type="character" w:styleId="IntenseReference">
    <w:name w:val="Intense Reference"/>
    <w:basedOn w:val="DefaultParagraphFont"/>
    <w:uiPriority w:val="32"/>
    <w:qFormat/>
    <w:rsid w:val="0077735F"/>
    <w:rPr>
      <w:b/>
      <w:bCs/>
      <w:smallCaps/>
      <w:color w:val="2F5496" w:themeColor="accent1" w:themeShade="BF"/>
      <w:spacing w:val="5"/>
    </w:rPr>
  </w:style>
  <w:style w:type="table" w:styleId="TableGrid">
    <w:name w:val="Table Grid"/>
    <w:basedOn w:val="TableNormal"/>
    <w:uiPriority w:val="39"/>
    <w:rsid w:val="0077735F"/>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64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434"/>
  </w:style>
  <w:style w:type="paragraph" w:styleId="Footer">
    <w:name w:val="footer"/>
    <w:basedOn w:val="Normal"/>
    <w:link w:val="FooterChar"/>
    <w:uiPriority w:val="99"/>
    <w:unhideWhenUsed/>
    <w:rsid w:val="006964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434"/>
  </w:style>
  <w:style w:type="paragraph" w:styleId="NormalWeb">
    <w:name w:val="Normal (Web)"/>
    <w:basedOn w:val="Normal"/>
    <w:uiPriority w:val="99"/>
    <w:unhideWhenUsed/>
    <w:rsid w:val="003821D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B3F9D"/>
    <w:rPr>
      <w:color w:val="0563C1" w:themeColor="hyperlink"/>
      <w:u w:val="single"/>
    </w:rPr>
  </w:style>
  <w:style w:type="character" w:styleId="UnresolvedMention">
    <w:name w:val="Unresolved Mention"/>
    <w:basedOn w:val="DefaultParagraphFont"/>
    <w:uiPriority w:val="99"/>
    <w:semiHidden/>
    <w:unhideWhenUsed/>
    <w:rsid w:val="008B3F9D"/>
    <w:rPr>
      <w:color w:val="605E5C"/>
      <w:shd w:val="clear" w:color="auto" w:fill="E1DFDD"/>
    </w:rPr>
  </w:style>
  <w:style w:type="character" w:styleId="Emphasis">
    <w:name w:val="Emphasis"/>
    <w:basedOn w:val="DefaultParagraphFont"/>
    <w:uiPriority w:val="20"/>
    <w:qFormat/>
    <w:rsid w:val="00975114"/>
    <w:rPr>
      <w:i/>
      <w:iCs/>
    </w:rPr>
  </w:style>
  <w:style w:type="character" w:styleId="FollowedHyperlink">
    <w:name w:val="FollowedHyperlink"/>
    <w:basedOn w:val="DefaultParagraphFont"/>
    <w:uiPriority w:val="99"/>
    <w:semiHidden/>
    <w:unhideWhenUsed/>
    <w:rsid w:val="00CE49A9"/>
    <w:rPr>
      <w:color w:val="954F72" w:themeColor="followedHyperlink"/>
      <w:u w:val="single"/>
    </w:rPr>
  </w:style>
  <w:style w:type="paragraph" w:styleId="TOCHeading">
    <w:name w:val="TOC Heading"/>
    <w:basedOn w:val="Heading1"/>
    <w:next w:val="Normal"/>
    <w:uiPriority w:val="39"/>
    <w:unhideWhenUsed/>
    <w:qFormat/>
    <w:rsid w:val="00AC3F11"/>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FC31B5"/>
    <w:pPr>
      <w:tabs>
        <w:tab w:val="right" w:leader="dot" w:pos="9016"/>
      </w:tabs>
      <w:spacing w:after="100"/>
    </w:pPr>
    <w:rPr>
      <w:b/>
      <w:bCs/>
      <w:noProof/>
    </w:rPr>
  </w:style>
  <w:style w:type="paragraph" w:styleId="TOC2">
    <w:name w:val="toc 2"/>
    <w:basedOn w:val="Normal"/>
    <w:next w:val="Normal"/>
    <w:autoRedefine/>
    <w:uiPriority w:val="39"/>
    <w:unhideWhenUsed/>
    <w:rsid w:val="00FC31B5"/>
    <w:pPr>
      <w:tabs>
        <w:tab w:val="right" w:leader="dot" w:pos="9016"/>
      </w:tabs>
      <w:spacing w:after="100"/>
      <w:ind w:left="240"/>
    </w:pPr>
    <w:rPr>
      <w:b/>
      <w:bCs/>
      <w:noProof/>
      <w:sz w:val="20"/>
      <w:szCs w:val="20"/>
    </w:rPr>
  </w:style>
  <w:style w:type="paragraph" w:styleId="NoSpacing">
    <w:name w:val="No Spacing"/>
    <w:uiPriority w:val="1"/>
    <w:qFormat/>
    <w:rsid w:val="00FC31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85596">
      <w:bodyDiv w:val="1"/>
      <w:marLeft w:val="0"/>
      <w:marRight w:val="0"/>
      <w:marTop w:val="0"/>
      <w:marBottom w:val="0"/>
      <w:divBdr>
        <w:top w:val="none" w:sz="0" w:space="0" w:color="auto"/>
        <w:left w:val="none" w:sz="0" w:space="0" w:color="auto"/>
        <w:bottom w:val="none" w:sz="0" w:space="0" w:color="auto"/>
        <w:right w:val="none" w:sz="0" w:space="0" w:color="auto"/>
      </w:divBdr>
    </w:div>
    <w:div w:id="81681804">
      <w:bodyDiv w:val="1"/>
      <w:marLeft w:val="0"/>
      <w:marRight w:val="0"/>
      <w:marTop w:val="0"/>
      <w:marBottom w:val="0"/>
      <w:divBdr>
        <w:top w:val="none" w:sz="0" w:space="0" w:color="auto"/>
        <w:left w:val="none" w:sz="0" w:space="0" w:color="auto"/>
        <w:bottom w:val="none" w:sz="0" w:space="0" w:color="auto"/>
        <w:right w:val="none" w:sz="0" w:space="0" w:color="auto"/>
      </w:divBdr>
    </w:div>
    <w:div w:id="85809714">
      <w:bodyDiv w:val="1"/>
      <w:marLeft w:val="0"/>
      <w:marRight w:val="0"/>
      <w:marTop w:val="0"/>
      <w:marBottom w:val="0"/>
      <w:divBdr>
        <w:top w:val="none" w:sz="0" w:space="0" w:color="auto"/>
        <w:left w:val="none" w:sz="0" w:space="0" w:color="auto"/>
        <w:bottom w:val="none" w:sz="0" w:space="0" w:color="auto"/>
        <w:right w:val="none" w:sz="0" w:space="0" w:color="auto"/>
      </w:divBdr>
    </w:div>
    <w:div w:id="86311522">
      <w:bodyDiv w:val="1"/>
      <w:marLeft w:val="0"/>
      <w:marRight w:val="0"/>
      <w:marTop w:val="0"/>
      <w:marBottom w:val="0"/>
      <w:divBdr>
        <w:top w:val="none" w:sz="0" w:space="0" w:color="auto"/>
        <w:left w:val="none" w:sz="0" w:space="0" w:color="auto"/>
        <w:bottom w:val="none" w:sz="0" w:space="0" w:color="auto"/>
        <w:right w:val="none" w:sz="0" w:space="0" w:color="auto"/>
      </w:divBdr>
    </w:div>
    <w:div w:id="124352769">
      <w:bodyDiv w:val="1"/>
      <w:marLeft w:val="0"/>
      <w:marRight w:val="0"/>
      <w:marTop w:val="0"/>
      <w:marBottom w:val="0"/>
      <w:divBdr>
        <w:top w:val="none" w:sz="0" w:space="0" w:color="auto"/>
        <w:left w:val="none" w:sz="0" w:space="0" w:color="auto"/>
        <w:bottom w:val="none" w:sz="0" w:space="0" w:color="auto"/>
        <w:right w:val="none" w:sz="0" w:space="0" w:color="auto"/>
      </w:divBdr>
    </w:div>
    <w:div w:id="185337117">
      <w:bodyDiv w:val="1"/>
      <w:marLeft w:val="0"/>
      <w:marRight w:val="0"/>
      <w:marTop w:val="0"/>
      <w:marBottom w:val="0"/>
      <w:divBdr>
        <w:top w:val="none" w:sz="0" w:space="0" w:color="auto"/>
        <w:left w:val="none" w:sz="0" w:space="0" w:color="auto"/>
        <w:bottom w:val="none" w:sz="0" w:space="0" w:color="auto"/>
        <w:right w:val="none" w:sz="0" w:space="0" w:color="auto"/>
      </w:divBdr>
    </w:div>
    <w:div w:id="255596850">
      <w:bodyDiv w:val="1"/>
      <w:marLeft w:val="0"/>
      <w:marRight w:val="0"/>
      <w:marTop w:val="0"/>
      <w:marBottom w:val="0"/>
      <w:divBdr>
        <w:top w:val="none" w:sz="0" w:space="0" w:color="auto"/>
        <w:left w:val="none" w:sz="0" w:space="0" w:color="auto"/>
        <w:bottom w:val="none" w:sz="0" w:space="0" w:color="auto"/>
        <w:right w:val="none" w:sz="0" w:space="0" w:color="auto"/>
      </w:divBdr>
    </w:div>
    <w:div w:id="268777577">
      <w:bodyDiv w:val="1"/>
      <w:marLeft w:val="0"/>
      <w:marRight w:val="0"/>
      <w:marTop w:val="0"/>
      <w:marBottom w:val="0"/>
      <w:divBdr>
        <w:top w:val="none" w:sz="0" w:space="0" w:color="auto"/>
        <w:left w:val="none" w:sz="0" w:space="0" w:color="auto"/>
        <w:bottom w:val="none" w:sz="0" w:space="0" w:color="auto"/>
        <w:right w:val="none" w:sz="0" w:space="0" w:color="auto"/>
      </w:divBdr>
    </w:div>
    <w:div w:id="350761459">
      <w:bodyDiv w:val="1"/>
      <w:marLeft w:val="0"/>
      <w:marRight w:val="0"/>
      <w:marTop w:val="0"/>
      <w:marBottom w:val="0"/>
      <w:divBdr>
        <w:top w:val="none" w:sz="0" w:space="0" w:color="auto"/>
        <w:left w:val="none" w:sz="0" w:space="0" w:color="auto"/>
        <w:bottom w:val="none" w:sz="0" w:space="0" w:color="auto"/>
        <w:right w:val="none" w:sz="0" w:space="0" w:color="auto"/>
      </w:divBdr>
      <w:divsChild>
        <w:div w:id="74133782">
          <w:marLeft w:val="0"/>
          <w:marRight w:val="0"/>
          <w:marTop w:val="0"/>
          <w:marBottom w:val="0"/>
          <w:divBdr>
            <w:top w:val="none" w:sz="0" w:space="0" w:color="auto"/>
            <w:left w:val="none" w:sz="0" w:space="0" w:color="auto"/>
            <w:bottom w:val="none" w:sz="0" w:space="0" w:color="auto"/>
            <w:right w:val="none" w:sz="0" w:space="0" w:color="auto"/>
          </w:divBdr>
          <w:divsChild>
            <w:div w:id="925457201">
              <w:marLeft w:val="0"/>
              <w:marRight w:val="0"/>
              <w:marTop w:val="0"/>
              <w:marBottom w:val="0"/>
              <w:divBdr>
                <w:top w:val="none" w:sz="0" w:space="0" w:color="auto"/>
                <w:left w:val="none" w:sz="0" w:space="0" w:color="auto"/>
                <w:bottom w:val="none" w:sz="0" w:space="0" w:color="auto"/>
                <w:right w:val="none" w:sz="0" w:space="0" w:color="auto"/>
              </w:divBdr>
              <w:divsChild>
                <w:div w:id="1150169430">
                  <w:marLeft w:val="0"/>
                  <w:marRight w:val="0"/>
                  <w:marTop w:val="0"/>
                  <w:marBottom w:val="0"/>
                  <w:divBdr>
                    <w:top w:val="none" w:sz="0" w:space="0" w:color="auto"/>
                    <w:left w:val="none" w:sz="0" w:space="0" w:color="auto"/>
                    <w:bottom w:val="none" w:sz="0" w:space="0" w:color="auto"/>
                    <w:right w:val="none" w:sz="0" w:space="0" w:color="auto"/>
                  </w:divBdr>
                  <w:divsChild>
                    <w:div w:id="940406457">
                      <w:marLeft w:val="0"/>
                      <w:marRight w:val="0"/>
                      <w:marTop w:val="0"/>
                      <w:marBottom w:val="0"/>
                      <w:divBdr>
                        <w:top w:val="none" w:sz="0" w:space="0" w:color="auto"/>
                        <w:left w:val="none" w:sz="0" w:space="0" w:color="auto"/>
                        <w:bottom w:val="none" w:sz="0" w:space="0" w:color="auto"/>
                        <w:right w:val="none" w:sz="0" w:space="0" w:color="auto"/>
                      </w:divBdr>
                      <w:divsChild>
                        <w:div w:id="1430352081">
                          <w:marLeft w:val="0"/>
                          <w:marRight w:val="0"/>
                          <w:marTop w:val="0"/>
                          <w:marBottom w:val="0"/>
                          <w:divBdr>
                            <w:top w:val="none" w:sz="0" w:space="0" w:color="auto"/>
                            <w:left w:val="none" w:sz="0" w:space="0" w:color="auto"/>
                            <w:bottom w:val="none" w:sz="0" w:space="0" w:color="auto"/>
                            <w:right w:val="none" w:sz="0" w:space="0" w:color="auto"/>
                          </w:divBdr>
                          <w:divsChild>
                            <w:div w:id="897210877">
                              <w:marLeft w:val="0"/>
                              <w:marRight w:val="0"/>
                              <w:marTop w:val="0"/>
                              <w:marBottom w:val="0"/>
                              <w:divBdr>
                                <w:top w:val="none" w:sz="0" w:space="0" w:color="auto"/>
                                <w:left w:val="none" w:sz="0" w:space="0" w:color="auto"/>
                                <w:bottom w:val="none" w:sz="0" w:space="0" w:color="auto"/>
                                <w:right w:val="none" w:sz="0" w:space="0" w:color="auto"/>
                              </w:divBdr>
                              <w:divsChild>
                                <w:div w:id="1910378989">
                                  <w:marLeft w:val="0"/>
                                  <w:marRight w:val="0"/>
                                  <w:marTop w:val="0"/>
                                  <w:marBottom w:val="0"/>
                                  <w:divBdr>
                                    <w:top w:val="none" w:sz="0" w:space="0" w:color="auto"/>
                                    <w:left w:val="none" w:sz="0" w:space="0" w:color="auto"/>
                                    <w:bottom w:val="none" w:sz="0" w:space="0" w:color="auto"/>
                                    <w:right w:val="none" w:sz="0" w:space="0" w:color="auto"/>
                                  </w:divBdr>
                                  <w:divsChild>
                                    <w:div w:id="139496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794758">
          <w:marLeft w:val="0"/>
          <w:marRight w:val="0"/>
          <w:marTop w:val="0"/>
          <w:marBottom w:val="0"/>
          <w:divBdr>
            <w:top w:val="none" w:sz="0" w:space="0" w:color="auto"/>
            <w:left w:val="none" w:sz="0" w:space="0" w:color="auto"/>
            <w:bottom w:val="none" w:sz="0" w:space="0" w:color="auto"/>
            <w:right w:val="none" w:sz="0" w:space="0" w:color="auto"/>
          </w:divBdr>
          <w:divsChild>
            <w:div w:id="745036768">
              <w:marLeft w:val="0"/>
              <w:marRight w:val="0"/>
              <w:marTop w:val="0"/>
              <w:marBottom w:val="0"/>
              <w:divBdr>
                <w:top w:val="none" w:sz="0" w:space="0" w:color="auto"/>
                <w:left w:val="none" w:sz="0" w:space="0" w:color="auto"/>
                <w:bottom w:val="none" w:sz="0" w:space="0" w:color="auto"/>
                <w:right w:val="none" w:sz="0" w:space="0" w:color="auto"/>
              </w:divBdr>
              <w:divsChild>
                <w:div w:id="1583643067">
                  <w:marLeft w:val="0"/>
                  <w:marRight w:val="0"/>
                  <w:marTop w:val="0"/>
                  <w:marBottom w:val="0"/>
                  <w:divBdr>
                    <w:top w:val="none" w:sz="0" w:space="0" w:color="auto"/>
                    <w:left w:val="none" w:sz="0" w:space="0" w:color="auto"/>
                    <w:bottom w:val="none" w:sz="0" w:space="0" w:color="auto"/>
                    <w:right w:val="none" w:sz="0" w:space="0" w:color="auto"/>
                  </w:divBdr>
                  <w:divsChild>
                    <w:div w:id="1670056603">
                      <w:marLeft w:val="0"/>
                      <w:marRight w:val="0"/>
                      <w:marTop w:val="0"/>
                      <w:marBottom w:val="0"/>
                      <w:divBdr>
                        <w:top w:val="none" w:sz="0" w:space="0" w:color="auto"/>
                        <w:left w:val="none" w:sz="0" w:space="0" w:color="auto"/>
                        <w:bottom w:val="none" w:sz="0" w:space="0" w:color="auto"/>
                        <w:right w:val="none" w:sz="0" w:space="0" w:color="auto"/>
                      </w:divBdr>
                      <w:divsChild>
                        <w:div w:id="1548952047">
                          <w:marLeft w:val="0"/>
                          <w:marRight w:val="0"/>
                          <w:marTop w:val="0"/>
                          <w:marBottom w:val="0"/>
                          <w:divBdr>
                            <w:top w:val="none" w:sz="0" w:space="0" w:color="auto"/>
                            <w:left w:val="none" w:sz="0" w:space="0" w:color="auto"/>
                            <w:bottom w:val="none" w:sz="0" w:space="0" w:color="auto"/>
                            <w:right w:val="none" w:sz="0" w:space="0" w:color="auto"/>
                          </w:divBdr>
                          <w:divsChild>
                            <w:div w:id="218445753">
                              <w:marLeft w:val="0"/>
                              <w:marRight w:val="0"/>
                              <w:marTop w:val="0"/>
                              <w:marBottom w:val="0"/>
                              <w:divBdr>
                                <w:top w:val="none" w:sz="0" w:space="0" w:color="auto"/>
                                <w:left w:val="none" w:sz="0" w:space="0" w:color="auto"/>
                                <w:bottom w:val="none" w:sz="0" w:space="0" w:color="auto"/>
                                <w:right w:val="none" w:sz="0" w:space="0" w:color="auto"/>
                              </w:divBdr>
                              <w:divsChild>
                                <w:div w:id="1392726425">
                                  <w:marLeft w:val="0"/>
                                  <w:marRight w:val="0"/>
                                  <w:marTop w:val="0"/>
                                  <w:marBottom w:val="0"/>
                                  <w:divBdr>
                                    <w:top w:val="none" w:sz="0" w:space="0" w:color="auto"/>
                                    <w:left w:val="none" w:sz="0" w:space="0" w:color="auto"/>
                                    <w:bottom w:val="none" w:sz="0" w:space="0" w:color="auto"/>
                                    <w:right w:val="none" w:sz="0" w:space="0" w:color="auto"/>
                                  </w:divBdr>
                                  <w:divsChild>
                                    <w:div w:id="747922625">
                                      <w:marLeft w:val="0"/>
                                      <w:marRight w:val="0"/>
                                      <w:marTop w:val="0"/>
                                      <w:marBottom w:val="0"/>
                                      <w:divBdr>
                                        <w:top w:val="none" w:sz="0" w:space="0" w:color="auto"/>
                                        <w:left w:val="none" w:sz="0" w:space="0" w:color="auto"/>
                                        <w:bottom w:val="none" w:sz="0" w:space="0" w:color="auto"/>
                                        <w:right w:val="none" w:sz="0" w:space="0" w:color="auto"/>
                                      </w:divBdr>
                                      <w:divsChild>
                                        <w:div w:id="11155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870337">
          <w:marLeft w:val="0"/>
          <w:marRight w:val="0"/>
          <w:marTop w:val="0"/>
          <w:marBottom w:val="0"/>
          <w:divBdr>
            <w:top w:val="none" w:sz="0" w:space="0" w:color="auto"/>
            <w:left w:val="none" w:sz="0" w:space="0" w:color="auto"/>
            <w:bottom w:val="none" w:sz="0" w:space="0" w:color="auto"/>
            <w:right w:val="none" w:sz="0" w:space="0" w:color="auto"/>
          </w:divBdr>
          <w:divsChild>
            <w:div w:id="141235825">
              <w:marLeft w:val="0"/>
              <w:marRight w:val="0"/>
              <w:marTop w:val="0"/>
              <w:marBottom w:val="0"/>
              <w:divBdr>
                <w:top w:val="none" w:sz="0" w:space="0" w:color="auto"/>
                <w:left w:val="none" w:sz="0" w:space="0" w:color="auto"/>
                <w:bottom w:val="none" w:sz="0" w:space="0" w:color="auto"/>
                <w:right w:val="none" w:sz="0" w:space="0" w:color="auto"/>
              </w:divBdr>
              <w:divsChild>
                <w:div w:id="725181859">
                  <w:marLeft w:val="0"/>
                  <w:marRight w:val="0"/>
                  <w:marTop w:val="0"/>
                  <w:marBottom w:val="0"/>
                  <w:divBdr>
                    <w:top w:val="none" w:sz="0" w:space="0" w:color="auto"/>
                    <w:left w:val="none" w:sz="0" w:space="0" w:color="auto"/>
                    <w:bottom w:val="none" w:sz="0" w:space="0" w:color="auto"/>
                    <w:right w:val="none" w:sz="0" w:space="0" w:color="auto"/>
                  </w:divBdr>
                  <w:divsChild>
                    <w:div w:id="1633363401">
                      <w:marLeft w:val="0"/>
                      <w:marRight w:val="0"/>
                      <w:marTop w:val="0"/>
                      <w:marBottom w:val="0"/>
                      <w:divBdr>
                        <w:top w:val="none" w:sz="0" w:space="0" w:color="auto"/>
                        <w:left w:val="none" w:sz="0" w:space="0" w:color="auto"/>
                        <w:bottom w:val="none" w:sz="0" w:space="0" w:color="auto"/>
                        <w:right w:val="none" w:sz="0" w:space="0" w:color="auto"/>
                      </w:divBdr>
                      <w:divsChild>
                        <w:div w:id="1657492452">
                          <w:marLeft w:val="0"/>
                          <w:marRight w:val="0"/>
                          <w:marTop w:val="0"/>
                          <w:marBottom w:val="0"/>
                          <w:divBdr>
                            <w:top w:val="none" w:sz="0" w:space="0" w:color="auto"/>
                            <w:left w:val="none" w:sz="0" w:space="0" w:color="auto"/>
                            <w:bottom w:val="none" w:sz="0" w:space="0" w:color="auto"/>
                            <w:right w:val="none" w:sz="0" w:space="0" w:color="auto"/>
                          </w:divBdr>
                          <w:divsChild>
                            <w:div w:id="1004552736">
                              <w:marLeft w:val="0"/>
                              <w:marRight w:val="0"/>
                              <w:marTop w:val="0"/>
                              <w:marBottom w:val="0"/>
                              <w:divBdr>
                                <w:top w:val="none" w:sz="0" w:space="0" w:color="auto"/>
                                <w:left w:val="none" w:sz="0" w:space="0" w:color="auto"/>
                                <w:bottom w:val="none" w:sz="0" w:space="0" w:color="auto"/>
                                <w:right w:val="none" w:sz="0" w:space="0" w:color="auto"/>
                              </w:divBdr>
                              <w:divsChild>
                                <w:div w:id="110743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679108">
                  <w:marLeft w:val="0"/>
                  <w:marRight w:val="0"/>
                  <w:marTop w:val="0"/>
                  <w:marBottom w:val="0"/>
                  <w:divBdr>
                    <w:top w:val="none" w:sz="0" w:space="0" w:color="auto"/>
                    <w:left w:val="none" w:sz="0" w:space="0" w:color="auto"/>
                    <w:bottom w:val="none" w:sz="0" w:space="0" w:color="auto"/>
                    <w:right w:val="none" w:sz="0" w:space="0" w:color="auto"/>
                  </w:divBdr>
                  <w:divsChild>
                    <w:div w:id="1590775074">
                      <w:marLeft w:val="0"/>
                      <w:marRight w:val="0"/>
                      <w:marTop w:val="0"/>
                      <w:marBottom w:val="0"/>
                      <w:divBdr>
                        <w:top w:val="none" w:sz="0" w:space="0" w:color="auto"/>
                        <w:left w:val="none" w:sz="0" w:space="0" w:color="auto"/>
                        <w:bottom w:val="none" w:sz="0" w:space="0" w:color="auto"/>
                        <w:right w:val="none" w:sz="0" w:space="0" w:color="auto"/>
                      </w:divBdr>
                      <w:divsChild>
                        <w:div w:id="1925920697">
                          <w:marLeft w:val="0"/>
                          <w:marRight w:val="0"/>
                          <w:marTop w:val="0"/>
                          <w:marBottom w:val="0"/>
                          <w:divBdr>
                            <w:top w:val="none" w:sz="0" w:space="0" w:color="auto"/>
                            <w:left w:val="none" w:sz="0" w:space="0" w:color="auto"/>
                            <w:bottom w:val="none" w:sz="0" w:space="0" w:color="auto"/>
                            <w:right w:val="none" w:sz="0" w:space="0" w:color="auto"/>
                          </w:divBdr>
                          <w:divsChild>
                            <w:div w:id="777993917">
                              <w:marLeft w:val="0"/>
                              <w:marRight w:val="0"/>
                              <w:marTop w:val="0"/>
                              <w:marBottom w:val="0"/>
                              <w:divBdr>
                                <w:top w:val="none" w:sz="0" w:space="0" w:color="auto"/>
                                <w:left w:val="none" w:sz="0" w:space="0" w:color="auto"/>
                                <w:bottom w:val="none" w:sz="0" w:space="0" w:color="auto"/>
                                <w:right w:val="none" w:sz="0" w:space="0" w:color="auto"/>
                              </w:divBdr>
                              <w:divsChild>
                                <w:div w:id="987129354">
                                  <w:marLeft w:val="0"/>
                                  <w:marRight w:val="0"/>
                                  <w:marTop w:val="0"/>
                                  <w:marBottom w:val="0"/>
                                  <w:divBdr>
                                    <w:top w:val="none" w:sz="0" w:space="0" w:color="auto"/>
                                    <w:left w:val="none" w:sz="0" w:space="0" w:color="auto"/>
                                    <w:bottom w:val="none" w:sz="0" w:space="0" w:color="auto"/>
                                    <w:right w:val="none" w:sz="0" w:space="0" w:color="auto"/>
                                  </w:divBdr>
                                  <w:divsChild>
                                    <w:div w:id="136374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0571810">
          <w:marLeft w:val="0"/>
          <w:marRight w:val="0"/>
          <w:marTop w:val="0"/>
          <w:marBottom w:val="0"/>
          <w:divBdr>
            <w:top w:val="none" w:sz="0" w:space="0" w:color="auto"/>
            <w:left w:val="none" w:sz="0" w:space="0" w:color="auto"/>
            <w:bottom w:val="none" w:sz="0" w:space="0" w:color="auto"/>
            <w:right w:val="none" w:sz="0" w:space="0" w:color="auto"/>
          </w:divBdr>
          <w:divsChild>
            <w:div w:id="1037125105">
              <w:marLeft w:val="0"/>
              <w:marRight w:val="0"/>
              <w:marTop w:val="0"/>
              <w:marBottom w:val="0"/>
              <w:divBdr>
                <w:top w:val="none" w:sz="0" w:space="0" w:color="auto"/>
                <w:left w:val="none" w:sz="0" w:space="0" w:color="auto"/>
                <w:bottom w:val="none" w:sz="0" w:space="0" w:color="auto"/>
                <w:right w:val="none" w:sz="0" w:space="0" w:color="auto"/>
              </w:divBdr>
              <w:divsChild>
                <w:div w:id="1258250305">
                  <w:marLeft w:val="0"/>
                  <w:marRight w:val="0"/>
                  <w:marTop w:val="0"/>
                  <w:marBottom w:val="0"/>
                  <w:divBdr>
                    <w:top w:val="none" w:sz="0" w:space="0" w:color="auto"/>
                    <w:left w:val="none" w:sz="0" w:space="0" w:color="auto"/>
                    <w:bottom w:val="none" w:sz="0" w:space="0" w:color="auto"/>
                    <w:right w:val="none" w:sz="0" w:space="0" w:color="auto"/>
                  </w:divBdr>
                  <w:divsChild>
                    <w:div w:id="594825747">
                      <w:marLeft w:val="0"/>
                      <w:marRight w:val="0"/>
                      <w:marTop w:val="0"/>
                      <w:marBottom w:val="0"/>
                      <w:divBdr>
                        <w:top w:val="none" w:sz="0" w:space="0" w:color="auto"/>
                        <w:left w:val="none" w:sz="0" w:space="0" w:color="auto"/>
                        <w:bottom w:val="none" w:sz="0" w:space="0" w:color="auto"/>
                        <w:right w:val="none" w:sz="0" w:space="0" w:color="auto"/>
                      </w:divBdr>
                      <w:divsChild>
                        <w:div w:id="1086347758">
                          <w:marLeft w:val="0"/>
                          <w:marRight w:val="0"/>
                          <w:marTop w:val="0"/>
                          <w:marBottom w:val="0"/>
                          <w:divBdr>
                            <w:top w:val="none" w:sz="0" w:space="0" w:color="auto"/>
                            <w:left w:val="none" w:sz="0" w:space="0" w:color="auto"/>
                            <w:bottom w:val="none" w:sz="0" w:space="0" w:color="auto"/>
                            <w:right w:val="none" w:sz="0" w:space="0" w:color="auto"/>
                          </w:divBdr>
                          <w:divsChild>
                            <w:div w:id="1602570687">
                              <w:marLeft w:val="0"/>
                              <w:marRight w:val="0"/>
                              <w:marTop w:val="0"/>
                              <w:marBottom w:val="0"/>
                              <w:divBdr>
                                <w:top w:val="none" w:sz="0" w:space="0" w:color="auto"/>
                                <w:left w:val="none" w:sz="0" w:space="0" w:color="auto"/>
                                <w:bottom w:val="none" w:sz="0" w:space="0" w:color="auto"/>
                                <w:right w:val="none" w:sz="0" w:space="0" w:color="auto"/>
                              </w:divBdr>
                              <w:divsChild>
                                <w:div w:id="338655810">
                                  <w:marLeft w:val="0"/>
                                  <w:marRight w:val="0"/>
                                  <w:marTop w:val="0"/>
                                  <w:marBottom w:val="0"/>
                                  <w:divBdr>
                                    <w:top w:val="none" w:sz="0" w:space="0" w:color="auto"/>
                                    <w:left w:val="none" w:sz="0" w:space="0" w:color="auto"/>
                                    <w:bottom w:val="none" w:sz="0" w:space="0" w:color="auto"/>
                                    <w:right w:val="none" w:sz="0" w:space="0" w:color="auto"/>
                                  </w:divBdr>
                                  <w:divsChild>
                                    <w:div w:id="1487630131">
                                      <w:marLeft w:val="0"/>
                                      <w:marRight w:val="0"/>
                                      <w:marTop w:val="0"/>
                                      <w:marBottom w:val="0"/>
                                      <w:divBdr>
                                        <w:top w:val="none" w:sz="0" w:space="0" w:color="auto"/>
                                        <w:left w:val="none" w:sz="0" w:space="0" w:color="auto"/>
                                        <w:bottom w:val="none" w:sz="0" w:space="0" w:color="auto"/>
                                        <w:right w:val="none" w:sz="0" w:space="0" w:color="auto"/>
                                      </w:divBdr>
                                      <w:divsChild>
                                        <w:div w:id="129317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049219">
          <w:marLeft w:val="0"/>
          <w:marRight w:val="0"/>
          <w:marTop w:val="0"/>
          <w:marBottom w:val="0"/>
          <w:divBdr>
            <w:top w:val="none" w:sz="0" w:space="0" w:color="auto"/>
            <w:left w:val="none" w:sz="0" w:space="0" w:color="auto"/>
            <w:bottom w:val="none" w:sz="0" w:space="0" w:color="auto"/>
            <w:right w:val="none" w:sz="0" w:space="0" w:color="auto"/>
          </w:divBdr>
          <w:divsChild>
            <w:div w:id="392050830">
              <w:marLeft w:val="0"/>
              <w:marRight w:val="0"/>
              <w:marTop w:val="0"/>
              <w:marBottom w:val="0"/>
              <w:divBdr>
                <w:top w:val="none" w:sz="0" w:space="0" w:color="auto"/>
                <w:left w:val="none" w:sz="0" w:space="0" w:color="auto"/>
                <w:bottom w:val="none" w:sz="0" w:space="0" w:color="auto"/>
                <w:right w:val="none" w:sz="0" w:space="0" w:color="auto"/>
              </w:divBdr>
              <w:divsChild>
                <w:div w:id="523715685">
                  <w:marLeft w:val="0"/>
                  <w:marRight w:val="0"/>
                  <w:marTop w:val="0"/>
                  <w:marBottom w:val="0"/>
                  <w:divBdr>
                    <w:top w:val="none" w:sz="0" w:space="0" w:color="auto"/>
                    <w:left w:val="none" w:sz="0" w:space="0" w:color="auto"/>
                    <w:bottom w:val="none" w:sz="0" w:space="0" w:color="auto"/>
                    <w:right w:val="none" w:sz="0" w:space="0" w:color="auto"/>
                  </w:divBdr>
                  <w:divsChild>
                    <w:div w:id="1368683282">
                      <w:marLeft w:val="0"/>
                      <w:marRight w:val="0"/>
                      <w:marTop w:val="0"/>
                      <w:marBottom w:val="0"/>
                      <w:divBdr>
                        <w:top w:val="none" w:sz="0" w:space="0" w:color="auto"/>
                        <w:left w:val="none" w:sz="0" w:space="0" w:color="auto"/>
                        <w:bottom w:val="none" w:sz="0" w:space="0" w:color="auto"/>
                        <w:right w:val="none" w:sz="0" w:space="0" w:color="auto"/>
                      </w:divBdr>
                      <w:divsChild>
                        <w:div w:id="538323399">
                          <w:marLeft w:val="0"/>
                          <w:marRight w:val="0"/>
                          <w:marTop w:val="0"/>
                          <w:marBottom w:val="0"/>
                          <w:divBdr>
                            <w:top w:val="none" w:sz="0" w:space="0" w:color="auto"/>
                            <w:left w:val="none" w:sz="0" w:space="0" w:color="auto"/>
                            <w:bottom w:val="none" w:sz="0" w:space="0" w:color="auto"/>
                            <w:right w:val="none" w:sz="0" w:space="0" w:color="auto"/>
                          </w:divBdr>
                          <w:divsChild>
                            <w:div w:id="1004699564">
                              <w:marLeft w:val="0"/>
                              <w:marRight w:val="0"/>
                              <w:marTop w:val="0"/>
                              <w:marBottom w:val="0"/>
                              <w:divBdr>
                                <w:top w:val="none" w:sz="0" w:space="0" w:color="auto"/>
                                <w:left w:val="none" w:sz="0" w:space="0" w:color="auto"/>
                                <w:bottom w:val="none" w:sz="0" w:space="0" w:color="auto"/>
                                <w:right w:val="none" w:sz="0" w:space="0" w:color="auto"/>
                              </w:divBdr>
                              <w:divsChild>
                                <w:div w:id="153368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81932">
                  <w:marLeft w:val="0"/>
                  <w:marRight w:val="0"/>
                  <w:marTop w:val="0"/>
                  <w:marBottom w:val="0"/>
                  <w:divBdr>
                    <w:top w:val="none" w:sz="0" w:space="0" w:color="auto"/>
                    <w:left w:val="none" w:sz="0" w:space="0" w:color="auto"/>
                    <w:bottom w:val="none" w:sz="0" w:space="0" w:color="auto"/>
                    <w:right w:val="none" w:sz="0" w:space="0" w:color="auto"/>
                  </w:divBdr>
                  <w:divsChild>
                    <w:div w:id="636573979">
                      <w:marLeft w:val="0"/>
                      <w:marRight w:val="0"/>
                      <w:marTop w:val="0"/>
                      <w:marBottom w:val="0"/>
                      <w:divBdr>
                        <w:top w:val="none" w:sz="0" w:space="0" w:color="auto"/>
                        <w:left w:val="none" w:sz="0" w:space="0" w:color="auto"/>
                        <w:bottom w:val="none" w:sz="0" w:space="0" w:color="auto"/>
                        <w:right w:val="none" w:sz="0" w:space="0" w:color="auto"/>
                      </w:divBdr>
                      <w:divsChild>
                        <w:div w:id="1206524314">
                          <w:marLeft w:val="0"/>
                          <w:marRight w:val="0"/>
                          <w:marTop w:val="0"/>
                          <w:marBottom w:val="0"/>
                          <w:divBdr>
                            <w:top w:val="none" w:sz="0" w:space="0" w:color="auto"/>
                            <w:left w:val="none" w:sz="0" w:space="0" w:color="auto"/>
                            <w:bottom w:val="none" w:sz="0" w:space="0" w:color="auto"/>
                            <w:right w:val="none" w:sz="0" w:space="0" w:color="auto"/>
                          </w:divBdr>
                          <w:divsChild>
                            <w:div w:id="285310273">
                              <w:marLeft w:val="0"/>
                              <w:marRight w:val="0"/>
                              <w:marTop w:val="0"/>
                              <w:marBottom w:val="0"/>
                              <w:divBdr>
                                <w:top w:val="none" w:sz="0" w:space="0" w:color="auto"/>
                                <w:left w:val="none" w:sz="0" w:space="0" w:color="auto"/>
                                <w:bottom w:val="none" w:sz="0" w:space="0" w:color="auto"/>
                                <w:right w:val="none" w:sz="0" w:space="0" w:color="auto"/>
                              </w:divBdr>
                              <w:divsChild>
                                <w:div w:id="1892225396">
                                  <w:marLeft w:val="0"/>
                                  <w:marRight w:val="0"/>
                                  <w:marTop w:val="0"/>
                                  <w:marBottom w:val="0"/>
                                  <w:divBdr>
                                    <w:top w:val="none" w:sz="0" w:space="0" w:color="auto"/>
                                    <w:left w:val="none" w:sz="0" w:space="0" w:color="auto"/>
                                    <w:bottom w:val="none" w:sz="0" w:space="0" w:color="auto"/>
                                    <w:right w:val="none" w:sz="0" w:space="0" w:color="auto"/>
                                  </w:divBdr>
                                  <w:divsChild>
                                    <w:div w:id="90703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210922">
      <w:bodyDiv w:val="1"/>
      <w:marLeft w:val="0"/>
      <w:marRight w:val="0"/>
      <w:marTop w:val="0"/>
      <w:marBottom w:val="0"/>
      <w:divBdr>
        <w:top w:val="none" w:sz="0" w:space="0" w:color="auto"/>
        <w:left w:val="none" w:sz="0" w:space="0" w:color="auto"/>
        <w:bottom w:val="none" w:sz="0" w:space="0" w:color="auto"/>
        <w:right w:val="none" w:sz="0" w:space="0" w:color="auto"/>
      </w:divBdr>
    </w:div>
    <w:div w:id="454519564">
      <w:bodyDiv w:val="1"/>
      <w:marLeft w:val="0"/>
      <w:marRight w:val="0"/>
      <w:marTop w:val="0"/>
      <w:marBottom w:val="0"/>
      <w:divBdr>
        <w:top w:val="none" w:sz="0" w:space="0" w:color="auto"/>
        <w:left w:val="none" w:sz="0" w:space="0" w:color="auto"/>
        <w:bottom w:val="none" w:sz="0" w:space="0" w:color="auto"/>
        <w:right w:val="none" w:sz="0" w:space="0" w:color="auto"/>
      </w:divBdr>
    </w:div>
    <w:div w:id="488837071">
      <w:bodyDiv w:val="1"/>
      <w:marLeft w:val="0"/>
      <w:marRight w:val="0"/>
      <w:marTop w:val="0"/>
      <w:marBottom w:val="0"/>
      <w:divBdr>
        <w:top w:val="none" w:sz="0" w:space="0" w:color="auto"/>
        <w:left w:val="none" w:sz="0" w:space="0" w:color="auto"/>
        <w:bottom w:val="none" w:sz="0" w:space="0" w:color="auto"/>
        <w:right w:val="none" w:sz="0" w:space="0" w:color="auto"/>
      </w:divBdr>
    </w:div>
    <w:div w:id="512575571">
      <w:bodyDiv w:val="1"/>
      <w:marLeft w:val="0"/>
      <w:marRight w:val="0"/>
      <w:marTop w:val="0"/>
      <w:marBottom w:val="0"/>
      <w:divBdr>
        <w:top w:val="none" w:sz="0" w:space="0" w:color="auto"/>
        <w:left w:val="none" w:sz="0" w:space="0" w:color="auto"/>
        <w:bottom w:val="none" w:sz="0" w:space="0" w:color="auto"/>
        <w:right w:val="none" w:sz="0" w:space="0" w:color="auto"/>
      </w:divBdr>
    </w:div>
    <w:div w:id="518853400">
      <w:bodyDiv w:val="1"/>
      <w:marLeft w:val="0"/>
      <w:marRight w:val="0"/>
      <w:marTop w:val="0"/>
      <w:marBottom w:val="0"/>
      <w:divBdr>
        <w:top w:val="none" w:sz="0" w:space="0" w:color="auto"/>
        <w:left w:val="none" w:sz="0" w:space="0" w:color="auto"/>
        <w:bottom w:val="none" w:sz="0" w:space="0" w:color="auto"/>
        <w:right w:val="none" w:sz="0" w:space="0" w:color="auto"/>
      </w:divBdr>
    </w:div>
    <w:div w:id="521672723">
      <w:bodyDiv w:val="1"/>
      <w:marLeft w:val="0"/>
      <w:marRight w:val="0"/>
      <w:marTop w:val="0"/>
      <w:marBottom w:val="0"/>
      <w:divBdr>
        <w:top w:val="none" w:sz="0" w:space="0" w:color="auto"/>
        <w:left w:val="none" w:sz="0" w:space="0" w:color="auto"/>
        <w:bottom w:val="none" w:sz="0" w:space="0" w:color="auto"/>
        <w:right w:val="none" w:sz="0" w:space="0" w:color="auto"/>
      </w:divBdr>
    </w:div>
    <w:div w:id="555748771">
      <w:bodyDiv w:val="1"/>
      <w:marLeft w:val="0"/>
      <w:marRight w:val="0"/>
      <w:marTop w:val="0"/>
      <w:marBottom w:val="0"/>
      <w:divBdr>
        <w:top w:val="none" w:sz="0" w:space="0" w:color="auto"/>
        <w:left w:val="none" w:sz="0" w:space="0" w:color="auto"/>
        <w:bottom w:val="none" w:sz="0" w:space="0" w:color="auto"/>
        <w:right w:val="none" w:sz="0" w:space="0" w:color="auto"/>
      </w:divBdr>
    </w:div>
    <w:div w:id="595552983">
      <w:bodyDiv w:val="1"/>
      <w:marLeft w:val="0"/>
      <w:marRight w:val="0"/>
      <w:marTop w:val="0"/>
      <w:marBottom w:val="0"/>
      <w:divBdr>
        <w:top w:val="none" w:sz="0" w:space="0" w:color="auto"/>
        <w:left w:val="none" w:sz="0" w:space="0" w:color="auto"/>
        <w:bottom w:val="none" w:sz="0" w:space="0" w:color="auto"/>
        <w:right w:val="none" w:sz="0" w:space="0" w:color="auto"/>
      </w:divBdr>
    </w:div>
    <w:div w:id="613365132">
      <w:bodyDiv w:val="1"/>
      <w:marLeft w:val="0"/>
      <w:marRight w:val="0"/>
      <w:marTop w:val="0"/>
      <w:marBottom w:val="0"/>
      <w:divBdr>
        <w:top w:val="none" w:sz="0" w:space="0" w:color="auto"/>
        <w:left w:val="none" w:sz="0" w:space="0" w:color="auto"/>
        <w:bottom w:val="none" w:sz="0" w:space="0" w:color="auto"/>
        <w:right w:val="none" w:sz="0" w:space="0" w:color="auto"/>
      </w:divBdr>
    </w:div>
    <w:div w:id="628970881">
      <w:bodyDiv w:val="1"/>
      <w:marLeft w:val="0"/>
      <w:marRight w:val="0"/>
      <w:marTop w:val="0"/>
      <w:marBottom w:val="0"/>
      <w:divBdr>
        <w:top w:val="none" w:sz="0" w:space="0" w:color="auto"/>
        <w:left w:val="none" w:sz="0" w:space="0" w:color="auto"/>
        <w:bottom w:val="none" w:sz="0" w:space="0" w:color="auto"/>
        <w:right w:val="none" w:sz="0" w:space="0" w:color="auto"/>
      </w:divBdr>
    </w:div>
    <w:div w:id="643581444">
      <w:bodyDiv w:val="1"/>
      <w:marLeft w:val="0"/>
      <w:marRight w:val="0"/>
      <w:marTop w:val="0"/>
      <w:marBottom w:val="0"/>
      <w:divBdr>
        <w:top w:val="none" w:sz="0" w:space="0" w:color="auto"/>
        <w:left w:val="none" w:sz="0" w:space="0" w:color="auto"/>
        <w:bottom w:val="none" w:sz="0" w:space="0" w:color="auto"/>
        <w:right w:val="none" w:sz="0" w:space="0" w:color="auto"/>
      </w:divBdr>
    </w:div>
    <w:div w:id="778598365">
      <w:bodyDiv w:val="1"/>
      <w:marLeft w:val="0"/>
      <w:marRight w:val="0"/>
      <w:marTop w:val="0"/>
      <w:marBottom w:val="0"/>
      <w:divBdr>
        <w:top w:val="none" w:sz="0" w:space="0" w:color="auto"/>
        <w:left w:val="none" w:sz="0" w:space="0" w:color="auto"/>
        <w:bottom w:val="none" w:sz="0" w:space="0" w:color="auto"/>
        <w:right w:val="none" w:sz="0" w:space="0" w:color="auto"/>
      </w:divBdr>
    </w:div>
    <w:div w:id="827750332">
      <w:bodyDiv w:val="1"/>
      <w:marLeft w:val="0"/>
      <w:marRight w:val="0"/>
      <w:marTop w:val="0"/>
      <w:marBottom w:val="0"/>
      <w:divBdr>
        <w:top w:val="none" w:sz="0" w:space="0" w:color="auto"/>
        <w:left w:val="none" w:sz="0" w:space="0" w:color="auto"/>
        <w:bottom w:val="none" w:sz="0" w:space="0" w:color="auto"/>
        <w:right w:val="none" w:sz="0" w:space="0" w:color="auto"/>
      </w:divBdr>
    </w:div>
    <w:div w:id="860313928">
      <w:bodyDiv w:val="1"/>
      <w:marLeft w:val="0"/>
      <w:marRight w:val="0"/>
      <w:marTop w:val="0"/>
      <w:marBottom w:val="0"/>
      <w:divBdr>
        <w:top w:val="none" w:sz="0" w:space="0" w:color="auto"/>
        <w:left w:val="none" w:sz="0" w:space="0" w:color="auto"/>
        <w:bottom w:val="none" w:sz="0" w:space="0" w:color="auto"/>
        <w:right w:val="none" w:sz="0" w:space="0" w:color="auto"/>
      </w:divBdr>
    </w:div>
    <w:div w:id="963393114">
      <w:bodyDiv w:val="1"/>
      <w:marLeft w:val="0"/>
      <w:marRight w:val="0"/>
      <w:marTop w:val="0"/>
      <w:marBottom w:val="0"/>
      <w:divBdr>
        <w:top w:val="none" w:sz="0" w:space="0" w:color="auto"/>
        <w:left w:val="none" w:sz="0" w:space="0" w:color="auto"/>
        <w:bottom w:val="none" w:sz="0" w:space="0" w:color="auto"/>
        <w:right w:val="none" w:sz="0" w:space="0" w:color="auto"/>
      </w:divBdr>
    </w:div>
    <w:div w:id="976691327">
      <w:bodyDiv w:val="1"/>
      <w:marLeft w:val="0"/>
      <w:marRight w:val="0"/>
      <w:marTop w:val="0"/>
      <w:marBottom w:val="0"/>
      <w:divBdr>
        <w:top w:val="none" w:sz="0" w:space="0" w:color="auto"/>
        <w:left w:val="none" w:sz="0" w:space="0" w:color="auto"/>
        <w:bottom w:val="none" w:sz="0" w:space="0" w:color="auto"/>
        <w:right w:val="none" w:sz="0" w:space="0" w:color="auto"/>
      </w:divBdr>
    </w:div>
    <w:div w:id="983775145">
      <w:bodyDiv w:val="1"/>
      <w:marLeft w:val="0"/>
      <w:marRight w:val="0"/>
      <w:marTop w:val="0"/>
      <w:marBottom w:val="0"/>
      <w:divBdr>
        <w:top w:val="none" w:sz="0" w:space="0" w:color="auto"/>
        <w:left w:val="none" w:sz="0" w:space="0" w:color="auto"/>
        <w:bottom w:val="none" w:sz="0" w:space="0" w:color="auto"/>
        <w:right w:val="none" w:sz="0" w:space="0" w:color="auto"/>
      </w:divBdr>
    </w:div>
    <w:div w:id="984891043">
      <w:bodyDiv w:val="1"/>
      <w:marLeft w:val="0"/>
      <w:marRight w:val="0"/>
      <w:marTop w:val="0"/>
      <w:marBottom w:val="0"/>
      <w:divBdr>
        <w:top w:val="none" w:sz="0" w:space="0" w:color="auto"/>
        <w:left w:val="none" w:sz="0" w:space="0" w:color="auto"/>
        <w:bottom w:val="none" w:sz="0" w:space="0" w:color="auto"/>
        <w:right w:val="none" w:sz="0" w:space="0" w:color="auto"/>
      </w:divBdr>
    </w:div>
    <w:div w:id="993532930">
      <w:bodyDiv w:val="1"/>
      <w:marLeft w:val="0"/>
      <w:marRight w:val="0"/>
      <w:marTop w:val="0"/>
      <w:marBottom w:val="0"/>
      <w:divBdr>
        <w:top w:val="none" w:sz="0" w:space="0" w:color="auto"/>
        <w:left w:val="none" w:sz="0" w:space="0" w:color="auto"/>
        <w:bottom w:val="none" w:sz="0" w:space="0" w:color="auto"/>
        <w:right w:val="none" w:sz="0" w:space="0" w:color="auto"/>
      </w:divBdr>
    </w:div>
    <w:div w:id="996224166">
      <w:bodyDiv w:val="1"/>
      <w:marLeft w:val="0"/>
      <w:marRight w:val="0"/>
      <w:marTop w:val="0"/>
      <w:marBottom w:val="0"/>
      <w:divBdr>
        <w:top w:val="none" w:sz="0" w:space="0" w:color="auto"/>
        <w:left w:val="none" w:sz="0" w:space="0" w:color="auto"/>
        <w:bottom w:val="none" w:sz="0" w:space="0" w:color="auto"/>
        <w:right w:val="none" w:sz="0" w:space="0" w:color="auto"/>
      </w:divBdr>
    </w:div>
    <w:div w:id="1002242904">
      <w:bodyDiv w:val="1"/>
      <w:marLeft w:val="0"/>
      <w:marRight w:val="0"/>
      <w:marTop w:val="0"/>
      <w:marBottom w:val="0"/>
      <w:divBdr>
        <w:top w:val="none" w:sz="0" w:space="0" w:color="auto"/>
        <w:left w:val="none" w:sz="0" w:space="0" w:color="auto"/>
        <w:bottom w:val="none" w:sz="0" w:space="0" w:color="auto"/>
        <w:right w:val="none" w:sz="0" w:space="0" w:color="auto"/>
      </w:divBdr>
    </w:div>
    <w:div w:id="1037240530">
      <w:bodyDiv w:val="1"/>
      <w:marLeft w:val="0"/>
      <w:marRight w:val="0"/>
      <w:marTop w:val="0"/>
      <w:marBottom w:val="0"/>
      <w:divBdr>
        <w:top w:val="none" w:sz="0" w:space="0" w:color="auto"/>
        <w:left w:val="none" w:sz="0" w:space="0" w:color="auto"/>
        <w:bottom w:val="none" w:sz="0" w:space="0" w:color="auto"/>
        <w:right w:val="none" w:sz="0" w:space="0" w:color="auto"/>
      </w:divBdr>
    </w:div>
    <w:div w:id="1086880008">
      <w:bodyDiv w:val="1"/>
      <w:marLeft w:val="0"/>
      <w:marRight w:val="0"/>
      <w:marTop w:val="0"/>
      <w:marBottom w:val="0"/>
      <w:divBdr>
        <w:top w:val="none" w:sz="0" w:space="0" w:color="auto"/>
        <w:left w:val="none" w:sz="0" w:space="0" w:color="auto"/>
        <w:bottom w:val="none" w:sz="0" w:space="0" w:color="auto"/>
        <w:right w:val="none" w:sz="0" w:space="0" w:color="auto"/>
      </w:divBdr>
    </w:div>
    <w:div w:id="1097750866">
      <w:bodyDiv w:val="1"/>
      <w:marLeft w:val="0"/>
      <w:marRight w:val="0"/>
      <w:marTop w:val="0"/>
      <w:marBottom w:val="0"/>
      <w:divBdr>
        <w:top w:val="none" w:sz="0" w:space="0" w:color="auto"/>
        <w:left w:val="none" w:sz="0" w:space="0" w:color="auto"/>
        <w:bottom w:val="none" w:sz="0" w:space="0" w:color="auto"/>
        <w:right w:val="none" w:sz="0" w:space="0" w:color="auto"/>
      </w:divBdr>
    </w:div>
    <w:div w:id="1104113097">
      <w:bodyDiv w:val="1"/>
      <w:marLeft w:val="0"/>
      <w:marRight w:val="0"/>
      <w:marTop w:val="0"/>
      <w:marBottom w:val="0"/>
      <w:divBdr>
        <w:top w:val="none" w:sz="0" w:space="0" w:color="auto"/>
        <w:left w:val="none" w:sz="0" w:space="0" w:color="auto"/>
        <w:bottom w:val="none" w:sz="0" w:space="0" w:color="auto"/>
        <w:right w:val="none" w:sz="0" w:space="0" w:color="auto"/>
      </w:divBdr>
      <w:divsChild>
        <w:div w:id="2041473053">
          <w:marLeft w:val="0"/>
          <w:marRight w:val="0"/>
          <w:marTop w:val="0"/>
          <w:marBottom w:val="0"/>
          <w:divBdr>
            <w:top w:val="single" w:sz="2" w:space="0" w:color="E3E3E3"/>
            <w:left w:val="single" w:sz="2" w:space="0" w:color="E3E3E3"/>
            <w:bottom w:val="single" w:sz="2" w:space="0" w:color="E3E3E3"/>
            <w:right w:val="single" w:sz="2" w:space="0" w:color="E3E3E3"/>
          </w:divBdr>
          <w:divsChild>
            <w:div w:id="1731611523">
              <w:marLeft w:val="0"/>
              <w:marRight w:val="0"/>
              <w:marTop w:val="0"/>
              <w:marBottom w:val="0"/>
              <w:divBdr>
                <w:top w:val="single" w:sz="2" w:space="0" w:color="E3E3E3"/>
                <w:left w:val="single" w:sz="2" w:space="0" w:color="E3E3E3"/>
                <w:bottom w:val="single" w:sz="2" w:space="0" w:color="E3E3E3"/>
                <w:right w:val="single" w:sz="2" w:space="0" w:color="E3E3E3"/>
              </w:divBdr>
              <w:divsChild>
                <w:div w:id="534928737">
                  <w:marLeft w:val="0"/>
                  <w:marRight w:val="0"/>
                  <w:marTop w:val="0"/>
                  <w:marBottom w:val="0"/>
                  <w:divBdr>
                    <w:top w:val="single" w:sz="2" w:space="0" w:color="E3E3E3"/>
                    <w:left w:val="single" w:sz="2" w:space="0" w:color="E3E3E3"/>
                    <w:bottom w:val="single" w:sz="2" w:space="0" w:color="E3E3E3"/>
                    <w:right w:val="single" w:sz="2" w:space="0" w:color="E3E3E3"/>
                  </w:divBdr>
                  <w:divsChild>
                    <w:div w:id="216279467">
                      <w:marLeft w:val="0"/>
                      <w:marRight w:val="0"/>
                      <w:marTop w:val="0"/>
                      <w:marBottom w:val="0"/>
                      <w:divBdr>
                        <w:top w:val="single" w:sz="2" w:space="0" w:color="E3E3E3"/>
                        <w:left w:val="single" w:sz="2" w:space="0" w:color="E3E3E3"/>
                        <w:bottom w:val="single" w:sz="2" w:space="0" w:color="E3E3E3"/>
                        <w:right w:val="single" w:sz="2" w:space="0" w:color="E3E3E3"/>
                      </w:divBdr>
                      <w:divsChild>
                        <w:div w:id="1188715924">
                          <w:marLeft w:val="0"/>
                          <w:marRight w:val="0"/>
                          <w:marTop w:val="0"/>
                          <w:marBottom w:val="0"/>
                          <w:divBdr>
                            <w:top w:val="single" w:sz="2" w:space="0" w:color="E3E3E3"/>
                            <w:left w:val="single" w:sz="2" w:space="0" w:color="E3E3E3"/>
                            <w:bottom w:val="single" w:sz="2" w:space="0" w:color="E3E3E3"/>
                            <w:right w:val="single" w:sz="2" w:space="0" w:color="E3E3E3"/>
                          </w:divBdr>
                          <w:divsChild>
                            <w:div w:id="474762270">
                              <w:marLeft w:val="0"/>
                              <w:marRight w:val="0"/>
                              <w:marTop w:val="100"/>
                              <w:marBottom w:val="100"/>
                              <w:divBdr>
                                <w:top w:val="single" w:sz="2" w:space="0" w:color="E3E3E3"/>
                                <w:left w:val="single" w:sz="2" w:space="0" w:color="E3E3E3"/>
                                <w:bottom w:val="single" w:sz="2" w:space="0" w:color="E3E3E3"/>
                                <w:right w:val="single" w:sz="2" w:space="0" w:color="E3E3E3"/>
                              </w:divBdr>
                              <w:divsChild>
                                <w:div w:id="1417939889">
                                  <w:marLeft w:val="0"/>
                                  <w:marRight w:val="0"/>
                                  <w:marTop w:val="0"/>
                                  <w:marBottom w:val="0"/>
                                  <w:divBdr>
                                    <w:top w:val="single" w:sz="2" w:space="0" w:color="E3E3E3"/>
                                    <w:left w:val="single" w:sz="2" w:space="0" w:color="E3E3E3"/>
                                    <w:bottom w:val="single" w:sz="2" w:space="0" w:color="E3E3E3"/>
                                    <w:right w:val="single" w:sz="2" w:space="0" w:color="E3E3E3"/>
                                  </w:divBdr>
                                  <w:divsChild>
                                    <w:div w:id="553732910">
                                      <w:marLeft w:val="0"/>
                                      <w:marRight w:val="0"/>
                                      <w:marTop w:val="0"/>
                                      <w:marBottom w:val="0"/>
                                      <w:divBdr>
                                        <w:top w:val="single" w:sz="2" w:space="0" w:color="E3E3E3"/>
                                        <w:left w:val="single" w:sz="2" w:space="0" w:color="E3E3E3"/>
                                        <w:bottom w:val="single" w:sz="2" w:space="0" w:color="E3E3E3"/>
                                        <w:right w:val="single" w:sz="2" w:space="0" w:color="E3E3E3"/>
                                      </w:divBdr>
                                      <w:divsChild>
                                        <w:div w:id="1294291491">
                                          <w:marLeft w:val="0"/>
                                          <w:marRight w:val="0"/>
                                          <w:marTop w:val="0"/>
                                          <w:marBottom w:val="0"/>
                                          <w:divBdr>
                                            <w:top w:val="single" w:sz="2" w:space="0" w:color="E3E3E3"/>
                                            <w:left w:val="single" w:sz="2" w:space="0" w:color="E3E3E3"/>
                                            <w:bottom w:val="single" w:sz="2" w:space="0" w:color="E3E3E3"/>
                                            <w:right w:val="single" w:sz="2" w:space="0" w:color="E3E3E3"/>
                                          </w:divBdr>
                                          <w:divsChild>
                                            <w:div w:id="1879467454">
                                              <w:marLeft w:val="0"/>
                                              <w:marRight w:val="0"/>
                                              <w:marTop w:val="0"/>
                                              <w:marBottom w:val="0"/>
                                              <w:divBdr>
                                                <w:top w:val="single" w:sz="2" w:space="0" w:color="E3E3E3"/>
                                                <w:left w:val="single" w:sz="2" w:space="0" w:color="E3E3E3"/>
                                                <w:bottom w:val="single" w:sz="2" w:space="0" w:color="E3E3E3"/>
                                                <w:right w:val="single" w:sz="2" w:space="0" w:color="E3E3E3"/>
                                              </w:divBdr>
                                              <w:divsChild>
                                                <w:div w:id="1192453870">
                                                  <w:marLeft w:val="0"/>
                                                  <w:marRight w:val="0"/>
                                                  <w:marTop w:val="0"/>
                                                  <w:marBottom w:val="0"/>
                                                  <w:divBdr>
                                                    <w:top w:val="single" w:sz="2" w:space="0" w:color="E3E3E3"/>
                                                    <w:left w:val="single" w:sz="2" w:space="0" w:color="E3E3E3"/>
                                                    <w:bottom w:val="single" w:sz="2" w:space="0" w:color="E3E3E3"/>
                                                    <w:right w:val="single" w:sz="2" w:space="0" w:color="E3E3E3"/>
                                                  </w:divBdr>
                                                  <w:divsChild>
                                                    <w:div w:id="1274364974">
                                                      <w:marLeft w:val="0"/>
                                                      <w:marRight w:val="0"/>
                                                      <w:marTop w:val="0"/>
                                                      <w:marBottom w:val="0"/>
                                                      <w:divBdr>
                                                        <w:top w:val="single" w:sz="2" w:space="2" w:color="E3E3E3"/>
                                                        <w:left w:val="single" w:sz="2" w:space="0" w:color="E3E3E3"/>
                                                        <w:bottom w:val="single" w:sz="2" w:space="0" w:color="E3E3E3"/>
                                                        <w:right w:val="single" w:sz="2" w:space="0" w:color="E3E3E3"/>
                                                      </w:divBdr>
                                                      <w:divsChild>
                                                        <w:div w:id="20709555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70486566">
          <w:marLeft w:val="0"/>
          <w:marRight w:val="0"/>
          <w:marTop w:val="0"/>
          <w:marBottom w:val="0"/>
          <w:divBdr>
            <w:top w:val="none" w:sz="0" w:space="0" w:color="auto"/>
            <w:left w:val="none" w:sz="0" w:space="0" w:color="auto"/>
            <w:bottom w:val="none" w:sz="0" w:space="0" w:color="auto"/>
            <w:right w:val="none" w:sz="0" w:space="0" w:color="auto"/>
          </w:divBdr>
          <w:divsChild>
            <w:div w:id="1440178534">
              <w:marLeft w:val="0"/>
              <w:marRight w:val="0"/>
              <w:marTop w:val="0"/>
              <w:marBottom w:val="0"/>
              <w:divBdr>
                <w:top w:val="single" w:sz="2" w:space="0" w:color="E3E3E3"/>
                <w:left w:val="single" w:sz="2" w:space="0" w:color="E3E3E3"/>
                <w:bottom w:val="single" w:sz="2" w:space="0" w:color="E3E3E3"/>
                <w:right w:val="single" w:sz="2" w:space="0" w:color="E3E3E3"/>
              </w:divBdr>
              <w:divsChild>
                <w:div w:id="2009165160">
                  <w:marLeft w:val="0"/>
                  <w:marRight w:val="0"/>
                  <w:marTop w:val="100"/>
                  <w:marBottom w:val="100"/>
                  <w:divBdr>
                    <w:top w:val="single" w:sz="2" w:space="0" w:color="E3E3E3"/>
                    <w:left w:val="single" w:sz="2" w:space="0" w:color="E3E3E3"/>
                    <w:bottom w:val="single" w:sz="2" w:space="0" w:color="E3E3E3"/>
                    <w:right w:val="single" w:sz="2" w:space="0" w:color="E3E3E3"/>
                  </w:divBdr>
                  <w:divsChild>
                    <w:div w:id="1829132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5538773">
      <w:bodyDiv w:val="1"/>
      <w:marLeft w:val="0"/>
      <w:marRight w:val="0"/>
      <w:marTop w:val="0"/>
      <w:marBottom w:val="0"/>
      <w:divBdr>
        <w:top w:val="none" w:sz="0" w:space="0" w:color="auto"/>
        <w:left w:val="none" w:sz="0" w:space="0" w:color="auto"/>
        <w:bottom w:val="none" w:sz="0" w:space="0" w:color="auto"/>
        <w:right w:val="none" w:sz="0" w:space="0" w:color="auto"/>
      </w:divBdr>
    </w:div>
    <w:div w:id="1182819755">
      <w:bodyDiv w:val="1"/>
      <w:marLeft w:val="0"/>
      <w:marRight w:val="0"/>
      <w:marTop w:val="0"/>
      <w:marBottom w:val="0"/>
      <w:divBdr>
        <w:top w:val="none" w:sz="0" w:space="0" w:color="auto"/>
        <w:left w:val="none" w:sz="0" w:space="0" w:color="auto"/>
        <w:bottom w:val="none" w:sz="0" w:space="0" w:color="auto"/>
        <w:right w:val="none" w:sz="0" w:space="0" w:color="auto"/>
      </w:divBdr>
    </w:div>
    <w:div w:id="1216089748">
      <w:bodyDiv w:val="1"/>
      <w:marLeft w:val="0"/>
      <w:marRight w:val="0"/>
      <w:marTop w:val="0"/>
      <w:marBottom w:val="0"/>
      <w:divBdr>
        <w:top w:val="none" w:sz="0" w:space="0" w:color="auto"/>
        <w:left w:val="none" w:sz="0" w:space="0" w:color="auto"/>
        <w:bottom w:val="none" w:sz="0" w:space="0" w:color="auto"/>
        <w:right w:val="none" w:sz="0" w:space="0" w:color="auto"/>
      </w:divBdr>
    </w:div>
    <w:div w:id="1258252564">
      <w:bodyDiv w:val="1"/>
      <w:marLeft w:val="0"/>
      <w:marRight w:val="0"/>
      <w:marTop w:val="0"/>
      <w:marBottom w:val="0"/>
      <w:divBdr>
        <w:top w:val="none" w:sz="0" w:space="0" w:color="auto"/>
        <w:left w:val="none" w:sz="0" w:space="0" w:color="auto"/>
        <w:bottom w:val="none" w:sz="0" w:space="0" w:color="auto"/>
        <w:right w:val="none" w:sz="0" w:space="0" w:color="auto"/>
      </w:divBdr>
    </w:div>
    <w:div w:id="1473599947">
      <w:bodyDiv w:val="1"/>
      <w:marLeft w:val="0"/>
      <w:marRight w:val="0"/>
      <w:marTop w:val="0"/>
      <w:marBottom w:val="0"/>
      <w:divBdr>
        <w:top w:val="none" w:sz="0" w:space="0" w:color="auto"/>
        <w:left w:val="none" w:sz="0" w:space="0" w:color="auto"/>
        <w:bottom w:val="none" w:sz="0" w:space="0" w:color="auto"/>
        <w:right w:val="none" w:sz="0" w:space="0" w:color="auto"/>
      </w:divBdr>
    </w:div>
    <w:div w:id="1492333169">
      <w:bodyDiv w:val="1"/>
      <w:marLeft w:val="0"/>
      <w:marRight w:val="0"/>
      <w:marTop w:val="0"/>
      <w:marBottom w:val="0"/>
      <w:divBdr>
        <w:top w:val="none" w:sz="0" w:space="0" w:color="auto"/>
        <w:left w:val="none" w:sz="0" w:space="0" w:color="auto"/>
        <w:bottom w:val="none" w:sz="0" w:space="0" w:color="auto"/>
        <w:right w:val="none" w:sz="0" w:space="0" w:color="auto"/>
      </w:divBdr>
    </w:div>
    <w:div w:id="1538273171">
      <w:bodyDiv w:val="1"/>
      <w:marLeft w:val="0"/>
      <w:marRight w:val="0"/>
      <w:marTop w:val="0"/>
      <w:marBottom w:val="0"/>
      <w:divBdr>
        <w:top w:val="none" w:sz="0" w:space="0" w:color="auto"/>
        <w:left w:val="none" w:sz="0" w:space="0" w:color="auto"/>
        <w:bottom w:val="none" w:sz="0" w:space="0" w:color="auto"/>
        <w:right w:val="none" w:sz="0" w:space="0" w:color="auto"/>
      </w:divBdr>
      <w:divsChild>
        <w:div w:id="1553231683">
          <w:marLeft w:val="0"/>
          <w:marRight w:val="0"/>
          <w:marTop w:val="0"/>
          <w:marBottom w:val="0"/>
          <w:divBdr>
            <w:top w:val="none" w:sz="0" w:space="0" w:color="auto"/>
            <w:left w:val="none" w:sz="0" w:space="0" w:color="auto"/>
            <w:bottom w:val="none" w:sz="0" w:space="0" w:color="auto"/>
            <w:right w:val="none" w:sz="0" w:space="0" w:color="auto"/>
          </w:divBdr>
        </w:div>
        <w:div w:id="2037659925">
          <w:marLeft w:val="0"/>
          <w:marRight w:val="0"/>
          <w:marTop w:val="0"/>
          <w:marBottom w:val="0"/>
          <w:divBdr>
            <w:top w:val="none" w:sz="0" w:space="0" w:color="auto"/>
            <w:left w:val="none" w:sz="0" w:space="0" w:color="auto"/>
            <w:bottom w:val="none" w:sz="0" w:space="0" w:color="auto"/>
            <w:right w:val="none" w:sz="0" w:space="0" w:color="auto"/>
          </w:divBdr>
        </w:div>
        <w:div w:id="1783182443">
          <w:marLeft w:val="0"/>
          <w:marRight w:val="0"/>
          <w:marTop w:val="0"/>
          <w:marBottom w:val="0"/>
          <w:divBdr>
            <w:top w:val="none" w:sz="0" w:space="0" w:color="auto"/>
            <w:left w:val="none" w:sz="0" w:space="0" w:color="auto"/>
            <w:bottom w:val="none" w:sz="0" w:space="0" w:color="auto"/>
            <w:right w:val="none" w:sz="0" w:space="0" w:color="auto"/>
          </w:divBdr>
        </w:div>
        <w:div w:id="353919752">
          <w:marLeft w:val="0"/>
          <w:marRight w:val="0"/>
          <w:marTop w:val="0"/>
          <w:marBottom w:val="0"/>
          <w:divBdr>
            <w:top w:val="none" w:sz="0" w:space="0" w:color="auto"/>
            <w:left w:val="none" w:sz="0" w:space="0" w:color="auto"/>
            <w:bottom w:val="none" w:sz="0" w:space="0" w:color="auto"/>
            <w:right w:val="none" w:sz="0" w:space="0" w:color="auto"/>
          </w:divBdr>
        </w:div>
        <w:div w:id="1423917123">
          <w:marLeft w:val="0"/>
          <w:marRight w:val="0"/>
          <w:marTop w:val="0"/>
          <w:marBottom w:val="0"/>
          <w:divBdr>
            <w:top w:val="none" w:sz="0" w:space="0" w:color="auto"/>
            <w:left w:val="none" w:sz="0" w:space="0" w:color="auto"/>
            <w:bottom w:val="none" w:sz="0" w:space="0" w:color="auto"/>
            <w:right w:val="none" w:sz="0" w:space="0" w:color="auto"/>
          </w:divBdr>
        </w:div>
        <w:div w:id="1520503739">
          <w:marLeft w:val="0"/>
          <w:marRight w:val="0"/>
          <w:marTop w:val="0"/>
          <w:marBottom w:val="0"/>
          <w:divBdr>
            <w:top w:val="none" w:sz="0" w:space="0" w:color="auto"/>
            <w:left w:val="none" w:sz="0" w:space="0" w:color="auto"/>
            <w:bottom w:val="none" w:sz="0" w:space="0" w:color="auto"/>
            <w:right w:val="none" w:sz="0" w:space="0" w:color="auto"/>
          </w:divBdr>
        </w:div>
        <w:div w:id="132253737">
          <w:marLeft w:val="0"/>
          <w:marRight w:val="0"/>
          <w:marTop w:val="0"/>
          <w:marBottom w:val="0"/>
          <w:divBdr>
            <w:top w:val="none" w:sz="0" w:space="0" w:color="auto"/>
            <w:left w:val="none" w:sz="0" w:space="0" w:color="auto"/>
            <w:bottom w:val="none" w:sz="0" w:space="0" w:color="auto"/>
            <w:right w:val="none" w:sz="0" w:space="0" w:color="auto"/>
          </w:divBdr>
        </w:div>
        <w:div w:id="395786139">
          <w:marLeft w:val="0"/>
          <w:marRight w:val="0"/>
          <w:marTop w:val="0"/>
          <w:marBottom w:val="0"/>
          <w:divBdr>
            <w:top w:val="none" w:sz="0" w:space="0" w:color="auto"/>
            <w:left w:val="none" w:sz="0" w:space="0" w:color="auto"/>
            <w:bottom w:val="none" w:sz="0" w:space="0" w:color="auto"/>
            <w:right w:val="none" w:sz="0" w:space="0" w:color="auto"/>
          </w:divBdr>
        </w:div>
        <w:div w:id="1595354593">
          <w:marLeft w:val="0"/>
          <w:marRight w:val="0"/>
          <w:marTop w:val="0"/>
          <w:marBottom w:val="0"/>
          <w:divBdr>
            <w:top w:val="none" w:sz="0" w:space="0" w:color="auto"/>
            <w:left w:val="none" w:sz="0" w:space="0" w:color="auto"/>
            <w:bottom w:val="none" w:sz="0" w:space="0" w:color="auto"/>
            <w:right w:val="none" w:sz="0" w:space="0" w:color="auto"/>
          </w:divBdr>
        </w:div>
        <w:div w:id="611404674">
          <w:marLeft w:val="0"/>
          <w:marRight w:val="0"/>
          <w:marTop w:val="0"/>
          <w:marBottom w:val="0"/>
          <w:divBdr>
            <w:top w:val="none" w:sz="0" w:space="0" w:color="auto"/>
            <w:left w:val="none" w:sz="0" w:space="0" w:color="auto"/>
            <w:bottom w:val="none" w:sz="0" w:space="0" w:color="auto"/>
            <w:right w:val="none" w:sz="0" w:space="0" w:color="auto"/>
          </w:divBdr>
        </w:div>
      </w:divsChild>
    </w:div>
    <w:div w:id="1568152604">
      <w:bodyDiv w:val="1"/>
      <w:marLeft w:val="0"/>
      <w:marRight w:val="0"/>
      <w:marTop w:val="0"/>
      <w:marBottom w:val="0"/>
      <w:divBdr>
        <w:top w:val="none" w:sz="0" w:space="0" w:color="auto"/>
        <w:left w:val="none" w:sz="0" w:space="0" w:color="auto"/>
        <w:bottom w:val="none" w:sz="0" w:space="0" w:color="auto"/>
        <w:right w:val="none" w:sz="0" w:space="0" w:color="auto"/>
      </w:divBdr>
    </w:div>
    <w:div w:id="1583878505">
      <w:bodyDiv w:val="1"/>
      <w:marLeft w:val="0"/>
      <w:marRight w:val="0"/>
      <w:marTop w:val="0"/>
      <w:marBottom w:val="0"/>
      <w:divBdr>
        <w:top w:val="none" w:sz="0" w:space="0" w:color="auto"/>
        <w:left w:val="none" w:sz="0" w:space="0" w:color="auto"/>
        <w:bottom w:val="none" w:sz="0" w:space="0" w:color="auto"/>
        <w:right w:val="none" w:sz="0" w:space="0" w:color="auto"/>
      </w:divBdr>
    </w:div>
    <w:div w:id="1589728670">
      <w:bodyDiv w:val="1"/>
      <w:marLeft w:val="0"/>
      <w:marRight w:val="0"/>
      <w:marTop w:val="0"/>
      <w:marBottom w:val="0"/>
      <w:divBdr>
        <w:top w:val="none" w:sz="0" w:space="0" w:color="auto"/>
        <w:left w:val="none" w:sz="0" w:space="0" w:color="auto"/>
        <w:bottom w:val="none" w:sz="0" w:space="0" w:color="auto"/>
        <w:right w:val="none" w:sz="0" w:space="0" w:color="auto"/>
      </w:divBdr>
    </w:div>
    <w:div w:id="1593926995">
      <w:bodyDiv w:val="1"/>
      <w:marLeft w:val="0"/>
      <w:marRight w:val="0"/>
      <w:marTop w:val="0"/>
      <w:marBottom w:val="0"/>
      <w:divBdr>
        <w:top w:val="none" w:sz="0" w:space="0" w:color="auto"/>
        <w:left w:val="none" w:sz="0" w:space="0" w:color="auto"/>
        <w:bottom w:val="none" w:sz="0" w:space="0" w:color="auto"/>
        <w:right w:val="none" w:sz="0" w:space="0" w:color="auto"/>
      </w:divBdr>
    </w:div>
    <w:div w:id="1619213815">
      <w:bodyDiv w:val="1"/>
      <w:marLeft w:val="0"/>
      <w:marRight w:val="0"/>
      <w:marTop w:val="0"/>
      <w:marBottom w:val="0"/>
      <w:divBdr>
        <w:top w:val="none" w:sz="0" w:space="0" w:color="auto"/>
        <w:left w:val="none" w:sz="0" w:space="0" w:color="auto"/>
        <w:bottom w:val="none" w:sz="0" w:space="0" w:color="auto"/>
        <w:right w:val="none" w:sz="0" w:space="0" w:color="auto"/>
      </w:divBdr>
      <w:divsChild>
        <w:div w:id="813647285">
          <w:marLeft w:val="0"/>
          <w:marRight w:val="0"/>
          <w:marTop w:val="0"/>
          <w:marBottom w:val="0"/>
          <w:divBdr>
            <w:top w:val="none" w:sz="0" w:space="0" w:color="auto"/>
            <w:left w:val="none" w:sz="0" w:space="0" w:color="auto"/>
            <w:bottom w:val="none" w:sz="0" w:space="0" w:color="auto"/>
            <w:right w:val="none" w:sz="0" w:space="0" w:color="auto"/>
          </w:divBdr>
          <w:divsChild>
            <w:div w:id="1302617566">
              <w:marLeft w:val="0"/>
              <w:marRight w:val="0"/>
              <w:marTop w:val="0"/>
              <w:marBottom w:val="0"/>
              <w:divBdr>
                <w:top w:val="none" w:sz="0" w:space="0" w:color="auto"/>
                <w:left w:val="none" w:sz="0" w:space="0" w:color="auto"/>
                <w:bottom w:val="none" w:sz="0" w:space="0" w:color="auto"/>
                <w:right w:val="none" w:sz="0" w:space="0" w:color="auto"/>
              </w:divBdr>
              <w:divsChild>
                <w:div w:id="929437156">
                  <w:marLeft w:val="0"/>
                  <w:marRight w:val="0"/>
                  <w:marTop w:val="0"/>
                  <w:marBottom w:val="0"/>
                  <w:divBdr>
                    <w:top w:val="none" w:sz="0" w:space="0" w:color="auto"/>
                    <w:left w:val="none" w:sz="0" w:space="0" w:color="auto"/>
                    <w:bottom w:val="none" w:sz="0" w:space="0" w:color="auto"/>
                    <w:right w:val="none" w:sz="0" w:space="0" w:color="auto"/>
                  </w:divBdr>
                  <w:divsChild>
                    <w:div w:id="1029448608">
                      <w:marLeft w:val="0"/>
                      <w:marRight w:val="0"/>
                      <w:marTop w:val="0"/>
                      <w:marBottom w:val="0"/>
                      <w:divBdr>
                        <w:top w:val="none" w:sz="0" w:space="0" w:color="auto"/>
                        <w:left w:val="none" w:sz="0" w:space="0" w:color="auto"/>
                        <w:bottom w:val="none" w:sz="0" w:space="0" w:color="auto"/>
                        <w:right w:val="none" w:sz="0" w:space="0" w:color="auto"/>
                      </w:divBdr>
                      <w:divsChild>
                        <w:div w:id="184052515">
                          <w:marLeft w:val="0"/>
                          <w:marRight w:val="0"/>
                          <w:marTop w:val="0"/>
                          <w:marBottom w:val="0"/>
                          <w:divBdr>
                            <w:top w:val="none" w:sz="0" w:space="0" w:color="auto"/>
                            <w:left w:val="none" w:sz="0" w:space="0" w:color="auto"/>
                            <w:bottom w:val="none" w:sz="0" w:space="0" w:color="auto"/>
                            <w:right w:val="none" w:sz="0" w:space="0" w:color="auto"/>
                          </w:divBdr>
                          <w:divsChild>
                            <w:div w:id="308288207">
                              <w:marLeft w:val="0"/>
                              <w:marRight w:val="0"/>
                              <w:marTop w:val="0"/>
                              <w:marBottom w:val="0"/>
                              <w:divBdr>
                                <w:top w:val="none" w:sz="0" w:space="0" w:color="auto"/>
                                <w:left w:val="none" w:sz="0" w:space="0" w:color="auto"/>
                                <w:bottom w:val="none" w:sz="0" w:space="0" w:color="auto"/>
                                <w:right w:val="none" w:sz="0" w:space="0" w:color="auto"/>
                              </w:divBdr>
                              <w:divsChild>
                                <w:div w:id="1088695473">
                                  <w:marLeft w:val="0"/>
                                  <w:marRight w:val="0"/>
                                  <w:marTop w:val="0"/>
                                  <w:marBottom w:val="0"/>
                                  <w:divBdr>
                                    <w:top w:val="none" w:sz="0" w:space="0" w:color="auto"/>
                                    <w:left w:val="none" w:sz="0" w:space="0" w:color="auto"/>
                                    <w:bottom w:val="none" w:sz="0" w:space="0" w:color="auto"/>
                                    <w:right w:val="none" w:sz="0" w:space="0" w:color="auto"/>
                                  </w:divBdr>
                                  <w:divsChild>
                                    <w:div w:id="192356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865398">
                          <w:marLeft w:val="0"/>
                          <w:marRight w:val="0"/>
                          <w:marTop w:val="0"/>
                          <w:marBottom w:val="0"/>
                          <w:divBdr>
                            <w:top w:val="none" w:sz="0" w:space="0" w:color="auto"/>
                            <w:left w:val="none" w:sz="0" w:space="0" w:color="auto"/>
                            <w:bottom w:val="none" w:sz="0" w:space="0" w:color="auto"/>
                            <w:right w:val="none" w:sz="0" w:space="0" w:color="auto"/>
                          </w:divBdr>
                          <w:divsChild>
                            <w:div w:id="1575235753">
                              <w:marLeft w:val="0"/>
                              <w:marRight w:val="0"/>
                              <w:marTop w:val="0"/>
                              <w:marBottom w:val="0"/>
                              <w:divBdr>
                                <w:top w:val="none" w:sz="0" w:space="0" w:color="auto"/>
                                <w:left w:val="none" w:sz="0" w:space="0" w:color="auto"/>
                                <w:bottom w:val="none" w:sz="0" w:space="0" w:color="auto"/>
                                <w:right w:val="none" w:sz="0" w:space="0" w:color="auto"/>
                              </w:divBdr>
                              <w:divsChild>
                                <w:div w:id="1020544337">
                                  <w:marLeft w:val="0"/>
                                  <w:marRight w:val="0"/>
                                  <w:marTop w:val="0"/>
                                  <w:marBottom w:val="0"/>
                                  <w:divBdr>
                                    <w:top w:val="none" w:sz="0" w:space="0" w:color="auto"/>
                                    <w:left w:val="none" w:sz="0" w:space="0" w:color="auto"/>
                                    <w:bottom w:val="none" w:sz="0" w:space="0" w:color="auto"/>
                                    <w:right w:val="none" w:sz="0" w:space="0" w:color="auto"/>
                                  </w:divBdr>
                                  <w:divsChild>
                                    <w:div w:id="12345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161044">
          <w:marLeft w:val="0"/>
          <w:marRight w:val="0"/>
          <w:marTop w:val="0"/>
          <w:marBottom w:val="0"/>
          <w:divBdr>
            <w:top w:val="none" w:sz="0" w:space="0" w:color="auto"/>
            <w:left w:val="none" w:sz="0" w:space="0" w:color="auto"/>
            <w:bottom w:val="none" w:sz="0" w:space="0" w:color="auto"/>
            <w:right w:val="none" w:sz="0" w:space="0" w:color="auto"/>
          </w:divBdr>
          <w:divsChild>
            <w:div w:id="668944736">
              <w:marLeft w:val="0"/>
              <w:marRight w:val="0"/>
              <w:marTop w:val="0"/>
              <w:marBottom w:val="0"/>
              <w:divBdr>
                <w:top w:val="none" w:sz="0" w:space="0" w:color="auto"/>
                <w:left w:val="none" w:sz="0" w:space="0" w:color="auto"/>
                <w:bottom w:val="none" w:sz="0" w:space="0" w:color="auto"/>
                <w:right w:val="none" w:sz="0" w:space="0" w:color="auto"/>
              </w:divBdr>
              <w:divsChild>
                <w:div w:id="397368347">
                  <w:marLeft w:val="0"/>
                  <w:marRight w:val="0"/>
                  <w:marTop w:val="0"/>
                  <w:marBottom w:val="0"/>
                  <w:divBdr>
                    <w:top w:val="none" w:sz="0" w:space="0" w:color="auto"/>
                    <w:left w:val="none" w:sz="0" w:space="0" w:color="auto"/>
                    <w:bottom w:val="none" w:sz="0" w:space="0" w:color="auto"/>
                    <w:right w:val="none" w:sz="0" w:space="0" w:color="auto"/>
                  </w:divBdr>
                  <w:divsChild>
                    <w:div w:id="40131858">
                      <w:marLeft w:val="0"/>
                      <w:marRight w:val="0"/>
                      <w:marTop w:val="0"/>
                      <w:marBottom w:val="0"/>
                      <w:divBdr>
                        <w:top w:val="none" w:sz="0" w:space="0" w:color="auto"/>
                        <w:left w:val="none" w:sz="0" w:space="0" w:color="auto"/>
                        <w:bottom w:val="none" w:sz="0" w:space="0" w:color="auto"/>
                        <w:right w:val="none" w:sz="0" w:space="0" w:color="auto"/>
                      </w:divBdr>
                      <w:divsChild>
                        <w:div w:id="1441418509">
                          <w:marLeft w:val="0"/>
                          <w:marRight w:val="0"/>
                          <w:marTop w:val="0"/>
                          <w:marBottom w:val="0"/>
                          <w:divBdr>
                            <w:top w:val="none" w:sz="0" w:space="0" w:color="auto"/>
                            <w:left w:val="none" w:sz="0" w:space="0" w:color="auto"/>
                            <w:bottom w:val="none" w:sz="0" w:space="0" w:color="auto"/>
                            <w:right w:val="none" w:sz="0" w:space="0" w:color="auto"/>
                          </w:divBdr>
                          <w:divsChild>
                            <w:div w:id="1676180741">
                              <w:marLeft w:val="0"/>
                              <w:marRight w:val="0"/>
                              <w:marTop w:val="0"/>
                              <w:marBottom w:val="0"/>
                              <w:divBdr>
                                <w:top w:val="none" w:sz="0" w:space="0" w:color="auto"/>
                                <w:left w:val="none" w:sz="0" w:space="0" w:color="auto"/>
                                <w:bottom w:val="none" w:sz="0" w:space="0" w:color="auto"/>
                                <w:right w:val="none" w:sz="0" w:space="0" w:color="auto"/>
                              </w:divBdr>
                              <w:divsChild>
                                <w:div w:id="1967737006">
                                  <w:marLeft w:val="0"/>
                                  <w:marRight w:val="0"/>
                                  <w:marTop w:val="0"/>
                                  <w:marBottom w:val="0"/>
                                  <w:divBdr>
                                    <w:top w:val="none" w:sz="0" w:space="0" w:color="auto"/>
                                    <w:left w:val="none" w:sz="0" w:space="0" w:color="auto"/>
                                    <w:bottom w:val="none" w:sz="0" w:space="0" w:color="auto"/>
                                    <w:right w:val="none" w:sz="0" w:space="0" w:color="auto"/>
                                  </w:divBdr>
                                  <w:divsChild>
                                    <w:div w:id="1862740774">
                                      <w:marLeft w:val="0"/>
                                      <w:marRight w:val="0"/>
                                      <w:marTop w:val="0"/>
                                      <w:marBottom w:val="0"/>
                                      <w:divBdr>
                                        <w:top w:val="none" w:sz="0" w:space="0" w:color="auto"/>
                                        <w:left w:val="none" w:sz="0" w:space="0" w:color="auto"/>
                                        <w:bottom w:val="none" w:sz="0" w:space="0" w:color="auto"/>
                                        <w:right w:val="none" w:sz="0" w:space="0" w:color="auto"/>
                                      </w:divBdr>
                                      <w:divsChild>
                                        <w:div w:id="151522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159028">
          <w:marLeft w:val="0"/>
          <w:marRight w:val="0"/>
          <w:marTop w:val="0"/>
          <w:marBottom w:val="0"/>
          <w:divBdr>
            <w:top w:val="none" w:sz="0" w:space="0" w:color="auto"/>
            <w:left w:val="none" w:sz="0" w:space="0" w:color="auto"/>
            <w:bottom w:val="none" w:sz="0" w:space="0" w:color="auto"/>
            <w:right w:val="none" w:sz="0" w:space="0" w:color="auto"/>
          </w:divBdr>
          <w:divsChild>
            <w:div w:id="806438830">
              <w:marLeft w:val="0"/>
              <w:marRight w:val="0"/>
              <w:marTop w:val="0"/>
              <w:marBottom w:val="0"/>
              <w:divBdr>
                <w:top w:val="none" w:sz="0" w:space="0" w:color="auto"/>
                <w:left w:val="none" w:sz="0" w:space="0" w:color="auto"/>
                <w:bottom w:val="none" w:sz="0" w:space="0" w:color="auto"/>
                <w:right w:val="none" w:sz="0" w:space="0" w:color="auto"/>
              </w:divBdr>
              <w:divsChild>
                <w:div w:id="2093315863">
                  <w:marLeft w:val="0"/>
                  <w:marRight w:val="0"/>
                  <w:marTop w:val="0"/>
                  <w:marBottom w:val="0"/>
                  <w:divBdr>
                    <w:top w:val="none" w:sz="0" w:space="0" w:color="auto"/>
                    <w:left w:val="none" w:sz="0" w:space="0" w:color="auto"/>
                    <w:bottom w:val="none" w:sz="0" w:space="0" w:color="auto"/>
                    <w:right w:val="none" w:sz="0" w:space="0" w:color="auto"/>
                  </w:divBdr>
                  <w:divsChild>
                    <w:div w:id="666442850">
                      <w:marLeft w:val="0"/>
                      <w:marRight w:val="0"/>
                      <w:marTop w:val="0"/>
                      <w:marBottom w:val="0"/>
                      <w:divBdr>
                        <w:top w:val="none" w:sz="0" w:space="0" w:color="auto"/>
                        <w:left w:val="none" w:sz="0" w:space="0" w:color="auto"/>
                        <w:bottom w:val="none" w:sz="0" w:space="0" w:color="auto"/>
                        <w:right w:val="none" w:sz="0" w:space="0" w:color="auto"/>
                      </w:divBdr>
                      <w:divsChild>
                        <w:div w:id="1573463387">
                          <w:marLeft w:val="0"/>
                          <w:marRight w:val="0"/>
                          <w:marTop w:val="0"/>
                          <w:marBottom w:val="0"/>
                          <w:divBdr>
                            <w:top w:val="none" w:sz="0" w:space="0" w:color="auto"/>
                            <w:left w:val="none" w:sz="0" w:space="0" w:color="auto"/>
                            <w:bottom w:val="none" w:sz="0" w:space="0" w:color="auto"/>
                            <w:right w:val="none" w:sz="0" w:space="0" w:color="auto"/>
                          </w:divBdr>
                          <w:divsChild>
                            <w:div w:id="2139033093">
                              <w:marLeft w:val="0"/>
                              <w:marRight w:val="0"/>
                              <w:marTop w:val="0"/>
                              <w:marBottom w:val="0"/>
                              <w:divBdr>
                                <w:top w:val="none" w:sz="0" w:space="0" w:color="auto"/>
                                <w:left w:val="none" w:sz="0" w:space="0" w:color="auto"/>
                                <w:bottom w:val="none" w:sz="0" w:space="0" w:color="auto"/>
                                <w:right w:val="none" w:sz="0" w:space="0" w:color="auto"/>
                              </w:divBdr>
                              <w:divsChild>
                                <w:div w:id="99565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068715">
                  <w:marLeft w:val="0"/>
                  <w:marRight w:val="0"/>
                  <w:marTop w:val="0"/>
                  <w:marBottom w:val="0"/>
                  <w:divBdr>
                    <w:top w:val="none" w:sz="0" w:space="0" w:color="auto"/>
                    <w:left w:val="none" w:sz="0" w:space="0" w:color="auto"/>
                    <w:bottom w:val="none" w:sz="0" w:space="0" w:color="auto"/>
                    <w:right w:val="none" w:sz="0" w:space="0" w:color="auto"/>
                  </w:divBdr>
                  <w:divsChild>
                    <w:div w:id="1450009119">
                      <w:marLeft w:val="0"/>
                      <w:marRight w:val="0"/>
                      <w:marTop w:val="0"/>
                      <w:marBottom w:val="0"/>
                      <w:divBdr>
                        <w:top w:val="none" w:sz="0" w:space="0" w:color="auto"/>
                        <w:left w:val="none" w:sz="0" w:space="0" w:color="auto"/>
                        <w:bottom w:val="none" w:sz="0" w:space="0" w:color="auto"/>
                        <w:right w:val="none" w:sz="0" w:space="0" w:color="auto"/>
                      </w:divBdr>
                      <w:divsChild>
                        <w:div w:id="1464345064">
                          <w:marLeft w:val="0"/>
                          <w:marRight w:val="0"/>
                          <w:marTop w:val="0"/>
                          <w:marBottom w:val="0"/>
                          <w:divBdr>
                            <w:top w:val="none" w:sz="0" w:space="0" w:color="auto"/>
                            <w:left w:val="none" w:sz="0" w:space="0" w:color="auto"/>
                            <w:bottom w:val="none" w:sz="0" w:space="0" w:color="auto"/>
                            <w:right w:val="none" w:sz="0" w:space="0" w:color="auto"/>
                          </w:divBdr>
                          <w:divsChild>
                            <w:div w:id="1196236958">
                              <w:marLeft w:val="0"/>
                              <w:marRight w:val="0"/>
                              <w:marTop w:val="0"/>
                              <w:marBottom w:val="0"/>
                              <w:divBdr>
                                <w:top w:val="none" w:sz="0" w:space="0" w:color="auto"/>
                                <w:left w:val="none" w:sz="0" w:space="0" w:color="auto"/>
                                <w:bottom w:val="none" w:sz="0" w:space="0" w:color="auto"/>
                                <w:right w:val="none" w:sz="0" w:space="0" w:color="auto"/>
                              </w:divBdr>
                              <w:divsChild>
                                <w:div w:id="1847866580">
                                  <w:marLeft w:val="0"/>
                                  <w:marRight w:val="0"/>
                                  <w:marTop w:val="0"/>
                                  <w:marBottom w:val="0"/>
                                  <w:divBdr>
                                    <w:top w:val="none" w:sz="0" w:space="0" w:color="auto"/>
                                    <w:left w:val="none" w:sz="0" w:space="0" w:color="auto"/>
                                    <w:bottom w:val="none" w:sz="0" w:space="0" w:color="auto"/>
                                    <w:right w:val="none" w:sz="0" w:space="0" w:color="auto"/>
                                  </w:divBdr>
                                  <w:divsChild>
                                    <w:div w:id="128144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2225551">
      <w:bodyDiv w:val="1"/>
      <w:marLeft w:val="0"/>
      <w:marRight w:val="0"/>
      <w:marTop w:val="0"/>
      <w:marBottom w:val="0"/>
      <w:divBdr>
        <w:top w:val="none" w:sz="0" w:space="0" w:color="auto"/>
        <w:left w:val="none" w:sz="0" w:space="0" w:color="auto"/>
        <w:bottom w:val="none" w:sz="0" w:space="0" w:color="auto"/>
        <w:right w:val="none" w:sz="0" w:space="0" w:color="auto"/>
      </w:divBdr>
    </w:div>
    <w:div w:id="1642423216">
      <w:bodyDiv w:val="1"/>
      <w:marLeft w:val="0"/>
      <w:marRight w:val="0"/>
      <w:marTop w:val="0"/>
      <w:marBottom w:val="0"/>
      <w:divBdr>
        <w:top w:val="none" w:sz="0" w:space="0" w:color="auto"/>
        <w:left w:val="none" w:sz="0" w:space="0" w:color="auto"/>
        <w:bottom w:val="none" w:sz="0" w:space="0" w:color="auto"/>
        <w:right w:val="none" w:sz="0" w:space="0" w:color="auto"/>
      </w:divBdr>
    </w:div>
    <w:div w:id="1643775035">
      <w:bodyDiv w:val="1"/>
      <w:marLeft w:val="0"/>
      <w:marRight w:val="0"/>
      <w:marTop w:val="0"/>
      <w:marBottom w:val="0"/>
      <w:divBdr>
        <w:top w:val="none" w:sz="0" w:space="0" w:color="auto"/>
        <w:left w:val="none" w:sz="0" w:space="0" w:color="auto"/>
        <w:bottom w:val="none" w:sz="0" w:space="0" w:color="auto"/>
        <w:right w:val="none" w:sz="0" w:space="0" w:color="auto"/>
      </w:divBdr>
    </w:div>
    <w:div w:id="1678773126">
      <w:bodyDiv w:val="1"/>
      <w:marLeft w:val="0"/>
      <w:marRight w:val="0"/>
      <w:marTop w:val="0"/>
      <w:marBottom w:val="0"/>
      <w:divBdr>
        <w:top w:val="none" w:sz="0" w:space="0" w:color="auto"/>
        <w:left w:val="none" w:sz="0" w:space="0" w:color="auto"/>
        <w:bottom w:val="none" w:sz="0" w:space="0" w:color="auto"/>
        <w:right w:val="none" w:sz="0" w:space="0" w:color="auto"/>
      </w:divBdr>
    </w:div>
    <w:div w:id="1683505472">
      <w:bodyDiv w:val="1"/>
      <w:marLeft w:val="0"/>
      <w:marRight w:val="0"/>
      <w:marTop w:val="0"/>
      <w:marBottom w:val="0"/>
      <w:divBdr>
        <w:top w:val="none" w:sz="0" w:space="0" w:color="auto"/>
        <w:left w:val="none" w:sz="0" w:space="0" w:color="auto"/>
        <w:bottom w:val="none" w:sz="0" w:space="0" w:color="auto"/>
        <w:right w:val="none" w:sz="0" w:space="0" w:color="auto"/>
      </w:divBdr>
    </w:div>
    <w:div w:id="1726758405">
      <w:bodyDiv w:val="1"/>
      <w:marLeft w:val="0"/>
      <w:marRight w:val="0"/>
      <w:marTop w:val="0"/>
      <w:marBottom w:val="0"/>
      <w:divBdr>
        <w:top w:val="none" w:sz="0" w:space="0" w:color="auto"/>
        <w:left w:val="none" w:sz="0" w:space="0" w:color="auto"/>
        <w:bottom w:val="none" w:sz="0" w:space="0" w:color="auto"/>
        <w:right w:val="none" w:sz="0" w:space="0" w:color="auto"/>
      </w:divBdr>
    </w:div>
    <w:div w:id="1810710223">
      <w:bodyDiv w:val="1"/>
      <w:marLeft w:val="0"/>
      <w:marRight w:val="0"/>
      <w:marTop w:val="0"/>
      <w:marBottom w:val="0"/>
      <w:divBdr>
        <w:top w:val="none" w:sz="0" w:space="0" w:color="auto"/>
        <w:left w:val="none" w:sz="0" w:space="0" w:color="auto"/>
        <w:bottom w:val="none" w:sz="0" w:space="0" w:color="auto"/>
        <w:right w:val="none" w:sz="0" w:space="0" w:color="auto"/>
      </w:divBdr>
    </w:div>
    <w:div w:id="1820875483">
      <w:bodyDiv w:val="1"/>
      <w:marLeft w:val="0"/>
      <w:marRight w:val="0"/>
      <w:marTop w:val="0"/>
      <w:marBottom w:val="0"/>
      <w:divBdr>
        <w:top w:val="none" w:sz="0" w:space="0" w:color="auto"/>
        <w:left w:val="none" w:sz="0" w:space="0" w:color="auto"/>
        <w:bottom w:val="none" w:sz="0" w:space="0" w:color="auto"/>
        <w:right w:val="none" w:sz="0" w:space="0" w:color="auto"/>
      </w:divBdr>
    </w:div>
    <w:div w:id="1863736834">
      <w:bodyDiv w:val="1"/>
      <w:marLeft w:val="0"/>
      <w:marRight w:val="0"/>
      <w:marTop w:val="0"/>
      <w:marBottom w:val="0"/>
      <w:divBdr>
        <w:top w:val="none" w:sz="0" w:space="0" w:color="auto"/>
        <w:left w:val="none" w:sz="0" w:space="0" w:color="auto"/>
        <w:bottom w:val="none" w:sz="0" w:space="0" w:color="auto"/>
        <w:right w:val="none" w:sz="0" w:space="0" w:color="auto"/>
      </w:divBdr>
    </w:div>
    <w:div w:id="1923686230">
      <w:bodyDiv w:val="1"/>
      <w:marLeft w:val="0"/>
      <w:marRight w:val="0"/>
      <w:marTop w:val="0"/>
      <w:marBottom w:val="0"/>
      <w:divBdr>
        <w:top w:val="none" w:sz="0" w:space="0" w:color="auto"/>
        <w:left w:val="none" w:sz="0" w:space="0" w:color="auto"/>
        <w:bottom w:val="none" w:sz="0" w:space="0" w:color="auto"/>
        <w:right w:val="none" w:sz="0" w:space="0" w:color="auto"/>
      </w:divBdr>
    </w:div>
    <w:div w:id="1995407343">
      <w:bodyDiv w:val="1"/>
      <w:marLeft w:val="0"/>
      <w:marRight w:val="0"/>
      <w:marTop w:val="0"/>
      <w:marBottom w:val="0"/>
      <w:divBdr>
        <w:top w:val="none" w:sz="0" w:space="0" w:color="auto"/>
        <w:left w:val="none" w:sz="0" w:space="0" w:color="auto"/>
        <w:bottom w:val="none" w:sz="0" w:space="0" w:color="auto"/>
        <w:right w:val="none" w:sz="0" w:space="0" w:color="auto"/>
      </w:divBdr>
    </w:div>
    <w:div w:id="2040161794">
      <w:bodyDiv w:val="1"/>
      <w:marLeft w:val="0"/>
      <w:marRight w:val="0"/>
      <w:marTop w:val="0"/>
      <w:marBottom w:val="0"/>
      <w:divBdr>
        <w:top w:val="none" w:sz="0" w:space="0" w:color="auto"/>
        <w:left w:val="none" w:sz="0" w:space="0" w:color="auto"/>
        <w:bottom w:val="none" w:sz="0" w:space="0" w:color="auto"/>
        <w:right w:val="none" w:sz="0" w:space="0" w:color="auto"/>
      </w:divBdr>
    </w:div>
    <w:div w:id="2041975242">
      <w:bodyDiv w:val="1"/>
      <w:marLeft w:val="0"/>
      <w:marRight w:val="0"/>
      <w:marTop w:val="0"/>
      <w:marBottom w:val="0"/>
      <w:divBdr>
        <w:top w:val="none" w:sz="0" w:space="0" w:color="auto"/>
        <w:left w:val="none" w:sz="0" w:space="0" w:color="auto"/>
        <w:bottom w:val="none" w:sz="0" w:space="0" w:color="auto"/>
        <w:right w:val="none" w:sz="0" w:space="0" w:color="auto"/>
      </w:divBdr>
    </w:div>
    <w:div w:id="2046059219">
      <w:bodyDiv w:val="1"/>
      <w:marLeft w:val="0"/>
      <w:marRight w:val="0"/>
      <w:marTop w:val="0"/>
      <w:marBottom w:val="0"/>
      <w:divBdr>
        <w:top w:val="none" w:sz="0" w:space="0" w:color="auto"/>
        <w:left w:val="none" w:sz="0" w:space="0" w:color="auto"/>
        <w:bottom w:val="none" w:sz="0" w:space="0" w:color="auto"/>
        <w:right w:val="none" w:sz="0" w:space="0" w:color="auto"/>
      </w:divBdr>
    </w:div>
    <w:div w:id="2098162684">
      <w:bodyDiv w:val="1"/>
      <w:marLeft w:val="0"/>
      <w:marRight w:val="0"/>
      <w:marTop w:val="0"/>
      <w:marBottom w:val="0"/>
      <w:divBdr>
        <w:top w:val="none" w:sz="0" w:space="0" w:color="auto"/>
        <w:left w:val="none" w:sz="0" w:space="0" w:color="auto"/>
        <w:bottom w:val="none" w:sz="0" w:space="0" w:color="auto"/>
        <w:right w:val="none" w:sz="0" w:space="0" w:color="auto"/>
      </w:divBdr>
    </w:div>
    <w:div w:id="214388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eps.2021.101102" TargetMode="External"/><Relationship Id="rId18" Type="http://schemas.openxmlformats.org/officeDocument/2006/relationships/hyperlink" Target="http://www.apa.org/topics/socioeconomic/status/" TargetMode="External"/><Relationship Id="rId26" Type="http://schemas.openxmlformats.org/officeDocument/2006/relationships/hyperlink" Target="https://doi.org/10.1007/978-3-030-11991-1_1" TargetMode="External"/><Relationship Id="rId39" Type="http://schemas.openxmlformats.org/officeDocument/2006/relationships/hyperlink" Target="https://www.hesa.ac.uk/news/18-04-2023/ah2304-degree-attainment-socioeconomic-background" TargetMode="External"/><Relationship Id="rId21" Type="http://schemas.openxmlformats.org/officeDocument/2006/relationships/hyperlink" Target="https://doi.org/10.1007/s10805-024-09590-z" TargetMode="External"/><Relationship Id="rId34" Type="http://schemas.openxmlformats.org/officeDocument/2006/relationships/hyperlink" Target="https://doi.org/10.1177/002795010419000108" TargetMode="External"/><Relationship Id="rId42" Type="http://schemas.openxmlformats.org/officeDocument/2006/relationships/hyperlink" Target="https://doi.org/10.5430/ijhe.v6n5p26" TargetMode="External"/><Relationship Id="rId47" Type="http://schemas.openxmlformats.org/officeDocument/2006/relationships/hyperlink" Target="https://www.oecd.org/en/about/projects/strengthening-the-impact-of-education-research.html" TargetMode="External"/><Relationship Id="rId50" Type="http://schemas.openxmlformats.org/officeDocument/2006/relationships/hyperlink" Target="https://doi.org/10.9790/1959-0904033840" TargetMode="External"/><Relationship Id="rId55" Type="http://schemas.openxmlformats.org/officeDocument/2006/relationships/hyperlink" Target="https://doi.org/10.1136/gpsych-2023-101455"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fs.org.uk/journals/link-between-household-income-university-applications-and-university-attendance" TargetMode="External"/><Relationship Id="rId29" Type="http://schemas.openxmlformats.org/officeDocument/2006/relationships/hyperlink" Target="https://ifs.org.uk/sites/default/files/output_url_files/WP201431.pdf" TargetMode="External"/><Relationship Id="rId11" Type="http://schemas.openxmlformats.org/officeDocument/2006/relationships/image" Target="media/image1.png"/><Relationship Id="rId24" Type="http://schemas.openxmlformats.org/officeDocument/2006/relationships/hyperlink" Target="https://ifs.org.uk/sites/default/files/2023-01/WP202306-Can-higher-education-policy-boost-intergenerational-mobility-evidence-from-an-empirical-matching-model.pdf" TargetMode="External"/><Relationship Id="rId32" Type="http://schemas.openxmlformats.org/officeDocument/2006/relationships/hyperlink" Target="https://doi.org/10.1002/rev3.3175" TargetMode="External"/><Relationship Id="rId37" Type="http://schemas.openxmlformats.org/officeDocument/2006/relationships/hyperlink" Target="https://doi.org/10.1002/berj.3309" TargetMode="External"/><Relationship Id="rId40" Type="http://schemas.openxmlformats.org/officeDocument/2006/relationships/hyperlink" Target="https://ifs.org.uk/articles/uk-education-system-preserves-inequality-new-report" TargetMode="External"/><Relationship Id="rId45" Type="http://schemas.openxmlformats.org/officeDocument/2006/relationships/hyperlink" Target="https://doi.org/10.1093/oxfordhb/9780195301700.001.0001" TargetMode="External"/><Relationship Id="rId53" Type="http://schemas.openxmlformats.org/officeDocument/2006/relationships/hyperlink" Target="https://doi.org/10.1007/s10648-024-09929-3"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doi.org/10.5456/wpll.26.2.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3756/sp.v8i1.500" TargetMode="External"/><Relationship Id="rId22" Type="http://schemas.openxmlformats.org/officeDocument/2006/relationships/hyperlink" Target="https://researchbriefings.files.parliament.uk/documents/CBP-9195/CBP-9195.pdf" TargetMode="External"/><Relationship Id="rId27" Type="http://schemas.openxmlformats.org/officeDocument/2006/relationships/hyperlink" Target="https://doi.org/10.1093/qje/qjaa005" TargetMode="External"/><Relationship Id="rId30" Type="http://schemas.openxmlformats.org/officeDocument/2006/relationships/hyperlink" Target="https://doi.org/10.1093/oxrep/grw030" TargetMode="External"/><Relationship Id="rId35" Type="http://schemas.openxmlformats.org/officeDocument/2006/relationships/hyperlink" Target="https://doi.org/10.1136/bmjopen-2021-060229" TargetMode="External"/><Relationship Id="rId43" Type="http://schemas.openxmlformats.org/officeDocument/2006/relationships/hyperlink" Target="https://doi.org/10.1111/j.1468-4446.2008.00200.x" TargetMode="External"/><Relationship Id="rId48" Type="http://schemas.openxmlformats.org/officeDocument/2006/relationships/hyperlink" Target="https://doi.org/10.1177/152692480101100401"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doi.org/10.1111/ejed.12438" TargetMode="External"/><Relationship Id="rId3" Type="http://schemas.openxmlformats.org/officeDocument/2006/relationships/customXml" Target="../customXml/item3.xml"/><Relationship Id="rId12" Type="http://schemas.openxmlformats.org/officeDocument/2006/relationships/hyperlink" Target="https://doi.org/10.1136/bmjopen-2016-012750" TargetMode="External"/><Relationship Id="rId17" Type="http://schemas.openxmlformats.org/officeDocument/2006/relationships/hyperlink" Target="http://discovery.ucl.ac.uk/10038225/1/subjectchoicereport.pdf" TargetMode="External"/><Relationship Id="rId25" Type="http://schemas.openxmlformats.org/officeDocument/2006/relationships/hyperlink" Target="https://doi.org/10.1007/978-3-030-11991-1_2" TargetMode="External"/><Relationship Id="rId33" Type="http://schemas.openxmlformats.org/officeDocument/2006/relationships/hyperlink" Target="https://doi.org/10.4324/9780429056796-5" TargetMode="External"/><Relationship Id="rId38" Type="http://schemas.openxmlformats.org/officeDocument/2006/relationships/hyperlink" Target="https://doi.org/10.1007/978-3-319-20880-0_22" TargetMode="External"/><Relationship Id="rId46" Type="http://schemas.openxmlformats.org/officeDocument/2006/relationships/hyperlink" Target="https://doi.org/10.1080/14767430.2023.2217054" TargetMode="External"/><Relationship Id="rId20" Type="http://schemas.openxmlformats.org/officeDocument/2006/relationships/hyperlink" Target="https://doi.org/10.1111/j.1467-8551.2006.00487.x" TargetMode="External"/><Relationship Id="rId41" Type="http://schemas.openxmlformats.org/officeDocument/2006/relationships/hyperlink" Target="https://ifs.org.uk/publications/housing-quality-and-affordability-lower-income-households" TargetMode="External"/><Relationship Id="rId54" Type="http://schemas.openxmlformats.org/officeDocument/2006/relationships/hyperlink" Target="https://doi.org/10.1007/s10734-024-01245-7"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searchgate.net/publication/338244145_A_Review_of_key_paradigms_positivism_VS_interpretivism" TargetMode="External"/><Relationship Id="rId23" Type="http://schemas.openxmlformats.org/officeDocument/2006/relationships/hyperlink" Target="https://doi.org/10.4324/9781410607027" TargetMode="External"/><Relationship Id="rId28" Type="http://schemas.openxmlformats.org/officeDocument/2006/relationships/hyperlink" Target="https://www.researchgate.net/publication/383409318_Wealth_and_health_inequality_in_the_elderly_a_narrative_review_of_the_challenges_in_an_ageing_UK_population" TargetMode="External"/><Relationship Id="rId36" Type="http://schemas.openxmlformats.org/officeDocument/2006/relationships/hyperlink" Target="https://social-mobility.data.gov.uk/intermediate_outcomes/work_in_early_adulthood_(25_to_29_years)/income_returns_to_education/latest" TargetMode="External"/><Relationship Id="rId49" Type="http://schemas.openxmlformats.org/officeDocument/2006/relationships/hyperlink" Target="https://www.ons.gov.uk/methodology/classificationsandstandards/otherclassifications/thenationalstatisticssocioeconomicclassificationnssecrebasedonsoc2010"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doi.org/10.1093/oso/9780197633137.003.0019" TargetMode="External"/><Relationship Id="rId44" Type="http://schemas.openxmlformats.org/officeDocument/2006/relationships/hyperlink" Target="https://doi.org/10.1111/soc4.13020" TargetMode="External"/><Relationship Id="rId52" Type="http://schemas.openxmlformats.org/officeDocument/2006/relationships/hyperlink" Target="https://doi.org/10.1093/eurpub/ckx186.3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b8d8ad0-312e-46a2-9327-b65a0e9852c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5DE7180B2459040B8ADB0F36372BEBE" ma:contentTypeVersion="17" ma:contentTypeDescription="Create a new document." ma:contentTypeScope="" ma:versionID="24b1f6a1a1f730c757c76d29251fc831">
  <xsd:schema xmlns:xsd="http://www.w3.org/2001/XMLSchema" xmlns:xs="http://www.w3.org/2001/XMLSchema" xmlns:p="http://schemas.microsoft.com/office/2006/metadata/properties" xmlns:ns3="fb8d8ad0-312e-46a2-9327-b65a0e9852ce" xmlns:ns4="9267ca95-43da-40e6-a5f4-91ddd9965bdf" targetNamespace="http://schemas.microsoft.com/office/2006/metadata/properties" ma:root="true" ma:fieldsID="d009bd21943839245a0e3339b9075dc7" ns3:_="" ns4:_="">
    <xsd:import namespace="fb8d8ad0-312e-46a2-9327-b65a0e9852ce"/>
    <xsd:import namespace="9267ca95-43da-40e6-a5f4-91ddd9965b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8d8ad0-312e-46a2-9327-b65a0e985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67ca95-43da-40e6-a5f4-91ddd9965bd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9C862F-CBFA-4F58-8F17-EA34075B235B}">
  <ds:schemaRefs>
    <ds:schemaRef ds:uri="http://schemas.microsoft.com/office/2006/metadata/properties"/>
    <ds:schemaRef ds:uri="http://schemas.microsoft.com/office/infopath/2007/PartnerControls"/>
    <ds:schemaRef ds:uri="fb8d8ad0-312e-46a2-9327-b65a0e9852ce"/>
  </ds:schemaRefs>
</ds:datastoreItem>
</file>

<file path=customXml/itemProps2.xml><?xml version="1.0" encoding="utf-8"?>
<ds:datastoreItem xmlns:ds="http://schemas.openxmlformats.org/officeDocument/2006/customXml" ds:itemID="{EFDD18DC-CDBB-40C9-8B6F-690CCDAB6793}">
  <ds:schemaRefs>
    <ds:schemaRef ds:uri="http://schemas.openxmlformats.org/officeDocument/2006/bibliography"/>
  </ds:schemaRefs>
</ds:datastoreItem>
</file>

<file path=customXml/itemProps3.xml><?xml version="1.0" encoding="utf-8"?>
<ds:datastoreItem xmlns:ds="http://schemas.openxmlformats.org/officeDocument/2006/customXml" ds:itemID="{E516B748-B448-47BF-A199-D85C7AD08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8d8ad0-312e-46a2-9327-b65a0e9852ce"/>
    <ds:schemaRef ds:uri="9267ca95-43da-40e6-a5f4-91ddd9965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A097C4-1E4B-4173-B11D-350DA99760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41</Pages>
  <Words>10144</Words>
  <Characters>68071</Characters>
  <Application>Microsoft Office Word</Application>
  <DocSecurity>0</DocSecurity>
  <Lines>1309</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Karine Williams</cp:lastModifiedBy>
  <cp:revision>23</cp:revision>
  <cp:lastPrinted>2025-01-19T19:14:00Z</cp:lastPrinted>
  <dcterms:created xsi:type="dcterms:W3CDTF">2025-01-19T20:44:00Z</dcterms:created>
  <dcterms:modified xsi:type="dcterms:W3CDTF">2025-01-19T21:58:00Z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6961b2dd-7673-45dc-9ba3-e70d99480298</vt:lpwstr>
  </property>
  <property fmtid="{D5CDD505-2E9C-101B-9397-08002B2CF9AE}" pid="3" name="ContentTypeId">
    <vt:lpwstr>0x01010045DE7180B2459040B8ADB0F36372BEBE</vt:lpwstr>
  </property>
</Properties>
</file>