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sz w:val="2"/>
          <w:szCs w:val="24"/>
          <w:lang w:val="en-GB"/>
          <w14:ligatures w14:val="standardContextual"/>
        </w:rPr>
        <w:id w:val="-2015447439"/>
        <w:docPartObj>
          <w:docPartGallery w:val="Cover Pages"/>
          <w:docPartUnique/>
        </w:docPartObj>
      </w:sdtPr>
      <w:sdtEndPr>
        <w:rPr>
          <w:sz w:val="24"/>
        </w:rPr>
      </w:sdtEndPr>
      <w:sdtContent>
        <w:p w14:paraId="22EA04C7" w14:textId="06569DC8" w:rsidR="00A14C68" w:rsidRDefault="00A14C68">
          <w:pPr>
            <w:pStyle w:val="NoSpacing"/>
            <w:rPr>
              <w:sz w:val="2"/>
            </w:rPr>
          </w:pPr>
        </w:p>
        <w:p w14:paraId="06C6011E" w14:textId="04CE266D" w:rsidR="00A14C68" w:rsidRDefault="00A14C68">
          <w:r>
            <w:rPr>
              <w:noProof/>
            </w:rPr>
            <mc:AlternateContent>
              <mc:Choice Requires="wps">
                <w:drawing>
                  <wp:anchor distT="0" distB="0" distL="114300" distR="114300" simplePos="0" relativeHeight="251661312" behindDoc="0" locked="0" layoutInCell="1" allowOverlap="1" wp14:anchorId="75257F90" wp14:editId="3A9BA2D6">
                    <wp:simplePos x="0" y="0"/>
                    <wp:positionH relativeFrom="page">
                      <wp:align>center</wp:align>
                    </wp:positionH>
                    <wp:positionV relativeFrom="margin">
                      <wp:align>top</wp:align>
                    </wp:positionV>
                    <wp:extent cx="5943600" cy="914400"/>
                    <wp:effectExtent l="0" t="0" r="0" b="3810"/>
                    <wp:wrapNone/>
                    <wp:docPr id="62"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AC53084" w14:textId="70CD5B62" w:rsidR="00A14C68" w:rsidRDefault="00033AE5">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REFORM OF THE OFFENCES AGAINST THE PERSON ACT 1861</w:t>
                                    </w:r>
                                  </w:p>
                                </w:sdtContent>
                              </w:sdt>
                              <w:p w14:paraId="29E322BA" w14:textId="0593DE8E" w:rsidR="00A14C68" w:rsidRDefault="00270BA0">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033AE5">
                                      <w:rPr>
                                        <w:color w:val="156082" w:themeColor="accent1"/>
                                        <w:sz w:val="36"/>
                                        <w:szCs w:val="36"/>
                                      </w:rPr>
                                      <w:t>JADE BROWN - 2319007</w:t>
                                    </w:r>
                                  </w:sdtContent>
                                </w:sdt>
                                <w:r w:rsidR="00A14C68">
                                  <w:rPr>
                                    <w:noProof/>
                                  </w:rPr>
                                  <w:t xml:space="preserve"> </w:t>
                                </w:r>
                              </w:p>
                              <w:p w14:paraId="09B80D45" w14:textId="77777777" w:rsidR="00A14C68" w:rsidRDefault="00A14C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5257F90" id="_x0000_t202" coordsize="21600,21600" o:spt="202" path="m,l,21600r21600,l21600,xe">
                    <v:stroke joinstyle="miter"/>
                    <v:path gradientshapeok="t" o:connecttype="rect"/>
                  </v:shapetype>
                  <v:shape id="Text Box 15"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AC53084" w14:textId="70CD5B62" w:rsidR="00A14C68" w:rsidRDefault="00033AE5">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REFORM OF THE OFFENCES AGAINST THE PERSON ACT 1861</w:t>
                              </w:r>
                            </w:p>
                          </w:sdtContent>
                        </w:sdt>
                        <w:p w14:paraId="29E322BA" w14:textId="0593DE8E" w:rsidR="00A14C68" w:rsidRDefault="00000000">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033AE5">
                                <w:rPr>
                                  <w:color w:val="156082" w:themeColor="accent1"/>
                                  <w:sz w:val="36"/>
                                  <w:szCs w:val="36"/>
                                </w:rPr>
                                <w:t>JADE BROWN - 2319007</w:t>
                              </w:r>
                            </w:sdtContent>
                          </w:sdt>
                          <w:r w:rsidR="00A14C68">
                            <w:rPr>
                              <w:noProof/>
                            </w:rPr>
                            <w:t xml:space="preserve"> </w:t>
                          </w:r>
                        </w:p>
                        <w:p w14:paraId="09B80D45" w14:textId="77777777" w:rsidR="00A14C68" w:rsidRDefault="00A14C68"/>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7FC2B864" wp14:editId="6C28CD8F">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8DD044A"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236A117C" w14:textId="0EF23321" w:rsidR="00A14C68" w:rsidRDefault="00A14C68">
          <w:r>
            <w:br w:type="page"/>
          </w:r>
        </w:p>
      </w:sdtContent>
    </w:sdt>
    <w:p w14:paraId="3DDCFE17" w14:textId="33DD0A7F" w:rsidR="00E32C58" w:rsidRPr="00136C1F" w:rsidRDefault="00E32C58" w:rsidP="006A65D5">
      <w:pPr>
        <w:spacing w:line="360" w:lineRule="auto"/>
        <w:rPr>
          <w:rFonts w:ascii="Arial" w:hAnsi="Arial" w:cs="Arial"/>
        </w:rPr>
      </w:pPr>
      <w:r w:rsidRPr="0014015C">
        <w:rPr>
          <w:rFonts w:ascii="Arial" w:hAnsi="Arial" w:cs="Arial"/>
        </w:rPr>
        <w:lastRenderedPageBreak/>
        <w:t>The O</w:t>
      </w:r>
      <w:r w:rsidR="00967A7D" w:rsidRPr="0014015C">
        <w:rPr>
          <w:rFonts w:ascii="Arial" w:hAnsi="Arial" w:cs="Arial"/>
        </w:rPr>
        <w:t xml:space="preserve">ffences </w:t>
      </w:r>
      <w:r w:rsidRPr="0014015C">
        <w:rPr>
          <w:rFonts w:ascii="Arial" w:hAnsi="Arial" w:cs="Arial"/>
        </w:rPr>
        <w:t>A</w:t>
      </w:r>
      <w:r w:rsidR="00967A7D" w:rsidRPr="0014015C">
        <w:rPr>
          <w:rFonts w:ascii="Arial" w:hAnsi="Arial" w:cs="Arial"/>
        </w:rPr>
        <w:t xml:space="preserve">gainst the </w:t>
      </w:r>
      <w:r w:rsidRPr="0014015C">
        <w:rPr>
          <w:rFonts w:ascii="Arial" w:hAnsi="Arial" w:cs="Arial"/>
        </w:rPr>
        <w:t>P</w:t>
      </w:r>
      <w:r w:rsidR="00967A7D" w:rsidRPr="0014015C">
        <w:rPr>
          <w:rFonts w:ascii="Arial" w:hAnsi="Arial" w:cs="Arial"/>
        </w:rPr>
        <w:t xml:space="preserve">erson </w:t>
      </w:r>
      <w:r w:rsidRPr="0014015C">
        <w:rPr>
          <w:rFonts w:ascii="Arial" w:hAnsi="Arial" w:cs="Arial"/>
        </w:rPr>
        <w:t>A</w:t>
      </w:r>
      <w:r w:rsidR="00967A7D" w:rsidRPr="0014015C">
        <w:rPr>
          <w:rFonts w:ascii="Arial" w:hAnsi="Arial" w:cs="Arial"/>
        </w:rPr>
        <w:t>ct</w:t>
      </w:r>
      <w:r w:rsidRPr="0014015C">
        <w:rPr>
          <w:rFonts w:ascii="Arial" w:hAnsi="Arial" w:cs="Arial"/>
        </w:rPr>
        <w:t xml:space="preserve"> [1861] defines criminal offences against </w:t>
      </w:r>
      <w:r w:rsidRPr="00136C1F">
        <w:rPr>
          <w:rFonts w:ascii="Arial" w:hAnsi="Arial" w:cs="Arial"/>
        </w:rPr>
        <w:t>individuals in the United Kingdom</w:t>
      </w:r>
      <w:r w:rsidR="00967A7D" w:rsidRPr="00136C1F">
        <w:rPr>
          <w:rFonts w:ascii="Arial" w:hAnsi="Arial" w:cs="Arial"/>
        </w:rPr>
        <w:t>, including</w:t>
      </w:r>
      <w:r w:rsidRPr="00136C1F">
        <w:rPr>
          <w:rFonts w:ascii="Arial" w:hAnsi="Arial" w:cs="Arial"/>
        </w:rPr>
        <w:t xml:space="preserve"> assault, battery, and other non-fatal acts that cause harm. Although the Act has been revised several times, it remains an essential aspect of the UK's criminal law structure. When examining the applicability of the OAPA [1861]</w:t>
      </w:r>
      <w:r w:rsidR="0032246B" w:rsidRPr="00136C1F">
        <w:rPr>
          <w:rFonts w:ascii="Arial" w:hAnsi="Arial" w:cs="Arial"/>
        </w:rPr>
        <w:t>, several factors will be considered, including the relevance of the legislation to contemporary issues, the flexibility of the Act to adapt to a changing society,</w:t>
      </w:r>
      <w:r w:rsidRPr="00136C1F">
        <w:rPr>
          <w:rFonts w:ascii="Arial" w:hAnsi="Arial" w:cs="Arial"/>
        </w:rPr>
        <w:t xml:space="preserve"> and its consistency with other laws. While the OAPA [1861] has been amended, some contend that a complete overhaul may be required to address modern concerns adequately.</w:t>
      </w:r>
    </w:p>
    <w:p w14:paraId="620C81DC" w14:textId="7C7AC052" w:rsidR="00E32C58" w:rsidRPr="00136C1F" w:rsidRDefault="008C7662" w:rsidP="006A65D5">
      <w:pPr>
        <w:spacing w:line="360" w:lineRule="auto"/>
        <w:rPr>
          <w:rFonts w:ascii="Arial" w:eastAsia="Times New Roman" w:hAnsi="Arial" w:cs="Arial"/>
          <w:kern w:val="0"/>
          <w:lang w:eastAsia="en-GB"/>
          <w14:ligatures w14:val="none"/>
        </w:rPr>
      </w:pPr>
      <w:r w:rsidRPr="00136C1F">
        <w:rPr>
          <w:rFonts w:ascii="Arial" w:hAnsi="Arial" w:cs="Arial"/>
        </w:rPr>
        <w:t>In 2015</w:t>
      </w:r>
      <w:r w:rsidR="0032246B" w:rsidRPr="00136C1F">
        <w:rPr>
          <w:rFonts w:ascii="Arial" w:hAnsi="Arial" w:cs="Arial"/>
        </w:rPr>
        <w:t>, the Law Commission stated that the OAPA [1861] is widely regarded as old-fashioned, and their goal was to redraft the law to develop a systematic hierarchy of charges and modernise and streamline</w:t>
      </w:r>
      <w:r w:rsidR="007A7FD9" w:rsidRPr="00136C1F">
        <w:rPr>
          <w:rFonts w:ascii="Arial" w:eastAsia="Times New Roman" w:hAnsi="Arial" w:cs="Arial"/>
          <w:kern w:val="0"/>
          <w:lang w:eastAsia="en-GB"/>
          <w14:ligatures w14:val="none"/>
        </w:rPr>
        <w:t xml:space="preserve"> the wording used to define these charges.</w:t>
      </w:r>
      <w:r w:rsidR="007A7FD9" w:rsidRPr="00136C1F">
        <w:rPr>
          <w:rFonts w:ascii="Arial" w:hAnsi="Arial" w:cs="Arial"/>
        </w:rPr>
        <w:t xml:space="preserve"> (</w:t>
      </w:r>
      <w:r w:rsidR="00287220" w:rsidRPr="00136C1F">
        <w:rPr>
          <w:rFonts w:ascii="Arial" w:hAnsi="Arial" w:cs="Arial"/>
        </w:rPr>
        <w:t xml:space="preserve">Law Commission, 2015). </w:t>
      </w:r>
      <w:r w:rsidR="00012805" w:rsidRPr="00136C1F">
        <w:rPr>
          <w:rFonts w:ascii="Arial" w:eastAsia="Times New Roman" w:hAnsi="Arial" w:cs="Arial"/>
          <w:kern w:val="0"/>
          <w:lang w:eastAsia="en-GB"/>
          <w14:ligatures w14:val="none"/>
        </w:rPr>
        <w:t>According</w:t>
      </w:r>
      <w:r w:rsidR="00A13E9C" w:rsidRPr="00136C1F">
        <w:rPr>
          <w:rFonts w:ascii="Arial" w:eastAsia="Times New Roman" w:hAnsi="Arial" w:cs="Arial"/>
          <w:kern w:val="0"/>
          <w:lang w:eastAsia="en-GB"/>
          <w14:ligatures w14:val="none"/>
        </w:rPr>
        <w:t xml:space="preserve"> to </w:t>
      </w:r>
      <w:r w:rsidR="000D3648" w:rsidRPr="00136C1F">
        <w:rPr>
          <w:rFonts w:ascii="Arial" w:eastAsia="Times New Roman" w:hAnsi="Arial" w:cs="Arial"/>
          <w:kern w:val="0"/>
          <w:lang w:eastAsia="en-GB"/>
          <w14:ligatures w14:val="none"/>
        </w:rPr>
        <w:t>Gardener (1994)</w:t>
      </w:r>
      <w:r w:rsidR="00FD46C6" w:rsidRPr="00136C1F">
        <w:rPr>
          <w:rFonts w:ascii="Arial" w:eastAsia="Times New Roman" w:hAnsi="Arial" w:cs="Arial"/>
          <w:kern w:val="0"/>
          <w:lang w:eastAsia="en-GB"/>
          <w14:ligatures w14:val="none"/>
        </w:rPr>
        <w:t xml:space="preserve">, there are shortcomings with </w:t>
      </w:r>
      <w:r w:rsidR="0014506F" w:rsidRPr="00136C1F">
        <w:rPr>
          <w:rFonts w:ascii="Arial" w:eastAsia="Times New Roman" w:hAnsi="Arial" w:cs="Arial"/>
          <w:kern w:val="0"/>
          <w:lang w:eastAsia="en-GB"/>
          <w14:ligatures w14:val="none"/>
        </w:rPr>
        <w:t>specific</w:t>
      </w:r>
      <w:r w:rsidR="00FD46C6" w:rsidRPr="00136C1F">
        <w:rPr>
          <w:rFonts w:ascii="Arial" w:eastAsia="Times New Roman" w:hAnsi="Arial" w:cs="Arial"/>
          <w:kern w:val="0"/>
          <w:lang w:eastAsia="en-GB"/>
          <w14:ligatures w14:val="none"/>
        </w:rPr>
        <w:t xml:space="preserve"> provisions in the Act,</w:t>
      </w:r>
      <w:r w:rsidR="00B67501" w:rsidRPr="00136C1F">
        <w:rPr>
          <w:rFonts w:ascii="Arial" w:eastAsia="Times New Roman" w:hAnsi="Arial" w:cs="Arial"/>
          <w:kern w:val="0"/>
          <w:lang w:eastAsia="en-GB"/>
          <w14:ligatures w14:val="none"/>
        </w:rPr>
        <w:t xml:space="preserve"> and</w:t>
      </w:r>
      <w:r w:rsidR="002D1C0D" w:rsidRPr="00136C1F">
        <w:rPr>
          <w:rFonts w:ascii="Arial" w:eastAsia="Times New Roman" w:hAnsi="Arial" w:cs="Arial"/>
          <w:kern w:val="0"/>
          <w:lang w:eastAsia="en-GB"/>
          <w14:ligatures w14:val="none"/>
        </w:rPr>
        <w:t xml:space="preserve"> a complete overhaul of the criminal code is necessary rather than simply clarifying and updating individual</w:t>
      </w:r>
      <w:r w:rsidR="002D1C0D" w:rsidRPr="0014015C">
        <w:rPr>
          <w:rFonts w:ascii="Arial" w:eastAsia="Times New Roman" w:hAnsi="Arial" w:cs="Arial"/>
          <w:kern w:val="0"/>
          <w:lang w:eastAsia="en-GB"/>
          <w14:ligatures w14:val="none"/>
        </w:rPr>
        <w:t xml:space="preserve"> crime definitions.</w:t>
      </w:r>
      <w:r w:rsidR="000F2A03" w:rsidRPr="0014015C">
        <w:rPr>
          <w:rFonts w:ascii="Arial" w:hAnsi="Arial" w:cs="Arial"/>
        </w:rPr>
        <w:t xml:space="preserve"> For</w:t>
      </w:r>
      <w:r w:rsidR="00E32C58" w:rsidRPr="0014015C">
        <w:rPr>
          <w:rFonts w:ascii="Arial" w:hAnsi="Arial" w:cs="Arial"/>
        </w:rPr>
        <w:t xml:space="preserve"> example, in terms of severity, </w:t>
      </w:r>
      <w:r w:rsidR="00B044C3" w:rsidRPr="0014015C">
        <w:rPr>
          <w:rFonts w:ascii="Arial" w:eastAsia="Times New Roman" w:hAnsi="Arial" w:cs="Arial"/>
          <w:kern w:val="0"/>
          <w:lang w:eastAsia="en-GB"/>
          <w14:ligatures w14:val="none"/>
        </w:rPr>
        <w:t xml:space="preserve">Actual bodily harm ("ABH") is a crime that falls </w:t>
      </w:r>
      <w:r w:rsidR="00FD46C6" w:rsidRPr="0014015C">
        <w:rPr>
          <w:rFonts w:ascii="Arial" w:eastAsia="Times New Roman" w:hAnsi="Arial" w:cs="Arial"/>
          <w:kern w:val="0"/>
          <w:lang w:eastAsia="en-GB"/>
          <w14:ligatures w14:val="none"/>
        </w:rPr>
        <w:t>in between</w:t>
      </w:r>
      <w:r w:rsidR="00B044C3" w:rsidRPr="0014015C">
        <w:rPr>
          <w:rFonts w:ascii="Arial" w:eastAsia="Times New Roman" w:hAnsi="Arial" w:cs="Arial"/>
          <w:kern w:val="0"/>
          <w:lang w:eastAsia="en-GB"/>
          <w14:ligatures w14:val="none"/>
        </w:rPr>
        <w:t xml:space="preserve"> common assault (i.e., assault or battery) and </w:t>
      </w:r>
      <w:r w:rsidR="00FB47B8" w:rsidRPr="0014015C">
        <w:rPr>
          <w:rFonts w:ascii="Arial" w:eastAsia="Times New Roman" w:hAnsi="Arial" w:cs="Arial"/>
          <w:kern w:val="0"/>
          <w:lang w:eastAsia="en-GB"/>
          <w14:ligatures w14:val="none"/>
        </w:rPr>
        <w:t>grievous bodily harm ("GBH"), overlapping</w:t>
      </w:r>
      <w:r w:rsidR="00B044C3" w:rsidRPr="0014015C">
        <w:rPr>
          <w:rFonts w:ascii="Arial" w:eastAsia="Times New Roman" w:hAnsi="Arial" w:cs="Arial"/>
          <w:kern w:val="0"/>
          <w:lang w:eastAsia="en-GB"/>
          <w14:ligatures w14:val="none"/>
        </w:rPr>
        <w:t xml:space="preserve"> both. </w:t>
      </w:r>
      <w:r w:rsidR="002824FE" w:rsidRPr="0014015C">
        <w:rPr>
          <w:rFonts w:ascii="Arial" w:eastAsia="Times New Roman" w:hAnsi="Arial" w:cs="Arial"/>
          <w:kern w:val="0"/>
          <w:lang w:eastAsia="en-GB"/>
          <w14:ligatures w14:val="none"/>
        </w:rPr>
        <w:t>However, the maximum sentence for ABH is five years, which is identical to GBH and is ten times longer than the sentence for assault or battery</w:t>
      </w:r>
      <w:r w:rsidR="00460E30" w:rsidRPr="0014015C">
        <w:rPr>
          <w:rFonts w:ascii="Arial" w:eastAsia="Times New Roman" w:hAnsi="Arial" w:cs="Arial"/>
          <w:kern w:val="0"/>
          <w:lang w:eastAsia="en-GB"/>
          <w14:ligatures w14:val="none"/>
        </w:rPr>
        <w:t>,</w:t>
      </w:r>
      <w:r w:rsidR="002824FE" w:rsidRPr="0014015C">
        <w:rPr>
          <w:rFonts w:ascii="Arial" w:eastAsia="Times New Roman" w:hAnsi="Arial" w:cs="Arial"/>
          <w:kern w:val="0"/>
          <w:lang w:eastAsia="en-GB"/>
          <w14:ligatures w14:val="none"/>
        </w:rPr>
        <w:t xml:space="preserve"> </w:t>
      </w:r>
      <w:r w:rsidR="00DF6C98" w:rsidRPr="0014015C">
        <w:rPr>
          <w:rFonts w:ascii="Arial" w:eastAsia="Times New Roman" w:hAnsi="Arial" w:cs="Arial"/>
          <w:kern w:val="0"/>
          <w:lang w:eastAsia="en-GB"/>
          <w14:ligatures w14:val="none"/>
        </w:rPr>
        <w:t xml:space="preserve">which is only </w:t>
      </w:r>
      <w:r w:rsidR="002824FE" w:rsidRPr="0014015C">
        <w:rPr>
          <w:rFonts w:ascii="Arial" w:eastAsia="Times New Roman" w:hAnsi="Arial" w:cs="Arial"/>
          <w:kern w:val="0"/>
          <w:lang w:eastAsia="en-GB"/>
          <w14:ligatures w14:val="none"/>
        </w:rPr>
        <w:t xml:space="preserve">six </w:t>
      </w:r>
      <w:r w:rsidR="00DF6C98" w:rsidRPr="0014015C">
        <w:rPr>
          <w:rFonts w:ascii="Arial" w:eastAsia="Times New Roman" w:hAnsi="Arial" w:cs="Arial"/>
          <w:kern w:val="0"/>
          <w:lang w:eastAsia="en-GB"/>
          <w14:ligatures w14:val="none"/>
        </w:rPr>
        <w:t>months.</w:t>
      </w:r>
      <w:r w:rsidR="0031672F" w:rsidRPr="0014015C">
        <w:rPr>
          <w:rFonts w:ascii="Arial" w:hAnsi="Arial" w:cs="Arial"/>
        </w:rPr>
        <w:t xml:space="preserve"> </w:t>
      </w:r>
      <w:r w:rsidR="0031672F" w:rsidRPr="0014015C">
        <w:rPr>
          <w:rFonts w:ascii="Arial" w:eastAsia="Times New Roman" w:hAnsi="Arial" w:cs="Arial"/>
          <w:kern w:val="0"/>
          <w:lang w:eastAsia="en-GB"/>
          <w14:ligatures w14:val="none"/>
        </w:rPr>
        <w:t xml:space="preserve">According to the Law Commission, </w:t>
      </w:r>
      <w:r w:rsidR="004A7EE4" w:rsidRPr="0014015C">
        <w:rPr>
          <w:rFonts w:ascii="Arial" w:eastAsia="Times New Roman" w:hAnsi="Arial" w:cs="Arial"/>
          <w:kern w:val="0"/>
          <w:lang w:eastAsia="en-GB"/>
          <w14:ligatures w14:val="none"/>
        </w:rPr>
        <w:t>clarification is needed</w:t>
      </w:r>
      <w:r w:rsidR="0031672F" w:rsidRPr="0014015C">
        <w:rPr>
          <w:rFonts w:ascii="Arial" w:eastAsia="Times New Roman" w:hAnsi="Arial" w:cs="Arial"/>
          <w:kern w:val="0"/>
          <w:lang w:eastAsia="en-GB"/>
          <w14:ligatures w14:val="none"/>
        </w:rPr>
        <w:t xml:space="preserve"> </w:t>
      </w:r>
      <w:r w:rsidR="008A64EE" w:rsidRPr="0014015C">
        <w:rPr>
          <w:rFonts w:ascii="Arial" w:eastAsia="Times New Roman" w:hAnsi="Arial" w:cs="Arial"/>
          <w:kern w:val="0"/>
          <w:lang w:eastAsia="en-GB"/>
          <w14:ligatures w14:val="none"/>
        </w:rPr>
        <w:t>without</w:t>
      </w:r>
      <w:r w:rsidR="0031672F" w:rsidRPr="0014015C">
        <w:rPr>
          <w:rFonts w:ascii="Arial" w:eastAsia="Times New Roman" w:hAnsi="Arial" w:cs="Arial"/>
          <w:kern w:val="0"/>
          <w:lang w:eastAsia="en-GB"/>
          <w14:ligatures w14:val="none"/>
        </w:rPr>
        <w:t xml:space="preserve"> a defined hierarchy, as it lacks a unifying logical basis. They argue that the order of offences is evident, but the grading appears arbitrary and uneven. The Commission points out that between 2003 and 2013, 7% to 12% of offenders sentenced to ABH by the crown court received a term of immediate imprisonment of six months or less, a penalty that a magistrate's court might have </w:t>
      </w:r>
      <w:r w:rsidR="00693353" w:rsidRPr="0014015C">
        <w:rPr>
          <w:rFonts w:ascii="Arial" w:eastAsia="Times New Roman" w:hAnsi="Arial" w:cs="Arial"/>
          <w:kern w:val="0"/>
          <w:lang w:eastAsia="en-GB"/>
          <w14:ligatures w14:val="none"/>
        </w:rPr>
        <w:t>imposed.</w:t>
      </w:r>
      <w:r w:rsidR="00E32C58" w:rsidRPr="0014015C">
        <w:rPr>
          <w:rFonts w:ascii="Arial" w:hAnsi="Arial" w:cs="Arial"/>
        </w:rPr>
        <w:t xml:space="preserve"> The drafting of these offences under the 1861 Act could be more precise.</w:t>
      </w:r>
      <w:r w:rsidR="00C4714D" w:rsidRPr="0014015C">
        <w:rPr>
          <w:rFonts w:ascii="Arial" w:hAnsi="Arial" w:cs="Arial"/>
        </w:rPr>
        <w:t xml:space="preserve"> </w:t>
      </w:r>
      <w:r w:rsidR="008A64EE" w:rsidRPr="0014015C">
        <w:rPr>
          <w:rFonts w:ascii="Arial" w:hAnsi="Arial" w:cs="Arial"/>
        </w:rPr>
        <w:t>There is an</w:t>
      </w:r>
      <w:r w:rsidR="00C4714D" w:rsidRPr="0014015C">
        <w:rPr>
          <w:rFonts w:ascii="Arial" w:hAnsi="Arial" w:cs="Arial"/>
        </w:rPr>
        <w:t xml:space="preserve"> excessive number of differences </w:t>
      </w:r>
      <w:r w:rsidR="004A7EE4" w:rsidRPr="0014015C">
        <w:rPr>
          <w:rFonts w:ascii="Arial" w:hAnsi="Arial" w:cs="Arial"/>
        </w:rPr>
        <w:t>between</w:t>
      </w:r>
      <w:r w:rsidR="00C4714D" w:rsidRPr="0014015C">
        <w:rPr>
          <w:rFonts w:ascii="Arial" w:hAnsi="Arial" w:cs="Arial"/>
        </w:rPr>
        <w:t xml:space="preserve"> the</w:t>
      </w:r>
      <w:r w:rsidR="00235627" w:rsidRPr="0014015C">
        <w:rPr>
          <w:rFonts w:ascii="Arial" w:hAnsi="Arial" w:cs="Arial"/>
        </w:rPr>
        <w:t>se</w:t>
      </w:r>
      <w:r w:rsidR="00C4714D" w:rsidRPr="0014015C">
        <w:rPr>
          <w:rFonts w:ascii="Arial" w:hAnsi="Arial" w:cs="Arial"/>
        </w:rPr>
        <w:t xml:space="preserve"> crimes. Additionally, it fails to outline specific penalties for serious </w:t>
      </w:r>
      <w:r w:rsidR="00114396" w:rsidRPr="0014015C">
        <w:rPr>
          <w:rFonts w:ascii="Arial" w:hAnsi="Arial" w:cs="Arial"/>
        </w:rPr>
        <w:t>offences</w:t>
      </w:r>
      <w:r w:rsidR="00C4714D" w:rsidRPr="0014015C">
        <w:rPr>
          <w:rFonts w:ascii="Arial" w:hAnsi="Arial" w:cs="Arial"/>
        </w:rPr>
        <w:t>, such as those falling under sections 47 and 20; these penalties must be extracted from a complex set of interconnected provisions in other statutes.</w:t>
      </w:r>
      <w:r w:rsidR="00E32C58" w:rsidRPr="0014015C">
        <w:rPr>
          <w:rFonts w:ascii="Arial" w:hAnsi="Arial" w:cs="Arial"/>
        </w:rPr>
        <w:t xml:space="preserve"> The Law Commission also considers that the statute contains needless offences, such as failing to provide meals to servants or assaulting a magistrate or other person while doing his duties to preserve a wreck.</w:t>
      </w:r>
      <w:r w:rsidR="00E32C58" w:rsidRPr="004177E0">
        <w:rPr>
          <w:rFonts w:ascii="Arial" w:hAnsi="Arial" w:cs="Arial"/>
        </w:rPr>
        <w:t xml:space="preserve"> </w:t>
      </w:r>
      <w:r w:rsidR="00E32C58" w:rsidRPr="004177E0">
        <w:rPr>
          <w:rFonts w:ascii="Arial" w:hAnsi="Arial" w:cs="Arial"/>
        </w:rPr>
        <w:lastRenderedPageBreak/>
        <w:t xml:space="preserve">They believe a plain, modern, straightforward statute should replace the 1861 Act (Law </w:t>
      </w:r>
      <w:r w:rsidR="00E32C58" w:rsidRPr="00136C1F">
        <w:rPr>
          <w:rFonts w:ascii="Arial" w:hAnsi="Arial" w:cs="Arial"/>
        </w:rPr>
        <w:t>Commission, 201</w:t>
      </w:r>
      <w:r w:rsidR="00FE520C" w:rsidRPr="00136C1F">
        <w:rPr>
          <w:rFonts w:ascii="Arial" w:hAnsi="Arial" w:cs="Arial"/>
        </w:rPr>
        <w:t>5</w:t>
      </w:r>
      <w:r w:rsidR="003C64A9" w:rsidRPr="00136C1F">
        <w:rPr>
          <w:rFonts w:ascii="Arial" w:hAnsi="Arial" w:cs="Arial"/>
        </w:rPr>
        <w:t>)</w:t>
      </w:r>
      <w:r w:rsidR="00E32C58" w:rsidRPr="00136C1F">
        <w:rPr>
          <w:rFonts w:ascii="Arial" w:hAnsi="Arial" w:cs="Arial"/>
        </w:rPr>
        <w:t xml:space="preserve"> </w:t>
      </w:r>
    </w:p>
    <w:p w14:paraId="20D1A9AA" w14:textId="261D4CE9" w:rsidR="003647B0" w:rsidRPr="004177E0" w:rsidRDefault="007B033F" w:rsidP="006A65D5">
      <w:pPr>
        <w:spacing w:line="360" w:lineRule="auto"/>
        <w:rPr>
          <w:rFonts w:ascii="Arial" w:eastAsia="Times New Roman" w:hAnsi="Arial" w:cs="Arial"/>
          <w:kern w:val="0"/>
          <w:lang w:eastAsia="en-GB"/>
          <w14:ligatures w14:val="none"/>
        </w:rPr>
      </w:pPr>
      <w:r w:rsidRPr="00136C1F">
        <w:rPr>
          <w:rFonts w:ascii="Arial" w:hAnsi="Arial" w:cs="Arial"/>
        </w:rPr>
        <w:t xml:space="preserve">Significant criticisms and calls for revision surround the Act. Smith, Hogan, and Ormerod (2017) highlight that a substantial portion of the law remains under the influence of the OAPA 1861, and suggestions for reform extend beyond minor adjustments. </w:t>
      </w:r>
      <w:r w:rsidR="008A64EE" w:rsidRPr="00136C1F">
        <w:rPr>
          <w:rFonts w:ascii="Arial" w:hAnsi="Arial" w:cs="Arial"/>
        </w:rPr>
        <w:t>They</w:t>
      </w:r>
      <w:r w:rsidRPr="00136C1F">
        <w:rPr>
          <w:rFonts w:ascii="Arial" w:hAnsi="Arial" w:cs="Arial"/>
        </w:rPr>
        <w:t xml:space="preserve"> </w:t>
      </w:r>
      <w:r w:rsidR="003C3901" w:rsidRPr="00136C1F">
        <w:rPr>
          <w:rFonts w:ascii="Arial" w:hAnsi="Arial" w:cs="Arial"/>
        </w:rPr>
        <w:t>briefly</w:t>
      </w:r>
      <w:r w:rsidRPr="00136C1F">
        <w:rPr>
          <w:rFonts w:ascii="Arial" w:hAnsi="Arial" w:cs="Arial"/>
        </w:rPr>
        <w:t xml:space="preserve"> examine key areas warranting potential reform,</w:t>
      </w:r>
      <w:r w:rsidRPr="004177E0">
        <w:rPr>
          <w:rFonts w:ascii="Arial" w:hAnsi="Arial" w:cs="Arial"/>
        </w:rPr>
        <w:t xml:space="preserve"> such as the imperative for modernisation and re-codification, </w:t>
      </w:r>
      <w:r w:rsidR="00555E92">
        <w:rPr>
          <w:rFonts w:ascii="Arial" w:hAnsi="Arial" w:cs="Arial"/>
        </w:rPr>
        <w:t>constructive liability's contentious aspect, and consent's interpretation and significance</w:t>
      </w:r>
      <w:r w:rsidRPr="004177E0">
        <w:rPr>
          <w:rFonts w:ascii="Arial" w:hAnsi="Arial" w:cs="Arial"/>
        </w:rPr>
        <w:t xml:space="preserve">. </w:t>
      </w:r>
      <w:r w:rsidR="00DA7CDC" w:rsidRPr="004177E0">
        <w:rPr>
          <w:rFonts w:ascii="Arial" w:hAnsi="Arial" w:cs="Arial"/>
        </w:rPr>
        <w:t>Smith, Hogan and Ormerod (2017)</w:t>
      </w:r>
      <w:r w:rsidR="006B17E2" w:rsidRPr="004177E0">
        <w:rPr>
          <w:rFonts w:ascii="Arial" w:hAnsi="Arial" w:cs="Arial"/>
        </w:rPr>
        <w:t xml:space="preserve"> </w:t>
      </w:r>
      <w:r w:rsidR="00DA7CDC" w:rsidRPr="004177E0">
        <w:rPr>
          <w:rFonts w:ascii="Arial" w:hAnsi="Arial" w:cs="Arial"/>
        </w:rPr>
        <w:t>argue</w:t>
      </w:r>
      <w:r w:rsidR="006B17E2" w:rsidRPr="004177E0">
        <w:rPr>
          <w:rFonts w:ascii="Arial" w:hAnsi="Arial" w:cs="Arial"/>
        </w:rPr>
        <w:t xml:space="preserve"> that it is essential to </w:t>
      </w:r>
      <w:r w:rsidR="00DA7CDC" w:rsidRPr="004177E0">
        <w:rPr>
          <w:rFonts w:ascii="Arial" w:hAnsi="Arial" w:cs="Arial"/>
        </w:rPr>
        <w:t>emphasise</w:t>
      </w:r>
      <w:r w:rsidR="006B17E2" w:rsidRPr="004177E0">
        <w:rPr>
          <w:rFonts w:ascii="Arial" w:hAnsi="Arial" w:cs="Arial"/>
        </w:rPr>
        <w:t xml:space="preserve"> two significant distinctions. Firstly, the introduction of 'aggravated assault' as an </w:t>
      </w:r>
      <w:r w:rsidR="00385CDA" w:rsidRPr="004177E0">
        <w:rPr>
          <w:rFonts w:ascii="Arial" w:hAnsi="Arial" w:cs="Arial"/>
        </w:rPr>
        <w:t>offence</w:t>
      </w:r>
      <w:r w:rsidR="006B17E2" w:rsidRPr="004177E0">
        <w:rPr>
          <w:rFonts w:ascii="Arial" w:hAnsi="Arial" w:cs="Arial"/>
        </w:rPr>
        <w:t xml:space="preserve"> exclusively triable in the magistrate's court represents a newly conceived measure aimed at closing the gap between reckless causing of injury and the counterparts of assault and battery. This change also seeks to </w:t>
      </w:r>
      <w:r w:rsidR="00385CDA" w:rsidRPr="004177E0">
        <w:rPr>
          <w:rFonts w:ascii="Arial" w:hAnsi="Arial" w:cs="Arial"/>
        </w:rPr>
        <w:t xml:space="preserve">label the defendant's conduct more </w:t>
      </w:r>
      <w:r w:rsidR="00385CDA" w:rsidRPr="00136C1F">
        <w:rPr>
          <w:rFonts w:ascii="Arial" w:hAnsi="Arial" w:cs="Arial"/>
        </w:rPr>
        <w:t xml:space="preserve">precisely </w:t>
      </w:r>
      <w:r w:rsidR="006B17E2" w:rsidRPr="00136C1F">
        <w:rPr>
          <w:rFonts w:ascii="Arial" w:hAnsi="Arial" w:cs="Arial"/>
        </w:rPr>
        <w:t xml:space="preserve">and redirect numerous low-level violence cases away from the crown courts. Secondly, in contrast to the 1998 draft Bill, which proposed consolidating assault and battery into a single </w:t>
      </w:r>
      <w:r w:rsidR="00385CDA" w:rsidRPr="00136C1F">
        <w:rPr>
          <w:rFonts w:ascii="Arial" w:hAnsi="Arial" w:cs="Arial"/>
        </w:rPr>
        <w:t xml:space="preserve">offence, the Commission </w:t>
      </w:r>
      <w:r w:rsidR="00555E92" w:rsidRPr="00136C1F">
        <w:rPr>
          <w:rFonts w:ascii="Arial" w:hAnsi="Arial" w:cs="Arial"/>
        </w:rPr>
        <w:t>clarified</w:t>
      </w:r>
      <w:r w:rsidR="00385CDA" w:rsidRPr="00136C1F">
        <w:rPr>
          <w:rFonts w:ascii="Arial" w:hAnsi="Arial" w:cs="Arial"/>
        </w:rPr>
        <w:t xml:space="preserve"> them as two separate offences</w:t>
      </w:r>
      <w:r w:rsidR="006B17E2" w:rsidRPr="00136C1F">
        <w:rPr>
          <w:rFonts w:ascii="Arial" w:hAnsi="Arial" w:cs="Arial"/>
        </w:rPr>
        <w:t>.</w:t>
      </w:r>
      <w:r w:rsidR="00385CDA" w:rsidRPr="00136C1F">
        <w:rPr>
          <w:rFonts w:ascii="Arial" w:hAnsi="Arial" w:cs="Arial"/>
        </w:rPr>
        <w:t xml:space="preserve"> </w:t>
      </w:r>
      <w:r w:rsidR="00E32C58" w:rsidRPr="00136C1F">
        <w:rPr>
          <w:rFonts w:ascii="Arial" w:hAnsi="Arial" w:cs="Arial"/>
        </w:rPr>
        <w:t xml:space="preserve">They claim that there are various benefits to the suggested approach that will </w:t>
      </w:r>
      <w:r w:rsidR="003E1CCB" w:rsidRPr="00136C1F">
        <w:rPr>
          <w:rFonts w:ascii="Arial" w:hAnsi="Arial" w:cs="Arial"/>
        </w:rPr>
        <w:t xml:space="preserve">be a reminder </w:t>
      </w:r>
      <w:r w:rsidR="00E32C58" w:rsidRPr="00136C1F">
        <w:rPr>
          <w:rFonts w:ascii="Arial" w:hAnsi="Arial" w:cs="Arial"/>
        </w:rPr>
        <w:t>of the faults with current law and the relatively simple way in which many of them may be rectified.</w:t>
      </w:r>
      <w:r w:rsidR="0066174C" w:rsidRPr="00136C1F">
        <w:rPr>
          <w:rFonts w:ascii="Arial" w:hAnsi="Arial" w:cs="Arial"/>
        </w:rPr>
        <w:t xml:space="preserve"> </w:t>
      </w:r>
      <w:r w:rsidR="00E32C58" w:rsidRPr="00136C1F">
        <w:rPr>
          <w:rFonts w:ascii="Arial" w:hAnsi="Arial" w:cs="Arial"/>
        </w:rPr>
        <w:t xml:space="preserve">Jackson and Storey (2015) </w:t>
      </w:r>
      <w:r w:rsidR="003647B0" w:rsidRPr="00136C1F">
        <w:rPr>
          <w:rFonts w:ascii="Arial" w:hAnsi="Arial" w:cs="Arial"/>
        </w:rPr>
        <w:t xml:space="preserve">argue that </w:t>
      </w:r>
      <w:r w:rsidR="003647B0" w:rsidRPr="00136C1F">
        <w:rPr>
          <w:rFonts w:ascii="Arial" w:eastAsia="Times New Roman" w:hAnsi="Arial" w:cs="Arial"/>
          <w:kern w:val="0"/>
          <w:lang w:eastAsia="en-GB"/>
          <w14:ligatures w14:val="none"/>
        </w:rPr>
        <w:t>subjectivists believe that constructive responsibility breaches the concept of "individual autonomy" by</w:t>
      </w:r>
      <w:r w:rsidR="003647B0" w:rsidRPr="004177E0">
        <w:rPr>
          <w:rFonts w:ascii="Arial" w:eastAsia="Times New Roman" w:hAnsi="Arial" w:cs="Arial"/>
          <w:kern w:val="0"/>
          <w:lang w:eastAsia="en-GB"/>
          <w14:ligatures w14:val="none"/>
        </w:rPr>
        <w:t xml:space="preserve"> imposing an obligation based on chance rather than choosing. They </w:t>
      </w:r>
      <w:r w:rsidR="004A7EE4">
        <w:rPr>
          <w:rFonts w:ascii="Arial" w:eastAsia="Times New Roman" w:hAnsi="Arial" w:cs="Arial"/>
          <w:kern w:val="0"/>
          <w:lang w:eastAsia="en-GB"/>
          <w14:ligatures w14:val="none"/>
        </w:rPr>
        <w:t>say</w:t>
      </w:r>
      <w:r w:rsidR="003647B0" w:rsidRPr="004177E0">
        <w:rPr>
          <w:rFonts w:ascii="Arial" w:eastAsia="Times New Roman" w:hAnsi="Arial" w:cs="Arial"/>
          <w:kern w:val="0"/>
          <w:lang w:eastAsia="en-GB"/>
          <w14:ligatures w14:val="none"/>
        </w:rPr>
        <w:t xml:space="preserve"> that fair labelling is critical for constructivists</w:t>
      </w:r>
      <w:r w:rsidR="0041492E" w:rsidRPr="004177E0">
        <w:rPr>
          <w:rFonts w:ascii="Arial" w:eastAsia="Times New Roman" w:hAnsi="Arial" w:cs="Arial"/>
          <w:kern w:val="0"/>
          <w:lang w:eastAsia="en-GB"/>
          <w14:ligatures w14:val="none"/>
        </w:rPr>
        <w:t>. The</w:t>
      </w:r>
      <w:r w:rsidR="003647B0" w:rsidRPr="004177E0">
        <w:rPr>
          <w:rFonts w:ascii="Arial" w:eastAsia="Times New Roman" w:hAnsi="Arial" w:cs="Arial"/>
          <w:kern w:val="0"/>
          <w:lang w:eastAsia="en-GB"/>
          <w14:ligatures w14:val="none"/>
        </w:rPr>
        <w:t xml:space="preserve"> correspondence principle does not apply to crimes against the person since it contradicts another tenet of criminal law, representational fair labelling.</w:t>
      </w:r>
    </w:p>
    <w:p w14:paraId="72244D74" w14:textId="266695D5" w:rsidR="00E32C58" w:rsidRPr="004177E0" w:rsidRDefault="00E32C58" w:rsidP="006A65D5">
      <w:pPr>
        <w:spacing w:line="360" w:lineRule="auto"/>
        <w:rPr>
          <w:rFonts w:ascii="Arial" w:hAnsi="Arial" w:cs="Arial"/>
        </w:rPr>
      </w:pPr>
    </w:p>
    <w:p w14:paraId="21148EB4" w14:textId="1EF15E85" w:rsidR="00572441" w:rsidRPr="004177E0" w:rsidRDefault="0031127F" w:rsidP="006A65D5">
      <w:pPr>
        <w:spacing w:line="360" w:lineRule="auto"/>
        <w:rPr>
          <w:rFonts w:ascii="Arial" w:eastAsia="Times New Roman" w:hAnsi="Arial" w:cs="Arial"/>
          <w:kern w:val="0"/>
          <w:lang w:eastAsia="en-GB"/>
          <w14:ligatures w14:val="none"/>
        </w:rPr>
      </w:pPr>
      <w:r w:rsidRPr="004177E0">
        <w:rPr>
          <w:rFonts w:ascii="Arial" w:eastAsia="Times New Roman" w:hAnsi="Arial" w:cs="Arial"/>
          <w:kern w:val="0"/>
          <w:lang w:eastAsia="en-GB"/>
          <w14:ligatures w14:val="none"/>
        </w:rPr>
        <w:t xml:space="preserve">An additional instance of outdated terminology leading to ambiguity involves the </w:t>
      </w:r>
      <w:r w:rsidRPr="004177E0">
        <w:rPr>
          <w:rFonts w:ascii="Arial" w:eastAsia="Times New Roman" w:hAnsi="Arial" w:cs="Arial"/>
          <w:kern w:val="0"/>
          <w:lang w:eastAsia="en-GB"/>
          <w14:ligatures w14:val="none"/>
        </w:rPr>
        <w:t>offences</w:t>
      </w:r>
      <w:r w:rsidRPr="004177E0">
        <w:rPr>
          <w:rFonts w:ascii="Arial" w:eastAsia="Times New Roman" w:hAnsi="Arial" w:cs="Arial"/>
          <w:kern w:val="0"/>
          <w:lang w:eastAsia="en-GB"/>
          <w14:ligatures w14:val="none"/>
        </w:rPr>
        <w:t xml:space="preserve"> of </w:t>
      </w:r>
      <w:r w:rsidRPr="00136C1F">
        <w:rPr>
          <w:rFonts w:ascii="Arial" w:eastAsia="Times New Roman" w:hAnsi="Arial" w:cs="Arial"/>
          <w:kern w:val="0"/>
          <w:lang w:eastAsia="en-GB"/>
          <w14:ligatures w14:val="none"/>
        </w:rPr>
        <w:t xml:space="preserve">assault, battery, and common assault. According to Demetriou (2016) and Padfield (2014), within the existing legal framework, assault is </w:t>
      </w:r>
      <w:r w:rsidRPr="00136C1F">
        <w:rPr>
          <w:rFonts w:ascii="Arial" w:eastAsia="Times New Roman" w:hAnsi="Arial" w:cs="Arial"/>
          <w:kern w:val="0"/>
          <w:lang w:eastAsia="en-GB"/>
          <w14:ligatures w14:val="none"/>
        </w:rPr>
        <w:t>characterised</w:t>
      </w:r>
      <w:r w:rsidRPr="00136C1F">
        <w:rPr>
          <w:rFonts w:ascii="Arial" w:eastAsia="Times New Roman" w:hAnsi="Arial" w:cs="Arial"/>
          <w:kern w:val="0"/>
          <w:lang w:eastAsia="en-GB"/>
          <w14:ligatures w14:val="none"/>
        </w:rPr>
        <w:t xml:space="preserve"> as conduct that knowingly or recklessly induces another person 'to apprehend</w:t>
      </w:r>
      <w:r w:rsidRPr="004177E0">
        <w:rPr>
          <w:rFonts w:ascii="Arial" w:eastAsia="Times New Roman" w:hAnsi="Arial" w:cs="Arial"/>
          <w:kern w:val="0"/>
          <w:lang w:eastAsia="en-GB"/>
          <w14:ligatures w14:val="none"/>
        </w:rPr>
        <w:t xml:space="preserve"> immediate and unlawful </w:t>
      </w:r>
      <w:r w:rsidRPr="004177E0">
        <w:rPr>
          <w:rFonts w:ascii="Arial" w:eastAsia="Times New Roman" w:hAnsi="Arial" w:cs="Arial"/>
          <w:kern w:val="0"/>
          <w:lang w:eastAsia="en-GB"/>
          <w14:ligatures w14:val="none"/>
        </w:rPr>
        <w:t>violence. ‘In</w:t>
      </w:r>
      <w:r w:rsidR="00572441" w:rsidRPr="004177E0">
        <w:rPr>
          <w:rFonts w:ascii="Arial" w:eastAsia="Times New Roman" w:hAnsi="Arial" w:cs="Arial"/>
          <w:kern w:val="0"/>
          <w:lang w:eastAsia="en-GB"/>
          <w14:ligatures w14:val="none"/>
        </w:rPr>
        <w:t xml:space="preserve"> contrast, battery necessitates physical and illicit contact between the culprit and the victim. Although there appears to be a clear distinction between the two common law offences </w:t>
      </w:r>
      <w:r w:rsidRPr="004177E0">
        <w:rPr>
          <w:rFonts w:ascii="Arial" w:eastAsia="Times New Roman" w:hAnsi="Arial" w:cs="Arial"/>
          <w:kern w:val="0"/>
          <w:lang w:eastAsia="en-GB"/>
          <w14:ligatures w14:val="none"/>
        </w:rPr>
        <w:t>regarding</w:t>
      </w:r>
      <w:r w:rsidR="00572441" w:rsidRPr="004177E0">
        <w:rPr>
          <w:rFonts w:ascii="Arial" w:eastAsia="Times New Roman" w:hAnsi="Arial" w:cs="Arial"/>
          <w:kern w:val="0"/>
          <w:lang w:eastAsia="en-GB"/>
          <w14:ligatures w14:val="none"/>
        </w:rPr>
        <w:t xml:space="preserve"> the actus reus required </w:t>
      </w:r>
      <w:r w:rsidR="00572441" w:rsidRPr="004177E0">
        <w:rPr>
          <w:rFonts w:ascii="Arial" w:eastAsia="Times New Roman" w:hAnsi="Arial" w:cs="Arial"/>
          <w:kern w:val="0"/>
          <w:lang w:eastAsia="en-GB"/>
          <w14:ligatures w14:val="none"/>
        </w:rPr>
        <w:lastRenderedPageBreak/>
        <w:t xml:space="preserve">for each, the terms 'assault' and 'common assault' are used interchangeably, creating confusion about their true nature. </w:t>
      </w:r>
    </w:p>
    <w:p w14:paraId="70243A12" w14:textId="77777777" w:rsidR="00220958" w:rsidRDefault="00302179" w:rsidP="006A65D5">
      <w:pPr>
        <w:spacing w:line="360" w:lineRule="auto"/>
        <w:rPr>
          <w:rFonts w:ascii="Arial" w:eastAsia="Times New Roman" w:hAnsi="Arial" w:cs="Arial"/>
          <w:kern w:val="0"/>
          <w:lang w:eastAsia="en-GB"/>
          <w14:ligatures w14:val="none"/>
        </w:rPr>
      </w:pPr>
      <w:r w:rsidRPr="004177E0">
        <w:rPr>
          <w:rFonts w:ascii="Arial" w:eastAsia="Times New Roman" w:hAnsi="Arial" w:cs="Arial"/>
          <w:kern w:val="0"/>
          <w:lang w:eastAsia="en-GB"/>
          <w14:ligatures w14:val="none"/>
        </w:rPr>
        <w:t xml:space="preserve">In an </w:t>
      </w:r>
      <w:r w:rsidRPr="00136C1F">
        <w:rPr>
          <w:rFonts w:ascii="Arial" w:eastAsia="Times New Roman" w:hAnsi="Arial" w:cs="Arial"/>
          <w:kern w:val="0"/>
          <w:lang w:eastAsia="en-GB"/>
          <w14:ligatures w14:val="none"/>
        </w:rPr>
        <w:t>article, Eugenicos (2017) underscores that</w:t>
      </w:r>
      <w:r w:rsidRPr="004177E0">
        <w:rPr>
          <w:rFonts w:ascii="Arial" w:eastAsia="Times New Roman" w:hAnsi="Arial" w:cs="Arial"/>
          <w:kern w:val="0"/>
          <w:lang w:eastAsia="en-GB"/>
          <w14:ligatures w14:val="none"/>
        </w:rPr>
        <w:t xml:space="preserve"> the legislation </w:t>
      </w:r>
      <w:r w:rsidR="004A7EE4">
        <w:rPr>
          <w:rFonts w:ascii="Arial" w:eastAsia="Times New Roman" w:hAnsi="Arial" w:cs="Arial"/>
          <w:kern w:val="0"/>
          <w:lang w:eastAsia="en-GB"/>
          <w14:ligatures w14:val="none"/>
        </w:rPr>
        <w:t>about</w:t>
      </w:r>
      <w:r w:rsidRPr="004177E0">
        <w:rPr>
          <w:rFonts w:ascii="Arial" w:eastAsia="Times New Roman" w:hAnsi="Arial" w:cs="Arial"/>
          <w:kern w:val="0"/>
          <w:lang w:eastAsia="en-GB"/>
          <w14:ligatures w14:val="none"/>
        </w:rPr>
        <w:t xml:space="preserve"> </w:t>
      </w:r>
      <w:r w:rsidR="00653424" w:rsidRPr="004177E0">
        <w:rPr>
          <w:rFonts w:ascii="Arial" w:eastAsia="Times New Roman" w:hAnsi="Arial" w:cs="Arial"/>
          <w:kern w:val="0"/>
          <w:lang w:eastAsia="en-GB"/>
          <w14:ligatures w14:val="none"/>
        </w:rPr>
        <w:t>offences</w:t>
      </w:r>
      <w:r w:rsidRPr="004177E0">
        <w:rPr>
          <w:rFonts w:ascii="Arial" w:eastAsia="Times New Roman" w:hAnsi="Arial" w:cs="Arial"/>
          <w:kern w:val="0"/>
          <w:lang w:eastAsia="en-GB"/>
          <w14:ligatures w14:val="none"/>
        </w:rPr>
        <w:t xml:space="preserve"> under the OAPA [1861] surpasses a century and a half in age, necessitating </w:t>
      </w:r>
      <w:r w:rsidR="00653424" w:rsidRPr="004177E0">
        <w:rPr>
          <w:rFonts w:ascii="Arial" w:eastAsia="Times New Roman" w:hAnsi="Arial" w:cs="Arial"/>
          <w:kern w:val="0"/>
          <w:lang w:eastAsia="en-GB"/>
          <w14:ligatures w14:val="none"/>
        </w:rPr>
        <w:t>acknowledgement</w:t>
      </w:r>
      <w:r w:rsidRPr="004177E0">
        <w:rPr>
          <w:rFonts w:ascii="Arial" w:eastAsia="Times New Roman" w:hAnsi="Arial" w:cs="Arial"/>
          <w:kern w:val="0"/>
          <w:lang w:eastAsia="en-GB"/>
          <w14:ligatures w14:val="none"/>
        </w:rPr>
        <w:t xml:space="preserve"> of the evolution of contemporary society from the Victorian era. Given the imposition of statutory limitations on numerous crimes, a dependence on judicial interpretation becomes imperative, owing to the antiquated nature of the legislation. This concern not only pertains to the imperfect hierarchy of </w:t>
      </w:r>
      <w:r w:rsidR="00653424" w:rsidRPr="004177E0">
        <w:rPr>
          <w:rFonts w:ascii="Arial" w:eastAsia="Times New Roman" w:hAnsi="Arial" w:cs="Arial"/>
          <w:kern w:val="0"/>
          <w:lang w:eastAsia="en-GB"/>
          <w14:ligatures w14:val="none"/>
        </w:rPr>
        <w:t>offences</w:t>
      </w:r>
      <w:r w:rsidRPr="004177E0">
        <w:rPr>
          <w:rFonts w:ascii="Arial" w:eastAsia="Times New Roman" w:hAnsi="Arial" w:cs="Arial"/>
          <w:kern w:val="0"/>
          <w:lang w:eastAsia="en-GB"/>
          <w14:ligatures w14:val="none"/>
        </w:rPr>
        <w:t xml:space="preserve"> but also encompasses a rise in litigants in person, concurrently with economic inefficiencies inherent in the legal </w:t>
      </w:r>
      <w:r w:rsidR="00653424" w:rsidRPr="004177E0">
        <w:rPr>
          <w:rFonts w:ascii="Arial" w:eastAsia="Times New Roman" w:hAnsi="Arial" w:cs="Arial"/>
          <w:kern w:val="0"/>
          <w:lang w:eastAsia="en-GB"/>
          <w14:ligatures w14:val="none"/>
        </w:rPr>
        <w:t>system. The</w:t>
      </w:r>
      <w:r w:rsidR="00140D9F" w:rsidRPr="004177E0">
        <w:rPr>
          <w:rFonts w:ascii="Arial" w:eastAsia="Times New Roman" w:hAnsi="Arial" w:cs="Arial"/>
          <w:kern w:val="0"/>
          <w:lang w:eastAsia="en-GB"/>
          <w14:ligatures w14:val="none"/>
        </w:rPr>
        <w:t xml:space="preserve"> use of archaic terminology has led to unnecessary procedural complications. Simplifying and making components of a crime clearer could potentially transfer many Crown Court cases to the more cost-effective Magistrates Court, improving both cost and time efficiency</w:t>
      </w:r>
      <w:r w:rsidR="005C0D87" w:rsidRPr="004177E0">
        <w:rPr>
          <w:rFonts w:ascii="Arial" w:eastAsia="Times New Roman" w:hAnsi="Arial" w:cs="Arial"/>
          <w:kern w:val="0"/>
          <w:lang w:eastAsia="en-GB"/>
          <w14:ligatures w14:val="none"/>
        </w:rPr>
        <w:t xml:space="preserve"> (</w:t>
      </w:r>
      <w:r w:rsidR="00140D9F" w:rsidRPr="004177E0">
        <w:rPr>
          <w:rFonts w:ascii="Arial" w:eastAsia="Times New Roman" w:hAnsi="Arial" w:cs="Arial"/>
          <w:kern w:val="0"/>
          <w:lang w:eastAsia="en-GB"/>
          <w14:ligatures w14:val="none"/>
        </w:rPr>
        <w:t>Eugenicos</w:t>
      </w:r>
      <w:r w:rsidR="005C0D87" w:rsidRPr="004177E0">
        <w:rPr>
          <w:rFonts w:ascii="Arial" w:eastAsia="Times New Roman" w:hAnsi="Arial" w:cs="Arial"/>
          <w:kern w:val="0"/>
          <w:lang w:eastAsia="en-GB"/>
          <w14:ligatures w14:val="none"/>
        </w:rPr>
        <w:t>, 2017).</w:t>
      </w:r>
      <w:r w:rsidR="00140D9F" w:rsidRPr="004177E0">
        <w:rPr>
          <w:rFonts w:ascii="Arial" w:eastAsia="Times New Roman" w:hAnsi="Arial" w:cs="Arial"/>
          <w:kern w:val="0"/>
          <w:lang w:eastAsia="en-GB"/>
          <w14:ligatures w14:val="none"/>
        </w:rPr>
        <w:t xml:space="preserve"> An example of outdated language is evident in section 17 of the OAPA (1861), which addresses hindering individuals attempting to save themselves from a shipwreck. The section makes it an </w:t>
      </w:r>
      <w:r w:rsidR="005C0D87" w:rsidRPr="004177E0">
        <w:rPr>
          <w:rFonts w:ascii="Arial" w:eastAsia="Times New Roman" w:hAnsi="Arial" w:cs="Arial"/>
          <w:kern w:val="0"/>
          <w:lang w:eastAsia="en-GB"/>
          <w14:ligatures w14:val="none"/>
        </w:rPr>
        <w:t>offence</w:t>
      </w:r>
      <w:r w:rsidR="00140D9F" w:rsidRPr="004177E0">
        <w:rPr>
          <w:rFonts w:ascii="Arial" w:eastAsia="Times New Roman" w:hAnsi="Arial" w:cs="Arial"/>
          <w:kern w:val="0"/>
          <w:lang w:eastAsia="en-GB"/>
          <w14:ligatures w14:val="none"/>
        </w:rPr>
        <w:t xml:space="preserve"> to impede escape from a shipwreck, regardless of legality or malicious intent. Moreover, blocking others from rescuing those stranded, wrecked, or </w:t>
      </w:r>
      <w:r w:rsidR="00465456" w:rsidRPr="004177E0">
        <w:rPr>
          <w:rFonts w:ascii="Arial" w:eastAsia="Times New Roman" w:hAnsi="Arial" w:cs="Arial"/>
          <w:kern w:val="0"/>
          <w:lang w:eastAsia="en-GB"/>
          <w14:ligatures w14:val="none"/>
        </w:rPr>
        <w:t xml:space="preserve">distressed is also considered </w:t>
      </w:r>
      <w:r w:rsidR="00D15A86">
        <w:rPr>
          <w:rFonts w:ascii="Arial" w:eastAsia="Times New Roman" w:hAnsi="Arial" w:cs="Arial"/>
          <w:kern w:val="0"/>
          <w:lang w:eastAsia="en-GB"/>
          <w14:ligatures w14:val="none"/>
        </w:rPr>
        <w:t>criminal</w:t>
      </w:r>
      <w:r w:rsidR="00140D9F" w:rsidRPr="004177E0">
        <w:rPr>
          <w:rFonts w:ascii="Arial" w:eastAsia="Times New Roman" w:hAnsi="Arial" w:cs="Arial"/>
          <w:kern w:val="0"/>
          <w:lang w:eastAsia="en-GB"/>
          <w14:ligatures w14:val="none"/>
        </w:rPr>
        <w:t xml:space="preserve">. The maximum penalty for violating section 17 is life imprisonment, </w:t>
      </w:r>
      <w:r w:rsidR="00465456" w:rsidRPr="004177E0">
        <w:rPr>
          <w:rFonts w:ascii="Arial" w:eastAsia="Times New Roman" w:hAnsi="Arial" w:cs="Arial"/>
          <w:kern w:val="0"/>
          <w:lang w:eastAsia="en-GB"/>
          <w14:ligatures w14:val="none"/>
        </w:rPr>
        <w:t>an</w:t>
      </w:r>
      <w:r w:rsidR="00140D9F" w:rsidRPr="004177E0">
        <w:rPr>
          <w:rFonts w:ascii="Arial" w:eastAsia="Times New Roman" w:hAnsi="Arial" w:cs="Arial"/>
          <w:kern w:val="0"/>
          <w:lang w:eastAsia="en-GB"/>
          <w14:ligatures w14:val="none"/>
        </w:rPr>
        <w:t xml:space="preserve"> </w:t>
      </w:r>
      <w:r w:rsidR="00C61DD4" w:rsidRPr="004177E0">
        <w:rPr>
          <w:rFonts w:ascii="Arial" w:eastAsia="Times New Roman" w:hAnsi="Arial" w:cs="Arial"/>
          <w:kern w:val="0"/>
          <w:lang w:eastAsia="en-GB"/>
          <w14:ligatures w14:val="none"/>
        </w:rPr>
        <w:t>offence</w:t>
      </w:r>
      <w:r w:rsidR="00140D9F" w:rsidRPr="004177E0">
        <w:rPr>
          <w:rFonts w:ascii="Arial" w:eastAsia="Times New Roman" w:hAnsi="Arial" w:cs="Arial"/>
          <w:kern w:val="0"/>
          <w:lang w:eastAsia="en-GB"/>
          <w14:ligatures w14:val="none"/>
        </w:rPr>
        <w:t xml:space="preserve"> deemed irrelevant to today's </w:t>
      </w:r>
      <w:r w:rsidR="00D15A86" w:rsidRPr="004177E0">
        <w:rPr>
          <w:rFonts w:ascii="Arial" w:eastAsia="Times New Roman" w:hAnsi="Arial" w:cs="Arial"/>
          <w:kern w:val="0"/>
          <w:lang w:eastAsia="en-GB"/>
          <w14:ligatures w14:val="none"/>
        </w:rPr>
        <w:t xml:space="preserve">society. </w:t>
      </w:r>
    </w:p>
    <w:p w14:paraId="43F7D5B6" w14:textId="141B2341" w:rsidR="00E32C58" w:rsidRPr="004177E0" w:rsidRDefault="00D46294" w:rsidP="006A65D5">
      <w:pPr>
        <w:spacing w:line="360" w:lineRule="auto"/>
        <w:rPr>
          <w:rFonts w:ascii="Arial" w:eastAsia="Times New Roman" w:hAnsi="Arial" w:cs="Arial"/>
          <w:kern w:val="0"/>
          <w:lang w:eastAsia="en-GB"/>
          <w14:ligatures w14:val="none"/>
        </w:rPr>
      </w:pPr>
      <w:r w:rsidRPr="004177E0">
        <w:rPr>
          <w:rFonts w:ascii="Arial" w:eastAsia="Times New Roman" w:hAnsi="Arial" w:cs="Arial"/>
          <w:kern w:val="0"/>
          <w:lang w:eastAsia="en-GB"/>
          <w14:ligatures w14:val="none"/>
        </w:rPr>
        <w:t xml:space="preserve">Although the analysis primarily centred on the Commission's recommendations concerning the crime ladder, branding, and vocabulary, it also shed light on issues the Commission had not previously addressed, despite its mandate to review non-fatal offences against the person and pave the way for </w:t>
      </w:r>
      <w:r w:rsidR="00653424" w:rsidRPr="004177E0">
        <w:rPr>
          <w:rFonts w:ascii="Arial" w:eastAsia="Times New Roman" w:hAnsi="Arial" w:cs="Arial"/>
          <w:kern w:val="0"/>
          <w:lang w:eastAsia="en-GB"/>
          <w14:ligatures w14:val="none"/>
        </w:rPr>
        <w:t>modernising</w:t>
      </w:r>
      <w:r w:rsidRPr="004177E0">
        <w:rPr>
          <w:rFonts w:ascii="Arial" w:eastAsia="Times New Roman" w:hAnsi="Arial" w:cs="Arial"/>
          <w:kern w:val="0"/>
          <w:lang w:eastAsia="en-GB"/>
          <w14:ligatures w14:val="none"/>
        </w:rPr>
        <w:t xml:space="preserve"> and clarifying the law in this domain.</w:t>
      </w:r>
      <w:r w:rsidR="000E0EF6" w:rsidRPr="004177E0">
        <w:rPr>
          <w:rFonts w:ascii="Arial" w:hAnsi="Arial" w:cs="Arial"/>
        </w:rPr>
        <w:t xml:space="preserve"> </w:t>
      </w:r>
      <w:r w:rsidR="00A21D74" w:rsidRPr="004177E0">
        <w:rPr>
          <w:rFonts w:ascii="Arial" w:eastAsia="Times New Roman" w:hAnsi="Arial" w:cs="Arial"/>
          <w:kern w:val="0"/>
          <w:lang w:eastAsia="en-GB"/>
          <w14:ligatures w14:val="none"/>
        </w:rPr>
        <w:t>Considering</w:t>
      </w:r>
      <w:r w:rsidR="000E0EF6" w:rsidRPr="004177E0">
        <w:rPr>
          <w:rFonts w:ascii="Arial" w:eastAsia="Times New Roman" w:hAnsi="Arial" w:cs="Arial"/>
          <w:kern w:val="0"/>
          <w:lang w:eastAsia="en-GB"/>
          <w14:ligatures w14:val="none"/>
        </w:rPr>
        <w:t xml:space="preserve"> this, it is justifiable to anticipate that the Commission will </w:t>
      </w:r>
      <w:r w:rsidR="000E0EF6" w:rsidRPr="004177E0">
        <w:rPr>
          <w:rFonts w:ascii="Arial" w:eastAsia="Times New Roman" w:hAnsi="Arial" w:cs="Arial"/>
          <w:kern w:val="0"/>
          <w:lang w:eastAsia="en-GB"/>
          <w14:ligatures w14:val="none"/>
        </w:rPr>
        <w:t>comprehensively examine</w:t>
      </w:r>
      <w:r w:rsidR="000E0EF6" w:rsidRPr="004177E0">
        <w:rPr>
          <w:rFonts w:ascii="Arial" w:eastAsia="Times New Roman" w:hAnsi="Arial" w:cs="Arial"/>
          <w:kern w:val="0"/>
          <w:lang w:eastAsia="en-GB"/>
          <w14:ligatures w14:val="none"/>
        </w:rPr>
        <w:t xml:space="preserve"> every component of these </w:t>
      </w:r>
      <w:r w:rsidR="000E0EF6" w:rsidRPr="004177E0">
        <w:rPr>
          <w:rFonts w:ascii="Arial" w:eastAsia="Times New Roman" w:hAnsi="Arial" w:cs="Arial"/>
          <w:kern w:val="0"/>
          <w:lang w:eastAsia="en-GB"/>
          <w14:ligatures w14:val="none"/>
        </w:rPr>
        <w:t>offences</w:t>
      </w:r>
      <w:r w:rsidR="000E0EF6" w:rsidRPr="004177E0">
        <w:rPr>
          <w:rFonts w:ascii="Arial" w:eastAsia="Times New Roman" w:hAnsi="Arial" w:cs="Arial"/>
          <w:kern w:val="0"/>
          <w:lang w:eastAsia="en-GB"/>
          <w14:ligatures w14:val="none"/>
        </w:rPr>
        <w:t xml:space="preserve">, paying particular attention to the </w:t>
      </w:r>
      <w:r w:rsidR="004A7EE4">
        <w:rPr>
          <w:rFonts w:ascii="Arial" w:eastAsia="Times New Roman" w:hAnsi="Arial" w:cs="Arial"/>
          <w:kern w:val="0"/>
          <w:lang w:eastAsia="en-GB"/>
          <w14:ligatures w14:val="none"/>
        </w:rPr>
        <w:t>fault criteria</w:t>
      </w:r>
      <w:r w:rsidR="000E0EF6" w:rsidRPr="004177E0">
        <w:rPr>
          <w:rFonts w:ascii="Arial" w:eastAsia="Times New Roman" w:hAnsi="Arial" w:cs="Arial"/>
          <w:kern w:val="0"/>
          <w:lang w:eastAsia="en-GB"/>
          <w14:ligatures w14:val="none"/>
        </w:rPr>
        <w:t>, notably the pivotal factors of 'intention' and 'recklessness.'</w:t>
      </w:r>
      <w:r w:rsidRPr="004177E0">
        <w:rPr>
          <w:rFonts w:ascii="Arial" w:eastAsia="Times New Roman" w:hAnsi="Arial" w:cs="Arial"/>
          <w:kern w:val="0"/>
          <w:lang w:eastAsia="en-GB"/>
          <w14:ligatures w14:val="none"/>
        </w:rPr>
        <w:t xml:space="preserve"> </w:t>
      </w:r>
      <w:r w:rsidR="00127DFD" w:rsidRPr="004177E0">
        <w:rPr>
          <w:rFonts w:ascii="Arial" w:eastAsia="Times New Roman" w:hAnsi="Arial" w:cs="Arial"/>
          <w:kern w:val="0"/>
          <w:lang w:eastAsia="en-GB"/>
          <w14:ligatures w14:val="none"/>
        </w:rPr>
        <w:t xml:space="preserve">The author additionally contends that despite the Commission </w:t>
      </w:r>
      <w:r w:rsidR="00127DFD" w:rsidRPr="004177E0">
        <w:rPr>
          <w:rFonts w:ascii="Arial" w:eastAsia="Times New Roman" w:hAnsi="Arial" w:cs="Arial"/>
          <w:kern w:val="0"/>
          <w:lang w:eastAsia="en-GB"/>
          <w14:ligatures w14:val="none"/>
        </w:rPr>
        <w:t>recognising</w:t>
      </w:r>
      <w:r w:rsidR="00127DFD" w:rsidRPr="004177E0">
        <w:rPr>
          <w:rFonts w:ascii="Arial" w:eastAsia="Times New Roman" w:hAnsi="Arial" w:cs="Arial"/>
          <w:kern w:val="0"/>
          <w:lang w:eastAsia="en-GB"/>
          <w14:ligatures w14:val="none"/>
        </w:rPr>
        <w:t xml:space="preserve"> the advantages of codifying criminal law, such as improved consistency and clarity, it is unexpected that the Commission did not use the project as an opportunity to reaffirm its stance on codification</w:t>
      </w:r>
      <w:r w:rsidR="00136C1F">
        <w:rPr>
          <w:rFonts w:ascii="Arial" w:eastAsia="Times New Roman" w:hAnsi="Arial" w:cs="Arial"/>
          <w:kern w:val="0"/>
          <w:lang w:eastAsia="en-GB"/>
          <w14:ligatures w14:val="none"/>
        </w:rPr>
        <w:t xml:space="preserve"> (Demetriou 2016). </w:t>
      </w:r>
    </w:p>
    <w:p w14:paraId="1FA0E4FF" w14:textId="7DAF874C" w:rsidR="00E32C58" w:rsidRPr="004177E0" w:rsidRDefault="00577763" w:rsidP="006A65D5">
      <w:pPr>
        <w:spacing w:line="360" w:lineRule="auto"/>
        <w:rPr>
          <w:rFonts w:ascii="Arial" w:hAnsi="Arial" w:cs="Arial"/>
        </w:rPr>
      </w:pPr>
      <w:r w:rsidRPr="00136C1F">
        <w:rPr>
          <w:rFonts w:ascii="Arial" w:hAnsi="Arial" w:cs="Arial"/>
        </w:rPr>
        <w:lastRenderedPageBreak/>
        <w:t xml:space="preserve">Jefferson (2012) outlines general criticisms of the OAPA [1861]. </w:t>
      </w:r>
      <w:r w:rsidR="00270BA0">
        <w:rPr>
          <w:rFonts w:ascii="Arial" w:hAnsi="Arial" w:cs="Arial"/>
        </w:rPr>
        <w:t>Another</w:t>
      </w:r>
      <w:r w:rsidRPr="004177E0">
        <w:rPr>
          <w:rFonts w:ascii="Arial" w:hAnsi="Arial" w:cs="Arial"/>
        </w:rPr>
        <w:t xml:space="preserve"> </w:t>
      </w:r>
      <w:r w:rsidR="00555E92">
        <w:rPr>
          <w:rFonts w:ascii="Arial" w:hAnsi="Arial" w:cs="Arial"/>
        </w:rPr>
        <w:t>concern is</w:t>
      </w:r>
      <w:r w:rsidRPr="004177E0">
        <w:rPr>
          <w:rFonts w:ascii="Arial" w:hAnsi="Arial" w:cs="Arial"/>
        </w:rPr>
        <w:t xml:space="preserve"> </w:t>
      </w:r>
      <w:r w:rsidR="004A7EE4">
        <w:rPr>
          <w:rFonts w:ascii="Arial" w:hAnsi="Arial" w:cs="Arial"/>
        </w:rPr>
        <w:t>applying</w:t>
      </w:r>
      <w:r w:rsidRPr="004177E0">
        <w:rPr>
          <w:rFonts w:ascii="Arial" w:hAnsi="Arial" w:cs="Arial"/>
        </w:rPr>
        <w:t xml:space="preserve"> penalties within the original statute that are now obsolete. For </w:t>
      </w:r>
      <w:r w:rsidR="004A7EE4">
        <w:rPr>
          <w:rFonts w:ascii="Arial" w:hAnsi="Arial" w:cs="Arial"/>
        </w:rPr>
        <w:t>example</w:t>
      </w:r>
      <w:r w:rsidRPr="004177E0">
        <w:rPr>
          <w:rFonts w:ascii="Arial" w:hAnsi="Arial" w:cs="Arial"/>
        </w:rPr>
        <w:t xml:space="preserve">, in section 29, the offence of "causing gunpowder to explode, or sending an explosive substance to any person, or throwing corrosive fluid on a person, with intent to do grievous bodily harm" carried a maximum sentence of penal servitude for life with a minimum term of three years, or imprisonment. He suggests that the nature of these punishments prompts reflection on the era in which these offences originated and posits that if the penalties are outdated, </w:t>
      </w:r>
      <w:r w:rsidR="004A7EE4">
        <w:rPr>
          <w:rFonts w:ascii="Arial" w:hAnsi="Arial" w:cs="Arial"/>
        </w:rPr>
        <w:t>they</w:t>
      </w:r>
      <w:r w:rsidRPr="004177E0">
        <w:rPr>
          <w:rFonts w:ascii="Arial" w:hAnsi="Arial" w:cs="Arial"/>
        </w:rPr>
        <w:t xml:space="preserve"> must be as well.</w:t>
      </w:r>
    </w:p>
    <w:p w14:paraId="7A7DC30E" w14:textId="1A10FBDD" w:rsidR="00E32C58" w:rsidRPr="004177E0" w:rsidRDefault="00E32C58" w:rsidP="006A65D5">
      <w:pPr>
        <w:spacing w:line="360" w:lineRule="auto"/>
        <w:rPr>
          <w:rFonts w:ascii="Arial" w:hAnsi="Arial" w:cs="Arial"/>
        </w:rPr>
      </w:pPr>
      <w:r w:rsidRPr="004177E0">
        <w:rPr>
          <w:rFonts w:ascii="Arial" w:hAnsi="Arial" w:cs="Arial"/>
        </w:rPr>
        <w:t xml:space="preserve">There is a minority against any reform. </w:t>
      </w:r>
      <w:r w:rsidRPr="00136C1F">
        <w:rPr>
          <w:rFonts w:ascii="Arial" w:hAnsi="Arial" w:cs="Arial"/>
        </w:rPr>
        <w:t>The Criminal Bar Association (</w:t>
      </w:r>
      <w:r w:rsidR="008C046D" w:rsidRPr="00136C1F">
        <w:rPr>
          <w:rFonts w:ascii="Arial" w:hAnsi="Arial" w:cs="Arial"/>
        </w:rPr>
        <w:t>2015</w:t>
      </w:r>
      <w:r w:rsidRPr="00136C1F">
        <w:rPr>
          <w:rFonts w:ascii="Arial" w:hAnsi="Arial" w:cs="Arial"/>
        </w:rPr>
        <w:t>) has</w:t>
      </w:r>
      <w:r w:rsidRPr="004177E0">
        <w:rPr>
          <w:rFonts w:ascii="Arial" w:hAnsi="Arial" w:cs="Arial"/>
        </w:rPr>
        <w:t xml:space="preserve"> over 3,500 members and represents criminal law practitioners in the Bar. In a 2015 Law Commission consultation interview, they acknowledged that grading offences do not cause problems and that judges commonly employ this at sentencing. Judges might also supervise the exercise by asking prosecutors relevant questions about the assessments. </w:t>
      </w:r>
      <w:r w:rsidR="008D22CC" w:rsidRPr="004177E0">
        <w:rPr>
          <w:rFonts w:ascii="Arial" w:hAnsi="Arial" w:cs="Arial"/>
        </w:rPr>
        <w:t>They a</w:t>
      </w:r>
      <w:r w:rsidR="00F35B76" w:rsidRPr="004177E0">
        <w:rPr>
          <w:rFonts w:ascii="Arial" w:hAnsi="Arial" w:cs="Arial"/>
        </w:rPr>
        <w:t xml:space="preserve">rgue that dedicating parliamentary time to a cleaning-up exercise would be an ineffective </w:t>
      </w:r>
      <w:r w:rsidR="004A7EE4">
        <w:rPr>
          <w:rFonts w:ascii="Arial" w:hAnsi="Arial" w:cs="Arial"/>
        </w:rPr>
        <w:t>utilisation</w:t>
      </w:r>
      <w:r w:rsidR="00F35B76" w:rsidRPr="004177E0">
        <w:rPr>
          <w:rFonts w:ascii="Arial" w:hAnsi="Arial" w:cs="Arial"/>
        </w:rPr>
        <w:t xml:space="preserve"> of resources.</w:t>
      </w:r>
    </w:p>
    <w:p w14:paraId="2EB4876E" w14:textId="543CD10D" w:rsidR="00E32C58" w:rsidRPr="004177E0" w:rsidRDefault="00707D57" w:rsidP="006A65D5">
      <w:pPr>
        <w:spacing w:line="360" w:lineRule="auto"/>
        <w:rPr>
          <w:rFonts w:ascii="Arial" w:hAnsi="Arial" w:cs="Arial"/>
        </w:rPr>
      </w:pPr>
      <w:r w:rsidRPr="004177E0">
        <w:rPr>
          <w:rFonts w:ascii="Arial" w:hAnsi="Arial" w:cs="Arial"/>
        </w:rPr>
        <w:t xml:space="preserve">Moreover, they argue that objections to the language employed in the 1861 statute are purely </w:t>
      </w:r>
      <w:r w:rsidR="004A7EE4">
        <w:rPr>
          <w:rFonts w:ascii="Arial" w:hAnsi="Arial" w:cs="Arial"/>
        </w:rPr>
        <w:t>academic</w:t>
      </w:r>
      <w:r w:rsidRPr="004177E0">
        <w:rPr>
          <w:rFonts w:ascii="Arial" w:hAnsi="Arial" w:cs="Arial"/>
        </w:rPr>
        <w:t xml:space="preserve">. While acknowledging that some terminology may not be commonplace, they affirm </w:t>
      </w:r>
      <w:r w:rsidRPr="00136C1F">
        <w:rPr>
          <w:rFonts w:ascii="Arial" w:hAnsi="Arial" w:cs="Arial"/>
        </w:rPr>
        <w:t>that courts need not resort to imaginative interpretations of these terms. In the case of R v Burstow, R v Ireland [1997] UKHL 34, decided</w:t>
      </w:r>
      <w:r w:rsidRPr="004177E0">
        <w:rPr>
          <w:rFonts w:ascii="Arial" w:hAnsi="Arial" w:cs="Arial"/>
        </w:rPr>
        <w:t xml:space="preserve"> by the House of Lords in July 1997, it was established that the term 'bodily harm' encompassed psychiatric illness within the provisions of sections 18, 20, and 47 of the 1861 Act. Additionally, judges are provided with approved directions in cases where interpretation is required, </w:t>
      </w:r>
      <w:r w:rsidR="004A7EE4">
        <w:rPr>
          <w:rFonts w:ascii="Arial" w:hAnsi="Arial" w:cs="Arial"/>
        </w:rPr>
        <w:t>which</w:t>
      </w:r>
      <w:r w:rsidRPr="004177E0">
        <w:rPr>
          <w:rFonts w:ascii="Arial" w:hAnsi="Arial" w:cs="Arial"/>
        </w:rPr>
        <w:t xml:space="preserve"> are expected to be followed by the court. In summary, they question whether an effort to refine the language of the 1861 Act would justify the associated costs and parliamentary time (The Criminal Bar Association, 2015).</w:t>
      </w:r>
    </w:p>
    <w:p w14:paraId="5EBC478C" w14:textId="07F1B747" w:rsidR="00E32C58" w:rsidRPr="004177E0" w:rsidRDefault="003D18FD" w:rsidP="006A65D5">
      <w:pPr>
        <w:spacing w:line="360" w:lineRule="auto"/>
        <w:rPr>
          <w:rFonts w:ascii="Arial" w:hAnsi="Arial" w:cs="Arial"/>
        </w:rPr>
      </w:pPr>
      <w:r w:rsidRPr="004177E0">
        <w:rPr>
          <w:rFonts w:ascii="Arial" w:hAnsi="Arial" w:cs="Arial"/>
        </w:rPr>
        <w:t xml:space="preserve">Given the extensive research and evidence, it is reasonable to propose urgent reform for the OAPA [1861], particularly by abolishing certain </w:t>
      </w:r>
      <w:r w:rsidR="004A7EE4">
        <w:rPr>
          <w:rFonts w:ascii="Arial" w:hAnsi="Arial" w:cs="Arial"/>
        </w:rPr>
        <w:t>offences</w:t>
      </w:r>
      <w:r w:rsidRPr="004177E0">
        <w:rPr>
          <w:rFonts w:ascii="Arial" w:hAnsi="Arial" w:cs="Arial"/>
        </w:rPr>
        <w:t xml:space="preserve"> that no longer align with the needs of modern society. According to the Law Commission (2015), replacing the current statute with a clear, contemporary, and uncomplicated one could yield positive outcomes in the future. There are three potential avenues for reform. The first involves maintaining the Act, relying on court interpretations that </w:t>
      </w:r>
      <w:r w:rsidRPr="004177E0">
        <w:rPr>
          <w:rFonts w:ascii="Arial" w:hAnsi="Arial" w:cs="Arial"/>
        </w:rPr>
        <w:lastRenderedPageBreak/>
        <w:t xml:space="preserve">have persisted for the past 150 years. The second option is a piecemeal reform, which involves selectively modifying or eliminating specific provisions. The most compelling choice, however, is to entirely repeal and replace the OAPA of 1861 with new </w:t>
      </w:r>
      <w:r w:rsidR="00A32D87" w:rsidRPr="004177E0">
        <w:rPr>
          <w:rFonts w:ascii="Arial" w:hAnsi="Arial" w:cs="Arial"/>
        </w:rPr>
        <w:t>legislation. This</w:t>
      </w:r>
      <w:r w:rsidRPr="004177E0">
        <w:rPr>
          <w:rFonts w:ascii="Arial" w:hAnsi="Arial" w:cs="Arial"/>
        </w:rPr>
        <w:t xml:space="preserve"> approach addresses the identified challenges by potentially increasing the utili</w:t>
      </w:r>
      <w:r w:rsidR="0032246B" w:rsidRPr="004177E0">
        <w:rPr>
          <w:rFonts w:ascii="Arial" w:hAnsi="Arial" w:cs="Arial"/>
        </w:rPr>
        <w:t>s</w:t>
      </w:r>
      <w:r w:rsidRPr="004177E0">
        <w:rPr>
          <w:rFonts w:ascii="Arial" w:hAnsi="Arial" w:cs="Arial"/>
        </w:rPr>
        <w:t xml:space="preserve">ation of the magistrate's court, sidestepping unnecessary complexity and detail in </w:t>
      </w:r>
      <w:r w:rsidR="0032246B" w:rsidRPr="004177E0">
        <w:rPr>
          <w:rFonts w:ascii="Arial" w:hAnsi="Arial" w:cs="Arial"/>
        </w:rPr>
        <w:t>offences</w:t>
      </w:r>
      <w:r w:rsidRPr="004177E0">
        <w:rPr>
          <w:rFonts w:ascii="Arial" w:hAnsi="Arial" w:cs="Arial"/>
        </w:rPr>
        <w:t xml:space="preserve">. This ensures that the law remains adaptable to modern and evolving criminal practices. The reformed legislation should </w:t>
      </w:r>
      <w:r w:rsidR="00A4254B">
        <w:rPr>
          <w:rFonts w:ascii="Arial" w:hAnsi="Arial" w:cs="Arial"/>
        </w:rPr>
        <w:t>prioritise</w:t>
      </w:r>
      <w:r w:rsidRPr="004177E0">
        <w:rPr>
          <w:rFonts w:ascii="Arial" w:hAnsi="Arial" w:cs="Arial"/>
        </w:rPr>
        <w:t xml:space="preserve"> accessibility and transparency, facilitating a more straightforward legal process. Consequently, the urgency and critical nature of changing the OAPA become evident.</w:t>
      </w:r>
    </w:p>
    <w:p w14:paraId="7811B5B9" w14:textId="77777777" w:rsidR="00E32C58" w:rsidRPr="004177E0" w:rsidRDefault="00E32C58" w:rsidP="006A65D5">
      <w:pPr>
        <w:spacing w:line="360" w:lineRule="auto"/>
        <w:rPr>
          <w:rFonts w:ascii="Arial" w:hAnsi="Arial" w:cs="Arial"/>
        </w:rPr>
      </w:pPr>
    </w:p>
    <w:p w14:paraId="2C67893B" w14:textId="10469352" w:rsidR="00E32C58" w:rsidRPr="0004664F" w:rsidRDefault="00E32C58" w:rsidP="00E32C58">
      <w:pPr>
        <w:rPr>
          <w:rFonts w:ascii="Arial" w:hAnsi="Arial" w:cs="Arial"/>
          <w:u w:val="single"/>
        </w:rPr>
      </w:pPr>
      <w:r w:rsidRPr="0004664F">
        <w:rPr>
          <w:rFonts w:ascii="Arial" w:hAnsi="Arial" w:cs="Arial"/>
          <w:u w:val="single"/>
        </w:rPr>
        <w:t xml:space="preserve">References </w:t>
      </w:r>
    </w:p>
    <w:p w14:paraId="70018FAC" w14:textId="77777777" w:rsidR="00947AD7" w:rsidRDefault="00947AD7" w:rsidP="00E32C58">
      <w:pPr>
        <w:rPr>
          <w:rFonts w:ascii="Arial" w:hAnsi="Arial" w:cs="Arial"/>
        </w:rPr>
      </w:pPr>
    </w:p>
    <w:p w14:paraId="64094DED" w14:textId="77777777" w:rsidR="00947AD7" w:rsidRPr="0004664F" w:rsidRDefault="00947AD7" w:rsidP="00947AD7">
      <w:pPr>
        <w:rPr>
          <w:rFonts w:ascii="Arial" w:hAnsi="Arial" w:cs="Arial"/>
        </w:rPr>
      </w:pPr>
      <w:r w:rsidRPr="0004664F">
        <w:rPr>
          <w:rFonts w:ascii="Arial" w:hAnsi="Arial" w:cs="Arial"/>
          <w:shd w:val="clear" w:color="auto" w:fill="FFFFFF"/>
        </w:rPr>
        <w:t>Demetriou, S. (2016) “Not Giving Up the Fight: A Review of the Law Commission’s Scoping Report on Non-fatal Offences Against the Person,” </w:t>
      </w:r>
      <w:r w:rsidRPr="0004664F">
        <w:rPr>
          <w:rFonts w:ascii="Arial" w:hAnsi="Arial" w:cs="Arial"/>
          <w:i/>
          <w:iCs/>
          <w:shd w:val="clear" w:color="auto" w:fill="FFFFFF"/>
        </w:rPr>
        <w:t>Journal of Criminal Law</w:t>
      </w:r>
      <w:r w:rsidRPr="0004664F">
        <w:rPr>
          <w:rFonts w:ascii="Arial" w:hAnsi="Arial" w:cs="Arial"/>
          <w:shd w:val="clear" w:color="auto" w:fill="FFFFFF"/>
        </w:rPr>
        <w:t>, 80(3), pp. 188–200. Available at: https://doi.org/10.1177/0022018316646656.</w:t>
      </w:r>
    </w:p>
    <w:p w14:paraId="1DB2F60B" w14:textId="77777777" w:rsidR="00947AD7" w:rsidRPr="0004664F" w:rsidRDefault="00947AD7" w:rsidP="00947AD7">
      <w:pPr>
        <w:rPr>
          <w:rFonts w:ascii="Arial" w:hAnsi="Arial" w:cs="Arial"/>
        </w:rPr>
      </w:pPr>
      <w:r w:rsidRPr="0004664F">
        <w:rPr>
          <w:rFonts w:ascii="Arial" w:hAnsi="Arial" w:cs="Arial"/>
          <w:shd w:val="clear" w:color="auto" w:fill="FFFFFF"/>
        </w:rPr>
        <w:t>Eugenicos, A.-M. (2017) ‘Should We Reform the Offences Against the Person Act 1861?’ </w:t>
      </w:r>
      <w:r w:rsidRPr="0004664F">
        <w:rPr>
          <w:rFonts w:ascii="Arial" w:hAnsi="Arial" w:cs="Arial"/>
          <w:i/>
          <w:iCs/>
          <w:shd w:val="clear" w:color="auto" w:fill="FFFFFF"/>
        </w:rPr>
        <w:t>Journal of criminal law (Hertford)</w:t>
      </w:r>
      <w:r w:rsidRPr="0004664F">
        <w:rPr>
          <w:rFonts w:ascii="Arial" w:hAnsi="Arial" w:cs="Arial"/>
          <w:shd w:val="clear" w:color="auto" w:fill="FFFFFF"/>
        </w:rPr>
        <w:t>, 81(1), pp. 26–32. Available at: https://doi.org/10.1177/0022018316685478.</w:t>
      </w:r>
    </w:p>
    <w:p w14:paraId="5BA1CC1E" w14:textId="77777777" w:rsidR="00947AD7" w:rsidRPr="0004664F" w:rsidRDefault="00947AD7" w:rsidP="00947AD7">
      <w:pPr>
        <w:rPr>
          <w:rFonts w:ascii="Arial" w:hAnsi="Arial" w:cs="Arial"/>
        </w:rPr>
      </w:pPr>
      <w:r w:rsidRPr="0004664F">
        <w:rPr>
          <w:rFonts w:ascii="Arial" w:hAnsi="Arial" w:cs="Arial"/>
        </w:rPr>
        <w:t xml:space="preserve">Gardner, J. (1994) ‘Rationality and the Rule of Law in Offences against the Person’, </w:t>
      </w:r>
      <w:r w:rsidRPr="0004664F">
        <w:rPr>
          <w:rFonts w:ascii="Arial" w:hAnsi="Arial" w:cs="Arial"/>
          <w:i/>
          <w:iCs/>
        </w:rPr>
        <w:t xml:space="preserve">The Cambridge Law Journal, </w:t>
      </w:r>
      <w:r w:rsidRPr="0004664F">
        <w:rPr>
          <w:rFonts w:ascii="Arial" w:hAnsi="Arial" w:cs="Arial"/>
        </w:rPr>
        <w:t xml:space="preserve">53 (3) pp. 502-523. Available at: </w:t>
      </w:r>
      <w:hyperlink r:id="rId4" w:history="1">
        <w:r w:rsidRPr="0004664F">
          <w:rPr>
            <w:rStyle w:val="Hyperlink"/>
            <w:rFonts w:ascii="Arial" w:hAnsi="Arial" w:cs="Arial"/>
          </w:rPr>
          <w:t>https://www.jstor.org/stable/4507992</w:t>
        </w:r>
      </w:hyperlink>
      <w:r w:rsidRPr="0004664F">
        <w:rPr>
          <w:rFonts w:ascii="Arial" w:hAnsi="Arial" w:cs="Arial"/>
        </w:rPr>
        <w:t xml:space="preserve"> (Accessed: 07 March 2024).</w:t>
      </w:r>
    </w:p>
    <w:p w14:paraId="5C308AB0" w14:textId="77777777" w:rsidR="00947AD7" w:rsidRPr="0004664F" w:rsidRDefault="00947AD7" w:rsidP="00947AD7">
      <w:pPr>
        <w:rPr>
          <w:rFonts w:ascii="Arial" w:hAnsi="Arial" w:cs="Arial"/>
        </w:rPr>
      </w:pPr>
      <w:r w:rsidRPr="0004664F">
        <w:rPr>
          <w:rFonts w:ascii="Arial" w:hAnsi="Arial" w:cs="Arial"/>
        </w:rPr>
        <w:t xml:space="preserve">Jackson, A., Storey, T. (2015) Reforming Offences Against the Person: In Defence of ' moderate ' constructivism, </w:t>
      </w:r>
      <w:r w:rsidRPr="0004664F">
        <w:rPr>
          <w:rFonts w:ascii="Arial" w:hAnsi="Arial" w:cs="Arial"/>
          <w:i/>
          <w:iCs/>
        </w:rPr>
        <w:t>The Journal of Criminal Law</w:t>
      </w:r>
      <w:r w:rsidRPr="0004664F">
        <w:rPr>
          <w:rFonts w:ascii="Arial" w:hAnsi="Arial" w:cs="Arial"/>
        </w:rPr>
        <w:t>, 79 (6), pp. 437-447. Available at: https://doi.org/10.1177/0022018315617583</w:t>
      </w:r>
    </w:p>
    <w:p w14:paraId="532CE969" w14:textId="77777777" w:rsidR="00947AD7" w:rsidRPr="0004664F" w:rsidRDefault="00947AD7" w:rsidP="00947AD7">
      <w:pPr>
        <w:rPr>
          <w:rFonts w:ascii="Arial" w:hAnsi="Arial" w:cs="Arial"/>
        </w:rPr>
      </w:pPr>
      <w:r w:rsidRPr="0004664F">
        <w:rPr>
          <w:rFonts w:ascii="Arial" w:hAnsi="Arial" w:cs="Arial"/>
          <w:shd w:val="clear" w:color="auto" w:fill="FFFFFF"/>
        </w:rPr>
        <w:t>Jefferson, M. (2012) Offences against the Person: Into the 21st Century, </w:t>
      </w:r>
      <w:r w:rsidRPr="0004664F">
        <w:rPr>
          <w:rFonts w:ascii="Arial" w:hAnsi="Arial" w:cs="Arial"/>
          <w:i/>
          <w:iCs/>
          <w:shd w:val="clear" w:color="auto" w:fill="FFFFFF"/>
        </w:rPr>
        <w:t>Journal of criminal law (Hertford)</w:t>
      </w:r>
      <w:r w:rsidRPr="0004664F">
        <w:rPr>
          <w:rFonts w:ascii="Arial" w:hAnsi="Arial" w:cs="Arial"/>
          <w:shd w:val="clear" w:color="auto" w:fill="FFFFFF"/>
        </w:rPr>
        <w:t>, 76(6), pp. 472–492. Available at: https://doi.org/10.1350/jcla.2012.76.6.805.</w:t>
      </w:r>
    </w:p>
    <w:p w14:paraId="35FE61C6" w14:textId="77777777" w:rsidR="00947AD7" w:rsidRPr="0004664F" w:rsidRDefault="00947AD7" w:rsidP="00947AD7">
      <w:pPr>
        <w:rPr>
          <w:rFonts w:ascii="Arial" w:hAnsi="Arial" w:cs="Arial"/>
        </w:rPr>
      </w:pPr>
      <w:r w:rsidRPr="0004664F">
        <w:rPr>
          <w:rFonts w:ascii="Arial" w:hAnsi="Arial" w:cs="Arial"/>
        </w:rPr>
        <w:t xml:space="preserve">Law Commission (2015). </w:t>
      </w:r>
      <w:r w:rsidRPr="0004664F">
        <w:rPr>
          <w:rFonts w:ascii="Arial" w:hAnsi="Arial" w:cs="Arial"/>
          <w:i/>
          <w:iCs/>
        </w:rPr>
        <w:t>Reform of Offences against the Person</w:t>
      </w:r>
      <w:r w:rsidRPr="0004664F">
        <w:rPr>
          <w:rFonts w:ascii="Arial" w:hAnsi="Arial" w:cs="Arial"/>
        </w:rPr>
        <w:t>. (Law Com No 361). Available at: https://lawcom.gov.uk/document/offences-against-the-person-report/ (Accessed: 3 March 2024).</w:t>
      </w:r>
    </w:p>
    <w:p w14:paraId="7EDA2ACA" w14:textId="77777777" w:rsidR="00947AD7" w:rsidRPr="0004664F" w:rsidRDefault="00947AD7" w:rsidP="00947AD7">
      <w:pPr>
        <w:rPr>
          <w:rFonts w:ascii="Arial" w:hAnsi="Arial" w:cs="Arial"/>
        </w:rPr>
      </w:pPr>
      <w:r w:rsidRPr="0004664F">
        <w:rPr>
          <w:rFonts w:ascii="Arial" w:hAnsi="Arial" w:cs="Arial"/>
        </w:rPr>
        <w:t>Offences against the Person Act 1861, c. 100. Available at: https://www.legislation.gov.uk/ukpga/Vict/24-25/100/contents (Accessed: 29 February 2024).</w:t>
      </w:r>
    </w:p>
    <w:p w14:paraId="750FF657" w14:textId="77777777" w:rsidR="009C289E" w:rsidRPr="0004664F" w:rsidRDefault="009C289E" w:rsidP="009C289E">
      <w:pPr>
        <w:rPr>
          <w:rFonts w:ascii="Arial" w:hAnsi="Arial" w:cs="Arial"/>
        </w:rPr>
      </w:pPr>
      <w:r w:rsidRPr="0004664F">
        <w:rPr>
          <w:rFonts w:ascii="Arial" w:hAnsi="Arial" w:cs="Arial"/>
        </w:rPr>
        <w:t xml:space="preserve">Padfield, N. (2014) </w:t>
      </w:r>
      <w:r w:rsidRPr="0004664F">
        <w:rPr>
          <w:rFonts w:ascii="Arial" w:hAnsi="Arial" w:cs="Arial"/>
          <w:i/>
          <w:iCs/>
        </w:rPr>
        <w:t xml:space="preserve">Criminal Law. </w:t>
      </w:r>
      <w:r w:rsidRPr="0004664F">
        <w:rPr>
          <w:rFonts w:ascii="Arial" w:hAnsi="Arial" w:cs="Arial"/>
        </w:rPr>
        <w:t>9</w:t>
      </w:r>
      <w:r w:rsidRPr="0004664F">
        <w:rPr>
          <w:rFonts w:ascii="Arial" w:hAnsi="Arial" w:cs="Arial"/>
          <w:vertAlign w:val="superscript"/>
        </w:rPr>
        <w:t>th</w:t>
      </w:r>
      <w:r w:rsidRPr="0004664F">
        <w:rPr>
          <w:rFonts w:ascii="Arial" w:hAnsi="Arial" w:cs="Arial"/>
        </w:rPr>
        <w:t xml:space="preserve"> edn. Oxford: Oxford University Press</w:t>
      </w:r>
    </w:p>
    <w:p w14:paraId="42DCC919" w14:textId="77777777" w:rsidR="009C289E" w:rsidRPr="0004664F" w:rsidRDefault="009C289E" w:rsidP="009C289E">
      <w:pPr>
        <w:rPr>
          <w:rFonts w:ascii="Arial" w:hAnsi="Arial" w:cs="Arial"/>
        </w:rPr>
      </w:pPr>
      <w:r w:rsidRPr="0004664F">
        <w:rPr>
          <w:rFonts w:ascii="Arial" w:hAnsi="Arial" w:cs="Arial"/>
        </w:rPr>
        <w:lastRenderedPageBreak/>
        <w:t xml:space="preserve">Smith, Hogan and Ormerod (2017). </w:t>
      </w:r>
      <w:r w:rsidRPr="0004664F">
        <w:rPr>
          <w:rFonts w:ascii="Arial" w:hAnsi="Arial" w:cs="Arial"/>
          <w:i/>
          <w:iCs/>
        </w:rPr>
        <w:t>Essentials of Criminal Law</w:t>
      </w:r>
      <w:r w:rsidRPr="0004664F">
        <w:rPr>
          <w:rFonts w:ascii="Arial" w:hAnsi="Arial" w:cs="Arial"/>
        </w:rPr>
        <w:t>. 2nd Edn. Oxford: Oxford University Press.</w:t>
      </w:r>
    </w:p>
    <w:p w14:paraId="7C94041D" w14:textId="6BC8C7A3" w:rsidR="002C2F3B" w:rsidRPr="0004664F" w:rsidRDefault="00C45FBD" w:rsidP="00E32C58">
      <w:pPr>
        <w:rPr>
          <w:rFonts w:ascii="Arial" w:hAnsi="Arial" w:cs="Arial"/>
        </w:rPr>
      </w:pPr>
      <w:r w:rsidRPr="0004664F">
        <w:rPr>
          <w:rFonts w:ascii="Arial" w:hAnsi="Arial" w:cs="Arial"/>
        </w:rPr>
        <w:t>The Criminal Bar Association of England &amp; Wales 2015</w:t>
      </w:r>
      <w:r w:rsidR="009900D3" w:rsidRPr="0004664F">
        <w:rPr>
          <w:rFonts w:ascii="Arial" w:hAnsi="Arial" w:cs="Arial"/>
          <w:i/>
          <w:iCs/>
        </w:rPr>
        <w:t xml:space="preserve">. </w:t>
      </w:r>
      <w:r w:rsidR="00535D07" w:rsidRPr="0004664F">
        <w:rPr>
          <w:rFonts w:ascii="Arial" w:hAnsi="Arial" w:cs="Arial"/>
          <w:i/>
          <w:iCs/>
        </w:rPr>
        <w:t>Proposed reform of the Offences against the Person Act 1861</w:t>
      </w:r>
      <w:r w:rsidR="009900D3" w:rsidRPr="0004664F">
        <w:rPr>
          <w:rFonts w:ascii="Arial" w:hAnsi="Arial" w:cs="Arial"/>
          <w:i/>
          <w:iCs/>
        </w:rPr>
        <w:t xml:space="preserve"> Consultation by the law commission. </w:t>
      </w:r>
      <w:r w:rsidR="009378EB" w:rsidRPr="0004664F">
        <w:rPr>
          <w:rFonts w:ascii="Arial" w:hAnsi="Arial" w:cs="Arial"/>
        </w:rPr>
        <w:t>150215073348</w:t>
      </w:r>
      <w:r w:rsidR="00F5147F" w:rsidRPr="0004664F">
        <w:rPr>
          <w:rFonts w:ascii="Arial" w:hAnsi="Arial" w:cs="Arial"/>
        </w:rPr>
        <w:t xml:space="preserve"> Available at: </w:t>
      </w:r>
      <w:hyperlink r:id="rId5" w:history="1">
        <w:r w:rsidR="00F5147F" w:rsidRPr="0004664F">
          <w:rPr>
            <w:rStyle w:val="Hyperlink"/>
            <w:rFonts w:ascii="Arial" w:hAnsi="Arial" w:cs="Arial"/>
          </w:rPr>
          <w:t>https://www.criminalbar.com/wp-content/uploads/files/cba-responses/150215073348-PROPOSEDREFORMOFTHEOFFENCESAGAINSTTHEPERSONACT18613.pdf</w:t>
        </w:r>
      </w:hyperlink>
      <w:r w:rsidR="00F5147F" w:rsidRPr="0004664F">
        <w:rPr>
          <w:rFonts w:ascii="Arial" w:hAnsi="Arial" w:cs="Arial"/>
        </w:rPr>
        <w:t xml:space="preserve"> (Accessed: 5 March 2024).</w:t>
      </w:r>
    </w:p>
    <w:p w14:paraId="449487E6" w14:textId="77777777" w:rsidR="009C289E" w:rsidRDefault="009C289E" w:rsidP="00E32C58">
      <w:pPr>
        <w:rPr>
          <w:rFonts w:ascii="Arial" w:hAnsi="Arial" w:cs="Arial"/>
          <w:u w:val="single"/>
        </w:rPr>
      </w:pPr>
    </w:p>
    <w:p w14:paraId="04ADACBA" w14:textId="1E9E93B0" w:rsidR="00661A1A" w:rsidRPr="0004664F" w:rsidRDefault="00661A1A" w:rsidP="00E32C58">
      <w:pPr>
        <w:rPr>
          <w:rFonts w:ascii="Arial" w:hAnsi="Arial" w:cs="Arial"/>
          <w:u w:val="single"/>
        </w:rPr>
      </w:pPr>
      <w:r w:rsidRPr="0004664F">
        <w:rPr>
          <w:rFonts w:ascii="Arial" w:hAnsi="Arial" w:cs="Arial"/>
          <w:u w:val="single"/>
        </w:rPr>
        <w:t>Cases</w:t>
      </w:r>
    </w:p>
    <w:p w14:paraId="5DCABC78" w14:textId="5A6C3803" w:rsidR="008D2BA2" w:rsidRPr="0004664F" w:rsidRDefault="008D2BA2" w:rsidP="00E32C58">
      <w:pPr>
        <w:rPr>
          <w:rFonts w:ascii="Arial" w:hAnsi="Arial" w:cs="Arial"/>
        </w:rPr>
      </w:pPr>
      <w:r w:rsidRPr="0004664F">
        <w:rPr>
          <w:rFonts w:ascii="Arial" w:hAnsi="Arial" w:cs="Arial"/>
          <w:i/>
          <w:iCs/>
        </w:rPr>
        <w:t>R v Burstow; R v Ireland [1997] UKHL 34</w:t>
      </w:r>
      <w:r w:rsidR="00404B1D" w:rsidRPr="0004664F">
        <w:rPr>
          <w:rFonts w:ascii="Arial" w:hAnsi="Arial" w:cs="Arial"/>
          <w:i/>
          <w:iCs/>
        </w:rPr>
        <w:t>.</w:t>
      </w:r>
      <w:r w:rsidR="0077672E" w:rsidRPr="0004664F">
        <w:rPr>
          <w:rFonts w:ascii="Arial" w:hAnsi="Arial" w:cs="Arial"/>
          <w:i/>
          <w:iCs/>
        </w:rPr>
        <w:t xml:space="preserve"> Available at:</w:t>
      </w:r>
      <w:r w:rsidR="00404B1D" w:rsidRPr="0004664F">
        <w:rPr>
          <w:rFonts w:ascii="Arial" w:hAnsi="Arial" w:cs="Arial"/>
          <w:i/>
          <w:iCs/>
        </w:rPr>
        <w:t xml:space="preserve"> </w:t>
      </w:r>
      <w:hyperlink r:id="rId6" w:history="1">
        <w:r w:rsidR="00404B1D" w:rsidRPr="0004664F">
          <w:rPr>
            <w:rStyle w:val="Hyperlink"/>
            <w:rFonts w:ascii="Arial" w:hAnsi="Arial" w:cs="Arial"/>
          </w:rPr>
          <w:t>https://publications.parliament.uk/pa/ld199798/ldjudgmt/jd970724/irland01.htm</w:t>
        </w:r>
      </w:hyperlink>
      <w:r w:rsidR="00404B1D" w:rsidRPr="0004664F">
        <w:rPr>
          <w:rFonts w:ascii="Arial" w:hAnsi="Arial" w:cs="Arial"/>
        </w:rPr>
        <w:t xml:space="preserve"> </w:t>
      </w:r>
      <w:r w:rsidR="0077672E" w:rsidRPr="0004664F">
        <w:rPr>
          <w:rFonts w:ascii="Arial" w:hAnsi="Arial" w:cs="Arial"/>
        </w:rPr>
        <w:t>(Accessed: 07 March 2024).</w:t>
      </w:r>
    </w:p>
    <w:p w14:paraId="7BD14226" w14:textId="77777777" w:rsidR="00E32C58" w:rsidRPr="0004664F" w:rsidRDefault="00E32C58" w:rsidP="00E32C58">
      <w:pPr>
        <w:rPr>
          <w:rFonts w:ascii="Arial" w:hAnsi="Arial" w:cs="Arial"/>
        </w:rPr>
      </w:pPr>
    </w:p>
    <w:p w14:paraId="390FC0B1" w14:textId="77777777" w:rsidR="00E32C58" w:rsidRPr="0004664F" w:rsidRDefault="00E32C58">
      <w:pPr>
        <w:rPr>
          <w:rFonts w:ascii="Arial" w:hAnsi="Arial" w:cs="Arial"/>
        </w:rPr>
      </w:pPr>
    </w:p>
    <w:sectPr w:rsidR="00E32C58" w:rsidRPr="0004664F" w:rsidSect="00995DA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58"/>
    <w:rsid w:val="00004DB7"/>
    <w:rsid w:val="0001084D"/>
    <w:rsid w:val="00012805"/>
    <w:rsid w:val="00033AE5"/>
    <w:rsid w:val="00037F28"/>
    <w:rsid w:val="0004664F"/>
    <w:rsid w:val="00047254"/>
    <w:rsid w:val="00054A2A"/>
    <w:rsid w:val="00067DD4"/>
    <w:rsid w:val="00071FFB"/>
    <w:rsid w:val="00090139"/>
    <w:rsid w:val="00090F52"/>
    <w:rsid w:val="000A2CFB"/>
    <w:rsid w:val="000D3648"/>
    <w:rsid w:val="000D4F40"/>
    <w:rsid w:val="000E0EF6"/>
    <w:rsid w:val="000E371C"/>
    <w:rsid w:val="000E4151"/>
    <w:rsid w:val="000F2A03"/>
    <w:rsid w:val="00107D77"/>
    <w:rsid w:val="00114396"/>
    <w:rsid w:val="00116F56"/>
    <w:rsid w:val="00127DFD"/>
    <w:rsid w:val="00136C1F"/>
    <w:rsid w:val="0014015C"/>
    <w:rsid w:val="00140D9F"/>
    <w:rsid w:val="0014506F"/>
    <w:rsid w:val="001A31D3"/>
    <w:rsid w:val="001A3E86"/>
    <w:rsid w:val="001A6BAF"/>
    <w:rsid w:val="001C2A80"/>
    <w:rsid w:val="001E0DD7"/>
    <w:rsid w:val="0020519A"/>
    <w:rsid w:val="0022087D"/>
    <w:rsid w:val="00220958"/>
    <w:rsid w:val="00235627"/>
    <w:rsid w:val="0026400F"/>
    <w:rsid w:val="00270BA0"/>
    <w:rsid w:val="00280C75"/>
    <w:rsid w:val="00281F30"/>
    <w:rsid w:val="002824FE"/>
    <w:rsid w:val="00287220"/>
    <w:rsid w:val="002C2F3B"/>
    <w:rsid w:val="002D1C0D"/>
    <w:rsid w:val="00302179"/>
    <w:rsid w:val="0031127F"/>
    <w:rsid w:val="0031672F"/>
    <w:rsid w:val="0032246B"/>
    <w:rsid w:val="00323899"/>
    <w:rsid w:val="00332E9D"/>
    <w:rsid w:val="0035331E"/>
    <w:rsid w:val="003647B0"/>
    <w:rsid w:val="00385CDA"/>
    <w:rsid w:val="003A3185"/>
    <w:rsid w:val="003A3351"/>
    <w:rsid w:val="003C3901"/>
    <w:rsid w:val="003C64A9"/>
    <w:rsid w:val="003D18FD"/>
    <w:rsid w:val="003E1CCB"/>
    <w:rsid w:val="00404B1D"/>
    <w:rsid w:val="00406890"/>
    <w:rsid w:val="0041492E"/>
    <w:rsid w:val="004177E0"/>
    <w:rsid w:val="00433D9F"/>
    <w:rsid w:val="00437129"/>
    <w:rsid w:val="004577AB"/>
    <w:rsid w:val="00460E30"/>
    <w:rsid w:val="00465456"/>
    <w:rsid w:val="004A7EE4"/>
    <w:rsid w:val="004C4E88"/>
    <w:rsid w:val="00505F4F"/>
    <w:rsid w:val="00532570"/>
    <w:rsid w:val="00535D07"/>
    <w:rsid w:val="00555E92"/>
    <w:rsid w:val="00572441"/>
    <w:rsid w:val="00577763"/>
    <w:rsid w:val="005A096B"/>
    <w:rsid w:val="005C0D87"/>
    <w:rsid w:val="005C3F5F"/>
    <w:rsid w:val="005F72F2"/>
    <w:rsid w:val="00622224"/>
    <w:rsid w:val="00626A12"/>
    <w:rsid w:val="00653424"/>
    <w:rsid w:val="0066174C"/>
    <w:rsid w:val="00661A1A"/>
    <w:rsid w:val="00685955"/>
    <w:rsid w:val="00693353"/>
    <w:rsid w:val="006A65D5"/>
    <w:rsid w:val="006B17E2"/>
    <w:rsid w:val="006C3E5F"/>
    <w:rsid w:val="006D25D6"/>
    <w:rsid w:val="006D3D58"/>
    <w:rsid w:val="006D7434"/>
    <w:rsid w:val="007023D7"/>
    <w:rsid w:val="00707D57"/>
    <w:rsid w:val="0077672E"/>
    <w:rsid w:val="00784002"/>
    <w:rsid w:val="0078680A"/>
    <w:rsid w:val="007A11E5"/>
    <w:rsid w:val="007A7FD9"/>
    <w:rsid w:val="007B033F"/>
    <w:rsid w:val="007B27D9"/>
    <w:rsid w:val="007C4DE2"/>
    <w:rsid w:val="007D6D09"/>
    <w:rsid w:val="0085473B"/>
    <w:rsid w:val="008A64EE"/>
    <w:rsid w:val="008C046D"/>
    <w:rsid w:val="008C7662"/>
    <w:rsid w:val="008D22CC"/>
    <w:rsid w:val="008D2BA2"/>
    <w:rsid w:val="009378EB"/>
    <w:rsid w:val="00947AD7"/>
    <w:rsid w:val="00947EE4"/>
    <w:rsid w:val="00967A7D"/>
    <w:rsid w:val="0097612D"/>
    <w:rsid w:val="009900D3"/>
    <w:rsid w:val="00995DA1"/>
    <w:rsid w:val="009A0526"/>
    <w:rsid w:val="009A57BF"/>
    <w:rsid w:val="009C289E"/>
    <w:rsid w:val="009C7F12"/>
    <w:rsid w:val="009F5FA5"/>
    <w:rsid w:val="00A13E9C"/>
    <w:rsid w:val="00A14C68"/>
    <w:rsid w:val="00A14D86"/>
    <w:rsid w:val="00A21D74"/>
    <w:rsid w:val="00A27E69"/>
    <w:rsid w:val="00A32D87"/>
    <w:rsid w:val="00A42435"/>
    <w:rsid w:val="00A4254B"/>
    <w:rsid w:val="00A45130"/>
    <w:rsid w:val="00A50292"/>
    <w:rsid w:val="00A86E05"/>
    <w:rsid w:val="00AB2A84"/>
    <w:rsid w:val="00AD78F8"/>
    <w:rsid w:val="00B044C3"/>
    <w:rsid w:val="00B11F5F"/>
    <w:rsid w:val="00B46AA0"/>
    <w:rsid w:val="00B53EF6"/>
    <w:rsid w:val="00B56B34"/>
    <w:rsid w:val="00B67501"/>
    <w:rsid w:val="00B86659"/>
    <w:rsid w:val="00BA02C2"/>
    <w:rsid w:val="00BA20E5"/>
    <w:rsid w:val="00BB77D0"/>
    <w:rsid w:val="00BE3A6C"/>
    <w:rsid w:val="00BE5F5B"/>
    <w:rsid w:val="00BF46AD"/>
    <w:rsid w:val="00C45FBD"/>
    <w:rsid w:val="00C4714D"/>
    <w:rsid w:val="00C61DD4"/>
    <w:rsid w:val="00C65E22"/>
    <w:rsid w:val="00CC2F4E"/>
    <w:rsid w:val="00CE251A"/>
    <w:rsid w:val="00D15A86"/>
    <w:rsid w:val="00D20641"/>
    <w:rsid w:val="00D46294"/>
    <w:rsid w:val="00D711B1"/>
    <w:rsid w:val="00DA7CDC"/>
    <w:rsid w:val="00DD66AF"/>
    <w:rsid w:val="00DE246B"/>
    <w:rsid w:val="00DF6C98"/>
    <w:rsid w:val="00E02FA7"/>
    <w:rsid w:val="00E32C58"/>
    <w:rsid w:val="00E44753"/>
    <w:rsid w:val="00E44D72"/>
    <w:rsid w:val="00E802C7"/>
    <w:rsid w:val="00EA0A1C"/>
    <w:rsid w:val="00EE15B0"/>
    <w:rsid w:val="00EF396D"/>
    <w:rsid w:val="00F1062A"/>
    <w:rsid w:val="00F23025"/>
    <w:rsid w:val="00F23683"/>
    <w:rsid w:val="00F2434C"/>
    <w:rsid w:val="00F35B76"/>
    <w:rsid w:val="00F4134A"/>
    <w:rsid w:val="00F5147F"/>
    <w:rsid w:val="00F568C4"/>
    <w:rsid w:val="00F67FAA"/>
    <w:rsid w:val="00FB47B8"/>
    <w:rsid w:val="00FD46C6"/>
    <w:rsid w:val="00FE1048"/>
    <w:rsid w:val="00FE520C"/>
    <w:rsid w:val="00FE66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AD3CA1"/>
  <w15:chartTrackingRefBased/>
  <w15:docId w15:val="{71983A4F-5AD9-4E1D-84A9-7007625ED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2C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C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C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C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C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58"/>
    <w:rPr>
      <w:rFonts w:eastAsiaTheme="majorEastAsia" w:cstheme="majorBidi"/>
      <w:color w:val="272727" w:themeColor="text1" w:themeTint="D8"/>
    </w:rPr>
  </w:style>
  <w:style w:type="paragraph" w:styleId="Title">
    <w:name w:val="Title"/>
    <w:basedOn w:val="Normal"/>
    <w:next w:val="Normal"/>
    <w:link w:val="TitleChar"/>
    <w:uiPriority w:val="10"/>
    <w:qFormat/>
    <w:rsid w:val="00E32C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5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58"/>
    <w:rPr>
      <w:i/>
      <w:iCs/>
      <w:color w:val="404040" w:themeColor="text1" w:themeTint="BF"/>
    </w:rPr>
  </w:style>
  <w:style w:type="paragraph" w:styleId="ListParagraph">
    <w:name w:val="List Paragraph"/>
    <w:basedOn w:val="Normal"/>
    <w:uiPriority w:val="34"/>
    <w:qFormat/>
    <w:rsid w:val="00E32C58"/>
    <w:pPr>
      <w:ind w:left="720"/>
      <w:contextualSpacing/>
    </w:pPr>
  </w:style>
  <w:style w:type="character" w:styleId="IntenseEmphasis">
    <w:name w:val="Intense Emphasis"/>
    <w:basedOn w:val="DefaultParagraphFont"/>
    <w:uiPriority w:val="21"/>
    <w:qFormat/>
    <w:rsid w:val="00E32C58"/>
    <w:rPr>
      <w:i/>
      <w:iCs/>
      <w:color w:val="0F4761" w:themeColor="accent1" w:themeShade="BF"/>
    </w:rPr>
  </w:style>
  <w:style w:type="paragraph" w:styleId="IntenseQuote">
    <w:name w:val="Intense Quote"/>
    <w:basedOn w:val="Normal"/>
    <w:next w:val="Normal"/>
    <w:link w:val="IntenseQuoteChar"/>
    <w:uiPriority w:val="30"/>
    <w:qFormat/>
    <w:rsid w:val="00E32C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58"/>
    <w:rPr>
      <w:i/>
      <w:iCs/>
      <w:color w:val="0F4761" w:themeColor="accent1" w:themeShade="BF"/>
    </w:rPr>
  </w:style>
  <w:style w:type="character" w:styleId="IntenseReference">
    <w:name w:val="Intense Reference"/>
    <w:basedOn w:val="DefaultParagraphFont"/>
    <w:uiPriority w:val="32"/>
    <w:qFormat/>
    <w:rsid w:val="00E32C58"/>
    <w:rPr>
      <w:b/>
      <w:bCs/>
      <w:smallCaps/>
      <w:color w:val="0F4761" w:themeColor="accent1" w:themeShade="BF"/>
      <w:spacing w:val="5"/>
    </w:rPr>
  </w:style>
  <w:style w:type="character" w:styleId="Hyperlink">
    <w:name w:val="Hyperlink"/>
    <w:basedOn w:val="DefaultParagraphFont"/>
    <w:uiPriority w:val="99"/>
    <w:unhideWhenUsed/>
    <w:rsid w:val="00F5147F"/>
    <w:rPr>
      <w:color w:val="467886" w:themeColor="hyperlink"/>
      <w:u w:val="single"/>
    </w:rPr>
  </w:style>
  <w:style w:type="character" w:styleId="UnresolvedMention">
    <w:name w:val="Unresolved Mention"/>
    <w:basedOn w:val="DefaultParagraphFont"/>
    <w:uiPriority w:val="99"/>
    <w:semiHidden/>
    <w:unhideWhenUsed/>
    <w:rsid w:val="00F5147F"/>
    <w:rPr>
      <w:color w:val="605E5C"/>
      <w:shd w:val="clear" w:color="auto" w:fill="E1DFDD"/>
    </w:rPr>
  </w:style>
  <w:style w:type="paragraph" w:styleId="NoSpacing">
    <w:name w:val="No Spacing"/>
    <w:link w:val="NoSpacingChar"/>
    <w:uiPriority w:val="1"/>
    <w:qFormat/>
    <w:rsid w:val="00A14C6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14C68"/>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88959">
      <w:bodyDiv w:val="1"/>
      <w:marLeft w:val="0"/>
      <w:marRight w:val="0"/>
      <w:marTop w:val="0"/>
      <w:marBottom w:val="0"/>
      <w:divBdr>
        <w:top w:val="none" w:sz="0" w:space="0" w:color="auto"/>
        <w:left w:val="none" w:sz="0" w:space="0" w:color="auto"/>
        <w:bottom w:val="none" w:sz="0" w:space="0" w:color="auto"/>
        <w:right w:val="none" w:sz="0" w:space="0" w:color="auto"/>
      </w:divBdr>
    </w:div>
    <w:div w:id="790051055">
      <w:bodyDiv w:val="1"/>
      <w:marLeft w:val="0"/>
      <w:marRight w:val="0"/>
      <w:marTop w:val="0"/>
      <w:marBottom w:val="0"/>
      <w:divBdr>
        <w:top w:val="none" w:sz="0" w:space="0" w:color="auto"/>
        <w:left w:val="none" w:sz="0" w:space="0" w:color="auto"/>
        <w:bottom w:val="none" w:sz="0" w:space="0" w:color="auto"/>
        <w:right w:val="none" w:sz="0" w:space="0" w:color="auto"/>
      </w:divBdr>
    </w:div>
    <w:div w:id="910695452">
      <w:bodyDiv w:val="1"/>
      <w:marLeft w:val="0"/>
      <w:marRight w:val="0"/>
      <w:marTop w:val="0"/>
      <w:marBottom w:val="0"/>
      <w:divBdr>
        <w:top w:val="none" w:sz="0" w:space="0" w:color="auto"/>
        <w:left w:val="none" w:sz="0" w:space="0" w:color="auto"/>
        <w:bottom w:val="none" w:sz="0" w:space="0" w:color="auto"/>
        <w:right w:val="none" w:sz="0" w:space="0" w:color="auto"/>
      </w:divBdr>
    </w:div>
    <w:div w:id="913244639">
      <w:bodyDiv w:val="1"/>
      <w:marLeft w:val="0"/>
      <w:marRight w:val="0"/>
      <w:marTop w:val="0"/>
      <w:marBottom w:val="0"/>
      <w:divBdr>
        <w:top w:val="none" w:sz="0" w:space="0" w:color="auto"/>
        <w:left w:val="none" w:sz="0" w:space="0" w:color="auto"/>
        <w:bottom w:val="none" w:sz="0" w:space="0" w:color="auto"/>
        <w:right w:val="none" w:sz="0" w:space="0" w:color="auto"/>
      </w:divBdr>
    </w:div>
    <w:div w:id="1304431737">
      <w:bodyDiv w:val="1"/>
      <w:marLeft w:val="0"/>
      <w:marRight w:val="0"/>
      <w:marTop w:val="0"/>
      <w:marBottom w:val="0"/>
      <w:divBdr>
        <w:top w:val="none" w:sz="0" w:space="0" w:color="auto"/>
        <w:left w:val="none" w:sz="0" w:space="0" w:color="auto"/>
        <w:bottom w:val="none" w:sz="0" w:space="0" w:color="auto"/>
        <w:right w:val="none" w:sz="0" w:space="0" w:color="auto"/>
      </w:divBdr>
    </w:div>
    <w:div w:id="1800607097">
      <w:bodyDiv w:val="1"/>
      <w:marLeft w:val="0"/>
      <w:marRight w:val="0"/>
      <w:marTop w:val="0"/>
      <w:marBottom w:val="0"/>
      <w:divBdr>
        <w:top w:val="none" w:sz="0" w:space="0" w:color="auto"/>
        <w:left w:val="none" w:sz="0" w:space="0" w:color="auto"/>
        <w:bottom w:val="none" w:sz="0" w:space="0" w:color="auto"/>
        <w:right w:val="none" w:sz="0" w:space="0" w:color="auto"/>
      </w:divBdr>
    </w:div>
    <w:div w:id="1916818381">
      <w:bodyDiv w:val="1"/>
      <w:marLeft w:val="0"/>
      <w:marRight w:val="0"/>
      <w:marTop w:val="0"/>
      <w:marBottom w:val="0"/>
      <w:divBdr>
        <w:top w:val="none" w:sz="0" w:space="0" w:color="auto"/>
        <w:left w:val="none" w:sz="0" w:space="0" w:color="auto"/>
        <w:bottom w:val="none" w:sz="0" w:space="0" w:color="auto"/>
        <w:right w:val="none" w:sz="0" w:space="0" w:color="auto"/>
      </w:divBdr>
    </w:div>
    <w:div w:id="2017270208">
      <w:bodyDiv w:val="1"/>
      <w:marLeft w:val="0"/>
      <w:marRight w:val="0"/>
      <w:marTop w:val="0"/>
      <w:marBottom w:val="0"/>
      <w:divBdr>
        <w:top w:val="none" w:sz="0" w:space="0" w:color="auto"/>
        <w:left w:val="none" w:sz="0" w:space="0" w:color="auto"/>
        <w:bottom w:val="none" w:sz="0" w:space="0" w:color="auto"/>
        <w:right w:val="none" w:sz="0" w:space="0" w:color="auto"/>
      </w:divBdr>
    </w:div>
    <w:div w:id="2139907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ublications.parliament.uk/pa/ld199798/ldjudgmt/jd970724/irland01.htm" TargetMode="External"/><Relationship Id="rId5" Type="http://schemas.openxmlformats.org/officeDocument/2006/relationships/hyperlink" Target="https://www.criminalbar.com/wp-content/uploads/files/cba-responses/150215073348-PROPOSEDREFORMOFTHEOFFENCESAGAINSTTHEPERSONACT18613.pdf" TargetMode="External"/><Relationship Id="rId4" Type="http://schemas.openxmlformats.org/officeDocument/2006/relationships/hyperlink" Target="https://www.jstor.org/stable/45079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2987</TotalTime>
  <Pages>7</Pages>
  <Words>1850</Words>
  <Characters>11196</Characters>
  <Application>Microsoft Office Word</Application>
  <DocSecurity>0</DocSecurity>
  <Lines>183</Lines>
  <Paragraphs>26</Paragraphs>
  <ScaleCrop>false</ScaleCrop>
  <HeadingPairs>
    <vt:vector size="2" baseType="variant">
      <vt:variant>
        <vt:lpstr>Title</vt:lpstr>
      </vt:variant>
      <vt:variant>
        <vt:i4>1</vt:i4>
      </vt:variant>
    </vt:vector>
  </HeadingPairs>
  <TitlesOfParts>
    <vt:vector size="1" baseType="lpstr">
      <vt:lpstr>REFORM OF THE OFFENCES AGAINST THE PERSON ACT 1861</vt:lpstr>
    </vt:vector>
  </TitlesOfParts>
  <Company/>
  <LinksUpToDate>false</LinksUpToDate>
  <CharactersWithSpaces>13020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REFORM OF THE OFFENCES AGAINST THE PERSON ACT 1861</dc:title>
  <dc:subject>JADE BROWN - 2319007</dc:subject>
  <dc:creator>jade brown</dc:creator>
  <cp:keywords/>
  <dc:description/>
  <cp:lastModifiedBy>jade brown</cp:lastModifiedBy>
  <cp:revision>149</cp:revision>
  <dcterms:created xsi:type="dcterms:W3CDTF">2024-03-05T23:19:00Z</dcterms:created>
  <dcterms:modified xsi:type="dcterms:W3CDTF">2024-03-13T00:17:00Z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8ea33a0adefe6c78bc0b112b44ec19307be02d7155ccc4165bff30abfd63c697</vt:lpwstr>
  </property>
</Properties>
</file>