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B2CB5" w14:textId="2E358D7B" w:rsidR="00CA0D8A" w:rsidRDefault="00CA0D8A" w:rsidP="00CA0D8A">
      <w:pPr>
        <w:jc w:val="both"/>
      </w:pPr>
      <w:r>
        <w:t>Over the years the law on homicide offences such as manslaughter and murder in England and Wales has remained unaltered despite evidence showing that they are in dire need of reform. The Law Commission found that the existing rules are not constant as they had been changed over the years to accommodate changes in situation that they are no longer clear or being interrupted with certainty. An attempt to reform this problem was taken in 19th century however, it was unsuccessful due to political problems as a result the homicide bill did not progress in the parliament beyond its second reading. Which resulted in it being overtaken by other legal changes as there is yet to be any reform done on a whole scale level (Law Commission, 2006a).</w:t>
      </w:r>
    </w:p>
    <w:p w14:paraId="779ED7EB" w14:textId="5BAEA00C" w:rsidR="00CA0D8A" w:rsidRDefault="00AA6599" w:rsidP="00CA0D8A">
      <w:pPr>
        <w:jc w:val="both"/>
      </w:pPr>
      <w:r w:rsidRPr="00AA6599">
        <w:t xml:space="preserve">In England and Wales, the two serious of offences of homicide are murder and manslaughter. </w:t>
      </w:r>
      <w:r w:rsidR="00CA0D8A">
        <w:t>The legal definition of murder is unlawful killing of person under the Queen’s peace with malice aforethought.   This definition includes two sections: first the objective element of the crime is called actus reus and the second the mental element is called mens rea. Actus reus is a guilty act meaning of unlawful killing however, the second element is harder to analyse and ambiguous area of law. The term ‘mens rea’ means guilty mind. Furthermore, another homicide offence is infanticide which is a crime of a mother killing her baby under 1 year old because the mother state of mind is disturbed because of giving birth.  Also, death through dangerous drinking/driving and corporate manslaughter are considered part of homicide offences (House of Commons, 2021).</w:t>
      </w:r>
    </w:p>
    <w:p w14:paraId="1A326E06" w14:textId="278538CE" w:rsidR="00C20EC4" w:rsidRDefault="00CA0D8A" w:rsidP="00CA0D8A">
      <w:pPr>
        <w:jc w:val="both"/>
      </w:pPr>
      <w:r>
        <w:t xml:space="preserve">Furthermore, there are four methods of Manslaughter that can be committed by a person, reckless manslaughter, gross negligence manslaughter, unlawful act manslaughter and involuntary manslaughter.   Thus, where a person had the knowledge that his action can cause serious harm or has probability of killing of another person by his conduct is called reckless manslaughter.  When a person kills someone due to negligent conduct or when his/her negligent conduct probability of killing is called gross negligence manslaughter. Where a person commits an act of killing or harm to another person while doing unlawful act is known as unlawful act manslaughter.  When a person kills another person with the intent for murder however, there other elements which can be used as partial defence for example provocation diminished responsibility or effect of pact of suicide which results in killings. Here involuntary manslaughter is frequently used to describe a manslaughter which falls under reckless, unlawful act, diminished responsibility which known as voluntary manslaughter (Law Commission, 2006b).   </w:t>
      </w:r>
    </w:p>
    <w:p w14:paraId="7C38C909" w14:textId="4F9E0CFA" w:rsidR="008E5269" w:rsidRPr="008E5269" w:rsidRDefault="008E5269" w:rsidP="008E5269">
      <w:pPr>
        <w:jc w:val="both"/>
        <w:rPr>
          <w:rFonts w:cstheme="minorHAnsi"/>
        </w:rPr>
      </w:pPr>
      <w:r w:rsidRPr="008E5269">
        <w:rPr>
          <w:rFonts w:cstheme="minorHAnsi"/>
        </w:rPr>
        <w:t>Since the murder (Abolition of Death Penalty) Act 1965 the penalty for murder is life imprisonment. Besides, the length of the sentence varies under the guidelines obtained from Coroner and Justice Act 2009. However, it still set at minimum of 15 years sentence for a defendant over the age of 18. Moreover, this to be is contrasted with manslaughter for which the judge has absolute discretion on sentencing up to a maximum of life sentence which allows for a judge to mitigate the severity of the crime through sentence, an element which is not available in murder as</w:t>
      </w:r>
      <w:r w:rsidRPr="008E5269">
        <w:t xml:space="preserve"> </w:t>
      </w:r>
      <w:r w:rsidRPr="008E5269">
        <w:rPr>
          <w:rFonts w:cstheme="minorHAnsi"/>
        </w:rPr>
        <w:t>currently judges have no discretion with the murder conviction</w:t>
      </w:r>
      <w:r w:rsidR="004070BD" w:rsidRPr="004919A1">
        <w:rPr>
          <w:rFonts w:cstheme="minorHAnsi"/>
        </w:rPr>
        <w:t xml:space="preserve"> (</w:t>
      </w:r>
      <w:r w:rsidR="00D65538" w:rsidRPr="00D65538">
        <w:rPr>
          <w:rFonts w:cstheme="minorHAnsi"/>
        </w:rPr>
        <w:t>Jefferson,</w:t>
      </w:r>
      <w:r w:rsidR="00D65538">
        <w:rPr>
          <w:rFonts w:cstheme="minorHAnsi"/>
        </w:rPr>
        <w:t xml:space="preserve"> </w:t>
      </w:r>
      <w:r w:rsidR="00D65538" w:rsidRPr="00D65538">
        <w:rPr>
          <w:rFonts w:cstheme="minorHAnsi"/>
        </w:rPr>
        <w:t>2015</w:t>
      </w:r>
      <w:r w:rsidR="00D65538">
        <w:rPr>
          <w:rFonts w:cstheme="minorHAnsi"/>
        </w:rPr>
        <w:t>a, p</w:t>
      </w:r>
      <w:r w:rsidR="008602D3">
        <w:rPr>
          <w:rFonts w:cstheme="minorHAnsi"/>
        </w:rPr>
        <w:t>.409</w:t>
      </w:r>
      <w:r w:rsidR="00293E7E" w:rsidRPr="004919A1">
        <w:rPr>
          <w:rFonts w:cstheme="minorHAnsi"/>
        </w:rPr>
        <w:t>)</w:t>
      </w:r>
      <w:r w:rsidRPr="008E5269">
        <w:rPr>
          <w:rFonts w:cstheme="minorHAnsi"/>
        </w:rPr>
        <w:t>. Therefore, there is a clearly a major problem with the current law due to a court interpreted definition of murder as defendant faces a mandatory life sentence instead of a much lower sentence based on the crime, he</w:t>
      </w:r>
      <w:r w:rsidR="005F0E1A">
        <w:rPr>
          <w:rFonts w:cstheme="minorHAnsi"/>
        </w:rPr>
        <w:t>/she</w:t>
      </w:r>
      <w:r w:rsidRPr="008E5269">
        <w:rPr>
          <w:rFonts w:cstheme="minorHAnsi"/>
        </w:rPr>
        <w:t xml:space="preserve"> truly had the mens rea for.  </w:t>
      </w:r>
      <w:r w:rsidR="00CD5FAE">
        <w:rPr>
          <w:rFonts w:cstheme="minorHAnsi"/>
        </w:rPr>
        <w:t>T</w:t>
      </w:r>
      <w:r w:rsidRPr="008E5269">
        <w:rPr>
          <w:rFonts w:cstheme="minorHAnsi"/>
        </w:rPr>
        <w:t xml:space="preserve">his extreme and strict approach to sentencing </w:t>
      </w:r>
      <w:r w:rsidR="00CD5FAE">
        <w:rPr>
          <w:rFonts w:cstheme="minorHAnsi"/>
        </w:rPr>
        <w:t>makes</w:t>
      </w:r>
      <w:r w:rsidRPr="008E5269">
        <w:rPr>
          <w:rFonts w:cstheme="minorHAnsi"/>
        </w:rPr>
        <w:t xml:space="preserve"> someone held to be liable for murder when they did not intend to kill inappropriate</w:t>
      </w:r>
      <w:r w:rsidR="0088428F" w:rsidRPr="004919A1">
        <w:rPr>
          <w:rFonts w:cstheme="minorHAnsi"/>
        </w:rPr>
        <w:t xml:space="preserve"> </w:t>
      </w:r>
      <w:r w:rsidR="00633119" w:rsidRPr="004919A1">
        <w:rPr>
          <w:rFonts w:cstheme="minorHAnsi"/>
        </w:rPr>
        <w:t>(Reed</w:t>
      </w:r>
      <w:r w:rsidR="0088428F" w:rsidRPr="004919A1">
        <w:rPr>
          <w:rFonts w:cstheme="minorHAnsi"/>
        </w:rPr>
        <w:t xml:space="preserve"> </w:t>
      </w:r>
      <w:r w:rsidR="001D66A5" w:rsidRPr="004919A1">
        <w:rPr>
          <w:rFonts w:cstheme="minorHAnsi"/>
        </w:rPr>
        <w:t>et al, 2019, p</w:t>
      </w:r>
      <w:r w:rsidR="00C57B2B" w:rsidRPr="004919A1">
        <w:rPr>
          <w:rFonts w:cstheme="minorHAnsi"/>
        </w:rPr>
        <w:t>.</w:t>
      </w:r>
      <w:r w:rsidR="005D26EB" w:rsidRPr="004919A1">
        <w:rPr>
          <w:rFonts w:cstheme="minorHAnsi"/>
        </w:rPr>
        <w:t>62-81).</w:t>
      </w:r>
      <w:r w:rsidR="005D26EB">
        <w:rPr>
          <w:rFonts w:cstheme="minorHAnsi"/>
        </w:rPr>
        <w:t xml:space="preserve"> </w:t>
      </w:r>
    </w:p>
    <w:p w14:paraId="545FE8BE" w14:textId="77777777" w:rsidR="00654075" w:rsidRDefault="00654075" w:rsidP="00654075">
      <w:pPr>
        <w:jc w:val="both"/>
        <w:rPr>
          <w:rFonts w:cstheme="minorHAnsi"/>
          <w:color w:val="212529"/>
          <w:shd w:val="clear" w:color="auto" w:fill="FFFFFF"/>
        </w:rPr>
      </w:pPr>
      <w:r>
        <w:rPr>
          <w:rFonts w:cstheme="minorHAnsi"/>
          <w:color w:val="212529"/>
          <w:shd w:val="clear" w:color="auto" w:fill="FFFFFF"/>
        </w:rPr>
        <w:t xml:space="preserve">All the criminal offences have both ‘partial’ and ‘complete’ defences.  A complete defence is that the defendant is set from blame, guilt, or responsibility.  In terms of murder, a complete defence would be that of self-defence. However, the defendant’s actions may be justified if they killed another human being in self-defence or in defence of another human being. Therefore, the defendant may not face any consequences if it be successfully argued.  </w:t>
      </w:r>
      <w:r w:rsidRPr="00634285">
        <w:rPr>
          <w:rFonts w:cstheme="minorHAnsi"/>
          <w:color w:val="212529"/>
          <w:shd w:val="clear" w:color="auto" w:fill="FFFFFF"/>
        </w:rPr>
        <w:t>On the other hand,</w:t>
      </w:r>
      <w:r>
        <w:rPr>
          <w:rFonts w:cstheme="minorHAnsi"/>
          <w:color w:val="212529"/>
          <w:shd w:val="clear" w:color="auto" w:fill="FFFFFF"/>
        </w:rPr>
        <w:t xml:space="preserve"> a partial defence is successfully pleading to diminished responsibility and loss of control on the charge of murder so that the court can </w:t>
      </w:r>
      <w:r>
        <w:rPr>
          <w:rFonts w:cstheme="minorHAnsi"/>
          <w:color w:val="212529"/>
          <w:shd w:val="clear" w:color="auto" w:fill="FFFFFF"/>
        </w:rPr>
        <w:lastRenderedPageBreak/>
        <w:t xml:space="preserve">charge the defendant with a lesser offence. The defendant will be charged with voluntary manslaughter instead of murder as manslaughter is a lesser offence which does not carry a mandatory penalty of lifetime imprisonment (CPS, 2019). </w:t>
      </w:r>
    </w:p>
    <w:p w14:paraId="7E70AF9D" w14:textId="0EC200D5" w:rsidR="00654075" w:rsidRDefault="00654075" w:rsidP="00654075">
      <w:pPr>
        <w:jc w:val="both"/>
        <w:rPr>
          <w:rFonts w:cstheme="minorHAnsi"/>
          <w:color w:val="212529"/>
          <w:shd w:val="clear" w:color="auto" w:fill="FFFFFF"/>
        </w:rPr>
      </w:pPr>
      <w:r>
        <w:rPr>
          <w:rFonts w:cstheme="minorHAnsi"/>
          <w:color w:val="212529"/>
          <w:shd w:val="clear" w:color="auto" w:fill="FFFFFF"/>
        </w:rPr>
        <w:t>Furthermore, when the Homicide Act (1957) was passed through the Parliament it indicated that a killing is not murder unless the defendant has malice (express or implied), or their action which cause death in furtherance of some other offence. T</w:t>
      </w:r>
      <w:r w:rsidRPr="00C61DAE">
        <w:rPr>
          <w:rFonts w:cstheme="minorHAnsi"/>
          <w:color w:val="212529"/>
          <w:shd w:val="clear" w:color="auto" w:fill="FFFFFF"/>
        </w:rPr>
        <w:t xml:space="preserve">he case </w:t>
      </w:r>
      <w:r>
        <w:rPr>
          <w:rFonts w:cstheme="minorHAnsi"/>
          <w:color w:val="212529"/>
          <w:shd w:val="clear" w:color="auto" w:fill="FFFFFF"/>
        </w:rPr>
        <w:t xml:space="preserve">of </w:t>
      </w:r>
      <w:r w:rsidRPr="00C61DAE">
        <w:rPr>
          <w:rFonts w:cstheme="minorHAnsi"/>
          <w:color w:val="212529"/>
          <w:shd w:val="clear" w:color="auto" w:fill="FFFFFF"/>
        </w:rPr>
        <w:t>R v Vickers</w:t>
      </w:r>
      <w:r>
        <w:rPr>
          <w:rFonts w:cstheme="minorHAnsi"/>
          <w:color w:val="212529"/>
          <w:shd w:val="clear" w:color="auto" w:fill="FFFFFF"/>
        </w:rPr>
        <w:t xml:space="preserve"> [</w:t>
      </w:r>
      <w:r w:rsidRPr="00DA2369">
        <w:rPr>
          <w:rFonts w:cstheme="minorHAnsi"/>
          <w:color w:val="212529"/>
          <w:shd w:val="clear" w:color="auto" w:fill="FFFFFF"/>
        </w:rPr>
        <w:t>1957</w:t>
      </w:r>
      <w:r>
        <w:rPr>
          <w:rFonts w:cstheme="minorHAnsi"/>
          <w:color w:val="212529"/>
          <w:shd w:val="clear" w:color="auto" w:fill="FFFFFF"/>
        </w:rPr>
        <w:t>]</w:t>
      </w:r>
      <w:r w:rsidRPr="00DA2369">
        <w:rPr>
          <w:rFonts w:cstheme="minorHAnsi"/>
          <w:color w:val="212529"/>
          <w:shd w:val="clear" w:color="auto" w:fill="FFFFFF"/>
        </w:rPr>
        <w:t xml:space="preserve"> 3 W.L.R 326</w:t>
      </w:r>
      <w:r>
        <w:rPr>
          <w:rFonts w:cstheme="minorHAnsi"/>
          <w:color w:val="212529"/>
          <w:shd w:val="clear" w:color="auto" w:fill="FFFFFF"/>
        </w:rPr>
        <w:t xml:space="preserve"> clearly shows </w:t>
      </w:r>
      <w:r w:rsidRPr="00C61DAE">
        <w:rPr>
          <w:rFonts w:cstheme="minorHAnsi"/>
          <w:color w:val="212529"/>
          <w:shd w:val="clear" w:color="auto" w:fill="FFFFFF"/>
        </w:rPr>
        <w:t>that</w:t>
      </w:r>
      <w:r>
        <w:rPr>
          <w:rFonts w:cstheme="minorHAnsi"/>
          <w:color w:val="212529"/>
          <w:shd w:val="clear" w:color="auto" w:fill="FFFFFF"/>
        </w:rPr>
        <w:t xml:space="preserve"> the court believes that an intention to cause grievous bodily harm (GBH) is sufficient as the mens rea for murder.  Moreover, in 1975 the House of Lords were given the chance to reconcile and confirm that an intention to cause grievous bodily harm was sufficient as the mens rea for murder</w:t>
      </w:r>
      <w:r w:rsidRPr="00B00581">
        <w:t xml:space="preserve"> </w:t>
      </w:r>
      <w:r w:rsidRPr="00B00581">
        <w:rPr>
          <w:rFonts w:cstheme="minorHAnsi"/>
          <w:color w:val="212529"/>
          <w:shd w:val="clear" w:color="auto" w:fill="FFFFFF"/>
        </w:rPr>
        <w:t>in the case of R v Hyam [1975] AC 55</w:t>
      </w:r>
      <w:r>
        <w:rPr>
          <w:rFonts w:cstheme="minorHAnsi"/>
          <w:color w:val="212529"/>
          <w:shd w:val="clear" w:color="auto" w:fill="FFFFFF"/>
        </w:rPr>
        <w:t xml:space="preserve">. However, sadly the decision of the Law Lords was ambiguous and left this area of the law unclear. </w:t>
      </w:r>
    </w:p>
    <w:p w14:paraId="71F5B0C6" w14:textId="77777777" w:rsidR="003856A7" w:rsidRPr="00AD179A" w:rsidRDefault="00ED1C39" w:rsidP="003856A7">
      <w:pPr>
        <w:jc w:val="both"/>
      </w:pPr>
      <w:r w:rsidRPr="00ED1C39">
        <w:rPr>
          <w:rFonts w:cstheme="minorHAnsi"/>
          <w:color w:val="212529"/>
          <w:shd w:val="clear" w:color="auto" w:fill="FFFFFF"/>
        </w:rPr>
        <w:t xml:space="preserve">In their 2006 report the Law Commission recommended replacing the existing homicide offence system which is currently made of two main offences – murder and manslaughter with a three-tier system to homicides offences which incorporated first degree, second degree and manslaughter. The main aim of having this new three-tier system is to have a clear structure for offences that properly reflects degrees of fault as it will help prosecutor distinguish between first degree and second-degree murder (Justice, 2021). </w:t>
      </w:r>
      <w:r w:rsidR="003856A7" w:rsidRPr="00AD179A">
        <w:t xml:space="preserve">This cannot be achieved by the current two-tier law of murder. A reform of the current definition of murder would provide more flexibility, </w:t>
      </w:r>
      <w:proofErr w:type="gramStart"/>
      <w:r w:rsidR="003856A7" w:rsidRPr="00AD179A">
        <w:t>order</w:t>
      </w:r>
      <w:proofErr w:type="gramEnd"/>
      <w:r w:rsidR="003856A7" w:rsidRPr="00AD179A">
        <w:t xml:space="preserve"> and clarity as it would make sure that there is an adequate relation between the conviction and the misconduct. A reform of the law of murder would bring an end to an automatic life sentence for every killer. </w:t>
      </w:r>
    </w:p>
    <w:p w14:paraId="64DF9099" w14:textId="2B74DB35" w:rsidR="00D977A8" w:rsidRDefault="00ED1C39" w:rsidP="00654075">
      <w:pPr>
        <w:jc w:val="both"/>
        <w:rPr>
          <w:rFonts w:cstheme="minorHAnsi"/>
          <w:color w:val="212529"/>
          <w:shd w:val="clear" w:color="auto" w:fill="FFFFFF"/>
        </w:rPr>
      </w:pPr>
      <w:r w:rsidRPr="00ED1C39">
        <w:rPr>
          <w:rFonts w:cstheme="minorHAnsi"/>
          <w:color w:val="212529"/>
          <w:shd w:val="clear" w:color="auto" w:fill="FFFFFF"/>
        </w:rPr>
        <w:t xml:space="preserve">Furthermore, the Law Commission recommended a statutory definition of intention to replace the common law approach to intention between cases where killing/serious injury was intentional with an awareness of dangerous risk of causing death and cases where the awareness of the risk of serious injury or the intent to cause serious injury was absent (Taylor, 2018, p74).  According to the Law Commission’s </w:t>
      </w:r>
      <w:r w:rsidRPr="008F35AF">
        <w:rPr>
          <w:rFonts w:cstheme="minorHAnsi"/>
          <w:i/>
          <w:iCs/>
          <w:color w:val="212529"/>
          <w:shd w:val="clear" w:color="auto" w:fill="FFFFFF"/>
        </w:rPr>
        <w:t xml:space="preserve">Murder, </w:t>
      </w:r>
      <w:proofErr w:type="gramStart"/>
      <w:r w:rsidRPr="008F35AF">
        <w:rPr>
          <w:rFonts w:cstheme="minorHAnsi"/>
          <w:i/>
          <w:iCs/>
          <w:color w:val="212529"/>
          <w:shd w:val="clear" w:color="auto" w:fill="FFFFFF"/>
        </w:rPr>
        <w:t>Manslaughter</w:t>
      </w:r>
      <w:proofErr w:type="gramEnd"/>
      <w:r w:rsidRPr="008F35AF">
        <w:rPr>
          <w:rFonts w:cstheme="minorHAnsi"/>
          <w:i/>
          <w:iCs/>
          <w:color w:val="212529"/>
          <w:shd w:val="clear" w:color="auto" w:fill="FFFFFF"/>
        </w:rPr>
        <w:t xml:space="preserve"> and Infanticide</w:t>
      </w:r>
      <w:r w:rsidRPr="00ED1C39">
        <w:rPr>
          <w:rFonts w:cstheme="minorHAnsi"/>
          <w:color w:val="212529"/>
          <w:shd w:val="clear" w:color="auto" w:fill="FFFFFF"/>
        </w:rPr>
        <w:t xml:space="preserve"> report (2006), these proposals were made due to the fact that previous the definition of offences were largely the product of judicial law making in individual cases. They are not products of legislation enacted after wide consultation and research into alternative possibilities. However, from time to time the courts would have tinkered with the definitions.</w:t>
      </w:r>
    </w:p>
    <w:p w14:paraId="701D1347" w14:textId="210EED57" w:rsidR="003C00C2" w:rsidRDefault="00307766" w:rsidP="00654075">
      <w:pPr>
        <w:jc w:val="both"/>
        <w:rPr>
          <w:rFonts w:cstheme="minorHAnsi"/>
          <w:color w:val="212529"/>
          <w:shd w:val="clear" w:color="auto" w:fill="FFFFFF"/>
        </w:rPr>
      </w:pPr>
      <w:r w:rsidRPr="00307766">
        <w:rPr>
          <w:rFonts w:cstheme="minorHAnsi"/>
          <w:color w:val="212529"/>
          <w:shd w:val="clear" w:color="auto" w:fill="FFFFFF"/>
        </w:rPr>
        <w:t xml:space="preserve">Over the recent years certain changes have been made in number of potential areas for reforms within the criminal law on homicide. However, some proposals for reform made during the 2000s have not yet been enacted into primary legislation. Furthermore, the government rejected the proposal of a three-tier system made by the Law Commission because it would mean downgrading most killings to a second-degree category which the public would not accept (The Guardian, 2016). </w:t>
      </w:r>
      <w:r w:rsidR="000F1371">
        <w:rPr>
          <w:rFonts w:cstheme="minorHAnsi"/>
          <w:color w:val="212529"/>
          <w:shd w:val="clear" w:color="auto" w:fill="FFFFFF"/>
        </w:rPr>
        <w:t>Furthermore</w:t>
      </w:r>
      <w:r w:rsidR="00985DF4">
        <w:rPr>
          <w:rFonts w:cstheme="minorHAnsi"/>
          <w:color w:val="212529"/>
          <w:shd w:val="clear" w:color="auto" w:fill="FFFFFF"/>
        </w:rPr>
        <w:t xml:space="preserve">, some consultees </w:t>
      </w:r>
      <w:r w:rsidR="00780A51">
        <w:rPr>
          <w:rFonts w:cstheme="minorHAnsi"/>
          <w:color w:val="212529"/>
          <w:shd w:val="clear" w:color="auto" w:fill="FFFFFF"/>
        </w:rPr>
        <w:t xml:space="preserve">such as </w:t>
      </w:r>
      <w:r w:rsidR="00780A51" w:rsidRPr="00780A51">
        <w:rPr>
          <w:rFonts w:cstheme="minorHAnsi"/>
          <w:color w:val="212529"/>
          <w:shd w:val="clear" w:color="auto" w:fill="FFFFFF"/>
        </w:rPr>
        <w:t>the Higher Court Judges’ Homicide Working Party and Justice for Women</w:t>
      </w:r>
      <w:r w:rsidR="00780A51">
        <w:rPr>
          <w:rFonts w:cstheme="minorHAnsi"/>
          <w:color w:val="212529"/>
          <w:shd w:val="clear" w:color="auto" w:fill="FFFFFF"/>
        </w:rPr>
        <w:t xml:space="preserve">, </w:t>
      </w:r>
      <w:r w:rsidR="001007C3">
        <w:rPr>
          <w:rFonts w:cstheme="minorHAnsi"/>
          <w:color w:val="212529"/>
          <w:shd w:val="clear" w:color="auto" w:fill="FFFFFF"/>
        </w:rPr>
        <w:t xml:space="preserve">the Police Superintends Association and </w:t>
      </w:r>
      <w:r w:rsidR="00B97CDB">
        <w:rPr>
          <w:rFonts w:cstheme="minorHAnsi"/>
          <w:color w:val="212529"/>
          <w:shd w:val="clear" w:color="auto" w:fill="FFFFFF"/>
        </w:rPr>
        <w:t>Association of Chief Police Officers</w:t>
      </w:r>
      <w:r w:rsidR="00780A51" w:rsidRPr="00780A51">
        <w:rPr>
          <w:rFonts w:cstheme="minorHAnsi"/>
          <w:color w:val="212529"/>
          <w:shd w:val="clear" w:color="auto" w:fill="FFFFFF"/>
        </w:rPr>
        <w:t xml:space="preserve"> </w:t>
      </w:r>
      <w:r w:rsidR="00985DF4">
        <w:rPr>
          <w:rFonts w:cstheme="minorHAnsi"/>
          <w:color w:val="212529"/>
          <w:shd w:val="clear" w:color="auto" w:fill="FFFFFF"/>
        </w:rPr>
        <w:t>thought that the pro</w:t>
      </w:r>
      <w:r w:rsidR="00B34512">
        <w:rPr>
          <w:rFonts w:cstheme="minorHAnsi"/>
          <w:color w:val="212529"/>
          <w:shd w:val="clear" w:color="auto" w:fill="FFFFFF"/>
        </w:rPr>
        <w:t>posals</w:t>
      </w:r>
      <w:r w:rsidR="000F1371">
        <w:rPr>
          <w:rFonts w:cstheme="minorHAnsi"/>
          <w:color w:val="212529"/>
          <w:shd w:val="clear" w:color="auto" w:fill="FFFFFF"/>
        </w:rPr>
        <w:t xml:space="preserve"> made by Law</w:t>
      </w:r>
      <w:r w:rsidR="000A273E">
        <w:rPr>
          <w:rFonts w:cstheme="minorHAnsi"/>
          <w:color w:val="212529"/>
          <w:shd w:val="clear" w:color="auto" w:fill="FFFFFF"/>
        </w:rPr>
        <w:t xml:space="preserve"> Commission</w:t>
      </w:r>
      <w:r w:rsidR="00B34512">
        <w:rPr>
          <w:rFonts w:cstheme="minorHAnsi"/>
          <w:color w:val="212529"/>
          <w:shd w:val="clear" w:color="auto" w:fill="FFFFFF"/>
        </w:rPr>
        <w:t xml:space="preserve"> were unduly influenced by </w:t>
      </w:r>
      <w:r w:rsidR="000A273E">
        <w:rPr>
          <w:rFonts w:cstheme="minorHAnsi"/>
          <w:color w:val="212529"/>
          <w:shd w:val="clear" w:color="auto" w:fill="FFFFFF"/>
        </w:rPr>
        <w:t>their</w:t>
      </w:r>
      <w:r w:rsidR="00976109">
        <w:rPr>
          <w:rFonts w:cstheme="minorHAnsi"/>
          <w:color w:val="212529"/>
          <w:shd w:val="clear" w:color="auto" w:fill="FFFFFF"/>
        </w:rPr>
        <w:t xml:space="preserve"> obligation to </w:t>
      </w:r>
      <w:r w:rsidR="00F87C80">
        <w:rPr>
          <w:rFonts w:cstheme="minorHAnsi"/>
          <w:color w:val="212529"/>
          <w:shd w:val="clear" w:color="auto" w:fill="FFFFFF"/>
        </w:rPr>
        <w:t>assumed</w:t>
      </w:r>
      <w:r w:rsidR="00976109">
        <w:rPr>
          <w:rFonts w:cstheme="minorHAnsi"/>
          <w:color w:val="212529"/>
          <w:shd w:val="clear" w:color="auto" w:fill="FFFFFF"/>
        </w:rPr>
        <w:t xml:space="preserve"> retention of the </w:t>
      </w:r>
      <w:r w:rsidR="00F87C80">
        <w:rPr>
          <w:rFonts w:cstheme="minorHAnsi"/>
          <w:color w:val="212529"/>
          <w:shd w:val="clear" w:color="auto" w:fill="FFFFFF"/>
        </w:rPr>
        <w:t>mandatory</w:t>
      </w:r>
      <w:r w:rsidR="00976109">
        <w:rPr>
          <w:rFonts w:cstheme="minorHAnsi"/>
          <w:color w:val="212529"/>
          <w:shd w:val="clear" w:color="auto" w:fill="FFFFFF"/>
        </w:rPr>
        <w:t xml:space="preserve"> life </w:t>
      </w:r>
      <w:r w:rsidR="00F87C80">
        <w:rPr>
          <w:rFonts w:cstheme="minorHAnsi"/>
          <w:color w:val="212529"/>
          <w:shd w:val="clear" w:color="auto" w:fill="FFFFFF"/>
        </w:rPr>
        <w:t>sentence</w:t>
      </w:r>
      <w:r w:rsidR="00976109">
        <w:rPr>
          <w:rFonts w:cstheme="minorHAnsi"/>
          <w:color w:val="212529"/>
          <w:shd w:val="clear" w:color="auto" w:fill="FFFFFF"/>
        </w:rPr>
        <w:t xml:space="preserve"> for murder</w:t>
      </w:r>
      <w:r w:rsidR="00F87C80">
        <w:rPr>
          <w:rFonts w:cstheme="minorHAnsi"/>
          <w:color w:val="212529"/>
          <w:shd w:val="clear" w:color="auto" w:fill="FFFFFF"/>
        </w:rPr>
        <w:t xml:space="preserve">. </w:t>
      </w:r>
      <w:r w:rsidR="00A16D68">
        <w:rPr>
          <w:rFonts w:cstheme="minorHAnsi"/>
          <w:color w:val="212529"/>
          <w:shd w:val="clear" w:color="auto" w:fill="FFFFFF"/>
        </w:rPr>
        <w:t>Also,</w:t>
      </w:r>
      <w:r w:rsidR="00B97CDB">
        <w:rPr>
          <w:rFonts w:cstheme="minorHAnsi"/>
          <w:color w:val="212529"/>
          <w:shd w:val="clear" w:color="auto" w:fill="FFFFFF"/>
        </w:rPr>
        <w:t xml:space="preserve"> </w:t>
      </w:r>
      <w:r w:rsidR="00C71436">
        <w:rPr>
          <w:rFonts w:cstheme="minorHAnsi"/>
          <w:color w:val="212529"/>
          <w:shd w:val="clear" w:color="auto" w:fill="FFFFFF"/>
        </w:rPr>
        <w:t xml:space="preserve">another complaint </w:t>
      </w:r>
      <w:r w:rsidR="00F24A6B">
        <w:rPr>
          <w:rFonts w:cstheme="minorHAnsi"/>
          <w:color w:val="212529"/>
          <w:shd w:val="clear" w:color="auto" w:fill="FFFFFF"/>
        </w:rPr>
        <w:t xml:space="preserve">was that </w:t>
      </w:r>
      <w:r w:rsidR="00B97CDB" w:rsidRPr="00B97CDB">
        <w:rPr>
          <w:rFonts w:cstheme="minorHAnsi"/>
          <w:color w:val="212529"/>
          <w:shd w:val="clear" w:color="auto" w:fill="FFFFFF"/>
        </w:rPr>
        <w:t>the restrictions made first degree murder very narrow</w:t>
      </w:r>
      <w:r w:rsidR="00B97CDB">
        <w:rPr>
          <w:rFonts w:cstheme="minorHAnsi"/>
          <w:color w:val="212529"/>
          <w:shd w:val="clear" w:color="auto" w:fill="FFFFFF"/>
        </w:rPr>
        <w:t xml:space="preserve"> </w:t>
      </w:r>
      <w:r w:rsidR="00AD678B">
        <w:rPr>
          <w:rFonts w:cstheme="minorHAnsi"/>
          <w:color w:val="212529"/>
          <w:shd w:val="clear" w:color="auto" w:fill="FFFFFF"/>
        </w:rPr>
        <w:t>(Law</w:t>
      </w:r>
      <w:r w:rsidR="00C80E7D">
        <w:rPr>
          <w:rFonts w:cstheme="minorHAnsi"/>
          <w:color w:val="212529"/>
          <w:shd w:val="clear" w:color="auto" w:fill="FFFFFF"/>
        </w:rPr>
        <w:t xml:space="preserve"> Commission, 2006</w:t>
      </w:r>
      <w:r w:rsidR="00AD678B">
        <w:rPr>
          <w:rFonts w:cstheme="minorHAnsi"/>
          <w:color w:val="212529"/>
          <w:shd w:val="clear" w:color="auto" w:fill="FFFFFF"/>
        </w:rPr>
        <w:t>c</w:t>
      </w:r>
      <w:r w:rsidR="00C80E7D">
        <w:rPr>
          <w:rFonts w:cstheme="minorHAnsi"/>
          <w:color w:val="212529"/>
          <w:shd w:val="clear" w:color="auto" w:fill="FFFFFF"/>
        </w:rPr>
        <w:t>)</w:t>
      </w:r>
      <w:r w:rsidR="00536987">
        <w:rPr>
          <w:rFonts w:cstheme="minorHAnsi"/>
          <w:color w:val="212529"/>
          <w:shd w:val="clear" w:color="auto" w:fill="FFFFFF"/>
        </w:rPr>
        <w:t xml:space="preserve">. </w:t>
      </w:r>
      <w:r w:rsidR="000A273E">
        <w:rPr>
          <w:rFonts w:cstheme="minorHAnsi"/>
          <w:color w:val="212529"/>
          <w:shd w:val="clear" w:color="auto" w:fill="FFFFFF"/>
        </w:rPr>
        <w:t>Moreover</w:t>
      </w:r>
      <w:r w:rsidRPr="00307766">
        <w:rPr>
          <w:rFonts w:cstheme="minorHAnsi"/>
          <w:color w:val="212529"/>
          <w:shd w:val="clear" w:color="auto" w:fill="FFFFFF"/>
        </w:rPr>
        <w:t>, the government wrote to the Law Commission in 2011 stating that the time was not right for sustainable reform of homicide (Jefferson,2015</w:t>
      </w:r>
      <w:r w:rsidR="00F172C4">
        <w:rPr>
          <w:rFonts w:cstheme="minorHAnsi"/>
          <w:color w:val="212529"/>
          <w:shd w:val="clear" w:color="auto" w:fill="FFFFFF"/>
        </w:rPr>
        <w:t>b</w:t>
      </w:r>
      <w:r w:rsidRPr="00307766">
        <w:rPr>
          <w:rFonts w:cstheme="minorHAnsi"/>
          <w:color w:val="212529"/>
          <w:shd w:val="clear" w:color="auto" w:fill="FFFFFF"/>
        </w:rPr>
        <w:t>, p.416).</w:t>
      </w:r>
    </w:p>
    <w:p w14:paraId="090E1EF6" w14:textId="60945C48" w:rsidR="004A37C7" w:rsidRPr="00130A64" w:rsidRDefault="00F14633" w:rsidP="00CA0D8A">
      <w:pPr>
        <w:jc w:val="both"/>
        <w:rPr>
          <w:rFonts w:cstheme="minorHAnsi"/>
          <w:color w:val="212529"/>
          <w:shd w:val="clear" w:color="auto" w:fill="FFFFFF"/>
        </w:rPr>
      </w:pPr>
      <w:r>
        <w:rPr>
          <w:rFonts w:cstheme="minorHAnsi"/>
          <w:color w:val="212529"/>
          <w:shd w:val="clear" w:color="auto" w:fill="FFFFFF"/>
        </w:rPr>
        <w:t>Even though,</w:t>
      </w:r>
      <w:r w:rsidR="007E0CB7">
        <w:rPr>
          <w:rFonts w:cstheme="minorHAnsi"/>
          <w:color w:val="212529"/>
          <w:shd w:val="clear" w:color="auto" w:fill="FFFFFF"/>
        </w:rPr>
        <w:t xml:space="preserve"> t</w:t>
      </w:r>
      <w:r w:rsidR="007E0CB7" w:rsidRPr="005F1F39">
        <w:rPr>
          <w:rFonts w:cstheme="minorHAnsi"/>
          <w:color w:val="212529"/>
          <w:shd w:val="clear" w:color="auto" w:fill="FFFFFF"/>
        </w:rPr>
        <w:t>he reforms for the structure for homicide proposed by Law Commission have not been accepted by the government now. However, it has taken into consideration the Law Commissions recommendation for provocation diminished responsibility which would result in reducing murder to manslaughter</w:t>
      </w:r>
      <w:r w:rsidR="007E0CB7">
        <w:rPr>
          <w:rFonts w:cstheme="minorHAnsi"/>
          <w:color w:val="212529"/>
          <w:shd w:val="clear" w:color="auto" w:fill="FFFFFF"/>
        </w:rPr>
        <w:t xml:space="preserve"> but up to certain extent</w:t>
      </w:r>
      <w:r w:rsidR="007E0CB7" w:rsidRPr="005F1F39">
        <w:rPr>
          <w:rFonts w:cstheme="minorHAnsi"/>
          <w:color w:val="212529"/>
          <w:shd w:val="clear" w:color="auto" w:fill="FFFFFF"/>
        </w:rPr>
        <w:t xml:space="preserve">. Therefore, provocation maybe replaced by killing in a </w:t>
      </w:r>
      <w:r w:rsidR="007E0CB7" w:rsidRPr="005F1F39">
        <w:rPr>
          <w:rFonts w:cstheme="minorHAnsi"/>
          <w:color w:val="212529"/>
          <w:shd w:val="clear" w:color="auto" w:fill="FFFFFF"/>
        </w:rPr>
        <w:lastRenderedPageBreak/>
        <w:t>circumstance where the defendant must be afraid of violence or be in a circumstance where things done or said causes the defendant to have justifiable sensation of being seriously wronged. Also, the loss of self-control has been brought back although it does not need to be sudden (Justice, 2021).</w:t>
      </w:r>
      <w:r w:rsidR="007E0CB7">
        <w:rPr>
          <w:rFonts w:cstheme="minorHAnsi"/>
          <w:color w:val="212529"/>
          <w:shd w:val="clear" w:color="auto" w:fill="FFFFFF"/>
        </w:rPr>
        <w:t xml:space="preserve"> </w:t>
      </w:r>
    </w:p>
    <w:p w14:paraId="429904D4" w14:textId="035B1CC0" w:rsidR="004A37C7" w:rsidRDefault="004A37C7" w:rsidP="00CA0D8A">
      <w:pPr>
        <w:jc w:val="both"/>
      </w:pPr>
    </w:p>
    <w:p w14:paraId="596A9C28" w14:textId="77AFC800" w:rsidR="004A37C7" w:rsidRDefault="004A37C7" w:rsidP="00CA0D8A">
      <w:pPr>
        <w:jc w:val="both"/>
      </w:pPr>
    </w:p>
    <w:p w14:paraId="2D98A6C8" w14:textId="5B940A0A" w:rsidR="008A37D6" w:rsidRDefault="00ED0B2C" w:rsidP="00ED0B2C">
      <w:pPr>
        <w:tabs>
          <w:tab w:val="left" w:pos="3680"/>
        </w:tabs>
        <w:jc w:val="both"/>
      </w:pPr>
      <w:r>
        <w:tab/>
      </w:r>
    </w:p>
    <w:p w14:paraId="2A7125C8" w14:textId="51C330C3" w:rsidR="008A37D6" w:rsidRDefault="008A37D6" w:rsidP="00CA0D8A">
      <w:pPr>
        <w:jc w:val="both"/>
      </w:pPr>
    </w:p>
    <w:p w14:paraId="48329124" w14:textId="56F6E5EC" w:rsidR="008A37D6" w:rsidRDefault="008A37D6" w:rsidP="00CA0D8A">
      <w:pPr>
        <w:jc w:val="both"/>
      </w:pPr>
    </w:p>
    <w:p w14:paraId="58DF7263" w14:textId="0F343023" w:rsidR="008A37D6" w:rsidRDefault="008A37D6" w:rsidP="00CA0D8A">
      <w:pPr>
        <w:jc w:val="both"/>
      </w:pPr>
    </w:p>
    <w:p w14:paraId="60275EF8" w14:textId="61732908" w:rsidR="008A37D6" w:rsidRDefault="008A37D6" w:rsidP="00CA0D8A">
      <w:pPr>
        <w:jc w:val="both"/>
      </w:pPr>
    </w:p>
    <w:p w14:paraId="19FA090D" w14:textId="2839F5D7" w:rsidR="008A37D6" w:rsidRDefault="008A37D6" w:rsidP="00CA0D8A">
      <w:pPr>
        <w:jc w:val="both"/>
      </w:pPr>
    </w:p>
    <w:p w14:paraId="529902D6" w14:textId="530E9B64" w:rsidR="008A37D6" w:rsidRDefault="008A37D6" w:rsidP="00CA0D8A">
      <w:pPr>
        <w:jc w:val="both"/>
      </w:pPr>
    </w:p>
    <w:p w14:paraId="726C2863" w14:textId="3A564EBC" w:rsidR="008A37D6" w:rsidRDefault="008A37D6" w:rsidP="00CA0D8A">
      <w:pPr>
        <w:jc w:val="both"/>
      </w:pPr>
    </w:p>
    <w:p w14:paraId="1C174403" w14:textId="4398E608" w:rsidR="008A37D6" w:rsidRDefault="008A37D6" w:rsidP="00CA0D8A">
      <w:pPr>
        <w:jc w:val="both"/>
      </w:pPr>
    </w:p>
    <w:p w14:paraId="5BBD8A8F" w14:textId="11797EFF" w:rsidR="008A37D6" w:rsidRDefault="008A37D6" w:rsidP="00CA0D8A">
      <w:pPr>
        <w:jc w:val="both"/>
      </w:pPr>
    </w:p>
    <w:p w14:paraId="7D09B774" w14:textId="78CFCD88" w:rsidR="008A37D6" w:rsidRDefault="008A37D6" w:rsidP="00CA0D8A">
      <w:pPr>
        <w:jc w:val="both"/>
      </w:pPr>
    </w:p>
    <w:p w14:paraId="570CC5ED" w14:textId="2012081D" w:rsidR="008A37D6" w:rsidRDefault="008A37D6" w:rsidP="00CA0D8A">
      <w:pPr>
        <w:jc w:val="both"/>
      </w:pPr>
    </w:p>
    <w:p w14:paraId="6ECE1367" w14:textId="72CB5292" w:rsidR="008A37D6" w:rsidRDefault="008A37D6" w:rsidP="00CA0D8A">
      <w:pPr>
        <w:jc w:val="both"/>
      </w:pPr>
    </w:p>
    <w:p w14:paraId="7D2BAA7D" w14:textId="0F387C91" w:rsidR="008A37D6" w:rsidRDefault="008A37D6" w:rsidP="00CA0D8A">
      <w:pPr>
        <w:jc w:val="both"/>
      </w:pPr>
    </w:p>
    <w:p w14:paraId="050F8399" w14:textId="3F382B8C" w:rsidR="008A37D6" w:rsidRDefault="008A37D6" w:rsidP="00CA0D8A">
      <w:pPr>
        <w:jc w:val="both"/>
      </w:pPr>
    </w:p>
    <w:p w14:paraId="68EB5EB7" w14:textId="289D8FEA" w:rsidR="008A37D6" w:rsidRDefault="008A37D6" w:rsidP="00CA0D8A">
      <w:pPr>
        <w:jc w:val="both"/>
      </w:pPr>
    </w:p>
    <w:p w14:paraId="3FA6BA08" w14:textId="7A3B9D52" w:rsidR="008A37D6" w:rsidRDefault="008A37D6" w:rsidP="00CA0D8A">
      <w:pPr>
        <w:jc w:val="both"/>
      </w:pPr>
    </w:p>
    <w:p w14:paraId="5C0F3984" w14:textId="4F1E57FE" w:rsidR="008A37D6" w:rsidRDefault="008A37D6" w:rsidP="00CA0D8A">
      <w:pPr>
        <w:jc w:val="both"/>
      </w:pPr>
    </w:p>
    <w:p w14:paraId="5A227959" w14:textId="77962F82" w:rsidR="008A37D6" w:rsidRDefault="008A37D6" w:rsidP="00CA0D8A">
      <w:pPr>
        <w:jc w:val="both"/>
      </w:pPr>
    </w:p>
    <w:p w14:paraId="57A988CF" w14:textId="1DF24D56" w:rsidR="008A37D6" w:rsidRDefault="008A37D6" w:rsidP="00CA0D8A">
      <w:pPr>
        <w:jc w:val="both"/>
      </w:pPr>
    </w:p>
    <w:p w14:paraId="738D9170" w14:textId="1911748B" w:rsidR="008A37D6" w:rsidRDefault="008A37D6" w:rsidP="00CA0D8A">
      <w:pPr>
        <w:jc w:val="both"/>
      </w:pPr>
    </w:p>
    <w:p w14:paraId="4DB0BFE7" w14:textId="10BEDEBB" w:rsidR="008A37D6" w:rsidRDefault="008A37D6" w:rsidP="00CA0D8A">
      <w:pPr>
        <w:jc w:val="both"/>
      </w:pPr>
    </w:p>
    <w:p w14:paraId="05736F4C" w14:textId="38817566" w:rsidR="008A37D6" w:rsidRDefault="008A37D6" w:rsidP="00CA0D8A">
      <w:pPr>
        <w:jc w:val="both"/>
      </w:pPr>
    </w:p>
    <w:p w14:paraId="5981AC22" w14:textId="5EB58BA3" w:rsidR="008A37D6" w:rsidRDefault="008A37D6" w:rsidP="00CA0D8A">
      <w:pPr>
        <w:jc w:val="both"/>
      </w:pPr>
    </w:p>
    <w:p w14:paraId="75BACCA5" w14:textId="1A49CD61" w:rsidR="008A37D6" w:rsidRDefault="008A37D6" w:rsidP="00CA0D8A">
      <w:pPr>
        <w:jc w:val="both"/>
      </w:pPr>
    </w:p>
    <w:p w14:paraId="7293A1BE" w14:textId="63D60246" w:rsidR="008A37D6" w:rsidRDefault="008A37D6" w:rsidP="00CA0D8A">
      <w:pPr>
        <w:jc w:val="both"/>
      </w:pPr>
    </w:p>
    <w:p w14:paraId="5B904735" w14:textId="0B6E2377" w:rsidR="008A37D6" w:rsidRDefault="008A37D6" w:rsidP="00CA0D8A">
      <w:pPr>
        <w:jc w:val="both"/>
      </w:pPr>
    </w:p>
    <w:p w14:paraId="6712AE25" w14:textId="77777777" w:rsidR="008A37D6" w:rsidRPr="00124C36" w:rsidRDefault="008A37D6" w:rsidP="008A37D6">
      <w:pPr>
        <w:rPr>
          <w:rFonts w:ascii="Arial" w:eastAsia="Arial" w:hAnsi="Arial" w:cs="Arial"/>
          <w:sz w:val="24"/>
          <w:szCs w:val="24"/>
        </w:rPr>
      </w:pPr>
      <w:r w:rsidRPr="00F56AC7">
        <w:rPr>
          <w:b/>
        </w:rPr>
        <w:lastRenderedPageBreak/>
        <w:t xml:space="preserve">References </w:t>
      </w:r>
    </w:p>
    <w:p w14:paraId="52AFA29F" w14:textId="77777777" w:rsidR="008A37D6" w:rsidRDefault="008A37D6" w:rsidP="008A37D6">
      <w:pPr>
        <w:spacing w:after="0" w:line="240" w:lineRule="auto"/>
        <w:rPr>
          <w:bCs/>
        </w:rPr>
      </w:pPr>
      <w:r>
        <w:rPr>
          <w:bCs/>
        </w:rPr>
        <w:t xml:space="preserve">House of Commons (2021) – </w:t>
      </w:r>
      <w:r w:rsidRPr="00F56AC7">
        <w:rPr>
          <w:bCs/>
          <w:i/>
          <w:iCs/>
        </w:rPr>
        <w:t>Homicide Statistics</w:t>
      </w:r>
      <w:r>
        <w:rPr>
          <w:bCs/>
        </w:rPr>
        <w:t xml:space="preserve"> – available at: </w:t>
      </w:r>
    </w:p>
    <w:p w14:paraId="36FE9E28" w14:textId="77777777" w:rsidR="008A37D6" w:rsidRDefault="008A37D6" w:rsidP="008A37D6">
      <w:pPr>
        <w:spacing w:after="0" w:line="240" w:lineRule="auto"/>
        <w:rPr>
          <w:rFonts w:ascii="Arial" w:hAnsi="Arial" w:cs="Arial"/>
          <w:color w:val="202124"/>
          <w:sz w:val="20"/>
          <w:szCs w:val="20"/>
          <w:shd w:val="clear" w:color="auto" w:fill="F8F9FA"/>
        </w:rPr>
      </w:pPr>
      <w:r>
        <w:rPr>
          <w:rFonts w:ascii="Arial" w:hAnsi="Arial" w:cs="Arial"/>
          <w:color w:val="202124"/>
          <w:sz w:val="20"/>
          <w:szCs w:val="20"/>
          <w:shd w:val="clear" w:color="auto" w:fill="F8F9FA"/>
        </w:rPr>
        <w:t> </w:t>
      </w:r>
      <w:hyperlink r:id="rId5" w:history="1">
        <w:r>
          <w:rPr>
            <w:rStyle w:val="Hyperlink"/>
            <w:rFonts w:ascii="Arial" w:hAnsi="Arial" w:cs="Arial"/>
            <w:color w:val="1A0DAB"/>
            <w:sz w:val="20"/>
            <w:szCs w:val="20"/>
            <w:u w:val="none"/>
            <w:bdr w:val="none" w:sz="0" w:space="0" w:color="auto" w:frame="1"/>
            <w:shd w:val="clear" w:color="auto" w:fill="F8F9FA"/>
          </w:rPr>
          <w:t>https://researchbriefings.files.parliament.uk/documents/CBP-8224/CBP-8224.pdf</w:t>
        </w:r>
      </w:hyperlink>
      <w:r>
        <w:rPr>
          <w:rFonts w:ascii="Arial" w:hAnsi="Arial" w:cs="Arial"/>
          <w:color w:val="202124"/>
          <w:sz w:val="20"/>
          <w:szCs w:val="20"/>
          <w:shd w:val="clear" w:color="auto" w:fill="F8F9FA"/>
        </w:rPr>
        <w:t>.</w:t>
      </w:r>
    </w:p>
    <w:p w14:paraId="610629B0" w14:textId="77777777" w:rsidR="008A37D6" w:rsidRDefault="008A37D6" w:rsidP="008A37D6">
      <w:pPr>
        <w:spacing w:after="0" w:line="240" w:lineRule="auto"/>
        <w:rPr>
          <w:bCs/>
        </w:rPr>
      </w:pPr>
      <w:r>
        <w:rPr>
          <w:bCs/>
        </w:rPr>
        <w:t>(Accessed: 20</w:t>
      </w:r>
      <w:r w:rsidRPr="00CB76E6">
        <w:rPr>
          <w:bCs/>
          <w:vertAlign w:val="superscript"/>
        </w:rPr>
        <w:t>th</w:t>
      </w:r>
      <w:r>
        <w:rPr>
          <w:bCs/>
        </w:rPr>
        <w:t xml:space="preserve"> Oct 2021) </w:t>
      </w:r>
    </w:p>
    <w:p w14:paraId="447A37E1" w14:textId="77777777" w:rsidR="008A37D6" w:rsidRDefault="008A37D6" w:rsidP="008A37D6">
      <w:pPr>
        <w:spacing w:after="0" w:line="240" w:lineRule="auto"/>
        <w:rPr>
          <w:bCs/>
        </w:rPr>
      </w:pPr>
    </w:p>
    <w:p w14:paraId="1FBE7EA5" w14:textId="77777777" w:rsidR="008A37D6" w:rsidRDefault="008A37D6" w:rsidP="008A37D6">
      <w:pPr>
        <w:spacing w:after="0" w:line="240" w:lineRule="auto"/>
        <w:rPr>
          <w:bCs/>
        </w:rPr>
      </w:pPr>
      <w:r>
        <w:rPr>
          <w:bCs/>
        </w:rPr>
        <w:t xml:space="preserve">The Law Commission (2006) – </w:t>
      </w:r>
      <w:r w:rsidRPr="00AF55C3">
        <w:rPr>
          <w:bCs/>
          <w:i/>
          <w:iCs/>
        </w:rPr>
        <w:t xml:space="preserve">Murder, </w:t>
      </w:r>
      <w:proofErr w:type="gramStart"/>
      <w:r w:rsidRPr="00AF55C3">
        <w:rPr>
          <w:bCs/>
          <w:i/>
          <w:iCs/>
        </w:rPr>
        <w:t>Manslaughter</w:t>
      </w:r>
      <w:proofErr w:type="gramEnd"/>
      <w:r w:rsidRPr="00AF55C3">
        <w:rPr>
          <w:bCs/>
          <w:i/>
          <w:iCs/>
        </w:rPr>
        <w:t xml:space="preserve"> and Infanticide</w:t>
      </w:r>
      <w:r>
        <w:rPr>
          <w:bCs/>
        </w:rPr>
        <w:t xml:space="preserve"> – available at: </w:t>
      </w:r>
    </w:p>
    <w:p w14:paraId="6A0D337D" w14:textId="77777777" w:rsidR="008A37D6" w:rsidRDefault="008A37D6" w:rsidP="008A37D6">
      <w:pPr>
        <w:spacing w:after="0" w:line="240" w:lineRule="auto"/>
        <w:rPr>
          <w:bCs/>
        </w:rPr>
      </w:pPr>
      <w:hyperlink r:id="rId6" w:history="1">
        <w:r w:rsidRPr="00AD15CD">
          <w:rPr>
            <w:rStyle w:val="Hyperlink"/>
            <w:bCs/>
          </w:rPr>
          <w:t>https://assets.publishing.service.gov.uk/government/uploads/system/uploads/attachment_data/file/228782/0030.pdf</w:t>
        </w:r>
      </w:hyperlink>
    </w:p>
    <w:p w14:paraId="177D416B" w14:textId="77777777" w:rsidR="008A37D6" w:rsidRDefault="008A37D6" w:rsidP="008A37D6">
      <w:pPr>
        <w:spacing w:after="0" w:line="240" w:lineRule="auto"/>
        <w:rPr>
          <w:bCs/>
        </w:rPr>
      </w:pPr>
      <w:r>
        <w:rPr>
          <w:bCs/>
        </w:rPr>
        <w:t>(Accessed: 20</w:t>
      </w:r>
      <w:r w:rsidRPr="00A0247A">
        <w:rPr>
          <w:bCs/>
          <w:vertAlign w:val="superscript"/>
        </w:rPr>
        <w:t>th</w:t>
      </w:r>
      <w:r>
        <w:rPr>
          <w:bCs/>
        </w:rPr>
        <w:t xml:space="preserve"> Oct 2021)</w:t>
      </w:r>
    </w:p>
    <w:p w14:paraId="3B4354C7" w14:textId="77777777" w:rsidR="008A37D6" w:rsidRDefault="008A37D6" w:rsidP="008A37D6">
      <w:pPr>
        <w:spacing w:after="0" w:line="240" w:lineRule="auto"/>
        <w:rPr>
          <w:bCs/>
        </w:rPr>
      </w:pPr>
    </w:p>
    <w:p w14:paraId="211824E5" w14:textId="77777777" w:rsidR="008A37D6" w:rsidRDefault="008A37D6" w:rsidP="008A37D6">
      <w:pPr>
        <w:spacing w:after="0" w:line="240" w:lineRule="auto"/>
        <w:rPr>
          <w:bCs/>
        </w:rPr>
      </w:pPr>
      <w:r>
        <w:rPr>
          <w:bCs/>
        </w:rPr>
        <w:t xml:space="preserve">House of Commons (2016) – DEBATE PACK Reforming the Law on Homicide – available at:  </w:t>
      </w:r>
    </w:p>
    <w:p w14:paraId="364C2D6C" w14:textId="77777777" w:rsidR="008A37D6" w:rsidRDefault="008A37D6" w:rsidP="008A37D6">
      <w:pPr>
        <w:spacing w:after="0" w:line="240" w:lineRule="auto"/>
      </w:pPr>
      <w:hyperlink r:id="rId7" w:history="1">
        <w:r w:rsidRPr="00AD15CD">
          <w:rPr>
            <w:rStyle w:val="Hyperlink"/>
          </w:rPr>
          <w:t>http://researchbriefings.files.parliament.uk/documents/CDP-2016-0094/CDP-2016-0094.pdf</w:t>
        </w:r>
      </w:hyperlink>
      <w:r w:rsidRPr="0014581D">
        <w:t xml:space="preserve"> </w:t>
      </w:r>
    </w:p>
    <w:p w14:paraId="237765F9" w14:textId="77777777" w:rsidR="008A37D6" w:rsidRDefault="008A37D6" w:rsidP="008A37D6">
      <w:pPr>
        <w:spacing w:after="0" w:line="240" w:lineRule="auto"/>
        <w:rPr>
          <w:bCs/>
        </w:rPr>
      </w:pPr>
      <w:r>
        <w:rPr>
          <w:bCs/>
        </w:rPr>
        <w:t>(Accessed: 20</w:t>
      </w:r>
      <w:r w:rsidRPr="00A0247A">
        <w:rPr>
          <w:bCs/>
          <w:vertAlign w:val="superscript"/>
        </w:rPr>
        <w:t>th</w:t>
      </w:r>
      <w:r>
        <w:rPr>
          <w:bCs/>
        </w:rPr>
        <w:t xml:space="preserve"> Oct 2021) </w:t>
      </w:r>
    </w:p>
    <w:p w14:paraId="368FBDDA" w14:textId="77777777" w:rsidR="008A37D6" w:rsidRDefault="008A37D6" w:rsidP="008A37D6">
      <w:pPr>
        <w:spacing w:after="0" w:line="240" w:lineRule="auto"/>
        <w:rPr>
          <w:bCs/>
        </w:rPr>
      </w:pPr>
    </w:p>
    <w:p w14:paraId="4373171B" w14:textId="77777777" w:rsidR="008A37D6" w:rsidRDefault="008A37D6" w:rsidP="008A37D6">
      <w:pPr>
        <w:spacing w:after="0" w:line="240" w:lineRule="auto"/>
        <w:rPr>
          <w:bCs/>
        </w:rPr>
      </w:pPr>
      <w:r>
        <w:rPr>
          <w:bCs/>
        </w:rPr>
        <w:t xml:space="preserve">Justice (2021) – </w:t>
      </w:r>
      <w:r w:rsidRPr="00A5430A">
        <w:rPr>
          <w:bCs/>
          <w:i/>
          <w:iCs/>
        </w:rPr>
        <w:t>Homcidie law reform</w:t>
      </w:r>
      <w:r>
        <w:rPr>
          <w:bCs/>
        </w:rPr>
        <w:t xml:space="preserve"> - available at: </w:t>
      </w:r>
      <w:hyperlink r:id="rId8" w:history="1">
        <w:r w:rsidRPr="00AD15CD">
          <w:rPr>
            <w:rStyle w:val="Hyperlink"/>
            <w:bCs/>
          </w:rPr>
          <w:t>https://justice.org.uk/homicide-law-reform/</w:t>
        </w:r>
      </w:hyperlink>
    </w:p>
    <w:p w14:paraId="314A4884" w14:textId="77777777" w:rsidR="008A37D6" w:rsidRDefault="008A37D6" w:rsidP="008A37D6">
      <w:pPr>
        <w:spacing w:after="0" w:line="240" w:lineRule="auto"/>
        <w:rPr>
          <w:bCs/>
        </w:rPr>
      </w:pPr>
      <w:r>
        <w:rPr>
          <w:bCs/>
        </w:rPr>
        <w:t>(Accessed: 19</w:t>
      </w:r>
      <w:r w:rsidRPr="00E227A7">
        <w:rPr>
          <w:bCs/>
          <w:vertAlign w:val="superscript"/>
        </w:rPr>
        <w:t>th</w:t>
      </w:r>
      <w:r>
        <w:rPr>
          <w:bCs/>
        </w:rPr>
        <w:t xml:space="preserve"> October 2021) </w:t>
      </w:r>
    </w:p>
    <w:p w14:paraId="09CCC467" w14:textId="77777777" w:rsidR="008A37D6" w:rsidRDefault="008A37D6" w:rsidP="008A37D6">
      <w:pPr>
        <w:spacing w:after="0" w:line="240" w:lineRule="auto"/>
        <w:rPr>
          <w:bCs/>
        </w:rPr>
      </w:pPr>
    </w:p>
    <w:p w14:paraId="0F974BBC" w14:textId="77777777" w:rsidR="008A37D6" w:rsidRDefault="008A37D6" w:rsidP="008A37D6">
      <w:pPr>
        <w:spacing w:after="0" w:line="240" w:lineRule="auto"/>
        <w:rPr>
          <w:bCs/>
        </w:rPr>
      </w:pPr>
      <w:r>
        <w:rPr>
          <w:bCs/>
        </w:rPr>
        <w:t xml:space="preserve">UK Parliament (2015) – </w:t>
      </w:r>
      <w:r w:rsidRPr="00D91549">
        <w:rPr>
          <w:bCs/>
          <w:i/>
          <w:iCs/>
        </w:rPr>
        <w:t>Mandatory life sentences for murder</w:t>
      </w:r>
      <w:r>
        <w:rPr>
          <w:bCs/>
        </w:rPr>
        <w:t xml:space="preserve"> – available at: </w:t>
      </w:r>
    </w:p>
    <w:p w14:paraId="3A411422" w14:textId="77777777" w:rsidR="008A37D6" w:rsidRDefault="008A37D6" w:rsidP="008A37D6">
      <w:pPr>
        <w:spacing w:after="0" w:line="240" w:lineRule="auto"/>
      </w:pPr>
      <w:hyperlink r:id="rId9" w:history="1">
        <w:r>
          <w:rPr>
            <w:rStyle w:val="Hyperlink"/>
          </w:rPr>
          <w:t>Mandatory life sentences for murder - House of Commons Library (parliament.uk)</w:t>
        </w:r>
      </w:hyperlink>
    </w:p>
    <w:p w14:paraId="6DAE35F7" w14:textId="77777777" w:rsidR="008A37D6" w:rsidRDefault="008A37D6" w:rsidP="008A37D6">
      <w:pPr>
        <w:spacing w:after="0" w:line="240" w:lineRule="auto"/>
      </w:pPr>
      <w:r>
        <w:t>(Accessed: 15</w:t>
      </w:r>
      <w:r w:rsidRPr="00D91549">
        <w:rPr>
          <w:vertAlign w:val="superscript"/>
        </w:rPr>
        <w:t>th</w:t>
      </w:r>
      <w:r>
        <w:t xml:space="preserve"> October 2021) </w:t>
      </w:r>
    </w:p>
    <w:p w14:paraId="4F5927DC" w14:textId="77777777" w:rsidR="008A37D6" w:rsidRDefault="008A37D6" w:rsidP="008A37D6">
      <w:pPr>
        <w:spacing w:after="0" w:line="240" w:lineRule="auto"/>
      </w:pPr>
    </w:p>
    <w:p w14:paraId="2A5B08C0" w14:textId="77777777" w:rsidR="008A37D6" w:rsidRDefault="008A37D6" w:rsidP="008A37D6">
      <w:pPr>
        <w:spacing w:after="0" w:line="240" w:lineRule="auto"/>
      </w:pPr>
      <w:r>
        <w:t xml:space="preserve">Criminal Justice Act (2003) - available at: </w:t>
      </w:r>
      <w:hyperlink r:id="rId10" w:history="1">
        <w:r w:rsidRPr="00AD15CD">
          <w:rPr>
            <w:rStyle w:val="Hyperlink"/>
          </w:rPr>
          <w:t>https://www.legislation.gov.uk/ukpga/2003/44/contents</w:t>
        </w:r>
      </w:hyperlink>
    </w:p>
    <w:p w14:paraId="016B81D3" w14:textId="77777777" w:rsidR="008A37D6" w:rsidRDefault="008A37D6" w:rsidP="008A37D6">
      <w:pPr>
        <w:spacing w:after="0" w:line="240" w:lineRule="auto"/>
      </w:pPr>
    </w:p>
    <w:p w14:paraId="1460277D" w14:textId="77777777" w:rsidR="008A37D6" w:rsidRDefault="008A37D6" w:rsidP="008A37D6">
      <w:pPr>
        <w:spacing w:after="0" w:line="240" w:lineRule="auto"/>
      </w:pPr>
      <w:r>
        <w:t xml:space="preserve">Taylor, L. (2018) – </w:t>
      </w:r>
      <w:r w:rsidRPr="008144AC">
        <w:rPr>
          <w:i/>
          <w:iCs/>
        </w:rPr>
        <w:t>Elliott &amp; Quinn’s Criminal Law</w:t>
      </w:r>
      <w:r>
        <w:t xml:space="preserve"> – 12</w:t>
      </w:r>
      <w:r w:rsidRPr="00862852">
        <w:rPr>
          <w:vertAlign w:val="superscript"/>
        </w:rPr>
        <w:t>th</w:t>
      </w:r>
      <w:r>
        <w:t xml:space="preserve"> Ed – Harlow: Pearson Education Limited</w:t>
      </w:r>
    </w:p>
    <w:p w14:paraId="47D7A3DA" w14:textId="77777777" w:rsidR="008A37D6" w:rsidRDefault="008A37D6" w:rsidP="008A37D6">
      <w:pPr>
        <w:spacing w:after="0" w:line="240" w:lineRule="auto"/>
        <w:rPr>
          <w:rFonts w:cstheme="minorHAnsi"/>
          <w:color w:val="212529"/>
          <w:shd w:val="clear" w:color="auto" w:fill="FFFFFF"/>
        </w:rPr>
      </w:pPr>
    </w:p>
    <w:p w14:paraId="36B5C570" w14:textId="77777777" w:rsidR="008A37D6" w:rsidRDefault="008A37D6" w:rsidP="008A37D6">
      <w:pPr>
        <w:spacing w:after="0" w:line="240" w:lineRule="auto"/>
      </w:pPr>
      <w:r>
        <w:t xml:space="preserve">Law Commission (2004) – </w:t>
      </w:r>
      <w:r w:rsidRPr="00F83251">
        <w:rPr>
          <w:i/>
          <w:iCs/>
        </w:rPr>
        <w:t>Partial Defences to Murder</w:t>
      </w:r>
      <w:r>
        <w:t xml:space="preserve"> – available at: </w:t>
      </w:r>
    </w:p>
    <w:p w14:paraId="766436BF" w14:textId="77777777" w:rsidR="008A37D6" w:rsidRDefault="008A37D6" w:rsidP="008A37D6">
      <w:pPr>
        <w:spacing w:after="0" w:line="240" w:lineRule="auto"/>
      </w:pPr>
      <w:hyperlink r:id="rId11" w:history="1">
        <w:r w:rsidRPr="00AD15CD">
          <w:rPr>
            <w:rStyle w:val="Hyperlink"/>
          </w:rPr>
          <w:t>http://www.lawcom.gov.uk/app/uploads/2015/03/lc290_Partial_Defences_to_Murder.pdf</w:t>
        </w:r>
      </w:hyperlink>
    </w:p>
    <w:p w14:paraId="7D952E26" w14:textId="77777777" w:rsidR="008A37D6" w:rsidRDefault="008A37D6" w:rsidP="008A37D6">
      <w:pPr>
        <w:spacing w:after="0" w:line="240" w:lineRule="auto"/>
      </w:pPr>
      <w:r>
        <w:t>(Accessed: 24</w:t>
      </w:r>
      <w:r w:rsidRPr="00D9206E">
        <w:rPr>
          <w:vertAlign w:val="superscript"/>
        </w:rPr>
        <w:t>th</w:t>
      </w:r>
      <w:r>
        <w:t xml:space="preserve"> Oct 2021) </w:t>
      </w:r>
    </w:p>
    <w:p w14:paraId="5F18763E" w14:textId="77777777" w:rsidR="008A37D6" w:rsidRDefault="008A37D6" w:rsidP="008A37D6">
      <w:pPr>
        <w:spacing w:after="0" w:line="240" w:lineRule="auto"/>
      </w:pPr>
    </w:p>
    <w:p w14:paraId="487D0DE7" w14:textId="77777777" w:rsidR="008A37D6" w:rsidRDefault="008A37D6" w:rsidP="008A37D6">
      <w:pPr>
        <w:spacing w:after="0" w:line="240" w:lineRule="auto"/>
      </w:pPr>
      <w:r>
        <w:t xml:space="preserve">CPS (2019) – Homicide: Murder and Manslaughter – available at: </w:t>
      </w:r>
    </w:p>
    <w:p w14:paraId="008B278C" w14:textId="77777777" w:rsidR="008A37D6" w:rsidRDefault="008A37D6" w:rsidP="008A37D6">
      <w:pPr>
        <w:spacing w:after="0" w:line="240" w:lineRule="auto"/>
      </w:pPr>
      <w:hyperlink r:id="rId12" w:history="1">
        <w:r w:rsidRPr="00AD15CD">
          <w:rPr>
            <w:rStyle w:val="Hyperlink"/>
          </w:rPr>
          <w:t>https://www.cps.gov.uk/legal-guidance/homicide-murder-and-manslaughter</w:t>
        </w:r>
      </w:hyperlink>
    </w:p>
    <w:p w14:paraId="7578C40D" w14:textId="77777777" w:rsidR="008A37D6" w:rsidRDefault="008A37D6" w:rsidP="008A37D6">
      <w:pPr>
        <w:spacing w:after="0" w:line="240" w:lineRule="auto"/>
      </w:pPr>
      <w:r>
        <w:t>(Accessed: 24</w:t>
      </w:r>
      <w:r w:rsidRPr="0096686B">
        <w:rPr>
          <w:vertAlign w:val="superscript"/>
        </w:rPr>
        <w:t>th</w:t>
      </w:r>
      <w:r>
        <w:t xml:space="preserve"> Oct 2021) </w:t>
      </w:r>
    </w:p>
    <w:p w14:paraId="35062EA5" w14:textId="77777777" w:rsidR="008A37D6" w:rsidRDefault="008A37D6" w:rsidP="008A37D6">
      <w:pPr>
        <w:spacing w:after="0" w:line="240" w:lineRule="auto"/>
      </w:pPr>
    </w:p>
    <w:p w14:paraId="493841FD" w14:textId="77777777" w:rsidR="008A37D6" w:rsidRDefault="008A37D6" w:rsidP="008A37D6">
      <w:pPr>
        <w:spacing w:after="0" w:line="240" w:lineRule="auto"/>
      </w:pPr>
      <w:r>
        <w:t xml:space="preserve">The Guardian (2016) – </w:t>
      </w:r>
      <w:r w:rsidRPr="00C6465E">
        <w:rPr>
          <w:i/>
          <w:iCs/>
        </w:rPr>
        <w:t xml:space="preserve">Murder law will not be </w:t>
      </w:r>
      <w:proofErr w:type="gramStart"/>
      <w:r w:rsidRPr="00C6465E">
        <w:rPr>
          <w:i/>
          <w:iCs/>
        </w:rPr>
        <w:t>reformed,</w:t>
      </w:r>
      <w:proofErr w:type="gramEnd"/>
      <w:r w:rsidRPr="00C6465E">
        <w:rPr>
          <w:i/>
          <w:iCs/>
        </w:rPr>
        <w:t xml:space="preserve"> justice minister tells MPs</w:t>
      </w:r>
      <w:r>
        <w:t xml:space="preserve"> – available at: </w:t>
      </w:r>
    </w:p>
    <w:p w14:paraId="0E485CC8" w14:textId="77777777" w:rsidR="008A37D6" w:rsidRDefault="008A37D6" w:rsidP="008A37D6">
      <w:pPr>
        <w:spacing w:after="0" w:line="240" w:lineRule="auto"/>
      </w:pPr>
      <w:hyperlink r:id="rId13" w:history="1">
        <w:r w:rsidRPr="00AD15CD">
          <w:rPr>
            <w:rStyle w:val="Hyperlink"/>
          </w:rPr>
          <w:t>https://www.theguardian.com/law/2016/sep/14/law-will-not-be-reformed-justice-minister-tells-mps</w:t>
        </w:r>
      </w:hyperlink>
    </w:p>
    <w:p w14:paraId="091C1E48" w14:textId="77777777" w:rsidR="008A37D6" w:rsidRDefault="008A37D6" w:rsidP="008A37D6">
      <w:pPr>
        <w:spacing w:after="0" w:line="240" w:lineRule="auto"/>
      </w:pPr>
    </w:p>
    <w:p w14:paraId="16C2576C" w14:textId="77777777" w:rsidR="008A37D6" w:rsidRDefault="008A37D6" w:rsidP="008A37D6">
      <w:pPr>
        <w:spacing w:after="0" w:line="240" w:lineRule="auto"/>
      </w:pPr>
      <w:r>
        <w:t xml:space="preserve">The Law Commission (2005) – A new homicide Act for England and Wales? A Consultation Paper – available at: </w:t>
      </w:r>
      <w:hyperlink r:id="rId14" w:history="1">
        <w:r w:rsidRPr="00AD15CD">
          <w:rPr>
            <w:rStyle w:val="Hyperlink"/>
          </w:rPr>
          <w:t>http://www.lawcom.gov.uk/app/uploads/2015/03/cp177_Murder_Manslaughter_and_Infanticide_consultation_overview_.pdf</w:t>
        </w:r>
      </w:hyperlink>
    </w:p>
    <w:p w14:paraId="38A0849B" w14:textId="77777777" w:rsidR="008A37D6" w:rsidRDefault="008A37D6" w:rsidP="008A37D6">
      <w:pPr>
        <w:spacing w:after="0" w:line="240" w:lineRule="auto"/>
      </w:pPr>
      <w:r>
        <w:t>(Accessed: 24</w:t>
      </w:r>
      <w:r w:rsidRPr="00707AB7">
        <w:rPr>
          <w:vertAlign w:val="superscript"/>
        </w:rPr>
        <w:t>th</w:t>
      </w:r>
      <w:r>
        <w:t xml:space="preserve"> Oct 2021) </w:t>
      </w:r>
    </w:p>
    <w:p w14:paraId="546DD61A" w14:textId="77777777" w:rsidR="008A37D6" w:rsidRPr="00BF1C35" w:rsidRDefault="008A37D6" w:rsidP="008A37D6">
      <w:pPr>
        <w:spacing w:after="0" w:line="240" w:lineRule="auto"/>
        <w:rPr>
          <w:rFonts w:ascii="Segoe UI" w:hAnsi="Segoe UI" w:cs="Segoe UI"/>
          <w:sz w:val="23"/>
          <w:szCs w:val="23"/>
          <w:bdr w:val="none" w:sz="0" w:space="0" w:color="auto" w:frame="1"/>
          <w:shd w:val="clear" w:color="auto" w:fill="FFFFFF"/>
        </w:rPr>
      </w:pPr>
    </w:p>
    <w:p w14:paraId="14BB8694" w14:textId="77777777" w:rsidR="008A37D6" w:rsidRPr="006C3D97" w:rsidRDefault="008A37D6" w:rsidP="008A37D6">
      <w:pPr>
        <w:spacing w:after="0" w:line="240" w:lineRule="auto"/>
        <w:rPr>
          <w:rFonts w:cstheme="minorHAnsi"/>
          <w:bdr w:val="none" w:sz="0" w:space="0" w:color="auto" w:frame="1"/>
          <w:shd w:val="clear" w:color="auto" w:fill="FFFFFF"/>
        </w:rPr>
      </w:pPr>
      <w:r w:rsidRPr="006C3D97">
        <w:rPr>
          <w:rFonts w:cstheme="minorHAnsi"/>
          <w:bdr w:val="none" w:sz="0" w:space="0" w:color="auto" w:frame="1"/>
          <w:shd w:val="clear" w:color="auto" w:fill="FFFFFF"/>
        </w:rPr>
        <w:t xml:space="preserve">Murder (Abolition of Death Penalty) Act 1965 – available at: </w:t>
      </w:r>
    </w:p>
    <w:p w14:paraId="79269B27" w14:textId="77777777" w:rsidR="008A37D6" w:rsidRPr="006C3D97" w:rsidRDefault="008A37D6" w:rsidP="008A37D6">
      <w:pPr>
        <w:spacing w:after="0" w:line="240" w:lineRule="auto"/>
        <w:rPr>
          <w:rFonts w:cstheme="minorHAnsi"/>
          <w:color w:val="212529"/>
          <w:shd w:val="clear" w:color="auto" w:fill="FFFFFF"/>
        </w:rPr>
      </w:pPr>
      <w:hyperlink r:id="rId15" w:history="1">
        <w:r w:rsidRPr="006C3D97">
          <w:rPr>
            <w:rStyle w:val="Hyperlink"/>
            <w:rFonts w:cstheme="minorHAnsi"/>
            <w:shd w:val="clear" w:color="auto" w:fill="FFFFFF"/>
          </w:rPr>
          <w:t>https://www.legislation.gov.uk/ukpga/1965/71/section/1</w:t>
        </w:r>
      </w:hyperlink>
    </w:p>
    <w:p w14:paraId="591B1AA2" w14:textId="77777777" w:rsidR="008A37D6" w:rsidRDefault="008A37D6" w:rsidP="008A37D6">
      <w:pPr>
        <w:spacing w:after="0" w:line="240" w:lineRule="auto"/>
        <w:rPr>
          <w:rFonts w:cstheme="minorHAnsi"/>
        </w:rPr>
      </w:pPr>
    </w:p>
    <w:p w14:paraId="7FD98F3E" w14:textId="77777777" w:rsidR="008A37D6" w:rsidRDefault="008A37D6" w:rsidP="008A37D6">
      <w:pPr>
        <w:spacing w:after="0" w:line="240" w:lineRule="auto"/>
        <w:rPr>
          <w:rFonts w:cstheme="minorHAnsi"/>
        </w:rPr>
      </w:pPr>
      <w:r>
        <w:rPr>
          <w:rFonts w:cstheme="minorHAnsi"/>
        </w:rPr>
        <w:t xml:space="preserve">Reed, A. et al (2019) – </w:t>
      </w:r>
      <w:r w:rsidRPr="00925196">
        <w:rPr>
          <w:rFonts w:cstheme="minorHAnsi"/>
          <w:i/>
          <w:iCs/>
        </w:rPr>
        <w:t>Homicide in Criminal Law: A Research Companion</w:t>
      </w:r>
      <w:r>
        <w:rPr>
          <w:rFonts w:cstheme="minorHAnsi"/>
        </w:rPr>
        <w:t xml:space="preserve"> – Abingdon: Routledge </w:t>
      </w:r>
    </w:p>
    <w:p w14:paraId="585927EC" w14:textId="77777777" w:rsidR="008A37D6" w:rsidRDefault="008A37D6" w:rsidP="008A37D6">
      <w:pPr>
        <w:spacing w:after="0" w:line="240" w:lineRule="auto"/>
        <w:rPr>
          <w:rFonts w:cstheme="minorHAnsi"/>
        </w:rPr>
      </w:pPr>
    </w:p>
    <w:p w14:paraId="6F5D5FE0" w14:textId="77777777" w:rsidR="008A37D6" w:rsidRDefault="008A37D6" w:rsidP="008A37D6">
      <w:pPr>
        <w:spacing w:after="0" w:line="240" w:lineRule="auto"/>
        <w:rPr>
          <w:rFonts w:cstheme="minorHAnsi"/>
        </w:rPr>
      </w:pPr>
      <w:r>
        <w:rPr>
          <w:rFonts w:cstheme="minorHAnsi"/>
        </w:rPr>
        <w:t xml:space="preserve">Jefferson, M (2015a) – </w:t>
      </w:r>
      <w:r w:rsidRPr="00C20ACC">
        <w:rPr>
          <w:rFonts w:cstheme="minorHAnsi"/>
          <w:i/>
          <w:iCs/>
        </w:rPr>
        <w:t>Criminal Law</w:t>
      </w:r>
      <w:r>
        <w:rPr>
          <w:rFonts w:cstheme="minorHAnsi"/>
        </w:rPr>
        <w:t xml:space="preserve"> – 12</w:t>
      </w:r>
      <w:r w:rsidRPr="00635840">
        <w:rPr>
          <w:rFonts w:cstheme="minorHAnsi"/>
          <w:vertAlign w:val="superscript"/>
        </w:rPr>
        <w:t>th</w:t>
      </w:r>
      <w:r>
        <w:rPr>
          <w:rFonts w:cstheme="minorHAnsi"/>
        </w:rPr>
        <w:t xml:space="preserve"> Ed - Harlow: Pearson Education Limited </w:t>
      </w:r>
    </w:p>
    <w:p w14:paraId="6C33F7BA" w14:textId="77777777" w:rsidR="008A37D6" w:rsidRDefault="008A37D6" w:rsidP="008A37D6">
      <w:pPr>
        <w:spacing w:after="0" w:line="240" w:lineRule="auto"/>
        <w:rPr>
          <w:rFonts w:cstheme="minorHAnsi"/>
        </w:rPr>
      </w:pPr>
    </w:p>
    <w:p w14:paraId="20B39561" w14:textId="77777777" w:rsidR="008A37D6" w:rsidRDefault="008A37D6" w:rsidP="008A37D6">
      <w:pPr>
        <w:spacing w:after="0" w:line="240" w:lineRule="auto"/>
        <w:rPr>
          <w:rFonts w:cstheme="minorHAnsi"/>
        </w:rPr>
      </w:pPr>
      <w:r>
        <w:rPr>
          <w:rFonts w:cstheme="minorHAnsi"/>
        </w:rPr>
        <w:t xml:space="preserve">Jefferson, M (2015b) – </w:t>
      </w:r>
      <w:r w:rsidRPr="00C20ACC">
        <w:rPr>
          <w:rFonts w:cstheme="minorHAnsi"/>
          <w:i/>
          <w:iCs/>
        </w:rPr>
        <w:t>Criminal Law</w:t>
      </w:r>
      <w:r>
        <w:rPr>
          <w:rFonts w:cstheme="minorHAnsi"/>
        </w:rPr>
        <w:t xml:space="preserve"> – 12</w:t>
      </w:r>
      <w:r w:rsidRPr="00635840">
        <w:rPr>
          <w:rFonts w:cstheme="minorHAnsi"/>
          <w:vertAlign w:val="superscript"/>
        </w:rPr>
        <w:t>th</w:t>
      </w:r>
      <w:r>
        <w:rPr>
          <w:rFonts w:cstheme="minorHAnsi"/>
        </w:rPr>
        <w:t xml:space="preserve"> Ed - Harlow: Pearson Education Limited </w:t>
      </w:r>
    </w:p>
    <w:p w14:paraId="247678FD" w14:textId="77777777" w:rsidR="008A37D6" w:rsidRDefault="008A37D6" w:rsidP="008A37D6">
      <w:pPr>
        <w:spacing w:after="0" w:line="240" w:lineRule="auto"/>
        <w:rPr>
          <w:rFonts w:cstheme="minorHAnsi"/>
        </w:rPr>
      </w:pPr>
    </w:p>
    <w:p w14:paraId="700C5813" w14:textId="5C58D21D" w:rsidR="008A37D6" w:rsidRDefault="008A37D6" w:rsidP="008A37D6">
      <w:pPr>
        <w:spacing w:after="0" w:line="240" w:lineRule="auto"/>
        <w:rPr>
          <w:rFonts w:cstheme="minorHAnsi"/>
        </w:rPr>
      </w:pPr>
      <w:r>
        <w:rPr>
          <w:rFonts w:cstheme="minorHAnsi"/>
        </w:rPr>
        <w:t xml:space="preserve">Coroners and Justice Act 2009 – available at: </w:t>
      </w:r>
      <w:hyperlink r:id="rId16" w:history="1">
        <w:r w:rsidRPr="005C4C81">
          <w:rPr>
            <w:rStyle w:val="Hyperlink"/>
            <w:rFonts w:cstheme="minorHAnsi"/>
          </w:rPr>
          <w:t>https://www.legislation.gov.uk/ukpga/2009/25/section/120</w:t>
        </w:r>
      </w:hyperlink>
    </w:p>
    <w:p w14:paraId="568192B4" w14:textId="43E5DA02" w:rsidR="008A37D6" w:rsidRDefault="008A37D6" w:rsidP="008A37D6">
      <w:pPr>
        <w:spacing w:after="0" w:line="240" w:lineRule="auto"/>
        <w:rPr>
          <w:rFonts w:cstheme="minorHAnsi"/>
        </w:rPr>
      </w:pPr>
    </w:p>
    <w:p w14:paraId="09D505E7" w14:textId="77777777" w:rsidR="008A37D6" w:rsidRDefault="008A37D6" w:rsidP="008A37D6">
      <w:pPr>
        <w:spacing w:after="0" w:line="240" w:lineRule="auto"/>
      </w:pPr>
      <w:r>
        <w:t>R v Vickers [1957] 3 W.L.R 326</w:t>
      </w:r>
    </w:p>
    <w:p w14:paraId="4C502D08" w14:textId="77777777" w:rsidR="008A37D6" w:rsidRDefault="008A37D6" w:rsidP="008A37D6">
      <w:pPr>
        <w:spacing w:after="0" w:line="240" w:lineRule="auto"/>
      </w:pPr>
    </w:p>
    <w:p w14:paraId="3ADC7C00" w14:textId="77777777" w:rsidR="008A37D6" w:rsidRDefault="008A37D6" w:rsidP="008A37D6">
      <w:pPr>
        <w:spacing w:after="0" w:line="240" w:lineRule="auto"/>
      </w:pPr>
      <w:r>
        <w:t xml:space="preserve">R v Hyam [1975] AC 55 </w:t>
      </w:r>
    </w:p>
    <w:p w14:paraId="63E957AA" w14:textId="77777777" w:rsidR="008A37D6" w:rsidRDefault="008A37D6" w:rsidP="008A37D6">
      <w:pPr>
        <w:spacing w:after="0" w:line="240" w:lineRule="auto"/>
        <w:rPr>
          <w:rFonts w:cstheme="minorHAnsi"/>
        </w:rPr>
      </w:pPr>
    </w:p>
    <w:p w14:paraId="1B5355E3" w14:textId="77777777" w:rsidR="008A37D6" w:rsidRDefault="008A37D6" w:rsidP="00CA0D8A">
      <w:pPr>
        <w:jc w:val="both"/>
      </w:pPr>
    </w:p>
    <w:p w14:paraId="0F8A0CA5" w14:textId="3E13DD33" w:rsidR="004A37C7" w:rsidRDefault="004A37C7" w:rsidP="00CA0D8A">
      <w:pPr>
        <w:jc w:val="both"/>
      </w:pPr>
    </w:p>
    <w:p w14:paraId="1B19BD67" w14:textId="4583E405" w:rsidR="004A37C7" w:rsidRDefault="004A37C7" w:rsidP="00CA0D8A">
      <w:pPr>
        <w:jc w:val="both"/>
      </w:pPr>
    </w:p>
    <w:p w14:paraId="6FCF7838" w14:textId="0543E579" w:rsidR="004A37C7" w:rsidRDefault="004A37C7" w:rsidP="00CA0D8A">
      <w:pPr>
        <w:jc w:val="both"/>
      </w:pPr>
    </w:p>
    <w:p w14:paraId="4983EACD" w14:textId="0F737AD8" w:rsidR="004A37C7" w:rsidRDefault="004A37C7" w:rsidP="00CA0D8A">
      <w:pPr>
        <w:jc w:val="both"/>
      </w:pPr>
    </w:p>
    <w:p w14:paraId="5C3C7ADF" w14:textId="77777777" w:rsidR="004A37C7" w:rsidRDefault="004A37C7" w:rsidP="00CA0D8A">
      <w:pPr>
        <w:jc w:val="both"/>
      </w:pPr>
    </w:p>
    <w:sectPr w:rsidR="004A37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D8A"/>
    <w:rsid w:val="0001161A"/>
    <w:rsid w:val="00020CDF"/>
    <w:rsid w:val="000371B5"/>
    <w:rsid w:val="0005766D"/>
    <w:rsid w:val="000A273E"/>
    <w:rsid w:val="000B1BBB"/>
    <w:rsid w:val="000E0D97"/>
    <w:rsid w:val="000F048C"/>
    <w:rsid w:val="000F1371"/>
    <w:rsid w:val="001007C3"/>
    <w:rsid w:val="00102723"/>
    <w:rsid w:val="0011152E"/>
    <w:rsid w:val="00124DA3"/>
    <w:rsid w:val="00130A64"/>
    <w:rsid w:val="0015462B"/>
    <w:rsid w:val="00184500"/>
    <w:rsid w:val="00185DD5"/>
    <w:rsid w:val="001D66A5"/>
    <w:rsid w:val="001E4C49"/>
    <w:rsid w:val="002050D3"/>
    <w:rsid w:val="00225816"/>
    <w:rsid w:val="002626CF"/>
    <w:rsid w:val="00293E7E"/>
    <w:rsid w:val="002F0FF0"/>
    <w:rsid w:val="00307766"/>
    <w:rsid w:val="003856A7"/>
    <w:rsid w:val="003C00C2"/>
    <w:rsid w:val="003F734F"/>
    <w:rsid w:val="004070BD"/>
    <w:rsid w:val="00462AD7"/>
    <w:rsid w:val="004919A1"/>
    <w:rsid w:val="004A37C7"/>
    <w:rsid w:val="00536987"/>
    <w:rsid w:val="00547A45"/>
    <w:rsid w:val="00550990"/>
    <w:rsid w:val="00551A55"/>
    <w:rsid w:val="005D26EB"/>
    <w:rsid w:val="005F0E1A"/>
    <w:rsid w:val="00607867"/>
    <w:rsid w:val="00615C45"/>
    <w:rsid w:val="006244B3"/>
    <w:rsid w:val="00633119"/>
    <w:rsid w:val="00654075"/>
    <w:rsid w:val="00667A2B"/>
    <w:rsid w:val="006943D6"/>
    <w:rsid w:val="00725AC5"/>
    <w:rsid w:val="00734632"/>
    <w:rsid w:val="0073465E"/>
    <w:rsid w:val="00734B04"/>
    <w:rsid w:val="00741972"/>
    <w:rsid w:val="00780A51"/>
    <w:rsid w:val="00784B1B"/>
    <w:rsid w:val="007E0CB7"/>
    <w:rsid w:val="008602D3"/>
    <w:rsid w:val="008637D7"/>
    <w:rsid w:val="00864114"/>
    <w:rsid w:val="0088428F"/>
    <w:rsid w:val="008A37D6"/>
    <w:rsid w:val="008D3ECB"/>
    <w:rsid w:val="008E5269"/>
    <w:rsid w:val="008F35AF"/>
    <w:rsid w:val="009157DF"/>
    <w:rsid w:val="00942B39"/>
    <w:rsid w:val="009433FC"/>
    <w:rsid w:val="00950D5F"/>
    <w:rsid w:val="00976109"/>
    <w:rsid w:val="00985DF4"/>
    <w:rsid w:val="009F1952"/>
    <w:rsid w:val="00A16D68"/>
    <w:rsid w:val="00A24A0B"/>
    <w:rsid w:val="00A2734B"/>
    <w:rsid w:val="00A27493"/>
    <w:rsid w:val="00A27E8B"/>
    <w:rsid w:val="00A87049"/>
    <w:rsid w:val="00A93246"/>
    <w:rsid w:val="00AA6599"/>
    <w:rsid w:val="00AD179A"/>
    <w:rsid w:val="00AD678B"/>
    <w:rsid w:val="00B34512"/>
    <w:rsid w:val="00B536DD"/>
    <w:rsid w:val="00B97CDB"/>
    <w:rsid w:val="00BB5B23"/>
    <w:rsid w:val="00BF1A7C"/>
    <w:rsid w:val="00C20EC4"/>
    <w:rsid w:val="00C57B2B"/>
    <w:rsid w:val="00C71436"/>
    <w:rsid w:val="00C80E7D"/>
    <w:rsid w:val="00CA0D8A"/>
    <w:rsid w:val="00CA76E2"/>
    <w:rsid w:val="00CD5FAE"/>
    <w:rsid w:val="00D57CFC"/>
    <w:rsid w:val="00D65538"/>
    <w:rsid w:val="00D977A8"/>
    <w:rsid w:val="00DA08E1"/>
    <w:rsid w:val="00E21513"/>
    <w:rsid w:val="00E52D39"/>
    <w:rsid w:val="00E9481C"/>
    <w:rsid w:val="00EA5008"/>
    <w:rsid w:val="00ED0B2C"/>
    <w:rsid w:val="00ED1C39"/>
    <w:rsid w:val="00F14633"/>
    <w:rsid w:val="00F172BA"/>
    <w:rsid w:val="00F172C4"/>
    <w:rsid w:val="00F24A6B"/>
    <w:rsid w:val="00F43686"/>
    <w:rsid w:val="00F87C80"/>
    <w:rsid w:val="00F91881"/>
    <w:rsid w:val="00FC6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5DE1A"/>
  <w15:chartTrackingRefBased/>
  <w15:docId w15:val="{9F55B80E-8061-4078-8EFF-F40BE0C9F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1B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A37D6"/>
    <w:rPr>
      <w:color w:val="0563C1" w:themeColor="hyperlink"/>
      <w:u w:val="single"/>
    </w:rPr>
  </w:style>
  <w:style w:type="character" w:styleId="FollowedHyperlink">
    <w:name w:val="FollowedHyperlink"/>
    <w:basedOn w:val="DefaultParagraphFont"/>
    <w:uiPriority w:val="99"/>
    <w:semiHidden/>
    <w:unhideWhenUsed/>
    <w:rsid w:val="008A37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925140">
      <w:bodyDiv w:val="1"/>
      <w:marLeft w:val="0"/>
      <w:marRight w:val="0"/>
      <w:marTop w:val="0"/>
      <w:marBottom w:val="0"/>
      <w:divBdr>
        <w:top w:val="none" w:sz="0" w:space="0" w:color="auto"/>
        <w:left w:val="none" w:sz="0" w:space="0" w:color="auto"/>
        <w:bottom w:val="none" w:sz="0" w:space="0" w:color="auto"/>
        <w:right w:val="none" w:sz="0" w:space="0" w:color="auto"/>
      </w:divBdr>
      <w:divsChild>
        <w:div w:id="81993459">
          <w:marLeft w:val="0"/>
          <w:marRight w:val="0"/>
          <w:marTop w:val="0"/>
          <w:marBottom w:val="0"/>
          <w:divBdr>
            <w:top w:val="none" w:sz="0" w:space="0" w:color="auto"/>
            <w:left w:val="none" w:sz="0" w:space="0" w:color="auto"/>
            <w:bottom w:val="none" w:sz="0" w:space="0" w:color="auto"/>
            <w:right w:val="none" w:sz="0" w:space="0" w:color="auto"/>
          </w:divBdr>
        </w:div>
        <w:div w:id="1930848399">
          <w:marLeft w:val="0"/>
          <w:marRight w:val="0"/>
          <w:marTop w:val="0"/>
          <w:marBottom w:val="0"/>
          <w:divBdr>
            <w:top w:val="none" w:sz="0" w:space="0" w:color="auto"/>
            <w:left w:val="none" w:sz="0" w:space="0" w:color="auto"/>
            <w:bottom w:val="none" w:sz="0" w:space="0" w:color="auto"/>
            <w:right w:val="none" w:sz="0" w:space="0" w:color="auto"/>
          </w:divBdr>
        </w:div>
        <w:div w:id="1377239983">
          <w:marLeft w:val="0"/>
          <w:marRight w:val="0"/>
          <w:marTop w:val="0"/>
          <w:marBottom w:val="0"/>
          <w:divBdr>
            <w:top w:val="none" w:sz="0" w:space="0" w:color="auto"/>
            <w:left w:val="none" w:sz="0" w:space="0" w:color="auto"/>
            <w:bottom w:val="none" w:sz="0" w:space="0" w:color="auto"/>
            <w:right w:val="none" w:sz="0" w:space="0" w:color="auto"/>
          </w:divBdr>
        </w:div>
        <w:div w:id="1527674372">
          <w:marLeft w:val="0"/>
          <w:marRight w:val="0"/>
          <w:marTop w:val="0"/>
          <w:marBottom w:val="0"/>
          <w:divBdr>
            <w:top w:val="none" w:sz="0" w:space="0" w:color="auto"/>
            <w:left w:val="none" w:sz="0" w:space="0" w:color="auto"/>
            <w:bottom w:val="none" w:sz="0" w:space="0" w:color="auto"/>
            <w:right w:val="none" w:sz="0" w:space="0" w:color="auto"/>
          </w:divBdr>
        </w:div>
        <w:div w:id="468672578">
          <w:marLeft w:val="0"/>
          <w:marRight w:val="0"/>
          <w:marTop w:val="0"/>
          <w:marBottom w:val="0"/>
          <w:divBdr>
            <w:top w:val="none" w:sz="0" w:space="0" w:color="auto"/>
            <w:left w:val="none" w:sz="0" w:space="0" w:color="auto"/>
            <w:bottom w:val="none" w:sz="0" w:space="0" w:color="auto"/>
            <w:right w:val="none" w:sz="0" w:space="0" w:color="auto"/>
          </w:divBdr>
        </w:div>
        <w:div w:id="1837844778">
          <w:marLeft w:val="0"/>
          <w:marRight w:val="0"/>
          <w:marTop w:val="0"/>
          <w:marBottom w:val="0"/>
          <w:divBdr>
            <w:top w:val="none" w:sz="0" w:space="0" w:color="auto"/>
            <w:left w:val="none" w:sz="0" w:space="0" w:color="auto"/>
            <w:bottom w:val="none" w:sz="0" w:space="0" w:color="auto"/>
            <w:right w:val="none" w:sz="0" w:space="0" w:color="auto"/>
          </w:divBdr>
        </w:div>
        <w:div w:id="1820922949">
          <w:marLeft w:val="0"/>
          <w:marRight w:val="0"/>
          <w:marTop w:val="0"/>
          <w:marBottom w:val="0"/>
          <w:divBdr>
            <w:top w:val="none" w:sz="0" w:space="0" w:color="auto"/>
            <w:left w:val="none" w:sz="0" w:space="0" w:color="auto"/>
            <w:bottom w:val="none" w:sz="0" w:space="0" w:color="auto"/>
            <w:right w:val="none" w:sz="0" w:space="0" w:color="auto"/>
          </w:divBdr>
        </w:div>
        <w:div w:id="905072143">
          <w:marLeft w:val="0"/>
          <w:marRight w:val="0"/>
          <w:marTop w:val="0"/>
          <w:marBottom w:val="0"/>
          <w:divBdr>
            <w:top w:val="none" w:sz="0" w:space="0" w:color="auto"/>
            <w:left w:val="none" w:sz="0" w:space="0" w:color="auto"/>
            <w:bottom w:val="none" w:sz="0" w:space="0" w:color="auto"/>
            <w:right w:val="none" w:sz="0" w:space="0" w:color="auto"/>
          </w:divBdr>
        </w:div>
        <w:div w:id="802622820">
          <w:marLeft w:val="0"/>
          <w:marRight w:val="0"/>
          <w:marTop w:val="0"/>
          <w:marBottom w:val="0"/>
          <w:divBdr>
            <w:top w:val="none" w:sz="0" w:space="0" w:color="auto"/>
            <w:left w:val="none" w:sz="0" w:space="0" w:color="auto"/>
            <w:bottom w:val="none" w:sz="0" w:space="0" w:color="auto"/>
            <w:right w:val="none" w:sz="0" w:space="0" w:color="auto"/>
          </w:divBdr>
        </w:div>
        <w:div w:id="1213926048">
          <w:marLeft w:val="0"/>
          <w:marRight w:val="0"/>
          <w:marTop w:val="0"/>
          <w:marBottom w:val="0"/>
          <w:divBdr>
            <w:top w:val="none" w:sz="0" w:space="0" w:color="auto"/>
            <w:left w:val="none" w:sz="0" w:space="0" w:color="auto"/>
            <w:bottom w:val="none" w:sz="0" w:space="0" w:color="auto"/>
            <w:right w:val="none" w:sz="0" w:space="0" w:color="auto"/>
          </w:divBdr>
        </w:div>
      </w:divsChild>
    </w:div>
    <w:div w:id="1709836739">
      <w:bodyDiv w:val="1"/>
      <w:marLeft w:val="0"/>
      <w:marRight w:val="0"/>
      <w:marTop w:val="0"/>
      <w:marBottom w:val="0"/>
      <w:divBdr>
        <w:top w:val="none" w:sz="0" w:space="0" w:color="auto"/>
        <w:left w:val="none" w:sz="0" w:space="0" w:color="auto"/>
        <w:bottom w:val="none" w:sz="0" w:space="0" w:color="auto"/>
        <w:right w:val="none" w:sz="0" w:space="0" w:color="auto"/>
      </w:divBdr>
      <w:divsChild>
        <w:div w:id="1183780073">
          <w:marLeft w:val="0"/>
          <w:marRight w:val="0"/>
          <w:marTop w:val="0"/>
          <w:marBottom w:val="150"/>
          <w:divBdr>
            <w:top w:val="none" w:sz="0" w:space="0" w:color="auto"/>
            <w:left w:val="none" w:sz="0" w:space="0" w:color="auto"/>
            <w:bottom w:val="none" w:sz="0" w:space="0" w:color="auto"/>
            <w:right w:val="none" w:sz="0" w:space="0" w:color="auto"/>
          </w:divBdr>
          <w:divsChild>
            <w:div w:id="1045183564">
              <w:marLeft w:val="0"/>
              <w:marRight w:val="0"/>
              <w:marTop w:val="0"/>
              <w:marBottom w:val="0"/>
              <w:divBdr>
                <w:top w:val="none" w:sz="0" w:space="0" w:color="auto"/>
                <w:left w:val="none" w:sz="0" w:space="0" w:color="auto"/>
                <w:bottom w:val="none" w:sz="0" w:space="0" w:color="auto"/>
                <w:right w:val="none" w:sz="0" w:space="0" w:color="auto"/>
              </w:divBdr>
              <w:divsChild>
                <w:div w:id="1750224682">
                  <w:marLeft w:val="0"/>
                  <w:marRight w:val="0"/>
                  <w:marTop w:val="0"/>
                  <w:marBottom w:val="0"/>
                  <w:divBdr>
                    <w:top w:val="none" w:sz="0" w:space="0" w:color="auto"/>
                    <w:left w:val="none" w:sz="0" w:space="0" w:color="auto"/>
                    <w:bottom w:val="none" w:sz="0" w:space="0" w:color="auto"/>
                    <w:right w:val="none" w:sz="0" w:space="0" w:color="auto"/>
                  </w:divBdr>
                  <w:divsChild>
                    <w:div w:id="2081753922">
                      <w:marLeft w:val="0"/>
                      <w:marRight w:val="0"/>
                      <w:marTop w:val="0"/>
                      <w:marBottom w:val="0"/>
                      <w:divBdr>
                        <w:top w:val="none" w:sz="0" w:space="0" w:color="auto"/>
                        <w:left w:val="none" w:sz="0" w:space="0" w:color="auto"/>
                        <w:bottom w:val="none" w:sz="0" w:space="0" w:color="auto"/>
                        <w:right w:val="none" w:sz="0" w:space="0" w:color="auto"/>
                      </w:divBdr>
                      <w:divsChild>
                        <w:div w:id="184249696">
                          <w:marLeft w:val="0"/>
                          <w:marRight w:val="0"/>
                          <w:marTop w:val="0"/>
                          <w:marBottom w:val="0"/>
                          <w:divBdr>
                            <w:top w:val="none" w:sz="0" w:space="0" w:color="auto"/>
                            <w:left w:val="none" w:sz="0" w:space="0" w:color="auto"/>
                            <w:bottom w:val="none" w:sz="0" w:space="0" w:color="auto"/>
                            <w:right w:val="none" w:sz="0" w:space="0" w:color="auto"/>
                          </w:divBdr>
                        </w:div>
                        <w:div w:id="835606090">
                          <w:marLeft w:val="0"/>
                          <w:marRight w:val="0"/>
                          <w:marTop w:val="0"/>
                          <w:marBottom w:val="0"/>
                          <w:divBdr>
                            <w:top w:val="none" w:sz="0" w:space="0" w:color="auto"/>
                            <w:left w:val="none" w:sz="0" w:space="0" w:color="auto"/>
                            <w:bottom w:val="none" w:sz="0" w:space="0" w:color="auto"/>
                            <w:right w:val="none" w:sz="0" w:space="0" w:color="auto"/>
                          </w:divBdr>
                        </w:div>
                        <w:div w:id="1779060153">
                          <w:marLeft w:val="0"/>
                          <w:marRight w:val="0"/>
                          <w:marTop w:val="0"/>
                          <w:marBottom w:val="0"/>
                          <w:divBdr>
                            <w:top w:val="none" w:sz="0" w:space="0" w:color="auto"/>
                            <w:left w:val="none" w:sz="0" w:space="0" w:color="auto"/>
                            <w:bottom w:val="none" w:sz="0" w:space="0" w:color="auto"/>
                            <w:right w:val="none" w:sz="0" w:space="0" w:color="auto"/>
                          </w:divBdr>
                        </w:div>
                        <w:div w:id="1655525888">
                          <w:marLeft w:val="0"/>
                          <w:marRight w:val="0"/>
                          <w:marTop w:val="0"/>
                          <w:marBottom w:val="0"/>
                          <w:divBdr>
                            <w:top w:val="none" w:sz="0" w:space="0" w:color="auto"/>
                            <w:left w:val="none" w:sz="0" w:space="0" w:color="auto"/>
                            <w:bottom w:val="none" w:sz="0" w:space="0" w:color="auto"/>
                            <w:right w:val="none" w:sz="0" w:space="0" w:color="auto"/>
                          </w:divBdr>
                        </w:div>
                        <w:div w:id="1818522878">
                          <w:marLeft w:val="0"/>
                          <w:marRight w:val="0"/>
                          <w:marTop w:val="0"/>
                          <w:marBottom w:val="0"/>
                          <w:divBdr>
                            <w:top w:val="none" w:sz="0" w:space="0" w:color="auto"/>
                            <w:left w:val="none" w:sz="0" w:space="0" w:color="auto"/>
                            <w:bottom w:val="none" w:sz="0" w:space="0" w:color="auto"/>
                            <w:right w:val="none" w:sz="0" w:space="0" w:color="auto"/>
                          </w:divBdr>
                        </w:div>
                        <w:div w:id="1382485849">
                          <w:marLeft w:val="0"/>
                          <w:marRight w:val="0"/>
                          <w:marTop w:val="0"/>
                          <w:marBottom w:val="0"/>
                          <w:divBdr>
                            <w:top w:val="none" w:sz="0" w:space="0" w:color="auto"/>
                            <w:left w:val="none" w:sz="0" w:space="0" w:color="auto"/>
                            <w:bottom w:val="none" w:sz="0" w:space="0" w:color="auto"/>
                            <w:right w:val="none" w:sz="0" w:space="0" w:color="auto"/>
                          </w:divBdr>
                        </w:div>
                        <w:div w:id="1445886503">
                          <w:marLeft w:val="0"/>
                          <w:marRight w:val="0"/>
                          <w:marTop w:val="0"/>
                          <w:marBottom w:val="0"/>
                          <w:divBdr>
                            <w:top w:val="none" w:sz="0" w:space="0" w:color="auto"/>
                            <w:left w:val="none" w:sz="0" w:space="0" w:color="auto"/>
                            <w:bottom w:val="none" w:sz="0" w:space="0" w:color="auto"/>
                            <w:right w:val="none" w:sz="0" w:space="0" w:color="auto"/>
                          </w:divBdr>
                        </w:div>
                        <w:div w:id="1476483884">
                          <w:marLeft w:val="0"/>
                          <w:marRight w:val="0"/>
                          <w:marTop w:val="0"/>
                          <w:marBottom w:val="0"/>
                          <w:divBdr>
                            <w:top w:val="none" w:sz="0" w:space="0" w:color="auto"/>
                            <w:left w:val="none" w:sz="0" w:space="0" w:color="auto"/>
                            <w:bottom w:val="none" w:sz="0" w:space="0" w:color="auto"/>
                            <w:right w:val="none" w:sz="0" w:space="0" w:color="auto"/>
                          </w:divBdr>
                        </w:div>
                        <w:div w:id="1370496012">
                          <w:marLeft w:val="0"/>
                          <w:marRight w:val="0"/>
                          <w:marTop w:val="0"/>
                          <w:marBottom w:val="0"/>
                          <w:divBdr>
                            <w:top w:val="none" w:sz="0" w:space="0" w:color="auto"/>
                            <w:left w:val="none" w:sz="0" w:space="0" w:color="auto"/>
                            <w:bottom w:val="none" w:sz="0" w:space="0" w:color="auto"/>
                            <w:right w:val="none" w:sz="0" w:space="0" w:color="auto"/>
                          </w:divBdr>
                        </w:div>
                        <w:div w:id="2043480267">
                          <w:marLeft w:val="0"/>
                          <w:marRight w:val="0"/>
                          <w:marTop w:val="0"/>
                          <w:marBottom w:val="0"/>
                          <w:divBdr>
                            <w:top w:val="none" w:sz="0" w:space="0" w:color="auto"/>
                            <w:left w:val="none" w:sz="0" w:space="0" w:color="auto"/>
                            <w:bottom w:val="none" w:sz="0" w:space="0" w:color="auto"/>
                            <w:right w:val="none" w:sz="0" w:space="0" w:color="auto"/>
                          </w:divBdr>
                        </w:div>
                        <w:div w:id="1357926033">
                          <w:marLeft w:val="0"/>
                          <w:marRight w:val="0"/>
                          <w:marTop w:val="0"/>
                          <w:marBottom w:val="0"/>
                          <w:divBdr>
                            <w:top w:val="none" w:sz="0" w:space="0" w:color="auto"/>
                            <w:left w:val="none" w:sz="0" w:space="0" w:color="auto"/>
                            <w:bottom w:val="none" w:sz="0" w:space="0" w:color="auto"/>
                            <w:right w:val="none" w:sz="0" w:space="0" w:color="auto"/>
                          </w:divBdr>
                        </w:div>
                        <w:div w:id="493377544">
                          <w:marLeft w:val="0"/>
                          <w:marRight w:val="0"/>
                          <w:marTop w:val="0"/>
                          <w:marBottom w:val="0"/>
                          <w:divBdr>
                            <w:top w:val="none" w:sz="0" w:space="0" w:color="auto"/>
                            <w:left w:val="none" w:sz="0" w:space="0" w:color="auto"/>
                            <w:bottom w:val="none" w:sz="0" w:space="0" w:color="auto"/>
                            <w:right w:val="none" w:sz="0" w:space="0" w:color="auto"/>
                          </w:divBdr>
                        </w:div>
                        <w:div w:id="1175608006">
                          <w:marLeft w:val="0"/>
                          <w:marRight w:val="0"/>
                          <w:marTop w:val="0"/>
                          <w:marBottom w:val="0"/>
                          <w:divBdr>
                            <w:top w:val="none" w:sz="0" w:space="0" w:color="auto"/>
                            <w:left w:val="none" w:sz="0" w:space="0" w:color="auto"/>
                            <w:bottom w:val="none" w:sz="0" w:space="0" w:color="auto"/>
                            <w:right w:val="none" w:sz="0" w:space="0" w:color="auto"/>
                          </w:divBdr>
                        </w:div>
                        <w:div w:id="2130080289">
                          <w:marLeft w:val="0"/>
                          <w:marRight w:val="0"/>
                          <w:marTop w:val="0"/>
                          <w:marBottom w:val="0"/>
                          <w:divBdr>
                            <w:top w:val="none" w:sz="0" w:space="0" w:color="auto"/>
                            <w:left w:val="none" w:sz="0" w:space="0" w:color="auto"/>
                            <w:bottom w:val="none" w:sz="0" w:space="0" w:color="auto"/>
                            <w:right w:val="none" w:sz="0" w:space="0" w:color="auto"/>
                          </w:divBdr>
                        </w:div>
                        <w:div w:id="19558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5670">
                  <w:marLeft w:val="0"/>
                  <w:marRight w:val="0"/>
                  <w:marTop w:val="0"/>
                  <w:marBottom w:val="0"/>
                  <w:divBdr>
                    <w:top w:val="none" w:sz="0" w:space="0" w:color="auto"/>
                    <w:left w:val="none" w:sz="0" w:space="0" w:color="auto"/>
                    <w:bottom w:val="none" w:sz="0" w:space="0" w:color="auto"/>
                    <w:right w:val="none" w:sz="0" w:space="0" w:color="auto"/>
                  </w:divBdr>
                  <w:divsChild>
                    <w:div w:id="21516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21300">
          <w:marLeft w:val="0"/>
          <w:marRight w:val="0"/>
          <w:marTop w:val="0"/>
          <w:marBottom w:val="150"/>
          <w:divBdr>
            <w:top w:val="none" w:sz="0" w:space="0" w:color="auto"/>
            <w:left w:val="none" w:sz="0" w:space="0" w:color="auto"/>
            <w:bottom w:val="none" w:sz="0" w:space="0" w:color="auto"/>
            <w:right w:val="none" w:sz="0" w:space="0" w:color="auto"/>
          </w:divBdr>
          <w:divsChild>
            <w:div w:id="2129736617">
              <w:marLeft w:val="0"/>
              <w:marRight w:val="0"/>
              <w:marTop w:val="0"/>
              <w:marBottom w:val="0"/>
              <w:divBdr>
                <w:top w:val="none" w:sz="0" w:space="0" w:color="auto"/>
                <w:left w:val="none" w:sz="0" w:space="0" w:color="auto"/>
                <w:bottom w:val="none" w:sz="0" w:space="0" w:color="auto"/>
                <w:right w:val="none" w:sz="0" w:space="0" w:color="auto"/>
              </w:divBdr>
              <w:divsChild>
                <w:div w:id="851797086">
                  <w:marLeft w:val="0"/>
                  <w:marRight w:val="0"/>
                  <w:marTop w:val="0"/>
                  <w:marBottom w:val="0"/>
                  <w:divBdr>
                    <w:top w:val="none" w:sz="0" w:space="0" w:color="auto"/>
                    <w:left w:val="none" w:sz="0" w:space="0" w:color="auto"/>
                    <w:bottom w:val="none" w:sz="0" w:space="0" w:color="auto"/>
                    <w:right w:val="none" w:sz="0" w:space="0" w:color="auto"/>
                  </w:divBdr>
                  <w:divsChild>
                    <w:div w:id="110634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ce.org.uk/homicide-law-reform/" TargetMode="External"/><Relationship Id="rId13" Type="http://schemas.openxmlformats.org/officeDocument/2006/relationships/hyperlink" Target="https://www.theguardian.com/law/2016/sep/14/law-will-not-be-reformed-justice-minister-tells-mp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researchbriefings.files.parliament.uk/documents/CDP-2016-0094/CDP-2016-0094.pdf" TargetMode="External"/><Relationship Id="rId12" Type="http://schemas.openxmlformats.org/officeDocument/2006/relationships/hyperlink" Target="https://www.cps.gov.uk/legal-guidance/homicide-murder-and-manslaughte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09/25/section/120" TargetMode="External"/><Relationship Id="rId1" Type="http://schemas.openxmlformats.org/officeDocument/2006/relationships/customXml" Target="../customXml/item1.xml"/><Relationship Id="rId6" Type="http://schemas.openxmlformats.org/officeDocument/2006/relationships/hyperlink" Target="https://assets.publishing.service.gov.uk/government/uploads/system/uploads/attachment_data/file/228782/0030.pdf" TargetMode="External"/><Relationship Id="rId11" Type="http://schemas.openxmlformats.org/officeDocument/2006/relationships/hyperlink" Target="http://www.lawcom.gov.uk/app/uploads/2015/03/lc290_Partial_Defences_to_Murder.pdf" TargetMode="External"/><Relationship Id="rId5" Type="http://schemas.openxmlformats.org/officeDocument/2006/relationships/hyperlink" Target="https://researchbriefings.files.parliament.uk/documents/CBP-8224/CBP-8224.pdf" TargetMode="External"/><Relationship Id="rId15" Type="http://schemas.openxmlformats.org/officeDocument/2006/relationships/hyperlink" Target="https://www.legislation.gov.uk/ukpga/1965/71/section/1" TargetMode="External"/><Relationship Id="rId10" Type="http://schemas.openxmlformats.org/officeDocument/2006/relationships/hyperlink" Target="https://www.legislation.gov.uk/ukpga/2003/44/contents"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sn03626/" TargetMode="External"/><Relationship Id="rId14" Type="http://schemas.openxmlformats.org/officeDocument/2006/relationships/hyperlink" Target="http://www.lawcom.gov.uk/app/uploads/2015/03/cp177_Murder_Manslaughter_and_Infanticide_consultation_overview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8279FB-E050-4B32-A199-86A7686CE664}">
  <ds:schemaRefs>
    <ds:schemaRef ds:uri="http://schemas.openxmlformats.org/officeDocument/2006/bibliography"/>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188</TotalTime>
  <Pages>5</Pages>
  <Words>1849</Words>
  <Characters>10540</Characters>
  <Application>Microsoft Office Word</Application>
  <DocSecurity>0</DocSecurity>
  <Lines>87</Lines>
  <Paragraphs>24</Paragraphs>
  <ScaleCrop>false</ScaleCrop>
  <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 Khan</dc:creator>
  <cp:keywords/>
  <dc:description/>
  <cp:lastModifiedBy>Mukta Khan</cp:lastModifiedBy>
  <cp:revision>118</cp:revision>
  <dcterms:created xsi:type="dcterms:W3CDTF">2021-11-01T13:57:00Z</dcterms:created>
  <dcterms:modified xsi:type="dcterms:W3CDTF">2021-11-01T21:23:00Z</dcterms:modified>
</cp:coreProperties>
</file>