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C4BB41" w14:textId="66623A79" w:rsidR="00763343" w:rsidRDefault="00111800" w:rsidP="00111800">
      <w:pPr>
        <w:jc w:val="center"/>
        <w:rPr>
          <w:rFonts w:ascii="Arial" w:hAnsi="Arial" w:cs="Arial"/>
          <w:b/>
          <w:caps/>
          <w:sz w:val="40"/>
        </w:rPr>
      </w:pPr>
      <w:r w:rsidRPr="00A406E5">
        <w:rPr>
          <w:rFonts w:ascii="Arial" w:hAnsi="Arial" w:cs="Arial"/>
          <w:b/>
          <w:caps/>
          <w:sz w:val="40"/>
        </w:rPr>
        <w:t>Student FEEDBACK</w:t>
      </w:r>
      <w:r>
        <w:rPr>
          <w:rFonts w:ascii="Arial" w:hAnsi="Arial" w:cs="Arial"/>
          <w:b/>
          <w:caps/>
          <w:sz w:val="40"/>
        </w:rPr>
        <w:t xml:space="preserve"> FORM</w:t>
      </w:r>
    </w:p>
    <w:p w14:paraId="45995FBE" w14:textId="3646B04D" w:rsidR="00111800" w:rsidRPr="00A406E5" w:rsidRDefault="00111800" w:rsidP="00111800">
      <w:pPr>
        <w:pStyle w:val="BodyText1"/>
        <w:tabs>
          <w:tab w:val="clear" w:pos="720"/>
          <w:tab w:val="clear" w:pos="1440"/>
        </w:tabs>
        <w:jc w:val="both"/>
        <w:rPr>
          <w:rFonts w:ascii="Arial" w:hAnsi="Arial" w:cs="Arial"/>
          <w:sz w:val="20"/>
        </w:rPr>
      </w:pPr>
    </w:p>
    <w:tbl>
      <w:tblPr>
        <w:tblW w:w="5000" w:type="pct"/>
        <w:tblLayout w:type="fixed"/>
        <w:tblLook w:val="04A0" w:firstRow="1" w:lastRow="0" w:firstColumn="1" w:lastColumn="0" w:noHBand="0" w:noVBand="1"/>
      </w:tblPr>
      <w:tblGrid>
        <w:gridCol w:w="7512"/>
        <w:gridCol w:w="750"/>
        <w:gridCol w:w="748"/>
      </w:tblGrid>
      <w:tr w:rsidR="00111800" w:rsidRPr="00A406E5" w14:paraId="3764AB06" w14:textId="77777777" w:rsidTr="00A22F2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E452F07" w14:textId="77777777" w:rsidR="00111800" w:rsidRPr="00A406E5" w:rsidRDefault="00111800" w:rsidP="00A22F23">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F2A1BEC" w14:textId="77777777" w:rsidR="00111800" w:rsidRPr="00A85BFE" w:rsidRDefault="00111800" w:rsidP="00A22F23">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D7E2632" w14:textId="77777777" w:rsidR="00111800" w:rsidRPr="00A85BFE" w:rsidRDefault="00111800" w:rsidP="00A22F23">
            <w:pPr>
              <w:ind w:left="113" w:right="113"/>
              <w:jc w:val="center"/>
              <w:rPr>
                <w:rFonts w:ascii="Arial" w:hAnsi="Arial" w:cs="Arial"/>
                <w:b/>
                <w:sz w:val="18"/>
                <w:szCs w:val="18"/>
              </w:rPr>
            </w:pPr>
            <w:r w:rsidRPr="00A85BFE">
              <w:rPr>
                <w:rFonts w:ascii="Arial" w:hAnsi="Arial" w:cs="Arial"/>
                <w:b/>
                <w:sz w:val="18"/>
                <w:szCs w:val="18"/>
              </w:rPr>
              <w:t xml:space="preserve">Marks </w:t>
            </w:r>
          </w:p>
          <w:p w14:paraId="2B8C1093" w14:textId="77777777" w:rsidR="00111800" w:rsidRPr="00A85BFE" w:rsidRDefault="00111800" w:rsidP="00A22F23">
            <w:pPr>
              <w:ind w:left="113" w:right="113"/>
              <w:jc w:val="center"/>
              <w:rPr>
                <w:rFonts w:ascii="Arial" w:hAnsi="Arial" w:cs="Arial"/>
                <w:b/>
                <w:sz w:val="18"/>
                <w:szCs w:val="18"/>
              </w:rPr>
            </w:pPr>
            <w:r w:rsidRPr="00A85BFE">
              <w:rPr>
                <w:rFonts w:ascii="Arial" w:hAnsi="Arial" w:cs="Arial"/>
                <w:b/>
                <w:sz w:val="18"/>
                <w:szCs w:val="18"/>
              </w:rPr>
              <w:t>awarded</w:t>
            </w:r>
          </w:p>
        </w:tc>
      </w:tr>
      <w:tr w:rsidR="00111800" w:rsidRPr="00A406E5" w14:paraId="54B9E22B" w14:textId="77777777" w:rsidTr="00A22F23">
        <w:trPr>
          <w:trHeight w:val="450"/>
        </w:trPr>
        <w:tc>
          <w:tcPr>
            <w:tcW w:w="4169" w:type="pct"/>
            <w:tcBorders>
              <w:top w:val="single" w:sz="4" w:space="0" w:color="auto"/>
              <w:left w:val="single" w:sz="4" w:space="0" w:color="auto"/>
              <w:right w:val="single" w:sz="4" w:space="0" w:color="auto"/>
            </w:tcBorders>
            <w:shd w:val="clear" w:color="auto" w:fill="D9D9D9"/>
          </w:tcPr>
          <w:p w14:paraId="2C01D3EE" w14:textId="77777777" w:rsidR="00111800" w:rsidRPr="00A406E5" w:rsidRDefault="00111800" w:rsidP="00A22F23">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5D2C27A1" w14:textId="77777777" w:rsidR="00111800" w:rsidRPr="00A406E5" w:rsidRDefault="00111800" w:rsidP="00A22F23">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1F920FC" w14:textId="77777777" w:rsidR="00111800" w:rsidRPr="00A406E5" w:rsidRDefault="00111800" w:rsidP="00A22F23">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7320B0" w14:textId="77777777" w:rsidR="00111800" w:rsidRPr="00A406E5" w:rsidRDefault="00111800" w:rsidP="00A22F23">
            <w:pPr>
              <w:jc w:val="center"/>
              <w:rPr>
                <w:rFonts w:ascii="Arial" w:hAnsi="Arial" w:cs="Arial"/>
                <w:sz w:val="32"/>
              </w:rPr>
            </w:pPr>
          </w:p>
        </w:tc>
      </w:tr>
      <w:tr w:rsidR="00111800" w:rsidRPr="00A406E5" w14:paraId="4D89DC06" w14:textId="77777777" w:rsidTr="00A22F23">
        <w:trPr>
          <w:trHeight w:val="450"/>
        </w:trPr>
        <w:tc>
          <w:tcPr>
            <w:tcW w:w="4169" w:type="pct"/>
            <w:vMerge w:val="restart"/>
            <w:tcBorders>
              <w:top w:val="single" w:sz="4" w:space="0" w:color="auto"/>
              <w:left w:val="single" w:sz="4" w:space="0" w:color="auto"/>
              <w:right w:val="single" w:sz="4" w:space="0" w:color="auto"/>
            </w:tcBorders>
          </w:tcPr>
          <w:p w14:paraId="7A26817B" w14:textId="77777777" w:rsidR="00111800" w:rsidRPr="00A406E5" w:rsidRDefault="00111800" w:rsidP="00A22F23">
            <w:pPr>
              <w:spacing w:after="120"/>
              <w:rPr>
                <w:rFonts w:ascii="Arial" w:hAnsi="Arial" w:cs="Arial"/>
                <w:sz w:val="14"/>
                <w:szCs w:val="14"/>
              </w:rPr>
            </w:pPr>
          </w:p>
          <w:p w14:paraId="3242412C" w14:textId="77777777" w:rsidR="00111800" w:rsidRPr="00A406E5" w:rsidRDefault="00111800" w:rsidP="00A22F23">
            <w:pPr>
              <w:spacing w:after="120"/>
              <w:rPr>
                <w:rFonts w:ascii="Arial" w:hAnsi="Arial" w:cs="Arial"/>
                <w:sz w:val="14"/>
                <w:szCs w:val="14"/>
              </w:rPr>
            </w:pPr>
          </w:p>
          <w:p w14:paraId="32CB07A2" w14:textId="77777777" w:rsidR="00111800" w:rsidRPr="00A406E5" w:rsidRDefault="00111800" w:rsidP="00A22F23">
            <w:pPr>
              <w:spacing w:after="120"/>
              <w:rPr>
                <w:rFonts w:ascii="Arial" w:hAnsi="Arial" w:cs="Arial"/>
                <w:sz w:val="14"/>
                <w:szCs w:val="14"/>
              </w:rPr>
            </w:pPr>
          </w:p>
          <w:p w14:paraId="31F092BE" w14:textId="77777777" w:rsidR="00111800" w:rsidRPr="00A406E5" w:rsidRDefault="00111800" w:rsidP="00A22F23">
            <w:pPr>
              <w:spacing w:after="120"/>
              <w:rPr>
                <w:rFonts w:ascii="Arial" w:hAnsi="Arial" w:cs="Arial"/>
                <w:sz w:val="14"/>
                <w:szCs w:val="14"/>
              </w:rPr>
            </w:pPr>
          </w:p>
          <w:p w14:paraId="753A4209" w14:textId="77777777" w:rsidR="00111800" w:rsidRPr="00A406E5" w:rsidRDefault="00111800" w:rsidP="00A22F23">
            <w:pPr>
              <w:spacing w:after="120"/>
              <w:rPr>
                <w:rFonts w:ascii="Arial" w:hAnsi="Arial" w:cs="Arial"/>
                <w:sz w:val="14"/>
                <w:szCs w:val="14"/>
              </w:rPr>
            </w:pPr>
          </w:p>
          <w:p w14:paraId="57044A41" w14:textId="77777777" w:rsidR="00111800" w:rsidRPr="00A406E5" w:rsidRDefault="00111800" w:rsidP="00A22F2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AA18A89" w14:textId="77777777" w:rsidR="00111800" w:rsidRPr="00A406E5" w:rsidRDefault="00111800" w:rsidP="00A22F2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4C8B55" w14:textId="77777777" w:rsidR="00111800" w:rsidRPr="00A406E5" w:rsidRDefault="00111800" w:rsidP="00A22F23">
            <w:pPr>
              <w:jc w:val="center"/>
              <w:rPr>
                <w:rFonts w:ascii="Arial" w:hAnsi="Arial" w:cs="Arial"/>
                <w:sz w:val="32"/>
              </w:rPr>
            </w:pPr>
          </w:p>
        </w:tc>
      </w:tr>
      <w:tr w:rsidR="00111800" w:rsidRPr="00A406E5" w14:paraId="1E76443A" w14:textId="77777777" w:rsidTr="00A22F23">
        <w:trPr>
          <w:trHeight w:val="451"/>
        </w:trPr>
        <w:tc>
          <w:tcPr>
            <w:tcW w:w="4169" w:type="pct"/>
            <w:vMerge/>
            <w:tcBorders>
              <w:left w:val="single" w:sz="4" w:space="0" w:color="auto"/>
              <w:bottom w:val="single" w:sz="4" w:space="0" w:color="auto"/>
              <w:right w:val="single" w:sz="4" w:space="0" w:color="auto"/>
            </w:tcBorders>
          </w:tcPr>
          <w:p w14:paraId="3CCAA919" w14:textId="77777777" w:rsidR="00111800" w:rsidRPr="00A406E5" w:rsidRDefault="00111800" w:rsidP="00A22F2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C60989" w14:textId="77777777" w:rsidR="00111800" w:rsidRPr="00A406E5" w:rsidRDefault="00111800" w:rsidP="00A22F2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68A45C" w14:textId="77777777" w:rsidR="00111800" w:rsidRPr="00A406E5" w:rsidRDefault="00111800" w:rsidP="00A22F23">
            <w:pPr>
              <w:jc w:val="center"/>
              <w:rPr>
                <w:rFonts w:ascii="Arial" w:hAnsi="Arial" w:cs="Arial"/>
                <w:sz w:val="32"/>
              </w:rPr>
            </w:pPr>
          </w:p>
        </w:tc>
      </w:tr>
      <w:tr w:rsidR="00111800" w:rsidRPr="00A406E5" w14:paraId="610788D8" w14:textId="77777777" w:rsidTr="00A22F23">
        <w:trPr>
          <w:trHeight w:val="450"/>
        </w:trPr>
        <w:tc>
          <w:tcPr>
            <w:tcW w:w="4169" w:type="pct"/>
            <w:tcBorders>
              <w:top w:val="single" w:sz="4" w:space="0" w:color="auto"/>
              <w:left w:val="single" w:sz="4" w:space="0" w:color="auto"/>
              <w:right w:val="single" w:sz="4" w:space="0" w:color="auto"/>
            </w:tcBorders>
            <w:shd w:val="clear" w:color="auto" w:fill="D9D9D9"/>
          </w:tcPr>
          <w:p w14:paraId="3A2420A4" w14:textId="77777777" w:rsidR="00111800" w:rsidRPr="00A406E5" w:rsidRDefault="00111800" w:rsidP="00A22F23">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704F691" w14:textId="77777777" w:rsidR="00111800" w:rsidRPr="00A406E5" w:rsidRDefault="00111800" w:rsidP="00A22F2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473DAFD" w14:textId="77777777" w:rsidR="00111800" w:rsidRPr="00A406E5" w:rsidRDefault="00111800" w:rsidP="00A22F23">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A4EC3B" w14:textId="77777777" w:rsidR="00111800" w:rsidRPr="00A406E5" w:rsidRDefault="00111800" w:rsidP="00A22F23">
            <w:pPr>
              <w:jc w:val="center"/>
              <w:rPr>
                <w:rFonts w:ascii="Arial" w:hAnsi="Arial" w:cs="Arial"/>
                <w:sz w:val="32"/>
              </w:rPr>
            </w:pPr>
          </w:p>
        </w:tc>
      </w:tr>
      <w:tr w:rsidR="00111800" w:rsidRPr="00A406E5" w14:paraId="039331DF" w14:textId="77777777" w:rsidTr="00A22F23">
        <w:trPr>
          <w:trHeight w:val="450"/>
        </w:trPr>
        <w:tc>
          <w:tcPr>
            <w:tcW w:w="4169" w:type="pct"/>
            <w:vMerge w:val="restart"/>
            <w:tcBorders>
              <w:top w:val="single" w:sz="4" w:space="0" w:color="auto"/>
              <w:left w:val="single" w:sz="4" w:space="0" w:color="auto"/>
              <w:right w:val="single" w:sz="4" w:space="0" w:color="auto"/>
            </w:tcBorders>
          </w:tcPr>
          <w:p w14:paraId="7919B882" w14:textId="77777777" w:rsidR="00111800" w:rsidRPr="00A406E5" w:rsidRDefault="00111800" w:rsidP="00A22F23">
            <w:pPr>
              <w:spacing w:after="120"/>
              <w:rPr>
                <w:rFonts w:ascii="Arial" w:hAnsi="Arial" w:cs="Arial"/>
                <w:sz w:val="14"/>
                <w:szCs w:val="14"/>
              </w:rPr>
            </w:pPr>
          </w:p>
          <w:p w14:paraId="6AC83E99" w14:textId="77777777" w:rsidR="00111800" w:rsidRPr="00A406E5" w:rsidRDefault="00111800" w:rsidP="00A22F23">
            <w:pPr>
              <w:spacing w:after="120"/>
              <w:rPr>
                <w:rFonts w:ascii="Arial" w:hAnsi="Arial" w:cs="Arial"/>
                <w:sz w:val="14"/>
                <w:szCs w:val="14"/>
              </w:rPr>
            </w:pPr>
          </w:p>
          <w:p w14:paraId="1F1658AA" w14:textId="77777777" w:rsidR="00111800" w:rsidRPr="00A406E5" w:rsidRDefault="00111800" w:rsidP="00A22F23">
            <w:pPr>
              <w:spacing w:after="120"/>
              <w:rPr>
                <w:rFonts w:ascii="Arial" w:hAnsi="Arial" w:cs="Arial"/>
                <w:sz w:val="14"/>
                <w:szCs w:val="14"/>
              </w:rPr>
            </w:pPr>
          </w:p>
          <w:p w14:paraId="37542695" w14:textId="77777777" w:rsidR="00111800" w:rsidRPr="00A406E5" w:rsidRDefault="00111800" w:rsidP="00A22F23">
            <w:pPr>
              <w:spacing w:after="120"/>
              <w:rPr>
                <w:rFonts w:ascii="Arial" w:hAnsi="Arial" w:cs="Arial"/>
                <w:sz w:val="14"/>
                <w:szCs w:val="14"/>
              </w:rPr>
            </w:pPr>
          </w:p>
          <w:p w14:paraId="3258FE24" w14:textId="77777777" w:rsidR="00111800" w:rsidRPr="00A406E5" w:rsidRDefault="00111800" w:rsidP="00A22F23">
            <w:pPr>
              <w:spacing w:after="120"/>
              <w:rPr>
                <w:rFonts w:ascii="Arial" w:hAnsi="Arial" w:cs="Arial"/>
                <w:sz w:val="14"/>
                <w:szCs w:val="14"/>
              </w:rPr>
            </w:pPr>
          </w:p>
          <w:p w14:paraId="1B1A8705" w14:textId="77777777" w:rsidR="00111800" w:rsidRPr="00A406E5" w:rsidRDefault="00111800" w:rsidP="00A22F2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BA796C" w14:textId="77777777" w:rsidR="00111800" w:rsidRPr="00A406E5" w:rsidRDefault="00111800" w:rsidP="00A22F2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D0FD54" w14:textId="77777777" w:rsidR="00111800" w:rsidRPr="00A406E5" w:rsidRDefault="00111800" w:rsidP="00A22F23">
            <w:pPr>
              <w:jc w:val="center"/>
              <w:rPr>
                <w:rFonts w:ascii="Arial" w:hAnsi="Arial" w:cs="Arial"/>
                <w:sz w:val="32"/>
              </w:rPr>
            </w:pPr>
          </w:p>
        </w:tc>
      </w:tr>
      <w:tr w:rsidR="00111800" w:rsidRPr="00A406E5" w14:paraId="10588389" w14:textId="77777777" w:rsidTr="00A22F23">
        <w:trPr>
          <w:trHeight w:val="451"/>
        </w:trPr>
        <w:tc>
          <w:tcPr>
            <w:tcW w:w="4169" w:type="pct"/>
            <w:vMerge/>
            <w:tcBorders>
              <w:left w:val="single" w:sz="4" w:space="0" w:color="auto"/>
              <w:bottom w:val="single" w:sz="4" w:space="0" w:color="auto"/>
              <w:right w:val="single" w:sz="4" w:space="0" w:color="auto"/>
            </w:tcBorders>
          </w:tcPr>
          <w:p w14:paraId="40ECEDE3" w14:textId="77777777" w:rsidR="00111800" w:rsidRPr="00A406E5" w:rsidRDefault="00111800" w:rsidP="00A22F2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6EE7F1" w14:textId="77777777" w:rsidR="00111800" w:rsidRPr="00A406E5" w:rsidRDefault="00111800" w:rsidP="00A22F2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5C4F786" w14:textId="77777777" w:rsidR="00111800" w:rsidRPr="00A406E5" w:rsidRDefault="00111800" w:rsidP="00A22F23">
            <w:pPr>
              <w:jc w:val="center"/>
              <w:rPr>
                <w:rFonts w:ascii="Arial" w:hAnsi="Arial" w:cs="Arial"/>
                <w:sz w:val="32"/>
              </w:rPr>
            </w:pPr>
          </w:p>
        </w:tc>
      </w:tr>
      <w:tr w:rsidR="00111800" w:rsidRPr="00A406E5" w14:paraId="36CE0F92" w14:textId="77777777" w:rsidTr="00A22F23">
        <w:trPr>
          <w:trHeight w:val="450"/>
        </w:trPr>
        <w:tc>
          <w:tcPr>
            <w:tcW w:w="4169" w:type="pct"/>
            <w:tcBorders>
              <w:top w:val="single" w:sz="4" w:space="0" w:color="auto"/>
              <w:left w:val="single" w:sz="4" w:space="0" w:color="auto"/>
              <w:right w:val="single" w:sz="4" w:space="0" w:color="auto"/>
            </w:tcBorders>
            <w:shd w:val="clear" w:color="auto" w:fill="D9D9D9"/>
          </w:tcPr>
          <w:p w14:paraId="2EBAC68F" w14:textId="77777777" w:rsidR="00111800" w:rsidRPr="00A406E5" w:rsidRDefault="00111800" w:rsidP="00A22F23">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4E6020BC" w14:textId="77777777" w:rsidR="00111800" w:rsidRPr="00A406E5" w:rsidRDefault="00111800" w:rsidP="00A22F2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8D49C65" w14:textId="77777777" w:rsidR="00111800" w:rsidRPr="00A406E5" w:rsidRDefault="00111800" w:rsidP="00A22F23">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80AF32" w14:textId="77777777" w:rsidR="00111800" w:rsidRPr="00A406E5" w:rsidRDefault="00111800" w:rsidP="00A22F23">
            <w:pPr>
              <w:jc w:val="center"/>
              <w:rPr>
                <w:rFonts w:ascii="Arial" w:hAnsi="Arial" w:cs="Arial"/>
                <w:sz w:val="32"/>
              </w:rPr>
            </w:pPr>
          </w:p>
        </w:tc>
      </w:tr>
      <w:tr w:rsidR="00111800" w:rsidRPr="00A406E5" w14:paraId="02BE9CDF" w14:textId="77777777" w:rsidTr="00A22F23">
        <w:trPr>
          <w:trHeight w:val="450"/>
        </w:trPr>
        <w:tc>
          <w:tcPr>
            <w:tcW w:w="4169" w:type="pct"/>
            <w:vMerge w:val="restart"/>
            <w:tcBorders>
              <w:top w:val="single" w:sz="4" w:space="0" w:color="auto"/>
              <w:left w:val="single" w:sz="4" w:space="0" w:color="auto"/>
              <w:right w:val="single" w:sz="4" w:space="0" w:color="auto"/>
            </w:tcBorders>
          </w:tcPr>
          <w:p w14:paraId="1A381800" w14:textId="77777777" w:rsidR="00111800" w:rsidRPr="00A406E5" w:rsidRDefault="00111800" w:rsidP="00A22F23">
            <w:pPr>
              <w:spacing w:after="120"/>
              <w:rPr>
                <w:rFonts w:ascii="Arial" w:hAnsi="Arial" w:cs="Arial"/>
                <w:sz w:val="14"/>
                <w:szCs w:val="14"/>
              </w:rPr>
            </w:pPr>
          </w:p>
          <w:p w14:paraId="74FD882C" w14:textId="77777777" w:rsidR="00111800" w:rsidRPr="00A406E5" w:rsidRDefault="00111800" w:rsidP="00A22F23">
            <w:pPr>
              <w:spacing w:after="120"/>
              <w:rPr>
                <w:rFonts w:ascii="Arial" w:hAnsi="Arial" w:cs="Arial"/>
                <w:sz w:val="14"/>
                <w:szCs w:val="14"/>
              </w:rPr>
            </w:pPr>
          </w:p>
          <w:p w14:paraId="3D5DE776" w14:textId="77777777" w:rsidR="00111800" w:rsidRPr="00A406E5" w:rsidRDefault="00111800" w:rsidP="00A22F23">
            <w:pPr>
              <w:spacing w:after="120"/>
              <w:rPr>
                <w:rFonts w:ascii="Arial" w:hAnsi="Arial" w:cs="Arial"/>
                <w:sz w:val="14"/>
                <w:szCs w:val="14"/>
              </w:rPr>
            </w:pPr>
          </w:p>
          <w:p w14:paraId="56856DDC" w14:textId="77777777" w:rsidR="00111800" w:rsidRPr="00A406E5" w:rsidRDefault="00111800" w:rsidP="00A22F23">
            <w:pPr>
              <w:spacing w:after="120"/>
              <w:rPr>
                <w:rFonts w:ascii="Arial" w:hAnsi="Arial" w:cs="Arial"/>
                <w:sz w:val="14"/>
                <w:szCs w:val="14"/>
              </w:rPr>
            </w:pPr>
          </w:p>
          <w:p w14:paraId="57D48283" w14:textId="77777777" w:rsidR="00111800" w:rsidRPr="00A406E5" w:rsidRDefault="00111800" w:rsidP="00A22F23">
            <w:pPr>
              <w:spacing w:after="120"/>
              <w:rPr>
                <w:rFonts w:ascii="Arial" w:hAnsi="Arial" w:cs="Arial"/>
                <w:sz w:val="14"/>
                <w:szCs w:val="14"/>
              </w:rPr>
            </w:pPr>
          </w:p>
          <w:p w14:paraId="0E9FC385" w14:textId="77777777" w:rsidR="00111800" w:rsidRPr="00A406E5" w:rsidRDefault="00111800" w:rsidP="00A22F2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1C7652" w14:textId="77777777" w:rsidR="00111800" w:rsidRPr="00A406E5" w:rsidRDefault="00111800" w:rsidP="00A22F2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8F3F9B0" w14:textId="77777777" w:rsidR="00111800" w:rsidRPr="00A406E5" w:rsidRDefault="00111800" w:rsidP="00A22F23">
            <w:pPr>
              <w:jc w:val="center"/>
              <w:rPr>
                <w:rFonts w:ascii="Arial" w:hAnsi="Arial" w:cs="Arial"/>
                <w:sz w:val="32"/>
              </w:rPr>
            </w:pPr>
          </w:p>
        </w:tc>
      </w:tr>
      <w:tr w:rsidR="00111800" w:rsidRPr="00A406E5" w14:paraId="4DFC7745" w14:textId="77777777" w:rsidTr="00A22F23">
        <w:trPr>
          <w:trHeight w:val="451"/>
        </w:trPr>
        <w:tc>
          <w:tcPr>
            <w:tcW w:w="4169" w:type="pct"/>
            <w:vMerge/>
            <w:tcBorders>
              <w:left w:val="single" w:sz="4" w:space="0" w:color="auto"/>
              <w:bottom w:val="single" w:sz="4" w:space="0" w:color="auto"/>
              <w:right w:val="single" w:sz="4" w:space="0" w:color="auto"/>
            </w:tcBorders>
          </w:tcPr>
          <w:p w14:paraId="6594D8DF" w14:textId="77777777" w:rsidR="00111800" w:rsidRPr="00A406E5" w:rsidRDefault="00111800" w:rsidP="00A22F2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50D642" w14:textId="77777777" w:rsidR="00111800" w:rsidRPr="00A406E5" w:rsidRDefault="00111800" w:rsidP="00A22F2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A385408" w14:textId="77777777" w:rsidR="00111800" w:rsidRPr="00A406E5" w:rsidRDefault="00111800" w:rsidP="00A22F23">
            <w:pPr>
              <w:jc w:val="center"/>
              <w:rPr>
                <w:rFonts w:ascii="Arial" w:hAnsi="Arial" w:cs="Arial"/>
                <w:sz w:val="32"/>
              </w:rPr>
            </w:pPr>
          </w:p>
        </w:tc>
      </w:tr>
      <w:tr w:rsidR="00111800" w:rsidRPr="00A406E5" w14:paraId="437B5DA4" w14:textId="77777777" w:rsidTr="00A22F23">
        <w:trPr>
          <w:trHeight w:val="450"/>
        </w:trPr>
        <w:tc>
          <w:tcPr>
            <w:tcW w:w="4169" w:type="pct"/>
            <w:tcBorders>
              <w:top w:val="single" w:sz="4" w:space="0" w:color="auto"/>
              <w:left w:val="single" w:sz="4" w:space="0" w:color="auto"/>
              <w:right w:val="single" w:sz="4" w:space="0" w:color="auto"/>
            </w:tcBorders>
            <w:shd w:val="clear" w:color="auto" w:fill="D9D9D9"/>
          </w:tcPr>
          <w:p w14:paraId="69786D07" w14:textId="77777777" w:rsidR="00111800" w:rsidRPr="00A406E5" w:rsidRDefault="00111800" w:rsidP="00A22F23">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BFB9303" w14:textId="77777777" w:rsidR="00111800" w:rsidRPr="00A406E5" w:rsidRDefault="00111800" w:rsidP="00A22F2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43C265" w14:textId="77777777" w:rsidR="00111800" w:rsidRPr="00A406E5" w:rsidRDefault="00111800" w:rsidP="00A22F23">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854A2B" w14:textId="77777777" w:rsidR="00111800" w:rsidRPr="00A406E5" w:rsidRDefault="00111800" w:rsidP="00A22F23">
            <w:pPr>
              <w:jc w:val="center"/>
              <w:rPr>
                <w:rFonts w:ascii="Arial" w:hAnsi="Arial" w:cs="Arial"/>
                <w:sz w:val="32"/>
              </w:rPr>
            </w:pPr>
          </w:p>
        </w:tc>
      </w:tr>
      <w:tr w:rsidR="00111800" w:rsidRPr="00A406E5" w14:paraId="1DC85C33" w14:textId="77777777" w:rsidTr="00A22F23">
        <w:trPr>
          <w:trHeight w:val="451"/>
        </w:trPr>
        <w:tc>
          <w:tcPr>
            <w:tcW w:w="4169" w:type="pct"/>
            <w:vMerge w:val="restart"/>
            <w:tcBorders>
              <w:top w:val="single" w:sz="4" w:space="0" w:color="auto"/>
              <w:left w:val="single" w:sz="4" w:space="0" w:color="auto"/>
              <w:right w:val="single" w:sz="4" w:space="0" w:color="auto"/>
            </w:tcBorders>
          </w:tcPr>
          <w:p w14:paraId="6EC42688" w14:textId="77777777" w:rsidR="00111800" w:rsidRPr="00A406E5" w:rsidRDefault="00111800" w:rsidP="00A22F23">
            <w:pPr>
              <w:spacing w:after="120"/>
              <w:rPr>
                <w:rFonts w:ascii="Arial" w:hAnsi="Arial" w:cs="Arial"/>
                <w:sz w:val="14"/>
                <w:szCs w:val="14"/>
              </w:rPr>
            </w:pPr>
          </w:p>
          <w:p w14:paraId="760713F5" w14:textId="77777777" w:rsidR="00111800" w:rsidRPr="00A406E5" w:rsidRDefault="00111800" w:rsidP="00A22F23">
            <w:pPr>
              <w:spacing w:after="120"/>
              <w:rPr>
                <w:rFonts w:ascii="Arial" w:hAnsi="Arial" w:cs="Arial"/>
                <w:sz w:val="14"/>
                <w:szCs w:val="14"/>
              </w:rPr>
            </w:pPr>
          </w:p>
          <w:p w14:paraId="08959538" w14:textId="77777777" w:rsidR="00111800" w:rsidRPr="00A406E5" w:rsidRDefault="00111800" w:rsidP="00A22F23">
            <w:pPr>
              <w:spacing w:after="120"/>
              <w:rPr>
                <w:rFonts w:ascii="Arial" w:hAnsi="Arial" w:cs="Arial"/>
                <w:sz w:val="14"/>
                <w:szCs w:val="14"/>
              </w:rPr>
            </w:pPr>
          </w:p>
          <w:p w14:paraId="6D8A3884" w14:textId="77777777" w:rsidR="00111800" w:rsidRPr="00A406E5" w:rsidRDefault="00111800" w:rsidP="00A22F23">
            <w:pPr>
              <w:spacing w:after="120"/>
              <w:rPr>
                <w:rFonts w:ascii="Arial" w:hAnsi="Arial" w:cs="Arial"/>
                <w:sz w:val="14"/>
                <w:szCs w:val="14"/>
              </w:rPr>
            </w:pPr>
          </w:p>
          <w:p w14:paraId="6AA7227A" w14:textId="77777777" w:rsidR="00111800" w:rsidRPr="00A406E5" w:rsidRDefault="00111800" w:rsidP="00A22F23">
            <w:pPr>
              <w:spacing w:after="120"/>
              <w:rPr>
                <w:rFonts w:ascii="Arial" w:hAnsi="Arial" w:cs="Arial"/>
                <w:sz w:val="14"/>
                <w:szCs w:val="14"/>
              </w:rPr>
            </w:pPr>
          </w:p>
          <w:p w14:paraId="28E28C58" w14:textId="77777777" w:rsidR="00111800" w:rsidRPr="00A406E5" w:rsidRDefault="00111800" w:rsidP="00A22F2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2EE6A3" w14:textId="77777777" w:rsidR="00111800" w:rsidRPr="00A406E5" w:rsidRDefault="00111800" w:rsidP="00A22F2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052A673" w14:textId="77777777" w:rsidR="00111800" w:rsidRPr="00A406E5" w:rsidRDefault="00111800" w:rsidP="00A22F23">
            <w:pPr>
              <w:jc w:val="center"/>
              <w:rPr>
                <w:rFonts w:ascii="Arial" w:hAnsi="Arial" w:cs="Arial"/>
                <w:sz w:val="32"/>
              </w:rPr>
            </w:pPr>
          </w:p>
        </w:tc>
      </w:tr>
      <w:tr w:rsidR="00111800" w:rsidRPr="00A406E5" w14:paraId="138EEB3D" w14:textId="77777777" w:rsidTr="00A22F23">
        <w:trPr>
          <w:trHeight w:val="450"/>
        </w:trPr>
        <w:tc>
          <w:tcPr>
            <w:tcW w:w="4169" w:type="pct"/>
            <w:vMerge/>
            <w:tcBorders>
              <w:left w:val="single" w:sz="4" w:space="0" w:color="auto"/>
              <w:bottom w:val="single" w:sz="4" w:space="0" w:color="auto"/>
              <w:right w:val="single" w:sz="4" w:space="0" w:color="auto"/>
            </w:tcBorders>
          </w:tcPr>
          <w:p w14:paraId="2A85E2E0" w14:textId="77777777" w:rsidR="00111800" w:rsidRPr="00A406E5" w:rsidRDefault="00111800" w:rsidP="00A22F2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5D76C0" w14:textId="77777777" w:rsidR="00111800" w:rsidRPr="00A406E5" w:rsidRDefault="00111800" w:rsidP="00A22F2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5A1999D" w14:textId="77777777" w:rsidR="00111800" w:rsidRPr="00A406E5" w:rsidRDefault="00111800" w:rsidP="00A22F23">
            <w:pPr>
              <w:jc w:val="center"/>
              <w:rPr>
                <w:rFonts w:ascii="Arial" w:hAnsi="Arial" w:cs="Arial"/>
                <w:sz w:val="32"/>
              </w:rPr>
            </w:pPr>
          </w:p>
        </w:tc>
      </w:tr>
      <w:tr w:rsidR="00111800" w:rsidRPr="00A406E5" w14:paraId="3913628E" w14:textId="77777777" w:rsidTr="00A22F23">
        <w:trPr>
          <w:trHeight w:val="450"/>
        </w:trPr>
        <w:tc>
          <w:tcPr>
            <w:tcW w:w="4169" w:type="pct"/>
            <w:tcBorders>
              <w:top w:val="single" w:sz="4" w:space="0" w:color="auto"/>
              <w:left w:val="single" w:sz="4" w:space="0" w:color="auto"/>
              <w:right w:val="single" w:sz="4" w:space="0" w:color="auto"/>
            </w:tcBorders>
            <w:shd w:val="clear" w:color="auto" w:fill="D9D9D9"/>
          </w:tcPr>
          <w:p w14:paraId="6CE33669" w14:textId="77777777" w:rsidR="00111800" w:rsidRPr="00A406E5" w:rsidRDefault="00111800" w:rsidP="00A22F23">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3AB3D46" w14:textId="77777777" w:rsidR="00111800" w:rsidRPr="00A406E5" w:rsidRDefault="00111800" w:rsidP="00A22F2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5A8C42" w14:textId="77777777" w:rsidR="00111800" w:rsidRPr="00A406E5" w:rsidRDefault="00111800" w:rsidP="00A22F23">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C3940C" w14:textId="77777777" w:rsidR="00111800" w:rsidRPr="00A406E5" w:rsidRDefault="00111800" w:rsidP="00A22F23">
            <w:pPr>
              <w:jc w:val="center"/>
              <w:rPr>
                <w:rFonts w:ascii="Arial" w:hAnsi="Arial" w:cs="Arial"/>
                <w:sz w:val="32"/>
              </w:rPr>
            </w:pPr>
          </w:p>
        </w:tc>
      </w:tr>
      <w:tr w:rsidR="00111800" w:rsidRPr="00A406E5" w14:paraId="628EBA6E" w14:textId="77777777" w:rsidTr="00A22F23">
        <w:trPr>
          <w:trHeight w:val="451"/>
        </w:trPr>
        <w:tc>
          <w:tcPr>
            <w:tcW w:w="4169" w:type="pct"/>
            <w:vMerge w:val="restart"/>
            <w:tcBorders>
              <w:top w:val="single" w:sz="4" w:space="0" w:color="auto"/>
              <w:left w:val="single" w:sz="4" w:space="0" w:color="auto"/>
              <w:right w:val="single" w:sz="4" w:space="0" w:color="auto"/>
            </w:tcBorders>
          </w:tcPr>
          <w:p w14:paraId="37B8C564" w14:textId="77777777" w:rsidR="00111800" w:rsidRPr="00A406E5" w:rsidRDefault="00111800" w:rsidP="00A22F23">
            <w:pPr>
              <w:spacing w:after="120"/>
              <w:rPr>
                <w:rFonts w:ascii="Arial" w:hAnsi="Arial" w:cs="Arial"/>
                <w:sz w:val="14"/>
                <w:szCs w:val="14"/>
              </w:rPr>
            </w:pPr>
          </w:p>
          <w:p w14:paraId="46796512" w14:textId="77777777" w:rsidR="00111800" w:rsidRPr="00A406E5" w:rsidRDefault="00111800" w:rsidP="00A22F23">
            <w:pPr>
              <w:spacing w:after="120"/>
              <w:rPr>
                <w:rFonts w:ascii="Arial" w:hAnsi="Arial" w:cs="Arial"/>
                <w:sz w:val="14"/>
                <w:szCs w:val="14"/>
              </w:rPr>
            </w:pPr>
          </w:p>
          <w:p w14:paraId="3A2731EA" w14:textId="77777777" w:rsidR="00111800" w:rsidRPr="00A406E5" w:rsidRDefault="00111800" w:rsidP="00A22F23">
            <w:pPr>
              <w:spacing w:after="120"/>
              <w:rPr>
                <w:rFonts w:ascii="Arial" w:hAnsi="Arial" w:cs="Arial"/>
                <w:sz w:val="14"/>
                <w:szCs w:val="14"/>
              </w:rPr>
            </w:pPr>
          </w:p>
          <w:p w14:paraId="0CB2B7B3" w14:textId="77777777" w:rsidR="00111800" w:rsidRPr="00A406E5" w:rsidRDefault="00111800" w:rsidP="00A22F2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3E11C3" w14:textId="77777777" w:rsidR="00111800" w:rsidRPr="00A406E5" w:rsidRDefault="00111800" w:rsidP="00A22F2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B3C4779" w14:textId="77777777" w:rsidR="00111800" w:rsidRPr="00A406E5" w:rsidRDefault="00111800" w:rsidP="00A22F23">
            <w:pPr>
              <w:jc w:val="center"/>
              <w:rPr>
                <w:rFonts w:ascii="Arial" w:hAnsi="Arial" w:cs="Arial"/>
                <w:sz w:val="32"/>
              </w:rPr>
            </w:pPr>
          </w:p>
        </w:tc>
      </w:tr>
      <w:tr w:rsidR="00111800" w:rsidRPr="00A406E5" w14:paraId="22B5DF5D" w14:textId="77777777" w:rsidTr="00A22F23">
        <w:trPr>
          <w:trHeight w:val="450"/>
        </w:trPr>
        <w:tc>
          <w:tcPr>
            <w:tcW w:w="4169" w:type="pct"/>
            <w:vMerge/>
            <w:tcBorders>
              <w:left w:val="single" w:sz="4" w:space="0" w:color="auto"/>
              <w:bottom w:val="single" w:sz="4" w:space="0" w:color="auto"/>
              <w:right w:val="single" w:sz="4" w:space="0" w:color="auto"/>
            </w:tcBorders>
          </w:tcPr>
          <w:p w14:paraId="1893071F" w14:textId="77777777" w:rsidR="00111800" w:rsidRPr="00A406E5" w:rsidRDefault="00111800" w:rsidP="00A22F2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84FF16" w14:textId="77777777" w:rsidR="00111800" w:rsidRPr="00A406E5" w:rsidRDefault="00111800" w:rsidP="00A22F2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83ACC21" w14:textId="77777777" w:rsidR="00111800" w:rsidRPr="00A406E5" w:rsidRDefault="00111800" w:rsidP="00A22F23">
            <w:pPr>
              <w:jc w:val="center"/>
              <w:rPr>
                <w:rFonts w:ascii="Arial" w:hAnsi="Arial" w:cs="Arial"/>
                <w:sz w:val="32"/>
              </w:rPr>
            </w:pPr>
          </w:p>
        </w:tc>
      </w:tr>
    </w:tbl>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11800" w:rsidRPr="00A406E5" w14:paraId="251C5435" w14:textId="77777777" w:rsidTr="00A22F23">
        <w:trPr>
          <w:cantSplit/>
        </w:trPr>
        <w:tc>
          <w:tcPr>
            <w:tcW w:w="6062" w:type="dxa"/>
            <w:vMerge w:val="restart"/>
            <w:shd w:val="pct15" w:color="auto" w:fill="auto"/>
            <w:vAlign w:val="center"/>
          </w:tcPr>
          <w:p w14:paraId="3D704C32" w14:textId="77777777" w:rsidR="00111800" w:rsidRPr="00A406E5" w:rsidRDefault="00111800" w:rsidP="00A22F23">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827EED6" w14:textId="77777777" w:rsidR="00111800" w:rsidRPr="00A406E5" w:rsidRDefault="00111800" w:rsidP="00A22F23">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F0244F5" w14:textId="77777777" w:rsidR="00111800" w:rsidRPr="00A406E5" w:rsidRDefault="00111800" w:rsidP="00A22F23">
            <w:pPr>
              <w:jc w:val="right"/>
              <w:rPr>
                <w:rFonts w:ascii="Arial" w:hAnsi="Arial" w:cs="Arial"/>
                <w:b/>
                <w:bCs/>
              </w:rPr>
            </w:pPr>
            <w:r w:rsidRPr="00A406E5">
              <w:rPr>
                <w:rFonts w:ascii="Arial" w:hAnsi="Arial" w:cs="Arial"/>
                <w:b/>
                <w:bCs/>
              </w:rPr>
              <w:t>%</w:t>
            </w:r>
          </w:p>
        </w:tc>
      </w:tr>
      <w:tr w:rsidR="00111800" w:rsidRPr="00A406E5" w14:paraId="17C9E4CC" w14:textId="77777777" w:rsidTr="00A22F23">
        <w:trPr>
          <w:cantSplit/>
        </w:trPr>
        <w:tc>
          <w:tcPr>
            <w:tcW w:w="6062" w:type="dxa"/>
            <w:vMerge/>
            <w:vAlign w:val="bottom"/>
          </w:tcPr>
          <w:p w14:paraId="4AD729A1" w14:textId="77777777" w:rsidR="00111800" w:rsidRPr="00A406E5" w:rsidRDefault="00111800" w:rsidP="00A22F23">
            <w:pPr>
              <w:rPr>
                <w:rFonts w:ascii="Arial" w:hAnsi="Arial" w:cs="Arial"/>
              </w:rPr>
            </w:pPr>
          </w:p>
        </w:tc>
        <w:tc>
          <w:tcPr>
            <w:tcW w:w="2903" w:type="dxa"/>
            <w:vAlign w:val="bottom"/>
          </w:tcPr>
          <w:p w14:paraId="3B64DE0E" w14:textId="77777777" w:rsidR="00111800" w:rsidRPr="00A406E5" w:rsidRDefault="00111800" w:rsidP="00A22F23">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27A78D63" w14:textId="77777777" w:rsidR="00111800" w:rsidRPr="00A406E5" w:rsidRDefault="00111800" w:rsidP="00A22F23">
            <w:pPr>
              <w:jc w:val="center"/>
              <w:rPr>
                <w:rFonts w:ascii="Arial" w:hAnsi="Arial" w:cs="Arial"/>
                <w:sz w:val="12"/>
                <w:szCs w:val="12"/>
              </w:rPr>
            </w:pPr>
          </w:p>
        </w:tc>
        <w:tc>
          <w:tcPr>
            <w:tcW w:w="1060" w:type="dxa"/>
            <w:vMerge/>
            <w:vAlign w:val="bottom"/>
          </w:tcPr>
          <w:p w14:paraId="61E7E1AF" w14:textId="77777777" w:rsidR="00111800" w:rsidRPr="00A406E5" w:rsidRDefault="00111800" w:rsidP="00A22F23">
            <w:pPr>
              <w:ind w:leftChars="71" w:left="170"/>
              <w:rPr>
                <w:rFonts w:ascii="Arial" w:hAnsi="Arial" w:cs="Arial"/>
              </w:rPr>
            </w:pPr>
          </w:p>
        </w:tc>
      </w:tr>
      <w:tr w:rsidR="00111800" w:rsidRPr="00A406E5" w14:paraId="16F2D5B1" w14:textId="77777777" w:rsidTr="00A22F23">
        <w:trPr>
          <w:cantSplit/>
        </w:trPr>
        <w:tc>
          <w:tcPr>
            <w:tcW w:w="6062" w:type="dxa"/>
            <w:vMerge/>
            <w:vAlign w:val="bottom"/>
          </w:tcPr>
          <w:p w14:paraId="375B2101" w14:textId="77777777" w:rsidR="00111800" w:rsidRPr="00A406E5" w:rsidRDefault="00111800" w:rsidP="00A22F23">
            <w:pPr>
              <w:rPr>
                <w:rFonts w:ascii="Arial" w:hAnsi="Arial" w:cs="Arial"/>
              </w:rPr>
            </w:pPr>
          </w:p>
        </w:tc>
        <w:tc>
          <w:tcPr>
            <w:tcW w:w="2903" w:type="dxa"/>
            <w:vAlign w:val="bottom"/>
          </w:tcPr>
          <w:p w14:paraId="3E0DF45C" w14:textId="77777777" w:rsidR="00111800" w:rsidRPr="00A406E5" w:rsidRDefault="00111800" w:rsidP="00A22F23">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386454D3" w14:textId="77777777" w:rsidR="00111800" w:rsidRPr="00A406E5" w:rsidRDefault="00111800" w:rsidP="00A22F23">
            <w:pPr>
              <w:jc w:val="center"/>
              <w:rPr>
                <w:rFonts w:ascii="Arial" w:hAnsi="Arial" w:cs="Arial"/>
                <w:sz w:val="12"/>
                <w:szCs w:val="12"/>
              </w:rPr>
            </w:pPr>
          </w:p>
        </w:tc>
        <w:tc>
          <w:tcPr>
            <w:tcW w:w="1060" w:type="dxa"/>
            <w:vMerge/>
            <w:vAlign w:val="bottom"/>
          </w:tcPr>
          <w:p w14:paraId="7C16EF9A" w14:textId="77777777" w:rsidR="00111800" w:rsidRPr="00A406E5" w:rsidRDefault="00111800" w:rsidP="00A22F23">
            <w:pPr>
              <w:ind w:firstLineChars="141" w:firstLine="338"/>
              <w:rPr>
                <w:rFonts w:ascii="Arial" w:hAnsi="Arial" w:cs="Arial"/>
              </w:rPr>
            </w:pPr>
          </w:p>
        </w:tc>
      </w:tr>
    </w:tbl>
    <w:p w14:paraId="616A1D14" w14:textId="7CFCACC2" w:rsidR="00111800" w:rsidRDefault="00111800" w:rsidP="00111800">
      <w:pPr>
        <w:rPr>
          <w:rFonts w:ascii="Arial" w:hAnsi="Arial" w:cs="Arial"/>
          <w:bCs/>
        </w:rPr>
      </w:pPr>
    </w:p>
    <w:p w14:paraId="70581BC9" w14:textId="7F2EE886" w:rsidR="00111800" w:rsidRDefault="00111800" w:rsidP="00111800">
      <w:pPr>
        <w:rPr>
          <w:rFonts w:ascii="Arial" w:hAnsi="Arial" w:cs="Arial"/>
          <w:bCs/>
        </w:rPr>
      </w:pPr>
    </w:p>
    <w:p w14:paraId="6AA3A811" w14:textId="77777777" w:rsidR="00111800" w:rsidRPr="00111800" w:rsidRDefault="00111800" w:rsidP="00111800">
      <w:pPr>
        <w:rPr>
          <w:rFonts w:ascii="Arial" w:hAnsi="Arial" w:cs="Arial"/>
          <w:b/>
        </w:rPr>
      </w:pPr>
      <w:proofErr w:type="spellStart"/>
      <w:r w:rsidRPr="00111800">
        <w:rPr>
          <w:rFonts w:ascii="Arial" w:hAnsi="Arial" w:cs="Arial"/>
          <w:b/>
        </w:rPr>
        <w:lastRenderedPageBreak/>
        <w:t>Lewys</w:t>
      </w:r>
      <w:proofErr w:type="spellEnd"/>
      <w:r w:rsidRPr="00111800">
        <w:rPr>
          <w:rFonts w:ascii="Arial" w:hAnsi="Arial" w:cs="Arial"/>
          <w:b/>
        </w:rPr>
        <w:t xml:space="preserve"> Wilkes 1805108 </w:t>
      </w:r>
    </w:p>
    <w:p w14:paraId="1F7593F0" w14:textId="77777777" w:rsidR="00111800" w:rsidRPr="00111800" w:rsidRDefault="00111800" w:rsidP="00111800">
      <w:pPr>
        <w:rPr>
          <w:rFonts w:ascii="Arial" w:hAnsi="Arial" w:cs="Arial"/>
          <w:b/>
        </w:rPr>
      </w:pPr>
    </w:p>
    <w:p w14:paraId="459B5C48" w14:textId="799ABD1A" w:rsidR="00111800" w:rsidRPr="00111800" w:rsidRDefault="00111800" w:rsidP="00111800">
      <w:pPr>
        <w:rPr>
          <w:rFonts w:ascii="Arial" w:hAnsi="Arial" w:cs="Arial"/>
          <w:b/>
        </w:rPr>
      </w:pPr>
      <w:r w:rsidRPr="00111800">
        <w:rPr>
          <w:rFonts w:ascii="Arial" w:hAnsi="Arial" w:cs="Arial"/>
          <w:b/>
        </w:rPr>
        <w:t xml:space="preserve">Exercise and Specific Populations  </w:t>
      </w:r>
    </w:p>
    <w:p w14:paraId="40558F8C" w14:textId="2D70C680" w:rsidR="00111800" w:rsidRPr="00111800" w:rsidRDefault="00111800" w:rsidP="00111800">
      <w:pPr>
        <w:rPr>
          <w:rFonts w:ascii="Arial" w:hAnsi="Arial" w:cs="Arial"/>
          <w:b/>
        </w:rPr>
      </w:pPr>
    </w:p>
    <w:p w14:paraId="5A7BF1C4" w14:textId="2662CF7E" w:rsidR="00111800" w:rsidRDefault="00111800" w:rsidP="00111800">
      <w:pPr>
        <w:rPr>
          <w:rFonts w:ascii="Arial" w:hAnsi="Arial" w:cs="Arial"/>
          <w:b/>
        </w:rPr>
      </w:pPr>
      <w:r w:rsidRPr="00111800">
        <w:rPr>
          <w:rFonts w:ascii="Arial" w:hAnsi="Arial" w:cs="Arial"/>
          <w:b/>
        </w:rPr>
        <w:t xml:space="preserve">Asthma: A Case Study Report </w:t>
      </w:r>
    </w:p>
    <w:p w14:paraId="37BEDCA1" w14:textId="3022EDBF" w:rsidR="00111800" w:rsidRDefault="00111800" w:rsidP="00111800">
      <w:pPr>
        <w:rPr>
          <w:rFonts w:ascii="Arial" w:hAnsi="Arial" w:cs="Arial"/>
          <w:b/>
        </w:rPr>
      </w:pPr>
    </w:p>
    <w:p w14:paraId="47078962" w14:textId="072E5C02" w:rsidR="00111800" w:rsidRDefault="00111800" w:rsidP="00111800">
      <w:pPr>
        <w:rPr>
          <w:rFonts w:ascii="Arial" w:hAnsi="Arial" w:cs="Arial"/>
          <w:b/>
        </w:rPr>
      </w:pPr>
    </w:p>
    <w:p w14:paraId="188C5F51" w14:textId="5C316ECE" w:rsidR="00111800" w:rsidRDefault="00111800" w:rsidP="00111800">
      <w:pPr>
        <w:rPr>
          <w:rFonts w:ascii="Arial" w:hAnsi="Arial" w:cs="Arial"/>
          <w:b/>
        </w:rPr>
      </w:pPr>
    </w:p>
    <w:p w14:paraId="6F74C081" w14:textId="6D0A15BD" w:rsidR="00111800" w:rsidRDefault="00111800" w:rsidP="00111800">
      <w:pPr>
        <w:rPr>
          <w:rFonts w:ascii="Arial" w:hAnsi="Arial" w:cs="Arial"/>
          <w:b/>
        </w:rPr>
      </w:pPr>
    </w:p>
    <w:p w14:paraId="36F0DDAF" w14:textId="51755D50" w:rsidR="00111800" w:rsidRDefault="00111800" w:rsidP="00111800">
      <w:pPr>
        <w:rPr>
          <w:rFonts w:ascii="Arial" w:hAnsi="Arial" w:cs="Arial"/>
          <w:b/>
        </w:rPr>
      </w:pPr>
    </w:p>
    <w:p w14:paraId="1E899EA1" w14:textId="209754CA" w:rsidR="00111800" w:rsidRDefault="00111800" w:rsidP="00111800">
      <w:pPr>
        <w:rPr>
          <w:rFonts w:ascii="Arial" w:hAnsi="Arial" w:cs="Arial"/>
          <w:b/>
        </w:rPr>
      </w:pPr>
    </w:p>
    <w:p w14:paraId="689C9C1A" w14:textId="5B1D7FAA" w:rsidR="00111800" w:rsidRDefault="00111800" w:rsidP="00111800">
      <w:pPr>
        <w:rPr>
          <w:rFonts w:ascii="Arial" w:hAnsi="Arial" w:cs="Arial"/>
          <w:b/>
        </w:rPr>
      </w:pPr>
    </w:p>
    <w:p w14:paraId="15B77E05" w14:textId="3B6A3074" w:rsidR="00111800" w:rsidRDefault="00111800" w:rsidP="00111800">
      <w:pPr>
        <w:rPr>
          <w:rFonts w:ascii="Arial" w:hAnsi="Arial" w:cs="Arial"/>
          <w:b/>
        </w:rPr>
      </w:pPr>
    </w:p>
    <w:p w14:paraId="73D1932D" w14:textId="4A0818A9" w:rsidR="00111800" w:rsidRDefault="00111800" w:rsidP="00111800">
      <w:pPr>
        <w:rPr>
          <w:rFonts w:ascii="Arial" w:hAnsi="Arial" w:cs="Arial"/>
          <w:b/>
        </w:rPr>
      </w:pPr>
    </w:p>
    <w:p w14:paraId="33A6FA37" w14:textId="27D9DC42" w:rsidR="00111800" w:rsidRDefault="00111800" w:rsidP="00111800">
      <w:pPr>
        <w:rPr>
          <w:rFonts w:ascii="Arial" w:hAnsi="Arial" w:cs="Arial"/>
          <w:b/>
        </w:rPr>
      </w:pPr>
    </w:p>
    <w:p w14:paraId="6BE3A65E" w14:textId="17724E8D" w:rsidR="00111800" w:rsidRDefault="00111800" w:rsidP="00111800">
      <w:pPr>
        <w:rPr>
          <w:rFonts w:ascii="Arial" w:hAnsi="Arial" w:cs="Arial"/>
          <w:b/>
        </w:rPr>
      </w:pPr>
    </w:p>
    <w:p w14:paraId="173C2801" w14:textId="79D76B5A" w:rsidR="00111800" w:rsidRDefault="00111800" w:rsidP="00111800">
      <w:pPr>
        <w:rPr>
          <w:rFonts w:ascii="Arial" w:hAnsi="Arial" w:cs="Arial"/>
          <w:b/>
        </w:rPr>
      </w:pPr>
    </w:p>
    <w:p w14:paraId="583E565A" w14:textId="6A83A1DF" w:rsidR="00111800" w:rsidRDefault="00111800" w:rsidP="00111800">
      <w:pPr>
        <w:rPr>
          <w:rFonts w:ascii="Arial" w:hAnsi="Arial" w:cs="Arial"/>
          <w:b/>
        </w:rPr>
      </w:pPr>
    </w:p>
    <w:p w14:paraId="56E5C66C" w14:textId="47F9F1FA" w:rsidR="00111800" w:rsidRDefault="00111800" w:rsidP="00111800">
      <w:pPr>
        <w:rPr>
          <w:rFonts w:ascii="Arial" w:hAnsi="Arial" w:cs="Arial"/>
          <w:b/>
        </w:rPr>
      </w:pPr>
    </w:p>
    <w:p w14:paraId="5AC4EE5E" w14:textId="4FF9713A" w:rsidR="00111800" w:rsidRDefault="00111800" w:rsidP="00111800">
      <w:pPr>
        <w:rPr>
          <w:rFonts w:ascii="Arial" w:hAnsi="Arial" w:cs="Arial"/>
          <w:b/>
        </w:rPr>
      </w:pPr>
    </w:p>
    <w:p w14:paraId="2F79992F" w14:textId="66F6751E" w:rsidR="00111800" w:rsidRDefault="00111800" w:rsidP="00111800">
      <w:pPr>
        <w:rPr>
          <w:rFonts w:ascii="Arial" w:hAnsi="Arial" w:cs="Arial"/>
          <w:b/>
        </w:rPr>
      </w:pPr>
    </w:p>
    <w:p w14:paraId="17F7DFF6" w14:textId="1B578E9A" w:rsidR="00111800" w:rsidRDefault="00111800" w:rsidP="00111800">
      <w:pPr>
        <w:rPr>
          <w:rFonts w:ascii="Arial" w:hAnsi="Arial" w:cs="Arial"/>
          <w:b/>
        </w:rPr>
      </w:pPr>
    </w:p>
    <w:p w14:paraId="09066032" w14:textId="54A5251F" w:rsidR="00111800" w:rsidRDefault="00111800" w:rsidP="00111800">
      <w:pPr>
        <w:rPr>
          <w:rFonts w:ascii="Arial" w:hAnsi="Arial" w:cs="Arial"/>
          <w:b/>
        </w:rPr>
      </w:pPr>
    </w:p>
    <w:p w14:paraId="5E8DF0A0" w14:textId="06550637" w:rsidR="00111800" w:rsidRDefault="00111800" w:rsidP="00111800">
      <w:pPr>
        <w:rPr>
          <w:rFonts w:ascii="Arial" w:hAnsi="Arial" w:cs="Arial"/>
          <w:b/>
        </w:rPr>
      </w:pPr>
    </w:p>
    <w:p w14:paraId="06DC2887" w14:textId="470B6D87" w:rsidR="00111800" w:rsidRDefault="00111800" w:rsidP="00111800">
      <w:pPr>
        <w:rPr>
          <w:rFonts w:ascii="Arial" w:hAnsi="Arial" w:cs="Arial"/>
          <w:b/>
        </w:rPr>
      </w:pPr>
    </w:p>
    <w:p w14:paraId="1C75AD83" w14:textId="698E296B" w:rsidR="00111800" w:rsidRDefault="00111800" w:rsidP="00111800">
      <w:pPr>
        <w:rPr>
          <w:rFonts w:ascii="Arial" w:hAnsi="Arial" w:cs="Arial"/>
          <w:b/>
        </w:rPr>
      </w:pPr>
    </w:p>
    <w:p w14:paraId="0DD7DBDF" w14:textId="2D1AA000" w:rsidR="00111800" w:rsidRDefault="00111800" w:rsidP="00111800">
      <w:pPr>
        <w:rPr>
          <w:rFonts w:ascii="Arial" w:hAnsi="Arial" w:cs="Arial"/>
          <w:b/>
        </w:rPr>
      </w:pPr>
    </w:p>
    <w:p w14:paraId="7178FD5C" w14:textId="499C98B3" w:rsidR="00111800" w:rsidRDefault="00111800" w:rsidP="00111800">
      <w:pPr>
        <w:rPr>
          <w:rFonts w:ascii="Arial" w:hAnsi="Arial" w:cs="Arial"/>
          <w:b/>
        </w:rPr>
      </w:pPr>
    </w:p>
    <w:p w14:paraId="179AE29F" w14:textId="2BF4AE34" w:rsidR="00111800" w:rsidRDefault="00111800" w:rsidP="00111800">
      <w:pPr>
        <w:rPr>
          <w:rFonts w:ascii="Arial" w:hAnsi="Arial" w:cs="Arial"/>
          <w:b/>
        </w:rPr>
      </w:pPr>
    </w:p>
    <w:p w14:paraId="64CBBC75" w14:textId="7709BDDA" w:rsidR="00111800" w:rsidRDefault="00111800" w:rsidP="00111800">
      <w:pPr>
        <w:rPr>
          <w:rFonts w:ascii="Arial" w:hAnsi="Arial" w:cs="Arial"/>
          <w:b/>
        </w:rPr>
      </w:pPr>
    </w:p>
    <w:p w14:paraId="4BC53CDF" w14:textId="68BD0768" w:rsidR="00111800" w:rsidRDefault="00111800" w:rsidP="00111800">
      <w:pPr>
        <w:rPr>
          <w:rFonts w:ascii="Arial" w:hAnsi="Arial" w:cs="Arial"/>
          <w:b/>
        </w:rPr>
      </w:pPr>
    </w:p>
    <w:p w14:paraId="36D21D2A" w14:textId="35B59BD1" w:rsidR="00111800" w:rsidRDefault="00111800" w:rsidP="00111800">
      <w:pPr>
        <w:rPr>
          <w:rFonts w:ascii="Arial" w:hAnsi="Arial" w:cs="Arial"/>
          <w:b/>
        </w:rPr>
      </w:pPr>
    </w:p>
    <w:p w14:paraId="13276650" w14:textId="698CC62E" w:rsidR="00111800" w:rsidRDefault="00111800" w:rsidP="00111800">
      <w:pPr>
        <w:rPr>
          <w:rFonts w:ascii="Arial" w:hAnsi="Arial" w:cs="Arial"/>
          <w:b/>
        </w:rPr>
      </w:pPr>
    </w:p>
    <w:p w14:paraId="589BB89D" w14:textId="69063A12" w:rsidR="00111800" w:rsidRDefault="00111800" w:rsidP="00111800">
      <w:pPr>
        <w:rPr>
          <w:rFonts w:ascii="Arial" w:hAnsi="Arial" w:cs="Arial"/>
          <w:b/>
        </w:rPr>
      </w:pPr>
    </w:p>
    <w:p w14:paraId="2EEEB8FB" w14:textId="173B3301" w:rsidR="00111800" w:rsidRDefault="00111800" w:rsidP="00111800">
      <w:pPr>
        <w:rPr>
          <w:rFonts w:ascii="Arial" w:hAnsi="Arial" w:cs="Arial"/>
          <w:b/>
        </w:rPr>
      </w:pPr>
    </w:p>
    <w:p w14:paraId="55205B38" w14:textId="5558537A" w:rsidR="00111800" w:rsidRDefault="00111800" w:rsidP="00111800">
      <w:pPr>
        <w:rPr>
          <w:rFonts w:ascii="Arial" w:hAnsi="Arial" w:cs="Arial"/>
          <w:b/>
        </w:rPr>
      </w:pPr>
    </w:p>
    <w:p w14:paraId="38874AE2" w14:textId="39509898" w:rsidR="00111800" w:rsidRDefault="00111800" w:rsidP="00111800">
      <w:pPr>
        <w:rPr>
          <w:rFonts w:ascii="Arial" w:hAnsi="Arial" w:cs="Arial"/>
          <w:b/>
        </w:rPr>
      </w:pPr>
    </w:p>
    <w:p w14:paraId="63FAC68C" w14:textId="269FE611" w:rsidR="00111800" w:rsidRDefault="00111800" w:rsidP="00111800">
      <w:pPr>
        <w:rPr>
          <w:rFonts w:ascii="Arial" w:hAnsi="Arial" w:cs="Arial"/>
          <w:b/>
        </w:rPr>
      </w:pPr>
    </w:p>
    <w:p w14:paraId="5F49E1A8" w14:textId="3062CED0" w:rsidR="00111800" w:rsidRDefault="00111800" w:rsidP="00111800">
      <w:pPr>
        <w:rPr>
          <w:rFonts w:ascii="Arial" w:hAnsi="Arial" w:cs="Arial"/>
          <w:b/>
        </w:rPr>
      </w:pPr>
    </w:p>
    <w:p w14:paraId="59A4C0CD" w14:textId="20855E01" w:rsidR="00111800" w:rsidRDefault="00111800" w:rsidP="00111800">
      <w:pPr>
        <w:rPr>
          <w:rFonts w:ascii="Arial" w:hAnsi="Arial" w:cs="Arial"/>
          <w:b/>
        </w:rPr>
      </w:pPr>
    </w:p>
    <w:p w14:paraId="3774048F" w14:textId="78DFC4A0" w:rsidR="00111800" w:rsidRDefault="00111800" w:rsidP="00111800">
      <w:pPr>
        <w:rPr>
          <w:rFonts w:ascii="Arial" w:hAnsi="Arial" w:cs="Arial"/>
          <w:b/>
        </w:rPr>
      </w:pPr>
    </w:p>
    <w:p w14:paraId="3B8736CB" w14:textId="4D4DEF93" w:rsidR="00111800" w:rsidRDefault="00111800" w:rsidP="00111800">
      <w:pPr>
        <w:rPr>
          <w:rFonts w:ascii="Arial" w:hAnsi="Arial" w:cs="Arial"/>
          <w:b/>
        </w:rPr>
      </w:pPr>
    </w:p>
    <w:p w14:paraId="41ECAE79" w14:textId="2FEE2A28" w:rsidR="00111800" w:rsidRDefault="00111800" w:rsidP="00111800">
      <w:pPr>
        <w:rPr>
          <w:rFonts w:ascii="Arial" w:hAnsi="Arial" w:cs="Arial"/>
          <w:b/>
        </w:rPr>
      </w:pPr>
    </w:p>
    <w:p w14:paraId="5ED3FDF9" w14:textId="05C31134" w:rsidR="00111800" w:rsidRDefault="00111800" w:rsidP="00111800">
      <w:pPr>
        <w:rPr>
          <w:rFonts w:ascii="Arial" w:hAnsi="Arial" w:cs="Arial"/>
          <w:b/>
        </w:rPr>
      </w:pPr>
    </w:p>
    <w:p w14:paraId="27779FE7" w14:textId="333E3A9C" w:rsidR="00111800" w:rsidRDefault="00111800" w:rsidP="00111800">
      <w:pPr>
        <w:rPr>
          <w:rFonts w:ascii="Arial" w:hAnsi="Arial" w:cs="Arial"/>
          <w:b/>
        </w:rPr>
      </w:pPr>
    </w:p>
    <w:p w14:paraId="755B3667" w14:textId="4743156A" w:rsidR="00111800" w:rsidRDefault="00111800" w:rsidP="00111800">
      <w:pPr>
        <w:rPr>
          <w:rFonts w:ascii="Arial" w:hAnsi="Arial" w:cs="Arial"/>
          <w:b/>
        </w:rPr>
      </w:pPr>
    </w:p>
    <w:p w14:paraId="7399510E" w14:textId="5BC78636" w:rsidR="00111800" w:rsidRDefault="00111800" w:rsidP="00111800">
      <w:pPr>
        <w:rPr>
          <w:rFonts w:ascii="Arial" w:hAnsi="Arial" w:cs="Arial"/>
          <w:b/>
        </w:rPr>
      </w:pPr>
    </w:p>
    <w:p w14:paraId="1074B6D6" w14:textId="6896F4D3" w:rsidR="00111800" w:rsidRDefault="00111800" w:rsidP="00111800">
      <w:pPr>
        <w:rPr>
          <w:rFonts w:ascii="Arial" w:hAnsi="Arial" w:cs="Arial"/>
          <w:b/>
        </w:rPr>
      </w:pPr>
    </w:p>
    <w:p w14:paraId="023B2EA1" w14:textId="33788026" w:rsidR="00111800" w:rsidRDefault="00111800" w:rsidP="00111800">
      <w:pPr>
        <w:rPr>
          <w:rFonts w:ascii="Arial" w:hAnsi="Arial" w:cs="Arial"/>
          <w:b/>
        </w:rPr>
      </w:pPr>
    </w:p>
    <w:p w14:paraId="39837718" w14:textId="037CA88B" w:rsidR="00111800" w:rsidRDefault="00111800" w:rsidP="00111800">
      <w:pPr>
        <w:rPr>
          <w:rFonts w:ascii="Arial" w:hAnsi="Arial" w:cs="Arial"/>
          <w:b/>
        </w:rPr>
      </w:pPr>
    </w:p>
    <w:p w14:paraId="557BAF3E" w14:textId="77777777" w:rsidR="00397AAB" w:rsidRPr="00F840E1" w:rsidRDefault="00397AAB" w:rsidP="00F840E1">
      <w:pPr>
        <w:spacing w:line="360" w:lineRule="auto"/>
        <w:jc w:val="both"/>
        <w:rPr>
          <w:rFonts w:ascii="Arial" w:hAnsi="Arial" w:cs="Arial"/>
        </w:rPr>
      </w:pPr>
      <w:r w:rsidRPr="00F840E1">
        <w:rPr>
          <w:rFonts w:ascii="Arial" w:hAnsi="Arial" w:cs="Arial"/>
          <w:b/>
          <w:bCs/>
          <w:sz w:val="28"/>
          <w:szCs w:val="28"/>
        </w:rPr>
        <w:lastRenderedPageBreak/>
        <w:t>Report Synopsis</w:t>
      </w:r>
      <w:r w:rsidRPr="00F840E1">
        <w:rPr>
          <w:rFonts w:ascii="Arial" w:hAnsi="Arial" w:cs="Arial"/>
        </w:rPr>
        <w:t xml:space="preserve"> </w:t>
      </w:r>
    </w:p>
    <w:p w14:paraId="04FEB651" w14:textId="77777777" w:rsidR="00397AAB" w:rsidRPr="00F840E1" w:rsidRDefault="00397AAB" w:rsidP="00F840E1">
      <w:pPr>
        <w:spacing w:line="360" w:lineRule="auto"/>
        <w:jc w:val="both"/>
        <w:rPr>
          <w:rFonts w:ascii="Arial" w:hAnsi="Arial" w:cs="Arial"/>
        </w:rPr>
      </w:pPr>
      <w:r w:rsidRPr="00F840E1">
        <w:rPr>
          <w:rFonts w:ascii="Arial" w:hAnsi="Arial" w:cs="Arial"/>
        </w:rPr>
        <w:t xml:space="preserve">This report involves a 35 year old female that has presented with asthma as their primary condition. Other health issues that are present with the client include rhinosinusitis and obesity. The client stated that their goal is to complete a marathon in under 4 hours as well as improving their overall health and condition. Information was collected from the client through a discussion and a range of tests. This information was then used to inform a number of recommendations which have been put forward to the client relating to their exercise and lifestyle behaviours with the intention of achieving the goals set out in the report. </w:t>
      </w:r>
    </w:p>
    <w:p w14:paraId="3AA4FE45" w14:textId="77777777" w:rsidR="00397AAB" w:rsidRPr="00F840E1" w:rsidRDefault="00397AAB" w:rsidP="00F840E1">
      <w:pPr>
        <w:spacing w:line="360" w:lineRule="auto"/>
        <w:jc w:val="both"/>
        <w:rPr>
          <w:rFonts w:ascii="Arial" w:hAnsi="Arial" w:cs="Arial"/>
        </w:rPr>
      </w:pPr>
    </w:p>
    <w:p w14:paraId="66BB636C" w14:textId="77777777" w:rsidR="00397AAB" w:rsidRPr="00F840E1" w:rsidRDefault="00397AAB" w:rsidP="00F840E1">
      <w:pPr>
        <w:spacing w:line="360" w:lineRule="auto"/>
        <w:jc w:val="both"/>
        <w:rPr>
          <w:rFonts w:ascii="Arial" w:hAnsi="Arial" w:cs="Arial"/>
        </w:rPr>
      </w:pPr>
      <w:r w:rsidRPr="00F840E1">
        <w:rPr>
          <w:rFonts w:ascii="Arial" w:hAnsi="Arial" w:cs="Arial"/>
          <w:b/>
          <w:bCs/>
          <w:sz w:val="28"/>
          <w:szCs w:val="28"/>
        </w:rPr>
        <w:t>Generic Introduction for Health and Well-Being</w:t>
      </w:r>
      <w:r w:rsidRPr="00F840E1">
        <w:rPr>
          <w:rFonts w:ascii="Arial" w:hAnsi="Arial" w:cs="Arial"/>
        </w:rPr>
        <w:t xml:space="preserve"> </w:t>
      </w:r>
    </w:p>
    <w:p w14:paraId="2562A576" w14:textId="6709794F" w:rsidR="00397AAB" w:rsidRPr="00F840E1" w:rsidRDefault="00397AAB" w:rsidP="00F840E1">
      <w:pPr>
        <w:spacing w:line="360" w:lineRule="auto"/>
        <w:jc w:val="both"/>
        <w:rPr>
          <w:rFonts w:ascii="Arial" w:hAnsi="Arial" w:cs="Arial"/>
        </w:rPr>
      </w:pPr>
      <w:r w:rsidRPr="00F840E1">
        <w:rPr>
          <w:rFonts w:ascii="Arial" w:hAnsi="Arial" w:cs="Arial"/>
        </w:rPr>
        <w:t xml:space="preserve">There are a wide range of factors which are associated with health and well-being within adults. These include lifestyle factors which can influence physiological aspects and therefore, have a significant influence on the individual’s physical and mental health </w:t>
      </w:r>
      <w:r w:rsidRPr="00F840E1">
        <w:rPr>
          <w:rFonts w:ascii="Arial" w:hAnsi="Arial" w:cs="Arial"/>
        </w:rPr>
        <w:fldChar w:fldCharType="begin" w:fldLock="1"/>
      </w:r>
      <w:r w:rsidRPr="00F840E1">
        <w:rPr>
          <w:rFonts w:ascii="Arial" w:hAnsi="Arial" w:cs="Arial"/>
        </w:rPr>
        <w:instrText>ADDIN CSL_CITATION {"citationItems":[{"id":"ITEM-1","itemData":{"ISSN":"22516093","PMID":"26744700","author":[{"dropping-particle":"","family":"Farhud","given":"Dariush D.","non-dropping-particle":"","parse-names":false,"suffix":""}],"container-title":"Iranian Journal of Public Health","id":"ITEM-1","issue":"11","issued":{"date-parts":[["2015"]]},"page":"1442-1444","title":"Impact of lifestyle on health","type":"article-journal","volume":"44"},"uris":["http://www.mendeley.com/documents/?uuid=d661b547-8b36-480b-80cd-df72f34559bf"]}],"mendeley":{"formattedCitation":"(Farhud, 2015)","plainTextFormattedCitation":"(Farhud, 2015)","previouslyFormattedCitation":"(Farhud, 2015)"},"properties":{"noteIndex":0},"schema":"https://github.com/citation-style-language/schema/raw/master/csl-citation.json"}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(Farhud, 2015)</w:t>
      </w:r>
      <w:r w:rsidRPr="00F840E1">
        <w:rPr>
          <w:rFonts w:ascii="Arial" w:hAnsi="Arial" w:cs="Arial"/>
        </w:rPr>
        <w:fldChar w:fldCharType="end"/>
      </w:r>
      <w:r w:rsidRPr="00F840E1">
        <w:rPr>
          <w:rFonts w:ascii="Arial" w:hAnsi="Arial" w:cs="Arial"/>
        </w:rPr>
        <w:t xml:space="preserve">. An example of a lifestyle factor which can impact health and </w:t>
      </w:r>
      <w:proofErr w:type="spellStart"/>
      <w:r w:rsidRPr="00F840E1">
        <w:rPr>
          <w:rFonts w:ascii="Arial" w:hAnsi="Arial" w:cs="Arial"/>
        </w:rPr>
        <w:t>well being</w:t>
      </w:r>
      <w:proofErr w:type="spellEnd"/>
      <w:r w:rsidRPr="00F840E1">
        <w:rPr>
          <w:rFonts w:ascii="Arial" w:hAnsi="Arial" w:cs="Arial"/>
        </w:rPr>
        <w:t xml:space="preserve"> is diet </w:t>
      </w:r>
      <w:r w:rsidRPr="00F840E1">
        <w:rPr>
          <w:rFonts w:ascii="Arial" w:hAnsi="Arial" w:cs="Arial"/>
        </w:rPr>
        <w:fldChar w:fldCharType="begin" w:fldLock="1"/>
      </w:r>
      <w:r w:rsidRPr="00F840E1">
        <w:rPr>
          <w:rFonts w:ascii="Arial" w:hAnsi="Arial" w:cs="Arial"/>
        </w:rPr>
        <w:instrText>ADDIN CSL_CITATION {"citationItems":[{"id":"ITEM-1","itemData":{"ISSN":"22516093","PMID":"26744700","author":[{"dropping-particle":"","family":"Farhud","given":"Dariush D.","non-dropping-particle":"","parse-names":false,"suffix":""}],"container-title":"Iranian Journal of Public Health","id":"ITEM-1","issue":"11","issued":{"date-parts":[["2015"]]},"page":"1442-1444","title":"Impact of lifestyle on health","type":"article-journal","volume":"44"},"uris":["http://www.mendeley.com/documents/?uuid=d661b547-8b36-480b-80cd-df72f34559bf"]}],"mendeley":{"formattedCitation":"(Farhud, 2015)","plainTextFormattedCitation":"(Farhud, 2015)","previouslyFormattedCitation":"(Farhud, 2015)"},"properties":{"noteIndex":0},"schema":"https://github.com/citation-style-language/schema/raw/master/csl-citation.json"}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(Farhud, 2015)</w:t>
      </w:r>
      <w:r w:rsidRPr="00F840E1">
        <w:rPr>
          <w:rFonts w:ascii="Arial" w:hAnsi="Arial" w:cs="Arial"/>
        </w:rPr>
        <w:fldChar w:fldCharType="end"/>
      </w:r>
      <w:r w:rsidRPr="00F840E1">
        <w:rPr>
          <w:rFonts w:ascii="Arial" w:hAnsi="Arial" w:cs="Arial"/>
        </w:rPr>
        <w:t xml:space="preserve">. It has been suggested that diet is one of the most important lifestyle factors because of its direct association with physical health </w:t>
      </w:r>
      <w:r w:rsidRPr="00F840E1">
        <w:rPr>
          <w:rFonts w:ascii="Arial" w:hAnsi="Arial" w:cs="Arial"/>
        </w:rPr>
        <w:fldChar w:fldCharType="begin" w:fldLock="1"/>
      </w:r>
      <w:r w:rsidRPr="00F840E1">
        <w:rPr>
          <w:rFonts w:ascii="Arial" w:hAnsi="Arial" w:cs="Arial"/>
        </w:rPr>
        <w:instrText>ADDIN CSL_CITATION {"citationItems":[{"id":"ITEM-1","itemData":{"DOI":"10.1056/nejmoa1014296","ISSN":"0028-4793","PMID":"21696306","abstract":"BACKGROUND Specific dietary and other lifestyle behaviors may affect the success of the straightforward-sounding strategy \"eat less and exercise more\" for preventing long-term weight gain. METHODS We performed prospective investigations involving three separate cohorts that included 120,877 U.S. women and men who were free of chronic diseases and not obese at baseline, with follow-up periods from 1986 to 2006, 1991 to 2003, and 1986 to 2006. The relationships between changes in lifestyle factors and weight change were evaluated at 4-year intervals, with multivariable adjustments made for age, baseline body-mass index for each period, and all lifestyle factors simultaneously. Cohort-specific and sex-specific results were similar and were pooled with the use of an inverse-variance-weighted meta-analysis. RESULTS Within each 4-year period, participants gained an average of 3.35 lb (5th to 95th percentile, -4.1 to 12.4). On the basis of increased daily servings of individual dietary components, 4-year weight change was most strongly associated with the intake of potato chips (1.69 lb), potatoes (1.28 lb), sugar-sweetened beverages (1.00 lb), unprocessed red meats (0.95 lb), and processed meats (0.93 lb) and was inversely associated with the intake of vegetables (-0.22 lb), whole grains (-0.37 lb), fruits (-0.49 lb), nuts (-0.57 lb), and yogurt (-0.82 lb) (P≤0.005 for each comparison). Aggregate dietary changes were associated with substantial differences in weight change (3.93 lb across quintiles of dietary change). Other lifestyle factors were also independently associated with weight change (P&lt;0.001), including physical activity (-1.76 lb across quintiles); alcohol use (0.41 lb per drink per day), smoking (new quitters, 5.17 lb; former smokers, 0.14 lb), sleep (more weight gain with &lt;6 or &gt;8 hours of sleep), and television watching (0.31 lb per hour per day). CONCLUSIONS Specific dietary and lifestyle factors are independently associated with long-term weight gain, with a substantial aggregate effect and implications for strategies to prevent obesity. (Funded by the National Institutes of Health and others.).","author":[{"dropping-particle":"","family":"Mozaffarian","given":"Dariush","non-dropping-particle":"","parse-names":false,"suffix":""},{"dropping-particle":"","family":"Hao","given":"Tao","non-dropping-particle":"","parse-names":false,"suffix":""},{"dropping-particle":"","family":"Rimm","given":"Eric B.","non-dropping-particle":"","parse-names":false,"suffix":""},{"dropping-particle":"","family":"Willett","given":"Walter C.","non-dropping-particle":"","parse-names":false,"suffix":""},{"dropping-particle":"","family":"Hu","given":"Frank B.","non-dropping-particle":"","parse-names":false,"suffix":""}],"container-title":"New England Journal of Medicine","id":"ITEM-1","issue":"25","issued":{"date-parts":[["2011"]]},"page":"2392-2404","title":"Changes in Diet and Lifestyle and Long-Term Weight Gain in Women and Men","type":"article-journal","volume":"364"},"uris":["http://www.mendeley.com/documents/?uuid=10b23303-ebfd-4932-b990-62140d3ccb59"]}],"mendeley":{"formattedCitation":"(Mozaffarian &lt;i&gt;et al.&lt;/i&gt;, 2011)","plainTextFormattedCitation":"(Mozaffarian et al., 2011)","previouslyFormattedCitation":"(Mozaffarian &lt;i&gt;et al.&lt;/i&gt;, 2011)"},"properties":{"noteIndex":0},"schema":"https://github.com/citation-style-language/schema/raw/master/csl-citation.json"}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 xml:space="preserve">(Mozaffarian </w:t>
      </w:r>
      <w:r w:rsidRPr="00F840E1">
        <w:rPr>
          <w:rFonts w:ascii="Arial" w:hAnsi="Arial" w:cs="Arial"/>
          <w:i/>
          <w:noProof/>
        </w:rPr>
        <w:t>et al.</w:t>
      </w:r>
      <w:r w:rsidRPr="00F840E1">
        <w:rPr>
          <w:rFonts w:ascii="Arial" w:hAnsi="Arial" w:cs="Arial"/>
          <w:noProof/>
        </w:rPr>
        <w:t>, 2011)</w:t>
      </w:r>
      <w:r w:rsidRPr="00F840E1">
        <w:rPr>
          <w:rFonts w:ascii="Arial" w:hAnsi="Arial" w:cs="Arial"/>
        </w:rPr>
        <w:fldChar w:fldCharType="end"/>
      </w:r>
      <w:r w:rsidRPr="00F840E1">
        <w:rPr>
          <w:rFonts w:ascii="Arial" w:hAnsi="Arial" w:cs="Arial"/>
        </w:rPr>
        <w:t xml:space="preserve"> and its link with body mass index (BMI). BMI is a measurement which is used in the assessment of an </w:t>
      </w:r>
      <w:proofErr w:type="spellStart"/>
      <w:r w:rsidRPr="00F840E1">
        <w:rPr>
          <w:rFonts w:ascii="Arial" w:hAnsi="Arial" w:cs="Arial"/>
        </w:rPr>
        <w:t>individuals</w:t>
      </w:r>
      <w:proofErr w:type="spellEnd"/>
      <w:r w:rsidRPr="00F840E1">
        <w:rPr>
          <w:rFonts w:ascii="Arial" w:hAnsi="Arial" w:cs="Arial"/>
        </w:rPr>
        <w:t xml:space="preserve"> nutritional status </w:t>
      </w:r>
      <w:r w:rsidRPr="00F840E1">
        <w:rPr>
          <w:rFonts w:ascii="Arial" w:hAnsi="Arial" w:cs="Arial"/>
        </w:rPr>
        <w:fldChar w:fldCharType="begin" w:fldLock="1"/>
      </w:r>
      <w:r w:rsidRPr="00F840E1">
        <w:rPr>
          <w:rFonts w:ascii="Arial" w:hAnsi="Arial" w:cs="Arial"/>
        </w:rPr>
        <w:instrText>ADDIN CSL_CITATION {"citationItems":[{"id":"ITEM-1","itemData":{"DOI":"10.4061/2011/138015","ISSN":"20902204","abstract":"Associations between body mass index (BMI) and dietary patterns and health conditions were explored in a population-based multiethnic sample of centenarians from northern Georgia. BMI ≤20 and ≥25 was prevalent in 30.9% and 25.3% of study participants, respectively. In a series of logistic regression analyses controlled for gender and place of residence, the probability of having BMI ≥25 was increased by being black versus white and having a low citrus fruit, noncitrus fruit, orange/yellow vegetable or total fruit and vegetable intake. The probability of having BMI ≤20 was not associated with dietary intake. When controlled for race, gender, residence, and total fruit and vegetable intake, BMI ≥25 was an independent risk factor for diabetes or having a systolic blood pressure ≥140 mmHg or diastolic blood pressure ≥90 mmHg, whereas BMI ≤20 was a risk factor for anemia. Given the many potential adverse consequences of under- and overweight, efforts are needed to maintain a healthy weight, even in the oldest old. © 2011 Dorothy B. Hausman et al.","author":[{"dropping-particle":"","family":"Hausman","given":"Dorothy B.","non-dropping-particle":"","parse-names":false,"suffix":""},{"dropping-particle":"","family":"Johnson","given":"Mary Ann","non-dropping-particle":"","parse-names":false,"suffix":""},{"dropping-particle":"","family":"Davey","given":"Adam","non-dropping-particle":"","parse-names":false,"suffix":""},{"dropping-particle":"","family":"Poon","given":"Leonard W.","non-dropping-particle":"","parse-names":false,"suffix":""}],"container-title":"Journal of Aging Research","id":"ITEM-1","issue":"1","issued":{"date-parts":[["2011"]]},"title":"Body mass index is associated with dietary patterns and health conditions in Georgia centenarians","type":"article-journal","volume":"2011"},"uris":["http://www.mendeley.com/documents/?uuid=3e731431-0587-4de6-8db7-33fe429edbc8"]}],"mendeley":{"formattedCitation":"(Hausman &lt;i&gt;et al.&lt;/i&gt;, 2011)","plainTextFormattedCitation":"(Hausman et al., 2011)","previouslyFormattedCitation":"(Hausman &lt;i&gt;et al.&lt;/i&gt;, 2011)"},"properties":{"noteIndex":0},"schema":"https://github.com/citation-style-language/schema/raw/master/csl-citation.json"}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 xml:space="preserve">(Hausman </w:t>
      </w:r>
      <w:r w:rsidRPr="00F840E1">
        <w:rPr>
          <w:rFonts w:ascii="Arial" w:hAnsi="Arial" w:cs="Arial"/>
          <w:i/>
          <w:noProof/>
        </w:rPr>
        <w:t>et al.</w:t>
      </w:r>
      <w:r w:rsidRPr="00F840E1">
        <w:rPr>
          <w:rFonts w:ascii="Arial" w:hAnsi="Arial" w:cs="Arial"/>
          <w:noProof/>
        </w:rPr>
        <w:t>, 2011)</w:t>
      </w:r>
      <w:r w:rsidRPr="00F840E1">
        <w:rPr>
          <w:rFonts w:ascii="Arial" w:hAnsi="Arial" w:cs="Arial"/>
        </w:rPr>
        <w:fldChar w:fldCharType="end"/>
      </w:r>
      <w:r w:rsidRPr="00F840E1">
        <w:rPr>
          <w:rFonts w:ascii="Arial" w:hAnsi="Arial" w:cs="Arial"/>
        </w:rPr>
        <w:t xml:space="preserve"> and involves classifications of underweight, ideal, overweight and obese </w:t>
      </w:r>
      <w:r w:rsidRPr="00F840E1">
        <w:rPr>
          <w:rFonts w:ascii="Arial" w:hAnsi="Arial" w:cs="Arial"/>
        </w:rPr>
        <w:fldChar w:fldCharType="begin" w:fldLock="1"/>
      </w:r>
      <w:r w:rsidRPr="00F840E1">
        <w:rPr>
          <w:rFonts w:ascii="Arial" w:hAnsi="Arial" w:cs="Arial"/>
        </w:rPr>
        <w:instrText>ADDIN CSL_CITATION {"citationItems":[{"id":"ITEM-1","itemData":{"DOI":"10.1093/aje/kwu111","ISSN":"14766256","PMID":"24893710","abstract":"The World Health Organization (Geneva, Switzerland) and the National Heart, Lung, and Blood Institute (Bethesda, Maryland) have developed standard categories of body mass index (BMI) (calculated as weight (kg)/height (m) 2) of less than 18.5 (underweight), 18.5-24.9 (normal weight), 25.0-29.9 (overweight), and 30.0 or more (obesity). Nevertheless, studies of BMI and the risk of death sometimes use nonstandard BMI categories that vary across studies. In a meta-analysis of 8 large studies that used nonstandard BMI categories and were published between 1999 and 2014 and included 5.8 million participants, hazard ratios tended to be small throughout the range of overweight and normal weight. Risks were similar between subjects of high-normal weight (BMI of approximately 23.0-24.9) and those of low overweight (BMI of approximately 25.0-27.4). In an example using national survey data, minor variations in the reference category affected hazard ratios. For example, choosing high-normal weight (BMI of 23.0-24.9) instead of standard normal weight (BMI of 18.5-24.9) as the reference category produced higher nonsignificant hazard ratios (1.05 vs. 0.97 for men and 1.06 vs. 1.02 for women) for the standard overweight category (BMI of 25.0-29.9). Use of the standard BMI groupings avoids problems of ad hoc and post hoc category selection and facilitates between-study comparisons. The ways in which BMI data are categorized and reported may shape inferences about the degree of risk for various BMI categories. © Published by Oxford University Press on behalf of the Johns Hopkins Bloomberg School of Public Health 2014.","author":[{"dropping-particle":"","family":"Flegal","given":"Katherine M.","non-dropping-particle":"","parse-names":false,"suffix":""},{"dropping-particle":"","family":"Kit","given":"Brian K.","non-dropping-particle":"","parse-names":false,"suffix":""},{"dropping-particle":"","family":"Graubard","given":"Barry I.","non-dropping-particle":"","parse-names":false,"suffix":""}],"container-title":"American Journal of Epidemiology","id":"ITEM-1","issue":"3","issued":{"date-parts":[["2014"]]},"page":"288-296","title":"Body mass index categories in observational studies of weight and risk of death","type":"article-journal","volume":"180"},"uris":["http://www.mendeley.com/documents/?uuid=d210702e-067b-4d13-b758-36c99c8c6629"]}],"mendeley":{"formattedCitation":"(Flegal, Kit and Graubard, 2014)","plainTextFormattedCitation":"(Flegal, Kit and Graubard, 2014)","previouslyFormattedCitation":"(Flegal, Kit and Graubard, 2014)"},"properties":{"noteIndex":0},"schema":"https://github.com/citation-style-language/schema/raw/master/csl-citation.json"}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(Flegal, Kit and Graubard, 2014)</w:t>
      </w:r>
      <w:r w:rsidRPr="00F840E1">
        <w:rPr>
          <w:rFonts w:ascii="Arial" w:hAnsi="Arial" w:cs="Arial"/>
        </w:rPr>
        <w:fldChar w:fldCharType="end"/>
      </w:r>
      <w:r w:rsidRPr="00F840E1">
        <w:rPr>
          <w:rFonts w:ascii="Arial" w:hAnsi="Arial" w:cs="Arial"/>
        </w:rPr>
        <w:t xml:space="preserve">. Individuals in the overweight and obese categories are at a higher risk of many health conditions including cardiovascular disease and diabetes </w:t>
      </w:r>
      <w:r w:rsidRPr="00F840E1">
        <w:rPr>
          <w:rFonts w:ascii="Arial" w:hAnsi="Arial" w:cs="Arial"/>
        </w:rPr>
        <w:fldChar w:fldCharType="begin" w:fldLock="1"/>
      </w:r>
      <w:r w:rsidRPr="00F840E1">
        <w:rPr>
          <w:rFonts w:ascii="Arial" w:hAnsi="Arial" w:cs="Arial"/>
        </w:rPr>
        <w:instrText>ADDIN CSL_CITATION {"citationItems":[{"id":"ITEM-1","itemData":{"author":[{"dropping-particle":"","family":"Bray","given":"G. A.","non-dropping-particle":"","parse-names":false,"suffix":""},{"dropping-particle":"","family":"Fruhbeck","given":"G.","non-dropping-particle":"","parse-names":false,"suffix":""},{"dropping-particle":"","family":"Ryan","given":"D. H.","non-dropping-particle":"","parse-names":false,"suffix":""},{"dropping-particle":"","family":"Wilding","given":"J. P. H.","non-dropping-particle":"","parse-names":false,"suffix":""}],"container-title":"The Lancet","id":"ITEM-1","issue":"10031","issued":{"date-parts":[["2016"]]},"page":"1947-1956","title":"Management of obesity","type":"article-journal","volume":"387"},"uris":["http://www.mendeley.com/documents/?uuid=ccd5a94c-5f73-4021-821f-79cd3e605102"]}],"mendeley":{"formattedCitation":"(Bray &lt;i&gt;et al.&lt;/i&gt;, 2016)","plainTextFormattedCitation":"(Bray et al., 2016)","previouslyFormattedCitation":"(Bray &lt;i&gt;et al.&lt;/i&gt;, 2016)"},"properties":{"noteIndex":0},"schema":"https://github.com/citation-style-language/schema/raw/master/csl-citation.json"}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 xml:space="preserve">(Bray </w:t>
      </w:r>
      <w:r w:rsidRPr="00F840E1">
        <w:rPr>
          <w:rFonts w:ascii="Arial" w:hAnsi="Arial" w:cs="Arial"/>
          <w:i/>
          <w:noProof/>
        </w:rPr>
        <w:t>et al.</w:t>
      </w:r>
      <w:r w:rsidRPr="00F840E1">
        <w:rPr>
          <w:rFonts w:ascii="Arial" w:hAnsi="Arial" w:cs="Arial"/>
          <w:noProof/>
        </w:rPr>
        <w:t>, 2016)</w:t>
      </w:r>
      <w:r w:rsidRPr="00F840E1">
        <w:rPr>
          <w:rFonts w:ascii="Arial" w:hAnsi="Arial" w:cs="Arial"/>
        </w:rPr>
        <w:fldChar w:fldCharType="end"/>
      </w:r>
      <w:r w:rsidRPr="00F840E1">
        <w:rPr>
          <w:rFonts w:ascii="Arial" w:hAnsi="Arial" w:cs="Arial"/>
        </w:rPr>
        <w:t xml:space="preserve">. Due to the association of obesity and the increased risk of serious health conditions, a well-balanced diet is a key factor in health and well-being. A well balanced-diet should include optimal amounts of dietary fat; including a lower consumption of saturated fats and a higher level of unsaturated fats </w:t>
      </w:r>
      <w:r w:rsidRPr="00F840E1">
        <w:rPr>
          <w:rFonts w:ascii="Arial" w:hAnsi="Arial" w:cs="Arial"/>
        </w:rPr>
        <w:fldChar w:fldCharType="begin" w:fldLock="1"/>
      </w:r>
      <w:r w:rsidRPr="00F840E1">
        <w:rPr>
          <w:rFonts w:ascii="Arial" w:hAnsi="Arial" w:cs="Arial"/>
        </w:rPr>
        <w:instrText>ADDIN CSL_CITATION {"citationItems":[{"id":"ITEM-1","itemData":{"author":[{"dropping-particle":"de","family":"Lorgeril","given":"Michel","non-dropping-particle":"","parse-names":false,"suffix":""},{"dropping-particle":"","family":"Salen","given":"Patricia","non-dropping-particle":"","parse-names":false,"suffix":""},{"dropping-particle":"","family":"Martin","given":"Jean-Louis","non-dropping-particle":"","parse-names":false,"suffix":""},{"dropping-particle":"","family":"Monjaud","given":"Isabelle","non-dropping-particle":"","parse-names":false,"suffix":""},{"dropping-particle":"","family":"Delaye","given":"Jacques","non-dropping-particle":"","parse-names":false,"suffix":""},{"dropping-particle":"","family":"Mamelle","given":"Nicole","non-dropping-particle":"","parse-names":false,"suffix":""}],"container-title":"American Heart Association Journal","id":"ITEM-1","issue":"6","issued":{"date-parts":[["1998"]]},"page":"779-785","title":"Mediterranean diet, traditional risk factors, and the rate of cardiovascular complications after myocardial infarction","type":"article-journal","volume":"99"},"uris":["http://www.mendeley.com/documents/?uuid=5c3f3d1a-1f33-4c76-9899-a2e7af4db5ce"]}],"mendeley":{"formattedCitation":"(Lorgeril &lt;i&gt;et al.&lt;/i&gt;, 1998)","plainTextFormattedCitation":"(Lorgeril et al., 1998)","previouslyFormattedCitation":"(Lorgeril &lt;i&gt;et al.&lt;/i&gt;, 1998)"},"properties":{"noteIndex":0},"schema":"https://github.com/citation-style-language/schema/raw/master/csl-citation.json"}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 xml:space="preserve">(Lorgeril </w:t>
      </w:r>
      <w:r w:rsidRPr="00F840E1">
        <w:rPr>
          <w:rFonts w:ascii="Arial" w:hAnsi="Arial" w:cs="Arial"/>
          <w:i/>
          <w:noProof/>
        </w:rPr>
        <w:t>et al.</w:t>
      </w:r>
      <w:r w:rsidRPr="00F840E1">
        <w:rPr>
          <w:rFonts w:ascii="Arial" w:hAnsi="Arial" w:cs="Arial"/>
          <w:noProof/>
        </w:rPr>
        <w:t>, 1998)</w:t>
      </w:r>
      <w:r w:rsidRPr="00F840E1">
        <w:rPr>
          <w:rFonts w:ascii="Arial" w:hAnsi="Arial" w:cs="Arial"/>
        </w:rPr>
        <w:fldChar w:fldCharType="end"/>
      </w:r>
      <w:r w:rsidRPr="00F840E1">
        <w:rPr>
          <w:rFonts w:ascii="Arial" w:hAnsi="Arial" w:cs="Arial"/>
        </w:rPr>
        <w:t xml:space="preserve">; an optimal carbohydrate intake which should include a higher content of low glycaemic index foods such as whole grain foods, vegetables and fruits, as well as a sufficient intake of protein, vitamins and minerals as these groups are associated with reduced risk of health conditions such as cardiovascular disease </w:t>
      </w:r>
      <w:r w:rsidRPr="00F840E1">
        <w:rPr>
          <w:rFonts w:ascii="Arial" w:hAnsi="Arial" w:cs="Arial"/>
        </w:rPr>
        <w:fldChar w:fldCharType="begin" w:fldLock="1"/>
      </w:r>
      <w:r w:rsidRPr="00F840E1">
        <w:rPr>
          <w:rFonts w:ascii="Arial" w:hAnsi="Arial" w:cs="Arial"/>
        </w:rPr>
        <w:instrText>ADDIN CSL_CITATION {"citationItems":[{"id":"ITEM-1","itemData":{"ISSN":"1526-9523","abstract":"Enough solid evidence now exists to offer women several fundamental strategies for healthy eating. They include emphasizing healthful unsaturated fats, whole grains, good protein \" packages,\" and fruits and vegetables; limiting consumption of trans and saturated fats, highly refined grains, and sugary beverages; and taking a multivitamin with folic acid and extra vitamin D as a nutritional safety net. A diet based on these principles is healthy through virtually all life stages, from young adulthood through planning for pregnancy, pregnancy, and on into old age. © 2010 American College of Nurse-Midwives.","author":[{"dropping-particle":"","family":"Skerett","given":"P. J.","non-dropping-particle":"","parse-names":false,"suffix":""},{"dropping-particle":"","family":"Willet","given":"W. C.","non-dropping-particle":"","parse-names":false,"suffix":""}],"container-title":"Journal of Midwifery and Women's Health","id":"ITEM-1","issue":"6","issued":{"date-parts":[["2010"]]},"page":"492-501","title":"Essentials of healthy eating: A guide","type":"article-journal","volume":"55"},"uris":["http://www.mendeley.com/documents/?uuid=e7cf353a-513e-44c4-b994-c4139e47dda9"]}],"mendeley":{"formattedCitation":"(Skerett and Willet, 2010)","plainTextFormattedCitation":"(Skerett and Willet, 2010)","previouslyFormattedCitation":"(Skerett and Willet, 2010)"},"properties":{"noteIndex":0},"schema":"https://github.com/citation-style-language/schema/raw/master/csl-citation.json"}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(Skerett and Willet, 2010)</w:t>
      </w:r>
      <w:r w:rsidRPr="00F840E1">
        <w:rPr>
          <w:rFonts w:ascii="Arial" w:hAnsi="Arial" w:cs="Arial"/>
        </w:rPr>
        <w:fldChar w:fldCharType="end"/>
      </w:r>
      <w:r w:rsidRPr="00F840E1">
        <w:rPr>
          <w:rFonts w:ascii="Arial" w:hAnsi="Arial" w:cs="Arial"/>
        </w:rPr>
        <w:t xml:space="preserve">. There is also some evidence to suggest specific nutrients may have a role in reducing the risk of developing chronic diseases </w:t>
      </w:r>
      <w:r w:rsidRPr="00F840E1">
        <w:rPr>
          <w:rFonts w:ascii="Arial" w:hAnsi="Arial" w:cs="Arial"/>
        </w:rPr>
        <w:fldChar w:fldCharType="begin" w:fldLock="1"/>
      </w:r>
      <w:r w:rsidRPr="00F840E1">
        <w:rPr>
          <w:rFonts w:ascii="Arial" w:hAnsi="Arial" w:cs="Arial"/>
        </w:rPr>
        <w:instrText>ADDIN CSL_CITATION {"citationItems":[{"id":"ITEM-1","itemData":{"ISSN":"1526-9523","abstract":"Enough solid evidence now exists to offer women several fundamental strategies for healthy eating. They include emphasizing healthful unsaturated fats, whole grains, good protein \" packages,\" and fruits and vegetables; limiting consumption of trans and saturated fats, highly refined grains, and sugary beverages; and taking a multivitamin with folic acid and extra vitamin D as a nutritional safety net. A diet based on these principles is healthy through virtually all life stages, from young adulthood through planning for pregnancy, pregnancy, and on into old age. © 2010 American College of Nurse-Midwives.","author":[{"dropping-particle":"","family":"Skerett","given":"P. J.","non-dropping-particle":"","parse-names":false,"suffix":""},{"dropping-particle":"","family":"Willet","given":"W. C.","non-dropping-particle":"","parse-names":false,"suffix":""}],"container-title":"Journal of Midwifery and Women's Health","id":"ITEM-1","issue":"6","issued":{"date-parts":[["2010"]]},"page":"492-501","title":"Essentials of healthy eating: A guide","type":"article-journal","volume":"55"},"uris":["http://www.mendeley.com/documents/?uuid=e7cf353a-513e-44c4-b994-c4139e47dda9"]}],"mendeley":{"formattedCitation":"(Skerett and Willet, 2010)","plainTextFormattedCitation":"(Skerett and Willet, 2010)","previouslyFormattedCitation":"(Skerett and Willet, 2010)"},"properties":{"noteIndex":0},"schema":"https://github.com/citation-style-language/schema/raw/master/csl-citation.json"}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(Skerett and Willet, 2010)</w:t>
      </w:r>
      <w:r w:rsidRPr="00F840E1">
        <w:rPr>
          <w:rFonts w:ascii="Arial" w:hAnsi="Arial" w:cs="Arial"/>
        </w:rPr>
        <w:fldChar w:fldCharType="end"/>
      </w:r>
      <w:r w:rsidRPr="00F840E1">
        <w:rPr>
          <w:rFonts w:ascii="Arial" w:hAnsi="Arial" w:cs="Arial"/>
        </w:rPr>
        <w:t>.</w:t>
      </w:r>
    </w:p>
    <w:p w14:paraId="54725969" w14:textId="77777777" w:rsidR="00397AAB" w:rsidRPr="00F840E1" w:rsidRDefault="00397AAB" w:rsidP="00F840E1">
      <w:pPr>
        <w:spacing w:line="360" w:lineRule="auto"/>
        <w:jc w:val="both"/>
        <w:rPr>
          <w:rFonts w:ascii="Arial" w:hAnsi="Arial" w:cs="Arial"/>
        </w:rPr>
      </w:pPr>
      <w:r w:rsidRPr="00F840E1">
        <w:rPr>
          <w:rFonts w:ascii="Arial" w:hAnsi="Arial" w:cs="Arial"/>
        </w:rPr>
        <w:lastRenderedPageBreak/>
        <w:t xml:space="preserve">Exercise is another important factor in health and well-being in adults. Current guidelines for physical activity in adults recommend at least 150-300 minutes of moderate intensity aerobic activity or 75-150 minutes of vigorous intensity aerobic activity per week </w:t>
      </w:r>
      <w:r w:rsidRPr="00F840E1">
        <w:rPr>
          <w:rFonts w:ascii="Arial" w:hAnsi="Arial" w:cs="Arial"/>
        </w:rPr>
        <w:fldChar w:fldCharType="begin" w:fldLock="1"/>
      </w:r>
      <w:r w:rsidRPr="00F840E1">
        <w:rPr>
          <w:rFonts w:ascii="Arial" w:hAnsi="Arial" w:cs="Arial"/>
        </w:rPr>
        <w:instrText>ADDIN CSL_CITATION {"citationItems":[{"id":"ITEM-1","itemData":{"DOI":"10.4082/kjfm.19.0038","ISSN":"2005-6443","abstract":"Primary care physicians should encourage their patients to engage in adequate physical activity. Current recommendations for physical activity in adults are as follows: at least 150-300 minutes per week of moderate-intensity, 75-150 minutes per week of vigorous-intensity aerobic physical activity, or an equivalent combination of moderate- and vigorous-intensity aerobic activity. Adults should also perform muscle-strengthening activities of moderate intensity or higher that involve all major muscle groups for 2 or more days per week. The elderly should perform additional balance training and fall prevention exercises more than 3 times a week. Children and adolescents should perform at least 1 hour of moderate-to-vigorous physical activity daily, which includes vigorous aerobic activity at least 3 days per week. As part of their 60 minutes or more of daily physical activity, resistance training and bone strengthening exercise should be done at least 3 days per week. According to new evidence, one bout of any exercises can be shorter than 10 minutes. Previously, physical activities were recommended for more than 10 minutes. For patients with diabetes, it is advisable to perform resistance exercise or short-distance running before aerobic exercise to prevent hypoglycemia. New evidence shows that dynamic resistance training is safe and effective in patients with hypertension provided the load is not too heavy. Exercise reduces pain and improves quality of life and physical function in patients with osteoarthritis,. Therefore, the treatment guidelines for osteoarthritis have been changed recently from not recommending exercise to highly recommending it.","author":[{"dropping-particle":"","family":"Yang","given":"Yun Jun","non-dropping-particle":"","parse-names":false,"suffix":""}],"container-title":"Korean Journal of Family Medicine","id":"ITEM-1","issue":"3","issued":{"date-parts":[["2019"]]},"page":"135-142","title":"An Overview of Current Physical Activity Recommendations in Primary Care","type":"article-journal","volume":"40"},"uris":["http://www.mendeley.com/documents/?uuid=dd3fecaf-bc53-4d66-9b1e-f72070d23a4f"]}],"mendeley":{"formattedCitation":"(Yang, 2019)","plainTextFormattedCitation":"(Yang, 2019)","previouslyFormattedCitation":"(Yang, 2019)"},"properties":{"noteIndex":0},"schema":"https://github.com/citation-style-language/schema/raw/master/csl-citation.json"}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(Yang, 2019)</w:t>
      </w:r>
      <w:r w:rsidRPr="00F840E1">
        <w:rPr>
          <w:rFonts w:ascii="Arial" w:hAnsi="Arial" w:cs="Arial"/>
        </w:rPr>
        <w:fldChar w:fldCharType="end"/>
      </w:r>
      <w:r w:rsidRPr="00F840E1">
        <w:rPr>
          <w:rFonts w:ascii="Arial" w:hAnsi="Arial" w:cs="Arial"/>
        </w:rPr>
        <w:t xml:space="preserve">. Similarly to diet, adequate exercise can also reduce the risk of the development of health conditions such as cardiovascular disease </w:t>
      </w:r>
      <w:r w:rsidRPr="00F840E1">
        <w:rPr>
          <w:rFonts w:ascii="Arial" w:hAnsi="Arial" w:cs="Arial"/>
        </w:rPr>
        <w:fldChar w:fldCharType="begin" w:fldLock="1"/>
      </w:r>
      <w:r w:rsidRPr="00F840E1">
        <w:rPr>
          <w:rFonts w:ascii="Arial" w:hAnsi="Arial" w:cs="Arial"/>
        </w:rPr>
        <w:instrText>ADDIN CSL_CITATION {"citationItems":[{"id":"ITEM-1","itemData":{"DOI":"10.2147/IJGM.S30113","ISSN":"11787074","abstract":"Regular physical activity during leisure time has been shown to be associated with better health outcomes. The American Heart Association, the Centers for Disease Control and Prevention and the American College of Sports Medicine all recommend regular physical activity of moderate intensity for the prevention and complementary treatment of several diseases. The therapeutic role of exercise in maintaining good health and treating diseases is not new. The benefits of physical activity date back to Susruta, a 600 BC physician in India, who prescribed exercise to patients. Hippocrates (460-377 BC) wrote \"in order to remain healthy, the entire day should be devoted exclusively to ways and means of increasing one's strength and staying healthy, and the best way to do so is through physical exercise.\" Plato (427-347 BC) referred to medicine as a sister art to physical exercise while the noted ancient Greek physician Galen (129-217 AD) penned several essays on aerobic fitness and strengthening muscles. This article briefly reviews the beneficial effects of physical activity on cardiovascular diseases. © 2012 Agarwal, publisher and licensee Dove Medical Press Ltd.","author":[{"dropping-particle":"","family":"Agarwal","given":"Shashi K.","non-dropping-particle":"","parse-names":false,"suffix":""}],"container-title":"International Journal of General Medicine","id":"ITEM-1","issue":"1","issued":{"date-parts":[["2012"]]},"page":"541-545","title":"Cardiovascular benefits of exercise","type":"article-journal","volume":"5"},"uris":["http://www.mendeley.com/documents/?uuid=ee8f0d1d-1385-433e-a606-a54488534832"]}],"mendeley":{"formattedCitation":"(Agarwal, 2012)","plainTextFormattedCitation":"(Agarwal, 2012)","previouslyFormattedCitation":"(Agarwal, 2012)"},"properties":{"noteIndex":0},"schema":"https://github.com/citation-style-language/schema/raw/master/csl-citation.json"}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(Agarwal, 2012)</w:t>
      </w:r>
      <w:r w:rsidRPr="00F840E1">
        <w:rPr>
          <w:rFonts w:ascii="Arial" w:hAnsi="Arial" w:cs="Arial"/>
        </w:rPr>
        <w:fldChar w:fldCharType="end"/>
      </w:r>
      <w:r w:rsidRPr="00F840E1">
        <w:rPr>
          <w:rFonts w:ascii="Arial" w:hAnsi="Arial" w:cs="Arial"/>
        </w:rPr>
        <w:t xml:space="preserve"> through physiological benefits such as reduced blood pressure and increased VO</w:t>
      </w:r>
      <w:r w:rsidRPr="00F840E1">
        <w:rPr>
          <w:rFonts w:ascii="Arial" w:hAnsi="Arial" w:cs="Arial"/>
          <w:vertAlign w:val="subscript"/>
        </w:rPr>
        <w:t>2</w:t>
      </w:r>
      <w:r w:rsidRPr="00F840E1">
        <w:rPr>
          <w:rFonts w:ascii="Arial" w:hAnsi="Arial" w:cs="Arial"/>
        </w:rPr>
        <w:t xml:space="preserve"> max </w:t>
      </w:r>
      <w:r w:rsidRPr="00F840E1">
        <w:rPr>
          <w:rFonts w:ascii="Arial" w:hAnsi="Arial" w:cs="Arial"/>
        </w:rPr>
        <w:fldChar w:fldCharType="begin" w:fldLock="1"/>
      </w:r>
      <w:r w:rsidRPr="00F840E1">
        <w:rPr>
          <w:rFonts w:ascii="Arial" w:hAnsi="Arial" w:cs="Arial"/>
        </w:rPr>
        <w:instrText>ADDIN CSL_CITATION {"citationItems":[{"id":"ITEM-1","itemData":{"author":[{"dropping-particle":"","family":"Taylor","given":"D.","non-dropping-particle":"","parse-names":false,"suffix":""}],"container-title":"Postgraduate Medical Journal","id":"ITEM-1","issue":"1","issued":{"date-parts":[["2014"]]},"page":"26-32","title":"Physical activity is medicine for older adults","type":"article-journal","volume":"90"},"uris":["http://www.mendeley.com/documents/?uuid=67a8244b-a619-42ee-8e44-2a244b40e48a"]}],"mendeley":{"formattedCitation":"(Taylor, 2014)","plainTextFormattedCitation":"(Taylor, 2014)","previouslyFormattedCitation":"(Taylor, 2014)"},"properties":{"noteIndex":0},"schema":"https://github.com/citation-style-language/schema/raw/master/csl-citation.json"}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(Taylor, 2014)</w:t>
      </w:r>
      <w:r w:rsidRPr="00F840E1">
        <w:rPr>
          <w:rFonts w:ascii="Arial" w:hAnsi="Arial" w:cs="Arial"/>
        </w:rPr>
        <w:fldChar w:fldCharType="end"/>
      </w:r>
      <w:r w:rsidRPr="00F840E1">
        <w:rPr>
          <w:rFonts w:ascii="Arial" w:hAnsi="Arial" w:cs="Arial"/>
        </w:rPr>
        <w:t xml:space="preserve">. Exercise also can also benefit an individual’s psychological well-being and reduce stress levels </w:t>
      </w:r>
      <w:r w:rsidRPr="00F840E1">
        <w:rPr>
          <w:rFonts w:ascii="Arial" w:hAnsi="Arial" w:cs="Arial"/>
        </w:rPr>
        <w:fldChar w:fldCharType="begin" w:fldLock="1"/>
      </w:r>
      <w:r w:rsidRPr="00F840E1">
        <w:rPr>
          <w:rFonts w:ascii="Arial" w:hAnsi="Arial" w:cs="Arial"/>
        </w:rPr>
        <w:instrText>ADDIN CSL_CITATION {"citationItems":[{"id":"ITEM-1","itemData":{"author":[{"dropping-particle":"","family":"Jackson","given":"E. M.","non-dropping-particle":"","parse-names":false,"suffix":""}],"container-title":"ACSM's Health and Fitness Journal","id":"ITEM-1","issue":"3","issued":{"date-parts":[["2013"]]},"page":"14-19","title":"Stress Relief: The Role of Exercise in Stress Management","type":"article-journal","volume":"17"},"uris":["http://www.mendeley.com/documents/?uuid=4b1a3721-8d4c-4d56-ab4c-711baabe7e4d"]}],"mendeley":{"formattedCitation":"(Jackson, 2013)","plainTextFormattedCitation":"(Jackson, 2013)","previouslyFormattedCitation":"(Jackson, 2013)"},"properties":{"noteIndex":0},"schema":"https://github.com/citation-style-language/schema/raw/master/csl-citation.json"}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(Jackson, 2013)</w:t>
      </w:r>
      <w:r w:rsidRPr="00F840E1">
        <w:rPr>
          <w:rFonts w:ascii="Arial" w:hAnsi="Arial" w:cs="Arial"/>
        </w:rPr>
        <w:fldChar w:fldCharType="end"/>
      </w:r>
      <w:r w:rsidRPr="00F840E1">
        <w:rPr>
          <w:rFonts w:ascii="Arial" w:hAnsi="Arial" w:cs="Arial"/>
        </w:rPr>
        <w:t xml:space="preserve"> which can be associated with increased risk of health problems. </w:t>
      </w:r>
    </w:p>
    <w:p w14:paraId="41DCFE2A" w14:textId="77777777" w:rsidR="00397AAB" w:rsidRPr="00F840E1" w:rsidRDefault="00397AAB" w:rsidP="00F840E1">
      <w:pPr>
        <w:spacing w:line="360" w:lineRule="auto"/>
        <w:jc w:val="both"/>
        <w:rPr>
          <w:rFonts w:ascii="Arial" w:hAnsi="Arial" w:cs="Arial"/>
        </w:rPr>
      </w:pPr>
    </w:p>
    <w:p w14:paraId="560F761C" w14:textId="4D19F6F4" w:rsidR="00397AAB" w:rsidRPr="00F840E1" w:rsidRDefault="00397AAB" w:rsidP="00F840E1">
      <w:pPr>
        <w:spacing w:line="360" w:lineRule="auto"/>
        <w:jc w:val="both"/>
        <w:rPr>
          <w:rFonts w:ascii="Arial" w:hAnsi="Arial" w:cs="Arial"/>
        </w:rPr>
      </w:pPr>
      <w:r w:rsidRPr="00F840E1">
        <w:rPr>
          <w:rFonts w:ascii="Arial" w:hAnsi="Arial" w:cs="Arial"/>
        </w:rPr>
        <w:t xml:space="preserve">Sleep can also play an important role in adult health and well-being. Insufficient sleep patterns can influence an </w:t>
      </w:r>
      <w:proofErr w:type="spellStart"/>
      <w:r w:rsidRPr="00F840E1">
        <w:rPr>
          <w:rFonts w:ascii="Arial" w:hAnsi="Arial" w:cs="Arial"/>
        </w:rPr>
        <w:t>individuals</w:t>
      </w:r>
      <w:proofErr w:type="spellEnd"/>
      <w:r w:rsidRPr="00F840E1">
        <w:rPr>
          <w:rFonts w:ascii="Arial" w:hAnsi="Arial" w:cs="Arial"/>
        </w:rPr>
        <w:t xml:space="preserve"> cognitive and psychological well-being </w:t>
      </w:r>
      <w:r w:rsidRPr="00F840E1">
        <w:rPr>
          <w:rFonts w:ascii="Arial" w:hAnsi="Arial" w:cs="Arial"/>
        </w:rPr>
        <w:fldChar w:fldCharType="begin" w:fldLock="1"/>
      </w:r>
      <w:r w:rsidRPr="00F840E1">
        <w:rPr>
          <w:rFonts w:ascii="Arial" w:hAnsi="Arial" w:cs="Arial"/>
        </w:rPr>
        <w:instrText>ADDIN CSL_CITATION {"citationItems":[{"id":"ITEM-1","itemData":{"PMID":"30559589","abstract":"In the inaugural issue of the Journal of Clinical Sleep Medicine (2005), a feature article 1 traced early milestones in the developing field of sleep medicine, which slowly emerged from the older field of sleep research during the 1970s and 1980s. Sleep medicine, the article noted, was closely linked with and made possible by the discovery of electrical activity in the brain. The examination of elec-troencephalogram (EEG) patterns that occur during sleep led to the classification of stages of sleep, which in turn created an important foundation for probing human sleep, discerning abnormalities, and discovering significant relationships between sleep and health. By 2005, scientists and clinicians had not only identified and clearly defined a large number of sleep disorders but had discovered that many of them were highly prevalent. The pace of research and discovery has only accelerated since 2005, and the number of peer-reviewed sleep journals has more than tripled. Today, researchers are more deeply probing the cellular and subcellular effects of disrupted sleep, as well as the effects of sleep deprivation on metabolism, hormone regulation, and gene expression. Newer studies are strengthening known and suspected relationships between inadequate sleep and a wide range of disorders, including hypertension, 2 obesity and type-2 diabetes, 3 impaired immune functioning, 4 cardiovascular disease and arrhythmias, 5,6 mood disorders, 7 neurodegenera-tion and dementia, 8,9 and even loneliness. 10","author":[{"dropping-particle":"","family":"Worley","given":"Susan L.","non-dropping-particle":"","parse-names":false,"suffix":""}],"container-title":"Journal Pharmacy and Therapeutics","id":"ITEM-1","issue":"12","issued":{"date-parts":[["2018"]]},"page":"758-763","title":"The Extraordinary Importance of Sleep","type":"article-journal","volume":"43"},"uris":["http://www.mendeley.com/documents/?uuid=af1fa800-ec69-4b75-b397-b2cfa6f2e8a6"]}],"mendeley":{"formattedCitation":"(Worley, 2018)","plainTextFormattedCitation":"(Worley, 2018)","previouslyFormattedCitation":"(Worley, 2018)"},"properties":{"noteIndex":0},"schema":"https://github.com/citation-style-language/schema/raw/master/csl-citation.json"}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(Worley, 2018)</w:t>
      </w:r>
      <w:r w:rsidRPr="00F840E1">
        <w:rPr>
          <w:rFonts w:ascii="Arial" w:hAnsi="Arial" w:cs="Arial"/>
        </w:rPr>
        <w:fldChar w:fldCharType="end"/>
      </w:r>
      <w:r w:rsidRPr="00F840E1">
        <w:rPr>
          <w:rFonts w:ascii="Arial" w:hAnsi="Arial" w:cs="Arial"/>
        </w:rPr>
        <w:t xml:space="preserve"> as well as increased risk of health conditions such as cardiovascular disease </w:t>
      </w:r>
      <w:r w:rsidRPr="00F840E1">
        <w:rPr>
          <w:rFonts w:ascii="Arial" w:hAnsi="Arial" w:cs="Arial"/>
        </w:rPr>
        <w:fldChar w:fldCharType="begin" w:fldLock="1"/>
      </w:r>
      <w:r w:rsidRPr="00F840E1">
        <w:rPr>
          <w:rFonts w:ascii="Arial" w:hAnsi="Arial" w:cs="Arial"/>
        </w:rPr>
        <w:instrText>ADDIN CSL_CITATION {"citationItems":[{"id":"ITEM-1","itemData":{"DOI":"10.1155/2015/615681","ISSN":"20900392","abstract":"Sleep plays a vital role in an individual's mental, emotional, and physiological well-being. Not only does sleep deficiency lead to neurological and psychological disorders, but also the literature has explored the adverse effects of sleep deficiency on the cardiovascular system. Decreased quantity and quality of sleep have been linked to cardiovascular disease (CVD) risk factors, such as hypertension, obesity, diabetes, and dyslipidemia. We explore the literature correlating primary sleep deficiency and deprivation as a cause for cardiovascular disease and cite endothelial dysfunction as a common underlying mechanism.","author":[{"dropping-particle":"","family":"Kohansieh","given":"Michelle","non-dropping-particle":"","parse-names":false,"suffix":""},{"dropping-particle":"","family":"Makaryus","given":"Amgad N.","non-dropping-particle":"","parse-names":false,"suffix":""}],"container-title":"International Journal of Hypertension","id":"ITEM-1","issue":"1","issued":{"date-parts":[["2015"]]},"page":"1-5","title":"Sleep Deficiency and Deprivation Leading to Cardiovascular Disease","type":"article-journal","volume":"2015"},"uris":["http://www.mendeley.com/documents/?uuid=dcb499e8-a0c6-4640-81fb-19237e32a822"]}],"mendeley":{"formattedCitation":"(Kohansieh and Makaryus, 2015)","plainTextFormattedCitation":"(Kohansieh and Makaryus, 2015)","previouslyFormattedCitation":"(Kohansieh and Makaryus, 2015)"},"properties":{"noteIndex":0},"schema":"https://github.com/citation-style-language/schema/raw/master/csl-citation.json"}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(Kohansieh and Makaryus, 2015)</w:t>
      </w:r>
      <w:r w:rsidRPr="00F840E1">
        <w:rPr>
          <w:rFonts w:ascii="Arial" w:hAnsi="Arial" w:cs="Arial"/>
        </w:rPr>
        <w:fldChar w:fldCharType="end"/>
      </w:r>
      <w:r w:rsidRPr="00F840E1">
        <w:rPr>
          <w:rFonts w:ascii="Arial" w:hAnsi="Arial" w:cs="Arial"/>
        </w:rPr>
        <w:t xml:space="preserve">.  Other lifestyle behaviours such as smoking </w:t>
      </w:r>
      <w:r w:rsidRPr="00F840E1">
        <w:rPr>
          <w:rFonts w:ascii="Arial" w:hAnsi="Arial" w:cs="Arial"/>
        </w:rPr>
        <w:fldChar w:fldCharType="begin" w:fldLock="1"/>
      </w:r>
      <w:r w:rsidRPr="00F840E1">
        <w:rPr>
          <w:rFonts w:ascii="Arial" w:hAnsi="Arial" w:cs="Arial"/>
        </w:rPr>
        <w:instrText>ADDIN CSL_CITATION {"citationItems":[{"id":"ITEM-1","itemData":{"author":[{"dropping-particle":"","family":"Polosa","given":"R.","non-dropping-particle":"","parse-names":false,"suffix":""},{"dropping-particle":"","family":"Thomson","given":"N. C.","non-dropping-particle":"","parse-names":false,"suffix":""}],"container-title":"European Respiratory Journal","id":"ITEM-1","issue":"1","issued":{"date-parts":[["2013"]]},"page":"716-726","title":"Smoking and asthma: dangerous liaisons | European Respiratory Society","type":"article-journal","volume":"41"},"uris":["http://www.mendeley.com/documents/?uuid=1123ea6e-42cc-48e7-b2eb-e9ddb1f024b4"]}],"mendeley":{"formattedCitation":"(Polosa and Thomson, 2013)","plainTextFormattedCitation":"(Polosa and Thomson, 2013)","previouslyFormattedCitation":"(Polosa and Thomson, 2013)"},"properties":{"noteIndex":0},"schema":"https://github.com/citation-style-language/schema/raw/master/csl-citation.json"}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(Polosa and Thomson, 2013)</w:t>
      </w:r>
      <w:r w:rsidRPr="00F840E1">
        <w:rPr>
          <w:rFonts w:ascii="Arial" w:hAnsi="Arial" w:cs="Arial"/>
        </w:rPr>
        <w:fldChar w:fldCharType="end"/>
      </w:r>
      <w:r w:rsidRPr="00F840E1">
        <w:rPr>
          <w:rFonts w:ascii="Arial" w:hAnsi="Arial" w:cs="Arial"/>
        </w:rPr>
        <w:t xml:space="preserve"> and alcohol consumption </w:t>
      </w:r>
      <w:r w:rsidRPr="00F840E1">
        <w:rPr>
          <w:rFonts w:ascii="Arial" w:hAnsi="Arial" w:cs="Arial"/>
        </w:rPr>
        <w:fldChar w:fldCharType="begin" w:fldLock="1"/>
      </w:r>
      <w:r w:rsidRPr="00F840E1">
        <w:rPr>
          <w:rFonts w:ascii="Arial" w:hAnsi="Arial" w:cs="Arial"/>
        </w:rPr>
        <w:instrText>ADDIN CSL_CITATION {"citationItems":[{"id":"ITEM-1","itemData":{"ISSN":"15357414","PMID":"22330211","abstract":"Alcohol consumption, particularly heavier drinking, is an important risk factor for many health problems and, thus, is a major contributor to the global burden of disease. In fact, alcohol is a necessary underlying cause for more than 30 conditions and a contributing factor to many more. The most common disease categories that are entirely or partly caused by alcohol consumption include infectious diseases, cancer, diabetes, neuropsychiatric diseases (including alcohol use disorders), cardiovascular disease, liver and pancreas disease, and unintentional and intentional injury. Knowledge of these disease risks has helped in the development of low-risk drinking guidelines. In addition to these disease risks that affect the drinker, alcohol consumption also can affect the health of others and cause social harm both to the drinker and to others, adding to the overall cost associated with alcohol consumption. These findings underscore the need to develop effective prevention efforts to reduce the pain and suffering, and the associated costs, resulting from excessive alcohol use.","author":[{"dropping-particle":"","family":"Rehm","given":"Jürgen","non-dropping-particle":"","parse-names":false,"suffix":""}],"container-title":"Alcohol Research and Health","id":"ITEM-1","issue":"2","issued":{"date-parts":[["2011"]]},"page":"135-143","title":"The risks associated with alcohol use and alcoholism","type":"article-journal","volume":"34"},"uris":["http://www.mendeley.com/documents/?uuid=55ea1a01-6355-4053-8625-2610c2b8643a"]}],"mendeley":{"formattedCitation":"(Rehm, 2011)","plainTextFormattedCitation":"(Rehm, 2011)","previouslyFormattedCitation":"(Rehm, 2011)"},"properties":{"noteIndex":0},"schema":"https://github.com/citation-style-language/schema/raw/master/csl-citation.json"}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(Rehm, 2011)</w:t>
      </w:r>
      <w:r w:rsidRPr="00F840E1">
        <w:rPr>
          <w:rFonts w:ascii="Arial" w:hAnsi="Arial" w:cs="Arial"/>
        </w:rPr>
        <w:fldChar w:fldCharType="end"/>
      </w:r>
      <w:r w:rsidRPr="00F840E1">
        <w:rPr>
          <w:rFonts w:ascii="Arial" w:hAnsi="Arial" w:cs="Arial"/>
        </w:rPr>
        <w:t xml:space="preserve"> can also have a large impact</w:t>
      </w:r>
      <w:r w:rsidR="00BB7D7D" w:rsidRPr="00F840E1">
        <w:rPr>
          <w:rFonts w:ascii="Arial" w:hAnsi="Arial" w:cs="Arial"/>
        </w:rPr>
        <w:t xml:space="preserve"> on</w:t>
      </w:r>
      <w:r w:rsidRPr="00F840E1">
        <w:rPr>
          <w:rFonts w:ascii="Arial" w:hAnsi="Arial" w:cs="Arial"/>
        </w:rPr>
        <w:t xml:space="preserve"> health and well-being. </w:t>
      </w:r>
    </w:p>
    <w:p w14:paraId="2A32FCBF" w14:textId="77777777" w:rsidR="00397AAB" w:rsidRPr="00F840E1" w:rsidRDefault="00397AAB" w:rsidP="00F840E1">
      <w:pPr>
        <w:spacing w:line="360" w:lineRule="auto"/>
        <w:jc w:val="both"/>
        <w:rPr>
          <w:rFonts w:ascii="Arial" w:hAnsi="Arial" w:cs="Arial"/>
        </w:rPr>
      </w:pPr>
    </w:p>
    <w:p w14:paraId="0116E66F" w14:textId="77777777" w:rsidR="00397AAB" w:rsidRPr="00F840E1" w:rsidRDefault="00397AAB" w:rsidP="00F840E1">
      <w:pPr>
        <w:spacing w:line="360" w:lineRule="auto"/>
        <w:jc w:val="both"/>
        <w:rPr>
          <w:rFonts w:ascii="Arial" w:hAnsi="Arial" w:cs="Arial"/>
        </w:rPr>
      </w:pPr>
      <w:r w:rsidRPr="00F840E1">
        <w:rPr>
          <w:rFonts w:ascii="Arial" w:hAnsi="Arial" w:cs="Arial"/>
          <w:b/>
          <w:bCs/>
          <w:sz w:val="28"/>
          <w:szCs w:val="28"/>
        </w:rPr>
        <w:t>Details of the Client’s Current Condition and Relevant Lifestyle Behaviours</w:t>
      </w:r>
      <w:r w:rsidRPr="00F840E1">
        <w:rPr>
          <w:rFonts w:ascii="Arial" w:hAnsi="Arial" w:cs="Arial"/>
        </w:rPr>
        <w:t xml:space="preserve"> </w:t>
      </w:r>
    </w:p>
    <w:p w14:paraId="6692E8E5" w14:textId="1D186E1E" w:rsidR="00397AAB" w:rsidRPr="00F840E1" w:rsidRDefault="00397AAB" w:rsidP="00F840E1">
      <w:pPr>
        <w:spacing w:line="360" w:lineRule="auto"/>
        <w:jc w:val="both"/>
        <w:rPr>
          <w:rFonts w:ascii="Arial" w:hAnsi="Arial" w:cs="Arial"/>
        </w:rPr>
      </w:pPr>
      <w:r w:rsidRPr="00F840E1">
        <w:rPr>
          <w:rFonts w:ascii="Arial" w:hAnsi="Arial" w:cs="Arial"/>
        </w:rPr>
        <w:t xml:space="preserve">The client is a 35 year old female ex-smoker with a BMI of 31.2. This BMI places the client in the obese category </w:t>
      </w:r>
      <w:r w:rsidRPr="00F840E1">
        <w:rPr>
          <w:rFonts w:ascii="Arial" w:hAnsi="Arial" w:cs="Arial"/>
        </w:rPr>
        <w:fldChar w:fldCharType="begin" w:fldLock="1"/>
      </w:r>
      <w:r w:rsidRPr="00F840E1">
        <w:rPr>
          <w:rFonts w:ascii="Arial" w:hAnsi="Arial" w:cs="Arial"/>
        </w:rPr>
        <w:instrText>ADDIN CSL_CITATION {"citationItems":[{"id":"ITEM-1","itemData":{"DOI":"10.1097/ij9.0000000000000017","ISSN":"2471-3864","abstract":"Excessive fat accumulation in the body may impair health leading to a significant long-term health consequences including the development of diabetes, coronary heart disease, and osteoarthritis as well as increasing the risk of developing certain cancers and influencing their outcomes. England has some of the worst figures and trends in obesity compared with the rest of the Europe. In the majority of European countries the trend has increased from 10% to 40% in the last 10 years, whereas in England prevalence has more than doubled. This article outlines the public health impact of rising obesity levels.","author":[{"dropping-particle":"","family":"Agha","given":"Maliha","non-dropping-particle":"","parse-names":false,"suffix":""},{"dropping-particle":"","family":"Agha","given":"Riaz","non-dropping-particle":"","parse-names":false,"suffix":""}],"container-title":"International Journal of Surgery: Oncology","id":"ITEM-1","issue":"7","issued":{"date-parts":[["2017"]]},"page":"17","title":"The rising prevalence of obesity: part A: impact on public health","type":"article-journal","volume":"2"},"uris":["http://www.mendeley.com/documents/?uuid=63b5122c-a346-466f-9e99-bae0ab8eb4f8"]}],"mendeley":{"formattedCitation":"(Agha and Agha, 2017)","plainTextFormattedCitation":"(Agha and Agha, 2017)","previouslyFormattedCitation":"(Agha and Agha, 2017)"},"properties":{"noteIndex":0},"schema":"https://github.com/citation-style-language/schema/raw/master/csl-citation.json"}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(Agha and Agha, 2017)</w:t>
      </w:r>
      <w:r w:rsidRPr="00F840E1">
        <w:rPr>
          <w:rFonts w:ascii="Arial" w:hAnsi="Arial" w:cs="Arial"/>
        </w:rPr>
        <w:fldChar w:fldCharType="end"/>
      </w:r>
      <w:r w:rsidRPr="00F840E1">
        <w:rPr>
          <w:rFonts w:ascii="Arial" w:hAnsi="Arial" w:cs="Arial"/>
        </w:rPr>
        <w:t xml:space="preserve">.  The client consumes 14 units of alcohol per week on average and their diet is currently centred around a low carbohydrate intake with the intentions of losing weight. The individual trains regularly and completes four endurance runs and has stated that her goal is to run a marathon in under four hours. </w:t>
      </w:r>
    </w:p>
    <w:p w14:paraId="2CFD785A" w14:textId="77777777" w:rsidR="00397AAB" w:rsidRPr="00F840E1" w:rsidRDefault="00397AAB" w:rsidP="00F840E1">
      <w:pPr>
        <w:spacing w:line="360" w:lineRule="auto"/>
        <w:jc w:val="both"/>
        <w:rPr>
          <w:rFonts w:ascii="Arial" w:hAnsi="Arial" w:cs="Arial"/>
        </w:rPr>
      </w:pPr>
    </w:p>
    <w:p w14:paraId="12FEEDDD" w14:textId="77777777" w:rsidR="00397AAB" w:rsidRPr="00F840E1" w:rsidRDefault="00397AAB" w:rsidP="00F840E1">
      <w:pPr>
        <w:spacing w:line="360" w:lineRule="auto"/>
        <w:jc w:val="both"/>
        <w:rPr>
          <w:rFonts w:ascii="Arial" w:hAnsi="Arial" w:cs="Arial"/>
        </w:rPr>
      </w:pPr>
      <w:r w:rsidRPr="00F840E1">
        <w:rPr>
          <w:rFonts w:ascii="Arial" w:hAnsi="Arial" w:cs="Arial"/>
        </w:rPr>
        <w:t xml:space="preserve">The main medical condition which the client has been referred for is asthma. The information received from the client suggests that their condition is generally exacerbated around 2-3 hours post exercise. For the management of this condition, the client uses a salmeterol inhaler which is a bronchodilator that exerts bronchoprotective effects against allergen and exercise stimuli </w:t>
      </w:r>
      <w:r w:rsidRPr="00F840E1">
        <w:rPr>
          <w:rFonts w:ascii="Arial" w:hAnsi="Arial" w:cs="Arial"/>
        </w:rPr>
        <w:fldChar w:fldCharType="begin" w:fldLock="1"/>
      </w:r>
      <w:r w:rsidRPr="00F840E1">
        <w:rPr>
          <w:rFonts w:ascii="Arial" w:hAnsi="Arial" w:cs="Arial"/>
        </w:rPr>
        <w:instrText>ADDIN CSL_CITATION {"citationItems":[{"id":"ITEM-1","itemData":{"author":[{"dropping-particle":"","family":"Meyer","given":"J. M.","non-dropping-particle":"","parse-names":false,"suffix":""},{"dropping-particle":"","family":"Wenzel","given":"C. L.","non-dropping-particle":"","parse-names":false,"suffix":""},{"dropping-particle":"","family":"Kradjan","given":"W. A.","non-dropping-particle":"","parse-names":false,"suffix":""}],"container-title":"Annals of Pharmacotherapy","id":"ITEM-1","issue":"12","issued":{"date-parts":[["1993"]]},"page":"1478-1487","title":"Salmeterol-A Novel, Long-Acting Beta2-Agonist","type":"article-journal","volume":"27"},"uris":["http://www.mendeley.com/documents/?uuid=ad6b5a44-60b2-4f7d-b13c-ecec4ac0843c"]}],"mendeley":{"formattedCitation":"(Meyer, Wenzel and Kradjan, 1993)","manualFormatting":"(Meyer et al., 1993)","plainTextFormattedCitation":"(Meyer, Wenzel and Kradjan, 1993)","previouslyFormattedCitation":"(Meyer, Wenzel and Kradjan, 1993)"},"properties":{"noteIndex":0},"schema":"https://github.com/citation-style-language/schema/raw/master/csl-citation.json"}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 xml:space="preserve">(Meyer </w:t>
      </w:r>
      <w:r w:rsidRPr="00F840E1">
        <w:rPr>
          <w:rFonts w:ascii="Arial" w:hAnsi="Arial" w:cs="Arial"/>
          <w:i/>
          <w:iCs/>
          <w:noProof/>
        </w:rPr>
        <w:t>et al.,</w:t>
      </w:r>
      <w:r w:rsidRPr="00F840E1">
        <w:rPr>
          <w:rFonts w:ascii="Arial" w:hAnsi="Arial" w:cs="Arial"/>
          <w:noProof/>
        </w:rPr>
        <w:t xml:space="preserve"> 1993)</w:t>
      </w:r>
      <w:r w:rsidRPr="00F840E1">
        <w:rPr>
          <w:rFonts w:ascii="Arial" w:hAnsi="Arial" w:cs="Arial"/>
        </w:rPr>
        <w:fldChar w:fldCharType="end"/>
      </w:r>
      <w:r w:rsidRPr="00F840E1">
        <w:rPr>
          <w:rFonts w:ascii="Arial" w:hAnsi="Arial" w:cs="Arial"/>
        </w:rPr>
        <w:t xml:space="preserve">. Salmeterol is generally prescribed as an inhaler at a dose of 50 micrograms twice daily for adults  </w:t>
      </w:r>
      <w:r w:rsidRPr="00F840E1">
        <w:rPr>
          <w:rFonts w:ascii="Arial" w:hAnsi="Arial" w:cs="Arial"/>
        </w:rPr>
        <w:fldChar w:fldCharType="begin" w:fldLock="1"/>
      </w:r>
      <w:r w:rsidRPr="00F840E1">
        <w:rPr>
          <w:rFonts w:ascii="Arial" w:hAnsi="Arial" w:cs="Arial"/>
        </w:rPr>
        <w:instrText>ADDIN CSL_CITATION {"citationItems":[{"id":"ITEM-1","itemData":{"URL":"https://bnf.nice.org.uk/drug/salmeterol.html","author":[{"dropping-particle":"","family":"NICE","given":"","non-dropping-particle":"","parse-names":false,"suffix":""}],"container-title":"National institute for health and care excellence","id":"ITEM-1","issued":{"date-parts":[["2021"]]},"title":"Salmeterol","type":"webpage"},"uris":["http://www.mendeley.com/documents/?uuid=075ccf4c-1db6-49d0-9ea5-307a200aaa0b"]}],"mendeley":{"formattedCitation":"(NICE, 2021)","plainTextFormattedCitation":"(NICE, 2021)","previouslyFormattedCitation":"(NICE, 2021)"},"properties":{"noteIndex":0},"schema":"https://github.com/citation-style-language/schema/raw/master/csl-citation.json"}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(NICE, 2021)</w:t>
      </w:r>
      <w:r w:rsidRPr="00F840E1">
        <w:rPr>
          <w:rFonts w:ascii="Arial" w:hAnsi="Arial" w:cs="Arial"/>
        </w:rPr>
        <w:fldChar w:fldCharType="end"/>
      </w:r>
      <w:r w:rsidRPr="00F840E1">
        <w:rPr>
          <w:rFonts w:ascii="Arial" w:hAnsi="Arial" w:cs="Arial"/>
        </w:rPr>
        <w:t xml:space="preserve">. Common side effects of salmeterol include headaches, </w:t>
      </w:r>
      <w:r w:rsidRPr="00F840E1">
        <w:rPr>
          <w:rFonts w:ascii="Arial" w:hAnsi="Arial" w:cs="Arial"/>
        </w:rPr>
        <w:lastRenderedPageBreak/>
        <w:t xml:space="preserve">tremor, </w:t>
      </w:r>
      <w:proofErr w:type="spellStart"/>
      <w:r w:rsidRPr="00F840E1">
        <w:rPr>
          <w:rFonts w:ascii="Arial" w:hAnsi="Arial" w:cs="Arial"/>
        </w:rPr>
        <w:t>palpatations</w:t>
      </w:r>
      <w:proofErr w:type="spellEnd"/>
      <w:r w:rsidRPr="00F840E1">
        <w:rPr>
          <w:rFonts w:ascii="Arial" w:hAnsi="Arial" w:cs="Arial"/>
        </w:rPr>
        <w:t xml:space="preserve"> and muscle cramps </w:t>
      </w:r>
      <w:r w:rsidRPr="00F840E1">
        <w:rPr>
          <w:rFonts w:ascii="Arial" w:hAnsi="Arial" w:cs="Arial"/>
        </w:rPr>
        <w:fldChar w:fldCharType="begin" w:fldLock="1"/>
      </w:r>
      <w:r w:rsidRPr="00F840E1">
        <w:rPr>
          <w:rFonts w:ascii="Arial" w:hAnsi="Arial" w:cs="Arial"/>
        </w:rPr>
        <w:instrText>ADDIN CSL_CITATION {"citationItems":[{"id":"ITEM-1","itemData":{"DOI":"10.1136/thorax.55.8.650","ISSN":"00406376","PMID":"10899240","abstract":"Background - The main adverse effects of inhaled long acting β2 agonists relate to their systemic activity. The systemic effects seen over eight hours after inhalation of three doses of salmeterol and formoterol were therefore compared in normal subjects. Methods - A double blind, randomised, crossover study was carried out in 16 healthy subjects who inhaled formoterol 23, 48 and 96 μg (via Turbuhaler®), salmeterol 100, 200 and 400 μg (via Diskhaler®), or placebo on separate days. Heart rate, systolic and diastolic blood pressure, and plasma potassium and glucose concentrations were measured for eight hours following each drug and mean values were used to plot the time course of change after each dose. Mean maximum (or minimum) absolute values were used to construct dose-response curves to calculate the relative dose potency of the two drugs. Lunch was taken after the four hour readings and, since this caused additional changes to the main outcome measures, data from the first four hours are also presented in a post hoc analysis. Results - Both salmeterol and formoterol caused an early dose dependent increase in heart rate and glucose concentrations and a fall in diastolic blood pressure and plasma potassium concentration; formoterol also caused an early increase in systolic blood pressure. The cardiovascular effects occurred more rapidly than the metabolic effects and the response to formoterol was faster than that of salmeterol, apart from the glycaemic response. The effects of salmeterol were slightly more prolonged than those of formoterol, although some dose related effects were apparent at eight hours with both drugs. The relative dose potency for formoterol compared with salmeterol at four and eight hours for the different end points excluding systolic blood pressure ranged from 1.6 to 7.0 after adjusting for baseline values. Relative dose potencies (95% CI) for maximum heart rate and plasma potassium concentrations were 4.1 (3.0 to 5.6) and 5.8 (4.1 to 8.6) over four hours and 2.4 (1.2 to 3.8) and 3.0 (1.2 to 5.7) over eight hours. Conclusions - Formoterol and salmeterol cause dose related changes in heart rate, diastolic blood pressure, and plasma glucose and potassium concentrations. Formoterol has a more rapid onset for most end points whereas salmeterol has slightly more prolonged activity. Both drugs have a relatively modest therapeutic window. The relative dose potencies of the two drugs for the main end points were similar to the fourfold…","author":[{"dropping-particle":"","family":"Guhan","given":"A. R.","non-dropping-particle":"","parse-names":false,"suffix":""},{"dropping-particle":"","family":"Cooper","given":"S.","non-dropping-particle":"","parse-names":false,"suffix":""},{"dropping-particle":"","family":"Oborne","given":"J.","non-dropping-particle":"","parse-names":false,"suffix":""},{"dropping-particle":"","family":"Lewis","given":"S.","non-dropping-particle":"","parse-names":false,"suffix":""},{"dropping-particle":"","family":"Bennett","given":"J.","non-dropping-particle":"","parse-names":false,"suffix":""},{"dropping-particle":"","family":"Tattersfield","given":"A. E.","non-dropping-particle":"","parse-names":false,"suffix":""}],"container-title":"Thorax","id":"ITEM-1","issue":"8","issued":{"date-parts":[["2000"]]},"page":"650-656","title":"Systemic effects of formoterol and salmeterol: A dose-response comparison in healthy subjects","type":"article-journal","volume":"55"},"uris":["http://www.mendeley.com/documents/?uuid=5046e44c-e7a0-43be-ab06-aeea32066a70"]}],"mendeley":{"formattedCitation":"(Guhan &lt;i&gt;et al.&lt;/i&gt;, 2000)","plainTextFormattedCitation":"(Guhan et al., 2000)","previouslyFormattedCitation":"(Guhan &lt;i&gt;et al.&lt;/i&gt;, 2000)"},"properties":{"noteIndex":0},"schema":"https://github.com/citation-style-language/schema/raw/master/csl-citation.json"}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 xml:space="preserve">(Guhan </w:t>
      </w:r>
      <w:r w:rsidRPr="00F840E1">
        <w:rPr>
          <w:rFonts w:ascii="Arial" w:hAnsi="Arial" w:cs="Arial"/>
          <w:i/>
          <w:noProof/>
        </w:rPr>
        <w:t>et al.</w:t>
      </w:r>
      <w:r w:rsidRPr="00F840E1">
        <w:rPr>
          <w:rFonts w:ascii="Arial" w:hAnsi="Arial" w:cs="Arial"/>
          <w:noProof/>
        </w:rPr>
        <w:t>, 2000)</w:t>
      </w:r>
      <w:r w:rsidRPr="00F840E1">
        <w:rPr>
          <w:rFonts w:ascii="Arial" w:hAnsi="Arial" w:cs="Arial"/>
        </w:rPr>
        <w:fldChar w:fldCharType="end"/>
      </w:r>
      <w:r w:rsidRPr="00F840E1">
        <w:rPr>
          <w:rFonts w:ascii="Arial" w:hAnsi="Arial" w:cs="Arial"/>
        </w:rPr>
        <w:t xml:space="preserve"> . Alongside salmeterol, the subject also takes montelukast which is used to prevent airway inflammation and is generally prescribed at a dose of one 10mg tablet per day for adults </w:t>
      </w:r>
      <w:r w:rsidRPr="00F840E1">
        <w:rPr>
          <w:rFonts w:ascii="Arial" w:hAnsi="Arial" w:cs="Arial"/>
        </w:rPr>
        <w:fldChar w:fldCharType="begin" w:fldLock="1"/>
      </w:r>
      <w:r w:rsidRPr="00F840E1">
        <w:rPr>
          <w:rFonts w:ascii="Arial" w:hAnsi="Arial" w:cs="Arial"/>
        </w:rPr>
        <w:instrText>ADDIN CSL_CITATION {"citationItems":[{"id":"ITEM-1","itemData":{"author":[{"dropping-particle":"","family":"NHS","given":"","non-dropping-particle":"","parse-names":false,"suffix":""}],"container-title":"NHS","id":"ITEM-1","issued":{"date-parts":[["2021"]]},"title":"Montelukast","type":"webpage"},"uris":["http://www.mendeley.com/documents/?uuid=6f9feb1e-c297-4d69-8b1c-4a0a2db89d4a"]}],"mendeley":{"formattedCitation":"(NHS, 2021)","plainTextFormattedCitation":"(NHS, 2021)","previouslyFormattedCitation":"(NHS, 2021)"},"properties":{"noteIndex":0},"schema":"https://github.com/citation-style-language/schema/raw/master/csl-citation.json"}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(NHS, 2021)</w:t>
      </w:r>
      <w:r w:rsidRPr="00F840E1">
        <w:rPr>
          <w:rFonts w:ascii="Arial" w:hAnsi="Arial" w:cs="Arial"/>
        </w:rPr>
        <w:fldChar w:fldCharType="end"/>
      </w:r>
      <w:r w:rsidRPr="00F840E1">
        <w:rPr>
          <w:rFonts w:ascii="Arial" w:hAnsi="Arial" w:cs="Arial"/>
        </w:rPr>
        <w:t xml:space="preserve">. Common side effects of montelukast include gastrointestinal issues, headaches and nausea </w:t>
      </w:r>
      <w:hyperlink r:id="rId7" w:history="1">
        <w:r w:rsidRPr="00F840E1">
          <w:rPr>
            <w:rStyle w:val="Hyperlink"/>
            <w:rFonts w:ascii="Arial" w:hAnsi="Arial" w:cs="Arial"/>
            <w:noProof/>
            <w:color w:val="000000" w:themeColor="text1"/>
            <w:u w:val="none"/>
          </w:rPr>
          <w:t>(NICE, 2021)</w:t>
        </w:r>
      </w:hyperlink>
      <w:r w:rsidRPr="00F840E1">
        <w:rPr>
          <w:rFonts w:ascii="Arial" w:hAnsi="Arial" w:cs="Arial"/>
        </w:rPr>
        <w:t xml:space="preserve">.  Another medical condition which the client experiences is rhinosinusitis which involves inflammation of the nasal mucosa </w:t>
      </w:r>
      <w:r w:rsidRPr="00F840E1">
        <w:rPr>
          <w:rFonts w:ascii="Arial" w:hAnsi="Arial" w:cs="Arial"/>
        </w:rPr>
        <w:fldChar w:fldCharType="begin" w:fldLock="1"/>
      </w:r>
      <w:r w:rsidRPr="00F840E1">
        <w:rPr>
          <w:rFonts w:ascii="Arial" w:hAnsi="Arial" w:cs="Arial"/>
        </w:rPr>
        <w:instrText>ADDIN CSL_CITATION {"citationItems":[{"id":"ITEM-1","itemData":{"DOI":"10.1016/j.bjorl.2015.01.003","ISSN":"18088694","author":[{"dropping-particle":"","family":"Anselmo-Lima","given":"W. T.","non-dropping-particle":"","parse-names":false,"suffix":""},{"dropping-particle":"","family":"Sakano","given":"E.","non-dropping-particle":"","parse-names":false,"suffix":""},{"dropping-particle":"","family":"Tamashiro","given":"E.","non-dropping-particle":"","parse-names":false,"suffix":""},{"dropping-particle":"","family":"Nunes","given":"A. A.","non-dropping-particle":"","parse-names":false,"suffix":""},{"dropping-particle":"","family":"Fernandes","given":"A. M.","non-dropping-particle":"","parse-names":false,"suffix":""},{"dropping-particle":"","family":"Pereira","given":"E. A.","non-dropping-particle":"","parse-names":false,"suffix":""},{"dropping-particle":"","family":"Romano","given":"F. R.","non-dropping-particle":"","parse-names":false,"suffix":""},{"dropping-particle":"","family":"Padua","given":"F. G.","non-dropping-particle":"","parse-names":false,"suffix":""},{"dropping-particle":"","family":"Ferreira de Mello","given":"J.","non-dropping-particle":"","parse-names":false,"suffix":""},{"dropping-particle":"","family":"Teles Junior","given":"J.","non-dropping-particle":"","parse-names":false,"suffix":""},{"dropping-particle":"","family":"Dolci","given":"J. E.","non-dropping-particle":"","parse-names":false,"suffix":""},{"dropping-particle":"","family":"Balsalobre Filho","given":"L. L.","non-dropping-particle":"","parse-names":false,"suffix":""},{"dropping-particle":"","family":"Kosugi","given":"E. M.","non-dropping-particle":"","parse-names":false,"suffix":""}],"container-title":"Brazilian Journal of Otorhinolaryngology","id":"ITEM-1","issue":"1","issued":{"date-parts":[["2015"]]},"page":"1-49","title":"Rhinosinusitis: evidence and experience","type":"article-journal","volume":"81"},"uris":["http://www.mendeley.com/documents/?uuid=de9d0420-b7a4-4e50-b3e8-7532b5fe1c34"]}],"mendeley":{"formattedCitation":"(Anselmo-Lima &lt;i&gt;et al.&lt;/i&gt;, 2015)","plainTextFormattedCitation":"(Anselmo-Lima et al., 2015)","previouslyFormattedCitation":"(Anselmo-Lima &lt;i&gt;et al.&lt;/i&gt;, 2015)"},"properties":{"noteIndex":0},"schema":"https://github.com/citation-style-language/schema/raw/master/csl-citation.json"}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 xml:space="preserve">(Anselmo-Lima </w:t>
      </w:r>
      <w:r w:rsidRPr="00F840E1">
        <w:rPr>
          <w:rFonts w:ascii="Arial" w:hAnsi="Arial" w:cs="Arial"/>
          <w:i/>
          <w:noProof/>
        </w:rPr>
        <w:t>et al.</w:t>
      </w:r>
      <w:r w:rsidRPr="00F840E1">
        <w:rPr>
          <w:rFonts w:ascii="Arial" w:hAnsi="Arial" w:cs="Arial"/>
          <w:noProof/>
        </w:rPr>
        <w:t>, 2015)</w:t>
      </w:r>
      <w:r w:rsidRPr="00F840E1">
        <w:rPr>
          <w:rFonts w:ascii="Arial" w:hAnsi="Arial" w:cs="Arial"/>
        </w:rPr>
        <w:fldChar w:fldCharType="end"/>
      </w:r>
      <w:r w:rsidRPr="00F840E1">
        <w:rPr>
          <w:rFonts w:ascii="Arial" w:hAnsi="Arial" w:cs="Arial"/>
        </w:rPr>
        <w:t xml:space="preserve">. </w:t>
      </w:r>
    </w:p>
    <w:p w14:paraId="58F7F09B" w14:textId="77777777" w:rsidR="00397AAB" w:rsidRPr="00F840E1" w:rsidRDefault="00397AAB" w:rsidP="00F840E1">
      <w:pPr>
        <w:spacing w:line="360" w:lineRule="auto"/>
        <w:jc w:val="both"/>
        <w:rPr>
          <w:rFonts w:ascii="Arial" w:hAnsi="Arial" w:cs="Arial"/>
        </w:rPr>
      </w:pPr>
    </w:p>
    <w:p w14:paraId="3AD6426D" w14:textId="7F21E79E" w:rsidR="00397AAB" w:rsidRPr="00F840E1" w:rsidRDefault="00397AAB" w:rsidP="00F840E1">
      <w:pPr>
        <w:spacing w:line="360" w:lineRule="auto"/>
        <w:jc w:val="both"/>
        <w:rPr>
          <w:rFonts w:ascii="Arial" w:hAnsi="Arial" w:cs="Arial"/>
        </w:rPr>
      </w:pPr>
      <w:r w:rsidRPr="00F840E1">
        <w:rPr>
          <w:rFonts w:ascii="Arial" w:hAnsi="Arial" w:cs="Arial"/>
        </w:rPr>
        <w:t>The client has also stated that they often wake up during the night. This could be caused by many factors related to their condition. Potential causes for this could be due to sleep apn</w:t>
      </w:r>
      <w:r w:rsidR="00DF3001" w:rsidRPr="00F840E1">
        <w:rPr>
          <w:rFonts w:ascii="Arial" w:hAnsi="Arial" w:cs="Arial"/>
        </w:rPr>
        <w:t>o</w:t>
      </w:r>
      <w:r w:rsidRPr="00F840E1">
        <w:rPr>
          <w:rFonts w:ascii="Arial" w:hAnsi="Arial" w:cs="Arial"/>
        </w:rPr>
        <w:t xml:space="preserve">ea either due to their body composition </w:t>
      </w:r>
      <w:r w:rsidRPr="00F840E1">
        <w:rPr>
          <w:rFonts w:ascii="Arial" w:hAnsi="Arial" w:cs="Arial"/>
        </w:rPr>
        <w:fldChar w:fldCharType="begin" w:fldLock="1"/>
      </w:r>
      <w:r w:rsidRPr="00F840E1">
        <w:rPr>
          <w:rFonts w:ascii="Arial" w:hAnsi="Arial" w:cs="Arial"/>
        </w:rPr>
        <w:instrText>ADDIN CSL_CITATION {"citationItems":[{"id":"ITEM-1","itemData":{"DOI":"10.1097/01.mlg.0000172204.82314.c3","ISSN":"0023852X","PMID":"16094131","abstract":"Objective: To investigate body fat composition, measured by bioelectrical impedance assay (BIA), for predicting the presence and severity of obstructive sleep apnea-hypopnea syndrome (OSAHS). Body fat composition was also compared with other well-known OSAHS predictors such as body mass index (BMI), neck circumference, and abdominal visceral fat. Study Design: A prospective study was designed. Fifty-one patients (41 male, 10 female), who were referred to Hacettepe University Faculty of Medicine, Department of Otorhinolaryngology, Head and Neck Surgery with suspected OSAHS, between April 2003 and June 2004, were included in the study. Methods: All patients underwent polysomnography (PSG) and were classified according to their apnea-hypopnea index (AHI) into four groups. The cross-sectional area of abdominal visceral fat was measured by computed tomography (CT) scanning in 33 of the patients. Neck circumference and BMI was measured for all patients. BIA was performed to determine body fat composition. The groups were compared, and correlation of the variables with AHI was investigated. Results: Of the variables, BMI and percentage of body fat (determined by BIA) were found to be significantly correlated with AHI (r = 0.782, r = 0.647). CT of cross-sectional area of abdominal visceral fat provided 100% sensitivity and specificity (P &lt; .001) in differentiating simple snorers from OSAHS patients. By combining percentage of body fat and body fat mass, higher levels of sensitivity (95%) and specificity (100%) were achieved for diagnosis of OSAHS. Conclusion: It was concluded that the BIA could be an inexpensive and practical alternative to prePSG screening tests and should be included in the evaluation of OSAHS patients. © The American Laryngological, Rhinological and Otological Society, Inc.","author":[{"dropping-particle":"","family":"Öǧretmenoǧlu","given":"Oǧuz","non-dropping-particle":"","parse-names":false,"suffix":""},{"dropping-particle":"","family":"Süslü","given":"Ahmet Emre","non-dropping-particle":"","parse-names":false,"suffix":""},{"dropping-particle":"","family":"Yücel","given":"Ömer Taşkin","non-dropping-particle":"","parse-names":false,"suffix":""},{"dropping-particle":"","family":"Önerci","given":"Tevfik Metin","non-dropping-particle":"","parse-names":false,"suffix":""},{"dropping-particle":"","family":"Şahin","given":"Altay","non-dropping-particle":"","parse-names":false,"suffix":""}],"container-title":"Laryngoscope","id":"ITEM-1","issue":"8","issued":{"date-parts":[["2005"]]},"page":"1493-1498","title":"Body fat composition: A predictive factor for obstructive sleep apnea","type":"article-journal","volume":"115"},"uris":["http://www.mendeley.com/documents/?uuid=1d02706a-a1d3-4499-800d-0f1a04976d40"]}],"mendeley":{"formattedCitation":"(Öǧretmenoǧlu &lt;i&gt;et al.&lt;/i&gt;, 2005)","plainTextFormattedCitation":"(Öǧretmenoǧlu et al., 2005)","previouslyFormattedCitation":"(Öǧretmenoǧlu &lt;i&gt;et al.&lt;/i&gt;, 2005)"},"properties":{"noteIndex":0},"schema":"https://github.com/citation-style-language/schema/raw/master/csl-citation.json"}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 xml:space="preserve">(Öǧretmenoǧlu </w:t>
      </w:r>
      <w:r w:rsidRPr="00F840E1">
        <w:rPr>
          <w:rFonts w:ascii="Arial" w:hAnsi="Arial" w:cs="Arial"/>
          <w:i/>
          <w:noProof/>
        </w:rPr>
        <w:t>et al.</w:t>
      </w:r>
      <w:r w:rsidRPr="00F840E1">
        <w:rPr>
          <w:rFonts w:ascii="Arial" w:hAnsi="Arial" w:cs="Arial"/>
          <w:noProof/>
        </w:rPr>
        <w:t>, 2005)</w:t>
      </w:r>
      <w:r w:rsidRPr="00F840E1">
        <w:rPr>
          <w:rFonts w:ascii="Arial" w:hAnsi="Arial" w:cs="Arial"/>
        </w:rPr>
        <w:fldChar w:fldCharType="end"/>
      </w:r>
      <w:r w:rsidRPr="00F840E1">
        <w:rPr>
          <w:rFonts w:ascii="Arial" w:hAnsi="Arial" w:cs="Arial"/>
        </w:rPr>
        <w:t xml:space="preserve"> or as a side effect of their asthma </w:t>
      </w:r>
      <w:r w:rsidRPr="00F840E1">
        <w:rPr>
          <w:rFonts w:ascii="Arial" w:hAnsi="Arial" w:cs="Arial"/>
        </w:rPr>
        <w:fldChar w:fldCharType="begin" w:fldLock="1"/>
      </w:r>
      <w:r w:rsidRPr="00F840E1">
        <w:rPr>
          <w:rFonts w:ascii="Arial" w:hAnsi="Arial" w:cs="Arial"/>
        </w:rPr>
        <w:instrText>ADDIN CSL_CITATION {"citationItems":[{"id":"ITEM-1","itemData":{"DOI":"10.4103/lungindia.lungindia_241_17","ISSN":"0974598X","author":[{"dropping-particle":"","family":"Dixit","given":"Ramakant","non-dropping-particle":"","parse-names":false,"suffix":""}],"container-title":"Lung India","id":"ITEM-1","issue":"3","issued":{"date-parts":[["2018"]]},"page":"191-192","title":"Asthma and obstructive sleep apnea: More than an association!","type":"article-journal","volume":"35"},"uris":["http://www.mendeley.com/documents/?uuid=c83bcd90-8980-496d-bda5-83067fb22258"]}],"mendeley":{"formattedCitation":"(Dixit, 2018)","plainTextFormattedCitation":"(Dixit, 2018)","previouslyFormattedCitation":"(Dixit, 2018)"},"properties":{"noteIndex":0},"schema":"https://github.com/citation-style-language/schema/raw/master/csl-citation.json"}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(Dixit, 2018)</w:t>
      </w:r>
      <w:r w:rsidRPr="00F840E1">
        <w:rPr>
          <w:rFonts w:ascii="Arial" w:hAnsi="Arial" w:cs="Arial"/>
        </w:rPr>
        <w:fldChar w:fldCharType="end"/>
      </w:r>
      <w:r w:rsidRPr="00F840E1">
        <w:rPr>
          <w:rFonts w:ascii="Arial" w:hAnsi="Arial" w:cs="Arial"/>
        </w:rPr>
        <w:t xml:space="preserve">. The montelukast medication that the client is using in the management of their asthma can also cause problems with the sleeping </w:t>
      </w:r>
      <w:r w:rsidRPr="00F840E1">
        <w:rPr>
          <w:rFonts w:ascii="Arial" w:hAnsi="Arial" w:cs="Arial"/>
        </w:rPr>
        <w:fldChar w:fldCharType="begin" w:fldLock="1"/>
      </w:r>
      <w:r w:rsidRPr="00F840E1">
        <w:rPr>
          <w:rFonts w:ascii="Arial" w:hAnsi="Arial" w:cs="Arial"/>
        </w:rPr>
        <w:instrText>ADDIN CSL_CITATION {"citationItems":[{"id":"ITEM-1","itemData":{"DOI":"10.1159/000366164","ISSN":"14230313","PMID":"25196099","abstract":"Background: Montelukast, a leucotriene receptor antagonist, binds the cysteinyl leucotriene type 1 receptor. Montelukast is commonly prescribed to asthma patients as add-on therapy to inhaled corticosteroids. Several clinical trials emphasized that montelukast can be considered a safe drug. However, recent evidence reconsidered the benefit/risk ratio of the use of montelukast for both paediatric and adult patients. Summary: The present review analyzed the previous published case reports regarding montelukast-induced adverse drug reactions (ADRs). They included agitation, anxiety, depression, sleep disturbance, hallucinations, suicidal thinking and suicidality, tremor, dizziness, drowsiness, neuropathies and seizures. The immune system can be involved, in particular, cases of Churg-Strauss syndrome have been published. Furthermore, it can induce hypersensitivity reactions, including anaphylaxis and eosinophilic infiltration. In addition, hepatobiliary, pancreatic and uropoietic disorders have been observed. Some of these cases are characterized by severe prognosis (i.e. neurological deficit and fatal hepatotoxicity). Key Message: The use of montelukast can be burdened by several ADRs, of which physicians should be aware in their clinical practice. A better understanding of the mechanisms causing ADRs after using montelukast could help researchers and clinicians in defining a risk-reduction strategy aimed to lessen montelukast toxicity. More accurate epidemiological studies, in order to discover risk factors favouring montelukast-associated ADRs, are demanded.","author":[{"dropping-particle":"","family":"Calapai","given":"Gioacchino","non-dropping-particle":"","parse-names":false,"suffix":""},{"dropping-particle":"","family":"Casciaro","given":"Marco","non-dropping-particle":"","parse-names":false,"suffix":""},{"dropping-particle":"","family":"Miroddi","given":"Marco","non-dropping-particle":"","parse-names":false,"suffix":""},{"dropping-particle":"","family":"Calapai","given":"Fabrizio","non-dropping-particle":"","parse-names":false,"suffix":""},{"dropping-particle":"","family":"Navarra","given":"Michele","non-dropping-particle":"","parse-names":false,"suffix":""},{"dropping-particle":"","family":"Gangemi","given":"Sebastiano","non-dropping-particle":"","parse-names":false,"suffix":""}],"container-title":"Pharmacology","id":"ITEM-1","issue":"1","issued":{"date-parts":[["2014"]]},"page":"60-70","title":"Montelukast-induced adverse drug reactions: A review of case reports in the literature","type":"article-journal","volume":"94"},"uris":["http://www.mendeley.com/documents/?uuid=dd48a0d2-3f76-4b50-ae4d-3925d0d08677"]}],"mendeley":{"formattedCitation":"(Calapai &lt;i&gt;et al.&lt;/i&gt;, 2014)","plainTextFormattedCitation":"(Calapai et al., 2014)","previouslyFormattedCitation":"(Calapai &lt;i&gt;et al.&lt;/i&gt;, 2014)"},"properties":{"noteIndex":0},"schema":"https://github.com/citation-style-language/schema/raw/master/csl-citation.json"}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 xml:space="preserve">(Calapai </w:t>
      </w:r>
      <w:r w:rsidRPr="00F840E1">
        <w:rPr>
          <w:rFonts w:ascii="Arial" w:hAnsi="Arial" w:cs="Arial"/>
          <w:i/>
          <w:noProof/>
        </w:rPr>
        <w:t>et al.</w:t>
      </w:r>
      <w:r w:rsidRPr="00F840E1">
        <w:rPr>
          <w:rFonts w:ascii="Arial" w:hAnsi="Arial" w:cs="Arial"/>
          <w:noProof/>
        </w:rPr>
        <w:t>, 2014)</w:t>
      </w:r>
      <w:r w:rsidRPr="00F840E1">
        <w:rPr>
          <w:rFonts w:ascii="Arial" w:hAnsi="Arial" w:cs="Arial"/>
        </w:rPr>
        <w:fldChar w:fldCharType="end"/>
      </w:r>
      <w:r w:rsidRPr="00F840E1">
        <w:rPr>
          <w:rFonts w:ascii="Arial" w:hAnsi="Arial" w:cs="Arial"/>
        </w:rPr>
        <w:t xml:space="preserve">. </w:t>
      </w:r>
    </w:p>
    <w:p w14:paraId="48BF1A73" w14:textId="77777777" w:rsidR="00397AAB" w:rsidRPr="00F840E1" w:rsidRDefault="00397AAB" w:rsidP="00F840E1">
      <w:pPr>
        <w:spacing w:line="360" w:lineRule="auto"/>
        <w:jc w:val="both"/>
        <w:rPr>
          <w:rFonts w:ascii="Arial" w:hAnsi="Arial" w:cs="Arial"/>
        </w:rPr>
      </w:pPr>
    </w:p>
    <w:p w14:paraId="66669939" w14:textId="77777777" w:rsidR="00397AAB" w:rsidRPr="00F840E1" w:rsidRDefault="00397AAB" w:rsidP="00F840E1">
      <w:pPr>
        <w:spacing w:line="360" w:lineRule="auto"/>
        <w:jc w:val="both"/>
        <w:rPr>
          <w:rFonts w:ascii="Arial" w:hAnsi="Arial" w:cs="Arial"/>
        </w:rPr>
      </w:pPr>
      <w:r w:rsidRPr="00F840E1">
        <w:rPr>
          <w:rFonts w:ascii="Arial" w:hAnsi="Arial" w:cs="Arial"/>
          <w:b/>
          <w:bCs/>
          <w:sz w:val="28"/>
          <w:szCs w:val="28"/>
        </w:rPr>
        <w:t xml:space="preserve">Theoretical and Technical Overview Review of the Condition </w:t>
      </w:r>
      <w:proofErr w:type="gramStart"/>
      <w:r w:rsidRPr="00F840E1">
        <w:rPr>
          <w:rFonts w:ascii="Arial" w:hAnsi="Arial" w:cs="Arial"/>
          <w:b/>
          <w:bCs/>
          <w:sz w:val="28"/>
          <w:szCs w:val="28"/>
        </w:rPr>
        <w:t>To</w:t>
      </w:r>
      <w:proofErr w:type="gramEnd"/>
      <w:r w:rsidRPr="00F840E1">
        <w:rPr>
          <w:rFonts w:ascii="Arial" w:hAnsi="Arial" w:cs="Arial"/>
          <w:b/>
          <w:bCs/>
          <w:sz w:val="28"/>
          <w:szCs w:val="28"/>
        </w:rPr>
        <w:t xml:space="preserve"> Be Addressed</w:t>
      </w:r>
      <w:r w:rsidRPr="00F840E1">
        <w:rPr>
          <w:rFonts w:ascii="Arial" w:hAnsi="Arial" w:cs="Arial"/>
        </w:rPr>
        <w:t xml:space="preserve"> </w:t>
      </w:r>
    </w:p>
    <w:p w14:paraId="09110BAF" w14:textId="2D525285" w:rsidR="00397AAB" w:rsidRPr="00F840E1" w:rsidRDefault="00397AAB" w:rsidP="00F840E1">
      <w:pPr>
        <w:spacing w:line="360" w:lineRule="auto"/>
        <w:jc w:val="both"/>
        <w:rPr>
          <w:rFonts w:ascii="Arial" w:hAnsi="Arial" w:cs="Arial"/>
        </w:rPr>
      </w:pPr>
      <w:r w:rsidRPr="00F840E1">
        <w:rPr>
          <w:rFonts w:ascii="Arial" w:hAnsi="Arial" w:cs="Arial"/>
        </w:rPr>
        <w:t xml:space="preserve">Asthma is defined as a chronic disorder which involves inflammation of the airways </w:t>
      </w:r>
      <w:r w:rsidRPr="00F840E1">
        <w:rPr>
          <w:rFonts w:ascii="Arial" w:hAnsi="Arial" w:cs="Arial"/>
        </w:rPr>
        <w:fldChar w:fldCharType="begin" w:fldLock="1"/>
      </w:r>
      <w:r w:rsidRPr="00F840E1">
        <w:rPr>
          <w:rFonts w:ascii="Arial" w:hAnsi="Arial" w:cs="Arial"/>
        </w:rPr>
        <w:instrText>ADDIN CSL_CITATION {"citationItems":[{"id":"ITEM-1","itemData":{"author":[{"dropping-particle":"","family":"Quirt","given":"J.","non-dropping-particle":"","parse-names":false,"suffix":""},{"dropping-particle":"","family":"Hildebrand","given":"K. J.","non-dropping-particle":"","parse-names":false,"suffix":""},{"dropping-particle":"","family":"Mazza","given":"J.","non-dropping-particle":"","parse-names":false,"suffix":""},{"dropping-particle":"","family":"Noya","given":"F.","non-dropping-particle":"","parse-names":false,"suffix":""},{"dropping-particle":"","family":"Kim","given":"H.","non-dropping-particle":"","parse-names":false,"suffix":""}],"container-title":"Allergy Asthma Clinical Immunology","id":"ITEM-1","issue":"2","issued":{"date-parts":[["2018"]]},"title":"Asthma","type":"article-journal","volume":"14"},"uris":["http://www.mendeley.com/documents/?uuid=77b05e07-78fc-47d4-b0b1-64f8e4b88d5f"]}],"mendeley":{"formattedCitation":"(Quirt &lt;i&gt;et al.&lt;/i&gt;, 2018)","plainTextFormattedCitation":"(Quirt et al., 2018)","previouslyFormattedCitation":"(Quirt &lt;i&gt;et al.&lt;/i&gt;, 2018)"},"properties":{"noteIndex":0},"schema":"https://github.com/citation-style-language/schema/raw/master/csl-citation.json"}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 xml:space="preserve">(Quirt </w:t>
      </w:r>
      <w:r w:rsidRPr="00F840E1">
        <w:rPr>
          <w:rFonts w:ascii="Arial" w:hAnsi="Arial" w:cs="Arial"/>
          <w:i/>
          <w:noProof/>
        </w:rPr>
        <w:t>et al.</w:t>
      </w:r>
      <w:r w:rsidRPr="00F840E1">
        <w:rPr>
          <w:rFonts w:ascii="Arial" w:hAnsi="Arial" w:cs="Arial"/>
          <w:noProof/>
        </w:rPr>
        <w:t>, 2018)</w:t>
      </w:r>
      <w:r w:rsidRPr="00F840E1">
        <w:rPr>
          <w:rFonts w:ascii="Arial" w:hAnsi="Arial" w:cs="Arial"/>
        </w:rPr>
        <w:fldChar w:fldCharType="end"/>
      </w:r>
      <w:r w:rsidRPr="00F840E1">
        <w:rPr>
          <w:rFonts w:ascii="Arial" w:hAnsi="Arial" w:cs="Arial"/>
        </w:rPr>
        <w:t xml:space="preserve">. Specific causes for the development of asthma are not fully known however, some environmental and genetic factors including obesity and exposure to tobacco smoke are known to have some involvement within certain asthma types  </w:t>
      </w:r>
      <w:r w:rsidRPr="00F840E1">
        <w:rPr>
          <w:rFonts w:ascii="Arial" w:hAnsi="Arial" w:cs="Arial"/>
        </w:rPr>
        <w:fldChar w:fldCharType="begin" w:fldLock="1"/>
      </w:r>
      <w:r w:rsidRPr="00F840E1">
        <w:rPr>
          <w:rFonts w:ascii="Arial" w:hAnsi="Arial" w:cs="Arial"/>
        </w:rPr>
        <w:instrText>ADDIN CSL_CITATION {"citationItems":[{"id":"ITEM-1","itemData":{"author":[{"dropping-particle":"","family":"Khachi","given":"H.","non-dropping-particle":"","parse-names":false,"suffix":""},{"dropping-particle":"","family":"Meynell","given":"H.","non-dropping-particle":"","parse-names":false,"suffix":""},{"dropping-particle":"","family":"Murphy","given":"A.","non-dropping-particle":"","parse-names":false,"suffix":""}],"container-title":"The Pharmaceutical Journal","id":"ITEM-1","issue":"9","issued":{"date-parts":[["2014"]]},"title":"Asthma: pathophysiology, causes and diagnosis","type":"article-journal","volume":"5"},"uris":["http://www.mendeley.com/documents/?uuid=1f928b0f-24ab-46df-83e8-888b90c5c291"]}],"mendeley":{"formattedCitation":"(Khachi, Meynell and Murphy, 2014)","plainTextFormattedCitation":"(Khachi, Meynell and Murphy, 2014)","previouslyFormattedCitation":"(Khachi, Meynell and Murphy, 2014)"},"properties":{"noteIndex":0},"schema":"https://github.com/citation-style-language/schema/raw/master/csl-citation.json"}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(Khachi, Meynell and Murphy, 2014)</w:t>
      </w:r>
      <w:r w:rsidRPr="00F840E1">
        <w:rPr>
          <w:rFonts w:ascii="Arial" w:hAnsi="Arial" w:cs="Arial"/>
        </w:rPr>
        <w:fldChar w:fldCharType="end"/>
      </w:r>
      <w:r w:rsidRPr="00F840E1">
        <w:rPr>
          <w:rFonts w:ascii="Arial" w:hAnsi="Arial" w:cs="Arial"/>
        </w:rPr>
        <w:t xml:space="preserve">. Triggers which can exacerbate an individual’s asthma symptoms can change over time and differ greatly between asthmatics </w:t>
      </w:r>
      <w:r w:rsidRPr="00F840E1">
        <w:rPr>
          <w:rFonts w:ascii="Arial" w:hAnsi="Arial" w:cs="Arial"/>
        </w:rPr>
        <w:fldChar w:fldCharType="begin" w:fldLock="1"/>
      </w:r>
      <w:r w:rsidRPr="00F840E1">
        <w:rPr>
          <w:rFonts w:ascii="Arial" w:hAnsi="Arial" w:cs="Arial"/>
        </w:rPr>
        <w:instrText>ADDIN CSL_CITATION {"citationItems":[{"id":"ITEM-1","itemData":{"author":[{"dropping-particle":"","family":"Quirt","given":"J.","non-dropping-particle":"","parse-names":false,"suffix":""},{"dropping-particle":"","family":"Hildebrand","given":"K. J.","non-dropping-particle":"","parse-names":false,"suffix":""},{"dropping-particle":"","family":"Mazza","given":"J.","non-dropping-particle":"","parse-names":false,"suffix":""},{"dropping-particle":"","family":"Noya","given":"F.","non-dropping-particle":"","parse-names":false,"suffix":""},{"dropping-particle":"","family":"Kim","given":"H.","non-dropping-particle":"","parse-names":false,"suffix":""}],"container-title":"Allergy Asthma Clinical Immunology","id":"ITEM-1","issue":"2","issued":{"date-parts":[["2018"]]},"title":"Asthma","type":"article-journal","volume":"14"},"uris":["http://www.mendeley.com/documents/?uuid=77b05e07-78fc-47d4-b0b1-64f8e4b88d5f"]}],"mendeley":{"formattedCitation":"(Quirt &lt;i&gt;et al.&lt;/i&gt;, 2018)","plainTextFormattedCitation":"(Quirt et al., 2018)","previouslyFormattedCitation":"(Quirt &lt;i&gt;et al.&lt;/i&gt;, 2018)"},"properties":{"noteIndex":0},"schema":"https://github.com/citation-style-language/schema/raw/master/csl-citation.json"}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 xml:space="preserve">(Quirt </w:t>
      </w:r>
      <w:r w:rsidRPr="00F840E1">
        <w:rPr>
          <w:rFonts w:ascii="Arial" w:hAnsi="Arial" w:cs="Arial"/>
          <w:i/>
          <w:noProof/>
        </w:rPr>
        <w:t>et al.</w:t>
      </w:r>
      <w:r w:rsidRPr="00F840E1">
        <w:rPr>
          <w:rFonts w:ascii="Arial" w:hAnsi="Arial" w:cs="Arial"/>
          <w:noProof/>
        </w:rPr>
        <w:t>, 2018)</w:t>
      </w:r>
      <w:r w:rsidRPr="00F840E1">
        <w:rPr>
          <w:rFonts w:ascii="Arial" w:hAnsi="Arial" w:cs="Arial"/>
        </w:rPr>
        <w:fldChar w:fldCharType="end"/>
      </w:r>
      <w:r w:rsidRPr="00F840E1">
        <w:rPr>
          <w:rFonts w:ascii="Arial" w:hAnsi="Arial" w:cs="Arial"/>
        </w:rPr>
        <w:t xml:space="preserve">. Triggers include allergic and non-allergic stimuli </w:t>
      </w:r>
      <w:r w:rsidRPr="00F840E1">
        <w:rPr>
          <w:rFonts w:ascii="Arial" w:hAnsi="Arial" w:cs="Arial"/>
        </w:rPr>
        <w:fldChar w:fldCharType="begin" w:fldLock="1"/>
      </w:r>
      <w:r w:rsidRPr="00F840E1">
        <w:rPr>
          <w:rFonts w:ascii="Arial" w:hAnsi="Arial" w:cs="Arial"/>
        </w:rPr>
        <w:instrText>ADDIN CSL_CITATION {"citationItems":[{"id":"ITEM-1","itemData":{"author":[{"dropping-particle":"","family":"Quirt","given":"J.","non-dropping-particle":"","parse-names":false,"suffix":""},{"dropping-particle":"","family":"Hildebrand","given":"K. J.","non-dropping-particle":"","parse-names":false,"suffix":""},{"dropping-particle":"","family":"Mazza","given":"J.","non-dropping-particle":"","parse-names":false,"suffix":""},{"dropping-particle":"","family":"Noya","given":"F.","non-dropping-particle":"","parse-names":false,"suffix":""},{"dropping-particle":"","family":"Kim","given":"H.","non-dropping-particle":"","parse-names":false,"suffix":""}],"container-title":"Allergy Asthma Clinical Immunology","id":"ITEM-1","issue":"2","issued":{"date-parts":[["2018"]]},"title":"Asthma","type":"article-journal","volume":"14"},"uris":["http://www.mendeley.com/documents/?uuid=77b05e07-78fc-47d4-b0b1-64f8e4b88d5f"]}],"mendeley":{"formattedCitation":"(Quirt &lt;i&gt;et al.&lt;/i&gt;, 2018)","plainTextFormattedCitation":"(Quirt et al., 2018)","previouslyFormattedCitation":"(Quirt &lt;i&gt;et al.&lt;/i&gt;, 2018)"},"properties":{"noteIndex":0},"schema":"https://github.com/citation-style-language/schema/raw/master/csl-citation.json"}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 xml:space="preserve">(Quirt </w:t>
      </w:r>
      <w:r w:rsidRPr="00F840E1">
        <w:rPr>
          <w:rFonts w:ascii="Arial" w:hAnsi="Arial" w:cs="Arial"/>
          <w:i/>
          <w:noProof/>
        </w:rPr>
        <w:t>et al.</w:t>
      </w:r>
      <w:r w:rsidRPr="00F840E1">
        <w:rPr>
          <w:rFonts w:ascii="Arial" w:hAnsi="Arial" w:cs="Arial"/>
          <w:noProof/>
        </w:rPr>
        <w:t>, 2018)</w:t>
      </w:r>
      <w:r w:rsidRPr="00F840E1">
        <w:rPr>
          <w:rFonts w:ascii="Arial" w:hAnsi="Arial" w:cs="Arial"/>
        </w:rPr>
        <w:fldChar w:fldCharType="end"/>
      </w:r>
      <w:r w:rsidRPr="00F840E1">
        <w:rPr>
          <w:rFonts w:ascii="Arial" w:hAnsi="Arial" w:cs="Arial"/>
        </w:rPr>
        <w:t xml:space="preserve"> with the most common triggers including upper or lower respiratory tract infections, tobacco smoking, allergens, stress and exercise </w:t>
      </w:r>
      <w:r w:rsidRPr="00F840E1">
        <w:rPr>
          <w:rFonts w:ascii="Arial" w:hAnsi="Arial" w:cs="Arial"/>
          <w:noProof/>
        </w:rPr>
        <w:t>(Mims, 2015)</w:t>
      </w:r>
      <w:r w:rsidRPr="00F840E1">
        <w:rPr>
          <w:rFonts w:ascii="Arial" w:hAnsi="Arial" w:cs="Arial"/>
        </w:rPr>
        <w:t xml:space="preserve">. During an allergic response, the allergen binds to allergen-specific </w:t>
      </w:r>
      <w:proofErr w:type="spellStart"/>
      <w:r w:rsidRPr="00F840E1">
        <w:rPr>
          <w:rFonts w:ascii="Arial" w:hAnsi="Arial" w:cs="Arial"/>
        </w:rPr>
        <w:t>IgE</w:t>
      </w:r>
      <w:proofErr w:type="spellEnd"/>
      <w:r w:rsidRPr="00F840E1">
        <w:rPr>
          <w:rFonts w:ascii="Arial" w:hAnsi="Arial" w:cs="Arial"/>
        </w:rPr>
        <w:t xml:space="preserve"> antibodies on the surface of mast cells which causes the release of inflammatory mediators within the body which leads to bronchospasm and results in an episode of the symptoms associated with an asthma attack </w:t>
      </w:r>
      <w:r w:rsidRPr="00F840E1">
        <w:rPr>
          <w:rFonts w:ascii="Arial" w:hAnsi="Arial" w:cs="Arial"/>
        </w:rPr>
        <w:fldChar w:fldCharType="begin" w:fldLock="1"/>
      </w:r>
      <w:r w:rsidRPr="00F840E1">
        <w:rPr>
          <w:rFonts w:ascii="Arial" w:hAnsi="Arial" w:cs="Arial"/>
        </w:rPr>
        <w:instrText>ADDIN CSL_CITATION {"citationItems":[{"id":"ITEM-1","itemData":{"author":[{"dropping-particle":"","family":"Khachi","given":"H.","non-dropping-particle":"","parse-names":false,"suffix":""},{"dropping-particle":"","family":"Meynell","given":"H.","non-dropping-particle":"","parse-names":false,"suffix":""},{"dropping-particle":"","family":"Murphy","given":"A.","non-dropping-particle":"","parse-names":false,"suffix":""}],"container-title":"The Pharmaceutical Journal","id":"ITEM-1","issue":"9","issued":{"date-parts":[["2014"]]},"title":"Asthma: pathophysiology, causes and diagnosis","type":"article-journal","volume":"5"},"uris":["http://www.mendeley.com/documents/?uuid=1f928b0f-24ab-46df-83e8-888b90c5c291"]}],"mendeley":{"formattedCitation":"(Khachi, Meynell and Murphy, 2014)","plainTextFormattedCitation":"(Khachi, Meynell and Murphy, 2014)","previouslyFormattedCitation":"(Khachi, Meynell and Murphy, 2014)"},"properties":{"noteIndex":0},"schema":"https://github.com/citation-style-language/schema/raw/master/csl-citation.json"}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(Khachi, Meynell and Murphy, 2014)</w:t>
      </w:r>
      <w:r w:rsidRPr="00F840E1">
        <w:rPr>
          <w:rFonts w:ascii="Arial" w:hAnsi="Arial" w:cs="Arial"/>
        </w:rPr>
        <w:fldChar w:fldCharType="end"/>
      </w:r>
      <w:r w:rsidRPr="00F840E1">
        <w:rPr>
          <w:rFonts w:ascii="Arial" w:hAnsi="Arial" w:cs="Arial"/>
        </w:rPr>
        <w:t xml:space="preserve">. The pathophysiological processes associated with a non-allergic stimulus are reported to involve innate immune mechanisms through neutrophil activation which ultimately increases airway hyperresponsiveness and triggers an episode of symptoms </w:t>
      </w:r>
      <w:r w:rsidRPr="00F840E1">
        <w:rPr>
          <w:rFonts w:ascii="Arial" w:hAnsi="Arial" w:cs="Arial"/>
        </w:rPr>
        <w:fldChar w:fldCharType="begin" w:fldLock="1"/>
      </w:r>
      <w:r w:rsidRPr="00F840E1">
        <w:rPr>
          <w:rFonts w:ascii="Arial" w:hAnsi="Arial" w:cs="Arial"/>
        </w:rPr>
        <w:instrText>ADDIN CSL_CITATION {"citationItems":[{"id":"ITEM-1","itemData":{"DOI":"10.1136/thorax.57.7.643","ISSN":"00406376","PMID":"12096210","abstract":"There is increasing evidence that inflammatory mechanisms other than eosinophilic inflammation may be involved in producing the final common pathway of enhanced bronchial reactivity and reversible airflow obstruction that characterises asthma. A review of the literature has shown that, at most, only 50% of asthma cases are attributable to eosinophilic airway inflammation. It is hypothesised that a major proportion of asthma is based on neutrophilic airway inflammation, possibly triggered by environmental exposure to bacterial endotoxin, particulate air pollution, and ozone, as well as viral infections. If there are indeed two (or more) subtypes of asthma, and if non-eosinophilic (neutrophil mediated) asthma is relatively common, this would have major consequences for the treatment and prevention of asthma since most treatment and prevention strategies are now almost entirely focused on allergic/eosinophilic asthma and allergen avoidance measures, respectively. It is therefore important to study the aetiology of asthma further, including the underlying inflammatory profiles.","author":[{"dropping-particle":"","family":"Douwes","given":"J.","non-dropping-particle":"","parse-names":false,"suffix":""},{"dropping-particle":"","family":"Gibson","given":"P.","non-dropping-particle":"","parse-names":false,"suffix":""},{"dropping-particle":"","family":"Pekkanen","given":"J.","non-dropping-particle":"","parse-names":false,"suffix":""},{"dropping-particle":"","family":"Pearce","given":"N.","non-dropping-particle":"","parse-names":false,"suffix":""}],"container-title":"Thorax","id":"ITEM-1","issue":"7","issued":{"date-parts":[["2002"]]},"page":"643-648","title":"Non-eosinophilic asthma: Importance and possible mechanisms","type":"article-journal","volume":"57"},"uris":["http://www.mendeley.com/documents/?uuid=a8b2a38a-2e1c-4fc4-b408-a3fc0613d178"]}],"mendeley":{"formattedCitation":"(Douwes &lt;i&gt;et al.&lt;/i&gt;, 2002)","plainTextFormattedCitation":"(Douwes et al., 2002)","previouslyFormattedCitation":"(Douwes &lt;i&gt;et al.&lt;/i&gt;, 2002)"},"properties":{"noteIndex":0},"schema":"https://github.com/citation-style-language/schema/raw/master/csl-citation.json"}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 xml:space="preserve">(Douwes </w:t>
      </w:r>
      <w:r w:rsidRPr="00F840E1">
        <w:rPr>
          <w:rFonts w:ascii="Arial" w:hAnsi="Arial" w:cs="Arial"/>
          <w:i/>
          <w:noProof/>
        </w:rPr>
        <w:t>et al.</w:t>
      </w:r>
      <w:r w:rsidRPr="00F840E1">
        <w:rPr>
          <w:rFonts w:ascii="Arial" w:hAnsi="Arial" w:cs="Arial"/>
          <w:noProof/>
        </w:rPr>
        <w:t>, 2002)</w:t>
      </w:r>
      <w:r w:rsidRPr="00F840E1">
        <w:rPr>
          <w:rFonts w:ascii="Arial" w:hAnsi="Arial" w:cs="Arial"/>
        </w:rPr>
        <w:fldChar w:fldCharType="end"/>
      </w:r>
      <w:r w:rsidRPr="00F840E1">
        <w:rPr>
          <w:rFonts w:ascii="Arial" w:hAnsi="Arial" w:cs="Arial"/>
        </w:rPr>
        <w:t xml:space="preserve">. The </w:t>
      </w:r>
      <w:r w:rsidRPr="00F840E1">
        <w:rPr>
          <w:rFonts w:ascii="Arial" w:hAnsi="Arial" w:cs="Arial"/>
        </w:rPr>
        <w:lastRenderedPageBreak/>
        <w:t xml:space="preserve">symptoms that are commonly associated with these episodes of asthma exacerbation include wheezing, breathlessness and chest tightness </w:t>
      </w:r>
      <w:r w:rsidRPr="00F840E1">
        <w:rPr>
          <w:rFonts w:ascii="Arial" w:hAnsi="Arial" w:cs="Arial"/>
        </w:rPr>
        <w:fldChar w:fldCharType="begin" w:fldLock="1"/>
      </w:r>
      <w:r w:rsidRPr="00F840E1">
        <w:rPr>
          <w:rFonts w:ascii="Arial" w:hAnsi="Arial" w:cs="Arial"/>
        </w:rPr>
        <w:instrText>ADDIN CSL_CITATION {"citationItems":[{"id":"ITEM-1","itemData":{"author":[{"dropping-particle":"","family":"Mims","given":"J. W","non-dropping-particle":"","parse-names":false,"suffix":""}],"container-title":"International forum of allergy and rhinology","id":"ITEM-1","issue":"1","issued":{"date-parts":[["2015"]]},"page":"52-56","title":"Asthma: definitions and pathophysiology","type":"article-journal","volume":"5"},"uris":["http://www.mendeley.com/documents/?uuid=74f2d6d6-64b6-4346-9bc5-6a81b6970b52"]}],"mendeley":{"formattedCitation":"(Mims, 2015)","plainTextFormattedCitation":"(Mims, 2015)","previouslyFormattedCitation":"(Mims, 2015)"},"properties":{"noteIndex":0},"schema":"https://github.com/citation-style-language/schema/raw/master/csl-citation.json"}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(Mims, 2015)</w:t>
      </w:r>
      <w:r w:rsidRPr="00F840E1">
        <w:rPr>
          <w:rFonts w:ascii="Arial" w:hAnsi="Arial" w:cs="Arial"/>
        </w:rPr>
        <w:fldChar w:fldCharType="end"/>
      </w:r>
      <w:r w:rsidRPr="00F840E1">
        <w:rPr>
          <w:rFonts w:ascii="Arial" w:hAnsi="Arial" w:cs="Arial"/>
        </w:rPr>
        <w:t xml:space="preserve">. The symptom episodes are usually reversible either spontaneously or through treatment interventions such as bronchodilators including salmeterol inhalers </w:t>
      </w:r>
      <w:r w:rsidRPr="00F840E1">
        <w:rPr>
          <w:rFonts w:ascii="Arial" w:hAnsi="Arial" w:cs="Arial"/>
        </w:rPr>
        <w:fldChar w:fldCharType="begin" w:fldLock="1"/>
      </w:r>
      <w:r w:rsidRPr="00F840E1">
        <w:rPr>
          <w:rFonts w:ascii="Arial" w:hAnsi="Arial" w:cs="Arial"/>
        </w:rPr>
        <w:instrText>ADDIN CSL_CITATION {"citationItems":[{"id":"ITEM-1","itemData":{"author":[{"dropping-particle":"","family":"Quirt","given":"J.","non-dropping-particle":"","parse-names":false,"suffix":""},{"dropping-particle":"","family":"Hildebrand","given":"K. J.","non-dropping-particle":"","parse-names":false,"suffix":""},{"dropping-particle":"","family":"Mazza","given":"J.","non-dropping-particle":"","parse-names":false,"suffix":""},{"dropping-particle":"","family":"Noya","given":"F.","non-dropping-particle":"","parse-names":false,"suffix":""},{"dropping-particle":"","family":"Kim","given":"H.","non-dropping-particle":"","parse-names":false,"suffix":""}],"container-title":"Allergy Asthma Clinical Immunology","id":"ITEM-1","issue":"2","issued":{"date-parts":[["2018"]]},"title":"Asthma","type":"article-journal","volume":"14"},"uris":["http://www.mendeley.com/documents/?uuid=77b05e07-78fc-47d4-b0b1-64f8e4b88d5f"]}],"mendeley":{"formattedCitation":"(Quirt &lt;i&gt;et al.&lt;/i&gt;, 2018)","plainTextFormattedCitation":"(Quirt et al., 2018)","previouslyFormattedCitation":"(Quirt &lt;i&gt;et al.&lt;/i&gt;, 2018)"},"properties":{"noteIndex":0},"schema":"https://github.com/citation-style-language/schema/raw/master/csl-citation.json"}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 xml:space="preserve">(Quirt </w:t>
      </w:r>
      <w:r w:rsidRPr="00F840E1">
        <w:rPr>
          <w:rFonts w:ascii="Arial" w:hAnsi="Arial" w:cs="Arial"/>
          <w:i/>
          <w:noProof/>
        </w:rPr>
        <w:t>et al.</w:t>
      </w:r>
      <w:r w:rsidRPr="00F840E1">
        <w:rPr>
          <w:rFonts w:ascii="Arial" w:hAnsi="Arial" w:cs="Arial"/>
          <w:noProof/>
        </w:rPr>
        <w:t>, 2018)</w:t>
      </w:r>
      <w:r w:rsidRPr="00F840E1">
        <w:rPr>
          <w:rFonts w:ascii="Arial" w:hAnsi="Arial" w:cs="Arial"/>
        </w:rPr>
        <w:fldChar w:fldCharType="end"/>
      </w:r>
      <w:r w:rsidRPr="00F840E1">
        <w:rPr>
          <w:rFonts w:ascii="Arial" w:hAnsi="Arial" w:cs="Arial"/>
        </w:rPr>
        <w:t xml:space="preserve">.  </w:t>
      </w:r>
    </w:p>
    <w:p w14:paraId="6DF9E23B" w14:textId="77777777" w:rsidR="00397AAB" w:rsidRPr="00F840E1" w:rsidRDefault="00397AAB" w:rsidP="00F840E1">
      <w:pPr>
        <w:spacing w:line="360" w:lineRule="auto"/>
        <w:jc w:val="both"/>
        <w:rPr>
          <w:rFonts w:ascii="Arial" w:hAnsi="Arial" w:cs="Arial"/>
        </w:rPr>
      </w:pPr>
    </w:p>
    <w:p w14:paraId="2668F157" w14:textId="77777777" w:rsidR="00397AAB" w:rsidRPr="00F840E1" w:rsidRDefault="00397AAB" w:rsidP="00F840E1">
      <w:pPr>
        <w:spacing w:line="360" w:lineRule="auto"/>
        <w:jc w:val="both"/>
        <w:rPr>
          <w:rFonts w:ascii="Arial" w:hAnsi="Arial" w:cs="Arial"/>
        </w:rPr>
      </w:pPr>
      <w:r w:rsidRPr="00F840E1">
        <w:rPr>
          <w:rFonts w:ascii="Arial" w:hAnsi="Arial" w:cs="Arial"/>
        </w:rPr>
        <w:t xml:space="preserve">There are many risk factors which are associated with the development of asthma. It has been shown that there is a relationship between obesity and asthma in adult women </w:t>
      </w:r>
      <w:r w:rsidRPr="00F840E1">
        <w:rPr>
          <w:rFonts w:ascii="Arial" w:hAnsi="Arial" w:cs="Arial"/>
        </w:rPr>
        <w:fldChar w:fldCharType="begin" w:fldLock="1"/>
      </w:r>
      <w:r w:rsidRPr="00F840E1">
        <w:rPr>
          <w:rFonts w:ascii="Arial" w:hAnsi="Arial" w:cs="Arial"/>
        </w:rPr>
        <w:instrText>ADDIN CSL_CITATION {"citationItems":[{"id":"ITEM-1","itemData":{"author":[{"dropping-particle":"","family":"Boulet","given":"L. P.","non-dropping-particle":"","parse-names":false,"suffix":""}],"container-title":"Clinical and experimental allergy","id":"ITEM-1","issue":"1","issued":{"date-parts":[["2012"]]},"page":"8-21","title":"Asthma and obesity","type":"article-journal","volume":"43"},"uris":["http://www.mendeley.com/documents/?uuid=f74e052a-5cfa-4b47-8ea9-699f4769d884"]}],"mendeley":{"formattedCitation":"(Boulet, 2012)","plainTextFormattedCitation":"(Boulet, 2012)","previouslyFormattedCitation":"(Boulet, 2012)"},"properties":{"noteIndex":0},"schema":"https://github.com/citation-style-language/schema/raw/master/csl-citation.json"}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(Boulet, 2012)</w:t>
      </w:r>
      <w:r w:rsidRPr="00F840E1">
        <w:rPr>
          <w:rFonts w:ascii="Arial" w:hAnsi="Arial" w:cs="Arial"/>
        </w:rPr>
        <w:fldChar w:fldCharType="end"/>
      </w:r>
      <w:r w:rsidRPr="00F840E1">
        <w:rPr>
          <w:rFonts w:ascii="Arial" w:hAnsi="Arial" w:cs="Arial"/>
        </w:rPr>
        <w:t xml:space="preserve">. It has been suggested that this link may be due to obesity’s influence on lung mechanics such as a reduced bronchoprotective effect of deep inspiration as well as the influence of obesity on other factors such as increased systemic inflammation </w:t>
      </w:r>
      <w:r w:rsidRPr="00F840E1">
        <w:rPr>
          <w:rFonts w:ascii="Arial" w:hAnsi="Arial" w:cs="Arial"/>
        </w:rPr>
        <w:fldChar w:fldCharType="begin" w:fldLock="1"/>
      </w:r>
      <w:r w:rsidRPr="00F840E1">
        <w:rPr>
          <w:rFonts w:ascii="Arial" w:hAnsi="Arial" w:cs="Arial"/>
        </w:rPr>
        <w:instrText>ADDIN CSL_CITATION {"citationItems":[{"id":"ITEM-1","itemData":{"author":[{"dropping-particle":"","family":"Boulet","given":"L. P.","non-dropping-particle":"","parse-names":false,"suffix":""}],"container-title":"Clinical and experimental allergy","id":"ITEM-1","issue":"1","issued":{"date-parts":[["2012"]]},"page":"8-21","title":"Asthma and obesity","type":"article-journal","volume":"43"},"uris":["http://www.mendeley.com/documents/?uuid=f74e052a-5cfa-4b47-8ea9-699f4769d884"]}],"mendeley":{"formattedCitation":"(Boulet, 2012)","plainTextFormattedCitation":"(Boulet, 2012)","previouslyFormattedCitation":"(Boulet, 2012)"},"properties":{"noteIndex":0},"schema":"https://github.com/citation-style-language/schema/raw/master/csl-citation.json"}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(Boulet, 2012)</w:t>
      </w:r>
      <w:r w:rsidRPr="00F840E1">
        <w:rPr>
          <w:rFonts w:ascii="Arial" w:hAnsi="Arial" w:cs="Arial"/>
        </w:rPr>
        <w:fldChar w:fldCharType="end"/>
      </w:r>
      <w:r w:rsidRPr="00F840E1">
        <w:rPr>
          <w:rFonts w:ascii="Arial" w:hAnsi="Arial" w:cs="Arial"/>
        </w:rPr>
        <w:t xml:space="preserve">. Other lifestyle associated risk factors for the development of asthma include smoking </w:t>
      </w:r>
      <w:r w:rsidRPr="00F840E1">
        <w:rPr>
          <w:rFonts w:ascii="Arial" w:hAnsi="Arial" w:cs="Arial"/>
        </w:rPr>
        <w:fldChar w:fldCharType="begin" w:fldLock="1"/>
      </w:r>
      <w:r w:rsidRPr="00F840E1">
        <w:rPr>
          <w:rFonts w:ascii="Arial" w:hAnsi="Arial" w:cs="Arial"/>
        </w:rPr>
        <w:instrText>ADDIN CSL_CITATION {"citationItems":[{"id":"ITEM-1","itemData":{"author":[{"dropping-particle":"","family":"Polosa","given":"R.","non-dropping-particle":"","parse-names":false,"suffix":""},{"dropping-particle":"","family":"Thomson","given":"N. C.","non-dropping-particle":"","parse-names":false,"suffix":""}],"container-title":"European Respiratory Journal","id":"ITEM-1","issue":"1","issued":{"date-parts":[["2013"]]},"page":"716-726","title":"Smoking and asthma: dangerous liaisons | European Respiratory Society","type":"article-journal","volume":"41"},"uris":["http://www.mendeley.com/documents/?uuid=1123ea6e-42cc-48e7-b2eb-e9ddb1f024b4"]}],"mendeley":{"formattedCitation":"(Polosa and Thomson, 2013)","plainTextFormattedCitation":"(Polosa and Thomson, 2013)","previouslyFormattedCitation":"(Polosa and Thomson, 2013)"},"properties":{"noteIndex":0},"schema":"https://github.com/citation-style-language/schema/raw/master/csl-citation.json"}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(Polosa and Thomson, 2013)</w:t>
      </w:r>
      <w:r w:rsidRPr="00F840E1">
        <w:rPr>
          <w:rFonts w:ascii="Arial" w:hAnsi="Arial" w:cs="Arial"/>
        </w:rPr>
        <w:fldChar w:fldCharType="end"/>
      </w:r>
      <w:r w:rsidRPr="00F840E1">
        <w:rPr>
          <w:rFonts w:ascii="Arial" w:hAnsi="Arial" w:cs="Arial"/>
        </w:rPr>
        <w:t xml:space="preserve"> and occupational exposures </w:t>
      </w:r>
      <w:r w:rsidRPr="00F840E1">
        <w:rPr>
          <w:rFonts w:ascii="Arial" w:hAnsi="Arial" w:cs="Arial"/>
        </w:rPr>
        <w:fldChar w:fldCharType="begin" w:fldLock="1"/>
      </w:r>
      <w:r w:rsidRPr="00F840E1">
        <w:rPr>
          <w:rFonts w:ascii="Arial" w:hAnsi="Arial" w:cs="Arial"/>
        </w:rPr>
        <w:instrText>ADDIN CSL_CITATION {"citationItems":[{"id":"ITEM-1","itemData":{"DOI":"10.1183/09031936.00034913","ISSN":"09031936","PMID":"23949964","abstract":"Occupational exposure is a well-recognised modifiable risk factor for asthma, but the relationship between occupational exposure and asthma control has not been studied. We aimed to study this association among working-age adults from the European Community Respiratory Health Survey (ECRHS). Data were available for 7077 participants (mean age 43 years, 45% never-smokers, 5867 without asthma and 1210 with current asthma). Associations between occupational exposure to specific asthmagens and asthma control status (33% with uncontrolled asthma, based on the Global Initiative for Asthma guidelines) were evaluated using logistic and multinomial regressions, adjusted for age, sex and smoking status, with study areas included as a random effect. Statistically significant positive associations were observed between uncontrolled adult-onset asthma and both past 12-month and 10-year exposure to any occupational asthmagens (OR (95% CI) 1.6 (1.0-2.40) and 1.7 (1.2-2.5), respectively); high (1.7 (1.0-2.8) and 1.9 (1.3-2.9), respectively) and low (1.6 (1.0-2.7) and 1.8 (1.2-2.7), respectively) molecular weight agents; and cleaning agents (2.0 (1.1-3.6) and 2.3 (1.4-3.6), respectively), with stronger associations for long-term exposures. These associations were mainly explained by the exacerbation domain of asthma control and no associations were observed between asthmagens and partly controlled asthma. These findings suggest that occupational exposure to asthmagens is associated with uncontrolled adult-onset asthma. Occupational risk factors should be quickly identified to prevent uncontrolled asthma. Copyright © ERS 2014.","author":[{"dropping-particle":"","family":"Moual","given":"Nicole","non-dropping-particle":"Le","parse-names":false,"suffix":""},{"dropping-particle":"","family":"Carsin","given":"Anne Elie","non-dropping-particle":"","parse-names":false,"suffix":""},{"dropping-particle":"","family":"Siroux","given":"Valerie","non-dropping-particle":"","parse-names":false,"suffix":""},{"dropping-particle":"","family":"Radon","given":"Katja","non-dropping-particle":"","parse-names":false,"suffix":""},{"dropping-particle":"","family":"Norback","given":"Dan","non-dropping-particle":"","parse-names":false,"suffix":""},{"dropping-particle":"","family":"Torén","given":"Kjell","non-dropping-particle":"","parse-names":false,"suffix":""},{"dropping-particle":"","family":"Olivieri","given":"Mario","non-dropping-particle":"","parse-names":false,"suffix":""},{"dropping-particle":"","family":"Urrutia","given":"Isabel","non-dropping-particle":"","parse-names":false,"suffix":""},{"dropping-particle":"","family":"Cazzoletti","given":"Lucia","non-dropping-particle":"","parse-names":false,"suffix":""},{"dropping-particle":"","family":"Jacquemin","given":"Benedicte","non-dropping-particle":"","parse-names":false,"suffix":""},{"dropping-particle":"","family":"Benke","given":"Geza","non-dropping-particle":"","parse-names":false,"suffix":""},{"dropping-particle":"","family":"Kromhout","given":"Hans","non-dropping-particle":"","parse-names":false,"suffix":""},{"dropping-particle":"","family":"Mirabelli","given":"Maria C.","non-dropping-particle":"","parse-names":false,"suffix":""},{"dropping-particle":"","family":"Mehta","given":"Amar J.","non-dropping-particle":"","parse-names":false,"suffix":""},{"dropping-particle":"","family":"Schlunssen","given":"Vivi","non-dropping-particle":"","parse-names":false,"suffix":""},{"dropping-particle":"","family":"Sigsgaard","given":"Torben","non-dropping-particle":"","parse-names":false,"suffix":""},{"dropping-particle":"","family":"Blanc","given":"Paul D.","non-dropping-particle":"","parse-names":false,"suffix":""},{"dropping-particle":"","family":"Kogevinas","given":"Manolis","non-dropping-particle":"","parse-names":false,"suffix":""},{"dropping-particle":"","family":"Antó","given":"Josep M.","non-dropping-particle":"","parse-names":false,"suffix":""},{"dropping-particle":"","family":"Zock","given":"Jan Paul","non-dropping-particle":"","parse-names":false,"suffix":""}],"container-title":"European Respiratory Journal","id":"ITEM-1","issue":"2","issued":{"date-parts":[["2014"]]},"page":"374-386","title":"Occupational exposures and uncontrolled adult-onset asthma in the European Community Respiratory Health Survey II","type":"article-journal","volume":"43"},"uris":["http://www.mendeley.com/documents/?uuid=31adab57-0002-49c7-abe2-a915cbbb7fd8"]}],"mendeley":{"formattedCitation":"(Le Moual &lt;i&gt;et al.&lt;/i&gt;, 2014)","plainTextFormattedCitation":"(Le Moual et al., 2014)","previouslyFormattedCitation":"(Le Moual &lt;i&gt;et al.&lt;/i&gt;, 2014)"},"properties":{"noteIndex":0},"schema":"https://github.com/citation-style-language/schema/raw/master/csl-citation.json"}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 xml:space="preserve">(Le Moual </w:t>
      </w:r>
      <w:r w:rsidRPr="00F840E1">
        <w:rPr>
          <w:rFonts w:ascii="Arial" w:hAnsi="Arial" w:cs="Arial"/>
          <w:i/>
          <w:noProof/>
        </w:rPr>
        <w:t>et al.</w:t>
      </w:r>
      <w:r w:rsidRPr="00F840E1">
        <w:rPr>
          <w:rFonts w:ascii="Arial" w:hAnsi="Arial" w:cs="Arial"/>
          <w:noProof/>
        </w:rPr>
        <w:t>, 2014)</w:t>
      </w:r>
      <w:r w:rsidRPr="00F840E1">
        <w:rPr>
          <w:rFonts w:ascii="Arial" w:hAnsi="Arial" w:cs="Arial"/>
        </w:rPr>
        <w:fldChar w:fldCharType="end"/>
      </w:r>
      <w:r w:rsidRPr="00F840E1">
        <w:rPr>
          <w:rFonts w:ascii="Arial" w:hAnsi="Arial" w:cs="Arial"/>
        </w:rPr>
        <w:t xml:space="preserve">. </w:t>
      </w:r>
    </w:p>
    <w:p w14:paraId="22FF4C7B" w14:textId="77777777" w:rsidR="00397AAB" w:rsidRPr="00F840E1" w:rsidRDefault="00397AAB" w:rsidP="00F840E1">
      <w:pPr>
        <w:spacing w:line="360" w:lineRule="auto"/>
        <w:jc w:val="both"/>
        <w:rPr>
          <w:rFonts w:ascii="Arial" w:hAnsi="Arial" w:cs="Arial"/>
        </w:rPr>
      </w:pPr>
    </w:p>
    <w:p w14:paraId="3725D52A" w14:textId="65C4563E" w:rsidR="00397AAB" w:rsidRPr="00F840E1" w:rsidRDefault="00397AAB" w:rsidP="00F840E1">
      <w:pPr>
        <w:spacing w:line="360" w:lineRule="auto"/>
        <w:jc w:val="both"/>
        <w:rPr>
          <w:rFonts w:ascii="Arial" w:hAnsi="Arial" w:cs="Arial"/>
        </w:rPr>
      </w:pPr>
      <w:r w:rsidRPr="00F840E1">
        <w:rPr>
          <w:rFonts w:ascii="Arial" w:hAnsi="Arial" w:cs="Arial"/>
        </w:rPr>
        <w:t xml:space="preserve">There are also many conditions which are often associated with asthma including rhinosinusitis </w:t>
      </w:r>
      <w:r w:rsidRPr="00F840E1">
        <w:rPr>
          <w:rFonts w:ascii="Arial" w:hAnsi="Arial" w:cs="Arial"/>
        </w:rPr>
        <w:fldChar w:fldCharType="begin" w:fldLock="1"/>
      </w:r>
      <w:r w:rsidRPr="00F840E1">
        <w:rPr>
          <w:rFonts w:ascii="Arial" w:hAnsi="Arial" w:cs="Arial"/>
        </w:rPr>
        <w:instrText>ADDIN CSL_CITATION {"citationItems":[{"id":"ITEM-1","itemData":{"ISSN":"19852274","PMID":"29796207","abstract":"Rhinosinusitis is a common health problem encountered in primary care. It is due to mucosal inflammation of the nose and paranasal sinuses. Less than 2% of the cases are associated with bacterial infections. Diagnosis is based on clinical symptoms and supported by nasal endoscopy and imaging studies. Intranasal corticosteroids and normal saline irrigation are important treatments. Antibiotics are seldom indicated.","author":[{"dropping-particle":"","family":"Hussain","given":"Salina","non-dropping-particle":"","parse-names":false,"suffix":""},{"dropping-particle":"","family":"Amilia","given":"Hazreena Hamidon","non-dropping-particle":"","parse-names":false,"suffix":""},{"dropping-particle":"","family":"Rosli","given":"Mohd Noor","non-dropping-particle":"","parse-names":false,"suffix":""},{"dropping-particle":"","family":"Zahedi","given":"Farah Dayana","non-dropping-particle":"","parse-names":false,"suffix":""},{"dropping-particle":"","family":"Sachlin","given":"Ida Sadja’ah","non-dropping-particle":"","parse-names":false,"suffix":""}],"container-title":"Malaysian Family Physician","id":"ITEM-1","issue":"1","issued":{"date-parts":[["2018"]]},"page":"28-33","title":"Management of rhinosinusitis in adults in primary care","type":"article-journal","volume":"13"},"uris":["http://www.mendeley.com/documents/?uuid=0157763a-a234-48f4-928f-216f8dc5f08e"]}],"mendeley":{"formattedCitation":"(Hussain &lt;i&gt;et al.&lt;/i&gt;, 2018)","plainTextFormattedCitation":"(Hussain et al., 2018)","previouslyFormattedCitation":"(Hussain &lt;i&gt;et al.&lt;/i&gt;, 2018)"},"properties":{"noteIndex":0},"schema":"https://github.com/citation-style-language/schema/raw/master/csl-citation.json"}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 xml:space="preserve">(Hussain </w:t>
      </w:r>
      <w:r w:rsidRPr="00F840E1">
        <w:rPr>
          <w:rFonts w:ascii="Arial" w:hAnsi="Arial" w:cs="Arial"/>
          <w:i/>
          <w:noProof/>
        </w:rPr>
        <w:t>et al.</w:t>
      </w:r>
      <w:r w:rsidRPr="00F840E1">
        <w:rPr>
          <w:rFonts w:ascii="Arial" w:hAnsi="Arial" w:cs="Arial"/>
          <w:noProof/>
        </w:rPr>
        <w:t>, 2018)</w:t>
      </w:r>
      <w:r w:rsidRPr="00F840E1">
        <w:rPr>
          <w:rFonts w:ascii="Arial" w:hAnsi="Arial" w:cs="Arial"/>
        </w:rPr>
        <w:fldChar w:fldCharType="end"/>
      </w:r>
      <w:r w:rsidRPr="00F840E1">
        <w:rPr>
          <w:rFonts w:ascii="Arial" w:hAnsi="Arial" w:cs="Arial"/>
        </w:rPr>
        <w:t xml:space="preserve"> and sleep apn</w:t>
      </w:r>
      <w:r w:rsidR="00A06842" w:rsidRPr="00F840E1">
        <w:rPr>
          <w:rFonts w:ascii="Arial" w:hAnsi="Arial" w:cs="Arial"/>
        </w:rPr>
        <w:t>o</w:t>
      </w:r>
      <w:r w:rsidRPr="00F840E1">
        <w:rPr>
          <w:rFonts w:ascii="Arial" w:hAnsi="Arial" w:cs="Arial"/>
        </w:rPr>
        <w:t xml:space="preserve">ea </w:t>
      </w:r>
      <w:r w:rsidRPr="00F840E1">
        <w:rPr>
          <w:rFonts w:ascii="Arial" w:hAnsi="Arial" w:cs="Arial"/>
        </w:rPr>
        <w:fldChar w:fldCharType="begin" w:fldLock="1"/>
      </w:r>
      <w:r w:rsidRPr="00F840E1">
        <w:rPr>
          <w:rFonts w:ascii="Arial" w:hAnsi="Arial" w:cs="Arial"/>
        </w:rPr>
        <w:instrText>ADDIN CSL_CITATION {"citationItems":[{"id":"ITEM-1","itemData":{"DOI":"10.4103/lungindia.lungindia_241_17","ISSN":"0974598X","author":[{"dropping-particle":"","family":"Dixit","given":"Ramakant","non-dropping-particle":"","parse-names":false,"suffix":""}],"container-title":"Lung India","id":"ITEM-1","issue":"3","issued":{"date-parts":[["2018"]]},"page":"191-192","title":"Asthma and obstructive sleep apnea: More than an association!","type":"article-journal","volume":"35"},"uris":["http://www.mendeley.com/documents/?uuid=c83bcd90-8980-496d-bda5-83067fb22258"]}],"mendeley":{"formattedCitation":"(Dixit, 2018)","plainTextFormattedCitation":"(Dixit, 2018)","previouslyFormattedCitation":"(Dixit, 2018)"},"properties":{"noteIndex":0},"schema":"https://github.com/citation-style-language/schema/raw/master/csl-citation.json"}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(Dixit, 2018)</w:t>
      </w:r>
      <w:r w:rsidRPr="00F840E1">
        <w:rPr>
          <w:rFonts w:ascii="Arial" w:hAnsi="Arial" w:cs="Arial"/>
        </w:rPr>
        <w:fldChar w:fldCharType="end"/>
      </w:r>
      <w:r w:rsidRPr="00F840E1">
        <w:rPr>
          <w:rFonts w:ascii="Arial" w:hAnsi="Arial" w:cs="Arial"/>
        </w:rPr>
        <w:t xml:space="preserve">. Rhinosinusitis is a common health problem which is frequently seen in patients with asthma </w:t>
      </w:r>
      <w:r w:rsidRPr="00F840E1">
        <w:rPr>
          <w:rFonts w:ascii="Arial" w:hAnsi="Arial" w:cs="Arial"/>
        </w:rPr>
        <w:fldChar w:fldCharType="begin" w:fldLock="1"/>
      </w:r>
      <w:r w:rsidRPr="00F840E1">
        <w:rPr>
          <w:rFonts w:ascii="Arial" w:hAnsi="Arial" w:cs="Arial"/>
        </w:rPr>
        <w:instrText>ADDIN CSL_CITATION {"citationItems":[{"id":"ITEM-1","itemData":{"DOI":"10.3904/kjim.2013.28.6.646","ISSN":"12263303","PMID":"24307837","abstract":"The prevalence of asthma is approximately 5% to 10% in the general population. Of these, approximately 5% to 10% are severe asthmatics who respond poorly to asthmatic drugs, including high-dose inhaled steroids. Severe asthmatics have persistent symptoms, frequent symptom exacerbation, and severe airway obstruction even when taking high-dose inhaled steroids. The medical costs of treating severe asthmatics represent ~50% of the total healthcare costs for asthma. Risk factors for severe asthma are genetic and environmental, including many kinds of aeroallergens, β-blockers, and anti-inflammatory drugs. Gastroesophageal reflux disease and factors such as denial, anxiety, fear, depression, socioeconomic status, and alcohol consumption can exacerbate asthma. Rhinitis and asthma usually occur together. There is increasing evidence that allergic rhinitis and rhinosinusitis may influence the clinical course of asthma. This review discusses the role of rhinosinusitis in severe asthma. © 2013 The Korean Association of Internal Medicine.","author":[{"dropping-particle":"","family":"Jang","given":"An Soo","non-dropping-particle":"","parse-names":false,"suffix":""}],"container-title":"Korean Journal of Internal Medicine","id":"ITEM-1","issue":"6","issued":{"date-parts":[["2013"]]},"page":"646-651","title":"The role of rhinosinusitis in severe asthma","type":"article-journal","volume":"28"},"uris":["http://www.mendeley.com/documents/?uuid=94e46540-c27f-4638-a4f7-df1d8f627b9c"]}],"mendeley":{"formattedCitation":"(Jang, 2013)","plainTextFormattedCitation":"(Jang, 2013)","previouslyFormattedCitation":"(Jang, 2013)"},"properties":{"noteIndex":0},"schema":"https://github.com/citation-style-language/schema/raw/master/csl-citation.json"}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(Jang, 2013)</w:t>
      </w:r>
      <w:r w:rsidRPr="00F840E1">
        <w:rPr>
          <w:rFonts w:ascii="Arial" w:hAnsi="Arial" w:cs="Arial"/>
        </w:rPr>
        <w:fldChar w:fldCharType="end"/>
      </w:r>
      <w:r w:rsidRPr="00F840E1">
        <w:rPr>
          <w:rFonts w:ascii="Arial" w:hAnsi="Arial" w:cs="Arial"/>
        </w:rPr>
        <w:t xml:space="preserve">. The condition involves inflammation of the mucosa within the nose and paranasal sinuses </w:t>
      </w:r>
      <w:r w:rsidRPr="00F840E1">
        <w:rPr>
          <w:rFonts w:ascii="Arial" w:hAnsi="Arial" w:cs="Arial"/>
        </w:rPr>
        <w:fldChar w:fldCharType="begin" w:fldLock="1"/>
      </w:r>
      <w:r w:rsidRPr="00F840E1">
        <w:rPr>
          <w:rFonts w:ascii="Arial" w:hAnsi="Arial" w:cs="Arial"/>
        </w:rPr>
        <w:instrText>ADDIN CSL_CITATION {"citationItems":[{"id":"ITEM-1","itemData":{"DOI":"10.1016/j.bjorl.2015.01.003","ISSN":"18088694","author":[{"dropping-particle":"","family":"Anselmo-Lima","given":"W. T.","non-dropping-particle":"","parse-names":false,"suffix":""},{"dropping-particle":"","family":"Sakano","given":"E.","non-dropping-particle":"","parse-names":false,"suffix":""},{"dropping-particle":"","family":"Tamashiro","given":"E.","non-dropping-particle":"","parse-names":false,"suffix":""},{"dropping-particle":"","family":"Nunes","given":"A. A.","non-dropping-particle":"","parse-names":false,"suffix":""},{"dropping-particle":"","family":"Fernandes","given":"A. M.","non-dropping-particle":"","parse-names":false,"suffix":""},{"dropping-particle":"","family":"Pereira","given":"E. A.","non-dropping-particle":"","parse-names":false,"suffix":""},{"dropping-particle":"","family":"Romano","given":"F. R.","non-dropping-particle":"","parse-names":false,"suffix":""},{"dropping-particle":"","family":"Padua","given":"F. G.","non-dropping-particle":"","parse-names":false,"suffix":""},{"dropping-particle":"","family":"Ferreira de Mello","given":"J.","non-dropping-particle":"","parse-names":false,"suffix":""},{"dropping-particle":"","family":"Teles Junior","given":"J.","non-dropping-particle":"","parse-names":false,"suffix":""},{"dropping-particle":"","family":"Dolci","given":"J. E.","non-dropping-particle":"","parse-names":false,"suffix":""},{"dropping-particle":"","family":"Balsalobre Filho","given":"L. L.","non-dropping-particle":"","parse-names":false,"suffix":""},{"dropping-particle":"","family":"Kosugi","given":"E. M.","non-dropping-particle":"","parse-names":false,"suffix":""}],"container-title":"Brazilian Journal of Otorhinolaryngology","id":"ITEM-1","issue":"1","issued":{"date-parts":[["2015"]]},"page":"1-49","title":"Rhinosinusitis: evidence and experience","type":"article-journal","volume":"81"},"uris":["http://www.mendeley.com/documents/?uuid=de9d0420-b7a4-4e50-b3e8-7532b5fe1c34"]}],"mendeley":{"formattedCitation":"(Anselmo-Lima &lt;i&gt;et al.&lt;/i&gt;, 2015)","plainTextFormattedCitation":"(Anselmo-Lima et al., 2015)","previouslyFormattedCitation":"(Anselmo-Lima &lt;i&gt;et al.&lt;/i&gt;, 2015)"},"properties":{"noteIndex":0},"schema":"https://github.com/citation-style-language/schema/raw/master/csl-citation.json"}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 xml:space="preserve">(Anselmo-Lima </w:t>
      </w:r>
      <w:r w:rsidRPr="00F840E1">
        <w:rPr>
          <w:rFonts w:ascii="Arial" w:hAnsi="Arial" w:cs="Arial"/>
          <w:i/>
          <w:noProof/>
        </w:rPr>
        <w:t>et al.</w:t>
      </w:r>
      <w:r w:rsidRPr="00F840E1">
        <w:rPr>
          <w:rFonts w:ascii="Arial" w:hAnsi="Arial" w:cs="Arial"/>
          <w:noProof/>
        </w:rPr>
        <w:t>, 2015)</w:t>
      </w:r>
      <w:r w:rsidRPr="00F840E1">
        <w:rPr>
          <w:rFonts w:ascii="Arial" w:hAnsi="Arial" w:cs="Arial"/>
        </w:rPr>
        <w:fldChar w:fldCharType="end"/>
      </w:r>
      <w:r w:rsidRPr="00F840E1">
        <w:rPr>
          <w:rFonts w:ascii="Arial" w:hAnsi="Arial" w:cs="Arial"/>
        </w:rPr>
        <w:t xml:space="preserve">. The primary symptoms of rhinosinusitis include nasal obstruction, nasal discharge, facial pain and loss of sense of smell </w:t>
      </w:r>
      <w:r w:rsidRPr="00F840E1">
        <w:rPr>
          <w:rFonts w:ascii="Arial" w:hAnsi="Arial" w:cs="Arial"/>
        </w:rPr>
        <w:fldChar w:fldCharType="begin" w:fldLock="1"/>
      </w:r>
      <w:r w:rsidRPr="00F840E1">
        <w:rPr>
          <w:rFonts w:ascii="Arial" w:hAnsi="Arial" w:cs="Arial"/>
        </w:rPr>
        <w:instrText>ADDIN CSL_CITATION {"citationItems":[{"id":"ITEM-1","itemData":{"DOI":"10.4193.Rhino10.058","ISSN":"03000729","PMID":"21751530","abstract":"The review discusses the physiological and pathophysiological mechanisms associated with the symptoms of acute and chronic rhinosinusitis. An understanding of symptom mechanisms is important for the clinical diagnosis of rhinosinusitis and is important in assessing the efficacy of surgical and medical treatments for rhinosinusitis. The review will discuss the four primary symptoms used to diagnose rhinosinusitis: nasal obstruction, nasal discharge, facial pain and loss of sense of smell; and the secondary symptoms, cough, sneezing, sore throat and voice changes, epiphora, fever, and psychological effects and fatigue. The review will highlight that our understanding of a key diagnostic symptoms facial pain is limited, and that the incidence of pain with rhinosinusitis is controversial. Sneezing is a common symptom of acute rhinosinusitis with allergy but is not normally described as symptom in chronic rhinosinusitis and this anomaly is in need of more research. The mechanism of unilateral nasal obstruction with rhinosinusitis is discussed.","author":[{"dropping-particle":"","family":"Eccles","given":"R.","non-dropping-particle":"","parse-names":false,"suffix":""}],"container-title":"Rhinology","id":"ITEM-1","issue":"2","issued":{"date-parts":[["2011"]]},"page":"131-138","title":"Mechanisms of the symptoms of rhinosinusitis","type":"article-journal","volume":"49"},"uris":["http://www.mendeley.com/documents/?uuid=2e659616-1565-4606-bbca-4da8103a5563"]}],"mendeley":{"formattedCitation":"(Eccles, 2011)","plainTextFormattedCitation":"(Eccles, 2011)","previouslyFormattedCitation":"(Eccles, 2011)"},"properties":{"noteIndex":0},"schema":"https://github.com/citation-style-language/schema/raw/master/csl-citation.json"}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(Eccles, 2011)</w:t>
      </w:r>
      <w:r w:rsidRPr="00F840E1">
        <w:rPr>
          <w:rFonts w:ascii="Arial" w:hAnsi="Arial" w:cs="Arial"/>
        </w:rPr>
        <w:fldChar w:fldCharType="end"/>
      </w:r>
      <w:r w:rsidRPr="00F840E1">
        <w:rPr>
          <w:rFonts w:ascii="Arial" w:hAnsi="Arial" w:cs="Arial"/>
        </w:rPr>
        <w:t>. Sleep apn</w:t>
      </w:r>
      <w:r w:rsidR="00A06842" w:rsidRPr="00F840E1">
        <w:rPr>
          <w:rFonts w:ascii="Arial" w:hAnsi="Arial" w:cs="Arial"/>
        </w:rPr>
        <w:t>o</w:t>
      </w:r>
      <w:r w:rsidRPr="00F840E1">
        <w:rPr>
          <w:rFonts w:ascii="Arial" w:hAnsi="Arial" w:cs="Arial"/>
        </w:rPr>
        <w:t xml:space="preserve">ea is a sleep disorder characterised by repetitive pauses in breathing which can either be caused by airway occlusion or altered control of central breathing </w:t>
      </w:r>
      <w:r w:rsidRPr="00F840E1">
        <w:rPr>
          <w:rFonts w:ascii="Arial" w:hAnsi="Arial" w:cs="Arial"/>
        </w:rPr>
        <w:fldChar w:fldCharType="begin" w:fldLock="1"/>
      </w:r>
      <w:r w:rsidRPr="00F840E1">
        <w:rPr>
          <w:rFonts w:ascii="Arial" w:hAnsi="Arial" w:cs="Arial"/>
        </w:rPr>
        <w:instrText>ADDIN CSL_CITATION {"citationItems":[{"id":"ITEM-1","itemData":{"author":[{"dropping-particle":"","family":"Jun","given":"J.","non-dropping-particle":"","parse-names":false,"suffix":""},{"dropping-particle":"","family":"Chopra","given":"S.","non-dropping-particle":"","parse-names":false,"suffix":""},{"dropping-particle":"","family":"Schwartz","given":"A. R.","non-dropping-particle":"","parse-names":false,"suffix":""}],"container-title":"European Respiratory Review","id":"ITEM-1","issue":"1","issued":{"date-parts":[["2016"]]},"page":"12-18","title":"Obstructive Sleep Apnoea","type":"article-journal","volume":"25"},"uris":["http://www.mendeley.com/documents/?uuid=1cad1e19-f7d1-4931-8491-568d337cec9f"]}],"mendeley":{"formattedCitation":"(Jun, Chopra and Schwartz, 2016)","plainTextFormattedCitation":"(Jun, Chopra and Schwartz, 2016)","previouslyFormattedCitation":"(Jun, Chopra and Schwartz, 2016)"},"properties":{"noteIndex":0},"schema":"https://github.com/citation-style-language/schema/raw/master/csl-citation.json"}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(Jun, Chopra and Schwartz, 2016)</w:t>
      </w:r>
      <w:r w:rsidRPr="00F840E1">
        <w:rPr>
          <w:rFonts w:ascii="Arial" w:hAnsi="Arial" w:cs="Arial"/>
        </w:rPr>
        <w:fldChar w:fldCharType="end"/>
      </w:r>
      <w:r w:rsidRPr="00F840E1">
        <w:rPr>
          <w:rFonts w:ascii="Arial" w:hAnsi="Arial" w:cs="Arial"/>
        </w:rPr>
        <w:t xml:space="preserve">.   </w:t>
      </w:r>
    </w:p>
    <w:p w14:paraId="416F74DD" w14:textId="77777777" w:rsidR="00397AAB" w:rsidRPr="00F840E1" w:rsidRDefault="00397AAB" w:rsidP="00F840E1">
      <w:pPr>
        <w:spacing w:line="360" w:lineRule="auto"/>
        <w:jc w:val="both"/>
        <w:rPr>
          <w:rFonts w:ascii="Arial" w:hAnsi="Arial" w:cs="Arial"/>
        </w:rPr>
      </w:pPr>
    </w:p>
    <w:p w14:paraId="6BE31C7F" w14:textId="77777777" w:rsidR="00397AAB" w:rsidRPr="00F840E1" w:rsidRDefault="00397AAB" w:rsidP="00F840E1">
      <w:pPr>
        <w:spacing w:line="360" w:lineRule="auto"/>
        <w:jc w:val="both"/>
        <w:rPr>
          <w:rFonts w:ascii="Arial" w:hAnsi="Arial" w:cs="Arial"/>
        </w:rPr>
      </w:pPr>
      <w:r w:rsidRPr="00F840E1">
        <w:rPr>
          <w:rFonts w:ascii="Arial" w:hAnsi="Arial" w:cs="Arial"/>
          <w:b/>
          <w:bCs/>
          <w:sz w:val="28"/>
          <w:szCs w:val="28"/>
        </w:rPr>
        <w:t>Overview of Information and Data Collected</w:t>
      </w:r>
      <w:r w:rsidRPr="00F840E1">
        <w:rPr>
          <w:rFonts w:ascii="Arial" w:hAnsi="Arial" w:cs="Arial"/>
        </w:rPr>
        <w:t xml:space="preserve"> </w:t>
      </w:r>
    </w:p>
    <w:p w14:paraId="02C928A7" w14:textId="77777777" w:rsidR="00397AAB" w:rsidRPr="00F840E1" w:rsidRDefault="00397AAB" w:rsidP="00F840E1">
      <w:pPr>
        <w:spacing w:line="360" w:lineRule="auto"/>
        <w:jc w:val="both"/>
        <w:rPr>
          <w:rFonts w:ascii="Arial" w:hAnsi="Arial" w:cs="Arial"/>
        </w:rPr>
      </w:pPr>
      <w:r w:rsidRPr="00F840E1">
        <w:rPr>
          <w:rFonts w:ascii="Arial" w:hAnsi="Arial" w:cs="Arial"/>
        </w:rPr>
        <w:t xml:space="preserve">Information and data that is relevant to the case has been collected through a discussion with the client and the completion of a range of tests and measurements. The data that has been collected is shown in the exercise referral form in appendix 1. As previously mentioned, the client is a 35 year old female. The main condition that the client has presented with is asthma which is exacerbated within 2-3 hours post exercise. In the management of their asthma, the client has been prescribed a bronchodilator in the form of a salmeterol inhaler as well as montelukast medication which is used to prevent inflammation within the airways. The client has a BMI of 31.2, </w:t>
      </w:r>
      <w:r w:rsidRPr="00F840E1">
        <w:rPr>
          <w:rFonts w:ascii="Arial" w:hAnsi="Arial" w:cs="Arial"/>
        </w:rPr>
        <w:lastRenderedPageBreak/>
        <w:t xml:space="preserve">this places them in the obese category </w:t>
      </w:r>
      <w:r w:rsidRPr="00F840E1">
        <w:rPr>
          <w:rFonts w:ascii="Arial" w:hAnsi="Arial" w:cs="Arial"/>
        </w:rPr>
        <w:fldChar w:fldCharType="begin" w:fldLock="1"/>
      </w:r>
      <w:r w:rsidRPr="00F840E1">
        <w:rPr>
          <w:rFonts w:ascii="Arial" w:hAnsi="Arial" w:cs="Arial"/>
        </w:rPr>
        <w:instrText>ADDIN CSL_CITATION {"citationItems":[{"id":"ITEM-1","itemData":{"DOI":"10.1097/ij9.0000000000000017","ISSN":"2471-3864","abstract":"Excessive fat accumulation in the body may impair health leading to a significant long-term health consequences including the development of diabetes, coronary heart disease, and osteoarthritis as well as increasing the risk of developing certain cancers and influencing their outcomes. England has some of the worst figures and trends in obesity compared with the rest of the Europe. In the majority of European countries the trend has increased from 10% to 40% in the last 10 years, whereas in England prevalence has more than doubled. This article outlines the public health impact of rising obesity levels.","author":[{"dropping-particle":"","family":"Agha","given":"Maliha","non-dropping-particle":"","parse-names":false,"suffix":""},{"dropping-particle":"","family":"Agha","given":"Riaz","non-dropping-particle":"","parse-names":false,"suffix":""}],"container-title":"International Journal of Surgery: Oncology","id":"ITEM-1","issue":"7","issued":{"date-parts":[["2017"]]},"page":"17","title":"The rising prevalence of obesity: part A: impact on public health","type":"article-journal","volume":"2"},"uris":["http://www.mendeley.com/documents/?uuid=63b5122c-a346-466f-9e99-bae0ab8eb4f8"]}],"mendeley":{"formattedCitation":"(Agha and Agha, 2017)","plainTextFormattedCitation":"(Agha and Agha, 2017)","previouslyFormattedCitation":"(Agha and Agha, 2017)"},"properties":{"noteIndex":0},"schema":"https://github.com/citation-style-language/schema/raw/master/csl-citation.json"}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(Agha and Agha, 2017)</w:t>
      </w:r>
      <w:r w:rsidRPr="00F840E1">
        <w:rPr>
          <w:rFonts w:ascii="Arial" w:hAnsi="Arial" w:cs="Arial"/>
        </w:rPr>
        <w:fldChar w:fldCharType="end"/>
      </w:r>
      <w:r w:rsidRPr="00F840E1">
        <w:rPr>
          <w:rFonts w:ascii="Arial" w:hAnsi="Arial" w:cs="Arial"/>
        </w:rPr>
        <w:t>. As well as this, the client is an ex-smoker, is on a low carbohydrate diet and often has trouble sleeping. The client exercises regularly in the evenings after work and they have stated that in their training,  they are currently completing 4 aerobic runs per week. The subject has set their main goal as completing a marathon in under four hours. A blood pressure measurement produced a value of 128/</w:t>
      </w:r>
      <w:proofErr w:type="gramStart"/>
      <w:r w:rsidRPr="00F840E1">
        <w:rPr>
          <w:rFonts w:ascii="Arial" w:hAnsi="Arial" w:cs="Arial"/>
        </w:rPr>
        <w:t>74mmHg</w:t>
      </w:r>
      <w:proofErr w:type="gramEnd"/>
      <w:r w:rsidRPr="00F840E1">
        <w:rPr>
          <w:rFonts w:ascii="Arial" w:hAnsi="Arial" w:cs="Arial"/>
        </w:rPr>
        <w:t xml:space="preserve"> and the client’s resting heart rate was 74 beats per minute. Both of these measurements are within normal ranges </w:t>
      </w:r>
      <w:r w:rsidRPr="00F840E1">
        <w:rPr>
          <w:rFonts w:ascii="Arial" w:hAnsi="Arial" w:cs="Arial"/>
        </w:rPr>
        <w:fldChar w:fldCharType="begin" w:fldLock="1"/>
      </w:r>
      <w:r w:rsidRPr="00F840E1">
        <w:rPr>
          <w:rFonts w:ascii="Arial" w:hAnsi="Arial" w:cs="Arial"/>
        </w:rPr>
        <w:instrText>ADDIN CSL_CITATION {"citationItems":[{"id":"ITEM-1","itemData":{"DOI":"10.1097/MD.0000000000003188","ISSN":"15365964","PMID":"27057846","abstract":"The concept of using single criterion of normal blood pressure with systolic blood pressure (SBP)&lt;140mmHg and diastolic blood pressure (DBP)&lt;90mmHg for all ages is still disputable. The aim of the study is to identify the cutoff value of normotension in different age and sex groups. Totally, 127,922 (63,724 men and 64,198 women) were enrolled for the analysis. Finally, four fifths of them were randomly selected as the study group and the other one fifths as the validation group. Due the tight relationship with comorbidities from cardiovascular disease (CVD), metabolic syndrome (MetS) was used as a surrogate to replace the actual cardiovascular outcomes in the younger subjects. For SBP, MetS predicted by our equation had a sensitivity of 55% and specificity of 67% in males and 65%, 83% in females, respectively. At the same time, they are 61%, 73% in males and 73%, 86% in females for DBP, respectively. These sensitivity, specificity, odds ratio, and area under the receiver operating characteristic curve from our equations are all better than those derived from the criteria of 140/90 or 130/85mmHg in both genders. By using the presence of MetS as the surrogate of CVD, the regression equations between SBP, DBP, and age were built in both genders. These new criteria are proved to have better sensitivity and specificity for MetS than either 140/90 or 130/85mmHg. These simple equations should be used in clinical settings for early prevention of CVD.","author":[{"dropping-particle":"","family":"Lin","given":"Jiunn Diann","non-dropping-particle":"","parse-names":false,"suffix":""},{"dropping-particle":"","family":"Chen","given":"Yen Lin","non-dropping-particle":"","parse-names":false,"suffix":""},{"dropping-particle":"","family":"Wu","given":"Chung Ze","non-dropping-particle":"","parse-names":false,"suffix":""},{"dropping-particle":"","family":"Hsieh","given":"Chang Hsun","non-dropping-particle":"","parse-names":false,"suffix":""},{"dropping-particle":"","family":"Pei","given":"Dee","non-dropping-particle":"","parse-names":false,"suffix":""},{"dropping-particle":"","family":"Liang","given":"Yao Jen","non-dropping-particle":"","parse-names":false,"suffix":""},{"dropping-particle":"","family":"Chang","given":"Jin Biou","non-dropping-particle":"","parse-names":false,"suffix":""}],"container-title":"Medicine (United States)","id":"ITEM-1","issue":"14","issued":{"date-parts":[["2016"]]},"title":"Identification of Normal Blood Pressure in Different Age Group","type":"article-journal","volume":"95"},"uris":["http://www.mendeley.com/documents/?uuid=e6c547c4-3b2b-4f6d-b4ac-da2e4db2177b"]}],"mendeley":{"formattedCitation":"(Lin &lt;i&gt;et al.&lt;/i&gt;, 2016)","plainTextFormattedCitation":"(Lin et al., 2016)","previouslyFormattedCitation":"(Lin &lt;i&gt;et al.&lt;/i&gt;, 2016)"},"properties":{"noteIndex":0},"schema":"https://github.com/citation-style-language/schema/raw/master/csl-citation.json"}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 xml:space="preserve">(Lin </w:t>
      </w:r>
      <w:r w:rsidRPr="00F840E1">
        <w:rPr>
          <w:rFonts w:ascii="Arial" w:hAnsi="Arial" w:cs="Arial"/>
          <w:i/>
          <w:noProof/>
        </w:rPr>
        <w:t>et al.</w:t>
      </w:r>
      <w:r w:rsidRPr="00F840E1">
        <w:rPr>
          <w:rFonts w:ascii="Arial" w:hAnsi="Arial" w:cs="Arial"/>
          <w:noProof/>
        </w:rPr>
        <w:t>, 2016)</w:t>
      </w:r>
      <w:r w:rsidRPr="00F840E1">
        <w:rPr>
          <w:rFonts w:ascii="Arial" w:hAnsi="Arial" w:cs="Arial"/>
        </w:rPr>
        <w:fldChar w:fldCharType="end"/>
      </w:r>
      <w:r w:rsidRPr="00F840E1">
        <w:rPr>
          <w:rFonts w:ascii="Arial" w:hAnsi="Arial" w:cs="Arial"/>
        </w:rPr>
        <w:t>. The client also underwent spirometry testing which was conducted before they had taken any medication to give an indication of their baseline lung function. The Forced vital capacity  (FVC) and forced expiratory volume (FEV</w:t>
      </w:r>
      <w:r w:rsidRPr="00F840E1">
        <w:rPr>
          <w:rFonts w:ascii="Arial" w:hAnsi="Arial" w:cs="Arial"/>
          <w:vertAlign w:val="subscript"/>
        </w:rPr>
        <w:t>1</w:t>
      </w:r>
      <w:r w:rsidRPr="00F840E1">
        <w:rPr>
          <w:rFonts w:ascii="Arial" w:hAnsi="Arial" w:cs="Arial"/>
        </w:rPr>
        <w:t xml:space="preserve">) values have been used to calculate the FEV/FVC ratio for the client to provide an indication of the degree of airway limitation present. The FEV/FVC ratio is 0.70 for this individual. This indicates the presence of a mild airway obstruction which supports the diagnosis of asthma in this case </w:t>
      </w:r>
      <w:r w:rsidRPr="00F840E1">
        <w:rPr>
          <w:rFonts w:ascii="Arial" w:hAnsi="Arial" w:cs="Arial"/>
        </w:rPr>
        <w:fldChar w:fldCharType="begin" w:fldLock="1"/>
      </w:r>
      <w:r w:rsidRPr="00F840E1">
        <w:rPr>
          <w:rFonts w:ascii="Arial" w:hAnsi="Arial" w:cs="Arial"/>
        </w:rPr>
        <w:instrText>ADDIN CSL_CITATION {"citationItems":[{"id":"ITEM-1","itemData":{"author":[{"dropping-particle":"","family":"Lambert","given":"Allison","non-dropping-particle":"","parse-names":false,"suffix":""},{"dropping-particle":"","family":"Drummond","given":"M. Bradley","non-dropping-particle":"","parse-names":false,"suffix":""},{"dropping-particle":"","family":"Wei","given":"Christine","non-dropping-particle":"","parse-names":false,"suffix":""},{"dropping-particle":"","family":"Irvin","given":"Charles","non-dropping-particle":"","parse-names":false,"suffix":""},{"dropping-particle":"","family":"Kaminsky","given":"David","non-dropping-particle":"","parse-names":false,"suffix":""},{"dropping-particle":"","family":"McCormack","given":"Meredith","non-dropping-particle":"","parse-names":false,"suffix":""},{"dropping-particle":"","family":"Wise","given":"Robert","non-dropping-particle":"","parse-names":false,"suffix":""}],"container-title":"Journal of Allergy and Clinical Immunology","id":"ITEM-1","issue":"3","issued":{"date-parts":[["2015"]]},"page":"649-653","title":"Diagnostic Accuracy of FEV1/FVC Z-Score in Patients with Asthma","type":"article-journal","volume":"136"},"uris":["http://www.mendeley.com/documents/?uuid=919b66e3-7ca0-4e0a-a5a0-73fa70d5c8e1"]}],"mendeley":{"formattedCitation":"(Lambert &lt;i&gt;et al.&lt;/i&gt;, 2015)","plainTextFormattedCitation":"(Lambert et al., 2015)","previouslyFormattedCitation":"(Lambert &lt;i&gt;et al.&lt;/i&gt;, 2015)"},"properties":{"noteIndex":0},"schema":"https://github.com/citation-style-language/schema/raw/master/csl-citation.json"}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 xml:space="preserve">(Lambert </w:t>
      </w:r>
      <w:r w:rsidRPr="00F840E1">
        <w:rPr>
          <w:rFonts w:ascii="Arial" w:hAnsi="Arial" w:cs="Arial"/>
          <w:i/>
          <w:noProof/>
        </w:rPr>
        <w:t>et al.</w:t>
      </w:r>
      <w:r w:rsidRPr="00F840E1">
        <w:rPr>
          <w:rFonts w:ascii="Arial" w:hAnsi="Arial" w:cs="Arial"/>
          <w:noProof/>
        </w:rPr>
        <w:t>, 2015)</w:t>
      </w:r>
      <w:r w:rsidRPr="00F840E1">
        <w:rPr>
          <w:rFonts w:ascii="Arial" w:hAnsi="Arial" w:cs="Arial"/>
        </w:rPr>
        <w:fldChar w:fldCharType="end"/>
      </w:r>
      <w:r w:rsidRPr="00F840E1">
        <w:rPr>
          <w:rFonts w:ascii="Arial" w:hAnsi="Arial" w:cs="Arial"/>
        </w:rPr>
        <w:t>. Finally, the client’s VO</w:t>
      </w:r>
      <w:r w:rsidRPr="00F840E1">
        <w:rPr>
          <w:rFonts w:ascii="Arial" w:hAnsi="Arial" w:cs="Arial"/>
          <w:vertAlign w:val="subscript"/>
        </w:rPr>
        <w:t>2</w:t>
      </w:r>
      <w:r w:rsidRPr="00F840E1">
        <w:rPr>
          <w:rFonts w:ascii="Arial" w:hAnsi="Arial" w:cs="Arial"/>
        </w:rPr>
        <w:t>max was also predicted and gave the client a score of 27ml/kg/min</w:t>
      </w:r>
      <w:r w:rsidRPr="00F840E1">
        <w:rPr>
          <w:rFonts w:ascii="Arial" w:hAnsi="Arial" w:cs="Arial"/>
          <w:vertAlign w:val="superscript"/>
        </w:rPr>
        <w:t>-1</w:t>
      </w:r>
      <w:r w:rsidRPr="00F840E1">
        <w:rPr>
          <w:rFonts w:ascii="Arial" w:hAnsi="Arial" w:cs="Arial"/>
        </w:rPr>
        <w:t>. For the subject’s age, this is within the ‘fair’ category for VO</w:t>
      </w:r>
      <w:r w:rsidRPr="00F840E1">
        <w:rPr>
          <w:rFonts w:ascii="Arial" w:hAnsi="Arial" w:cs="Arial"/>
          <w:vertAlign w:val="subscript"/>
        </w:rPr>
        <w:t>2</w:t>
      </w:r>
      <w:r w:rsidRPr="00F840E1">
        <w:rPr>
          <w:rFonts w:ascii="Arial" w:hAnsi="Arial" w:cs="Arial"/>
        </w:rPr>
        <w:t xml:space="preserve">max </w:t>
      </w:r>
      <w:r w:rsidRPr="00F840E1">
        <w:rPr>
          <w:rFonts w:ascii="Arial" w:hAnsi="Arial" w:cs="Arial"/>
        </w:rPr>
        <w:fldChar w:fldCharType="begin" w:fldLock="1"/>
      </w:r>
      <w:r w:rsidRPr="00F840E1">
        <w:rPr>
          <w:rFonts w:ascii="Arial" w:hAnsi="Arial" w:cs="Arial"/>
        </w:rPr>
        <w:instrText>ADDIN CSL_CITATION {"citationItems":[{"id":"ITEM-1","itemData":{"author":[{"dropping-particle":"","family":"Gibson","given":"A. L.","non-dropping-particle":"","parse-names":false,"suffix":""},{"dropping-particle":"","family":"Wagner","given":"D. R.","non-dropping-particle":"","parse-names":false,"suffix":""},{"dropping-particle":"","family":"Heyward","given":"H.","non-dropping-particle":"","parse-names":false,"suffix":""}],"edition":"8th","id":"ITEM-1","issued":{"date-parts":[["2018"]]},"publisher":"Human Kinetics","publisher-place":"Ilinois","title":"Advanced Fitness Assessment and Exercise Presciption","type":"book"},"uris":["http://www.mendeley.com/documents/?uuid=ebb051fe-e061-4cd7-be4b-3740c3ebcc4f"]}],"mendeley":{"formattedCitation":"(Gibson, Wagner and Heyward, 2018)","plainTextFormattedCitation":"(Gibson, Wagner and Heyward, 2018)","previouslyFormattedCitation":"(Gibson, Wagner and Heyward, 2018)"},"properties":{"noteIndex":0},"schema":"https://github.com/citation-style-language/schema/raw/master/csl-citation.json"}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(Gibson, Wagner and Heyward, 2018)</w:t>
      </w:r>
      <w:r w:rsidRPr="00F840E1">
        <w:rPr>
          <w:rFonts w:ascii="Arial" w:hAnsi="Arial" w:cs="Arial"/>
        </w:rPr>
        <w:fldChar w:fldCharType="end"/>
      </w:r>
      <w:r w:rsidRPr="00F840E1">
        <w:rPr>
          <w:rFonts w:ascii="Arial" w:hAnsi="Arial" w:cs="Arial"/>
        </w:rPr>
        <w:t>.</w:t>
      </w:r>
    </w:p>
    <w:p w14:paraId="7A295386" w14:textId="77777777" w:rsidR="00397AAB" w:rsidRPr="00F840E1" w:rsidRDefault="00397AAB" w:rsidP="00F840E1">
      <w:pPr>
        <w:spacing w:line="360" w:lineRule="auto"/>
        <w:jc w:val="both"/>
        <w:rPr>
          <w:rFonts w:ascii="Arial" w:hAnsi="Arial" w:cs="Arial"/>
        </w:rPr>
      </w:pPr>
    </w:p>
    <w:p w14:paraId="1E76391D" w14:textId="3F0F2AFD" w:rsidR="00397AAB" w:rsidRPr="00F840E1" w:rsidRDefault="00397AAB" w:rsidP="00F840E1">
      <w:pPr>
        <w:spacing w:line="360" w:lineRule="auto"/>
        <w:jc w:val="both"/>
        <w:rPr>
          <w:rFonts w:ascii="Arial" w:hAnsi="Arial" w:cs="Arial"/>
        </w:rPr>
      </w:pPr>
      <w:r w:rsidRPr="00F840E1">
        <w:rPr>
          <w:rFonts w:ascii="Arial" w:hAnsi="Arial" w:cs="Arial"/>
        </w:rPr>
        <w:t xml:space="preserve">This information and data </w:t>
      </w:r>
      <w:proofErr w:type="gramStart"/>
      <w:r w:rsidRPr="00F840E1">
        <w:rPr>
          <w:rFonts w:ascii="Arial" w:hAnsi="Arial" w:cs="Arial"/>
        </w:rPr>
        <w:t>has</w:t>
      </w:r>
      <w:proofErr w:type="gramEnd"/>
      <w:r w:rsidRPr="00F840E1">
        <w:rPr>
          <w:rFonts w:ascii="Arial" w:hAnsi="Arial" w:cs="Arial"/>
        </w:rPr>
        <w:t xml:space="preserve"> been used to provide a number of recommendations related to both exercise and behavioural factors which are relevant to their specific condition and goals. </w:t>
      </w:r>
      <w:r w:rsidR="00DA52B5" w:rsidRPr="00F840E1">
        <w:rPr>
          <w:rFonts w:ascii="Arial" w:hAnsi="Arial" w:cs="Arial"/>
        </w:rPr>
        <w:t xml:space="preserve"> </w:t>
      </w:r>
    </w:p>
    <w:p w14:paraId="3879DAA3" w14:textId="77777777" w:rsidR="00397AAB" w:rsidRPr="00F840E1" w:rsidRDefault="00397AAB" w:rsidP="00F840E1">
      <w:pPr>
        <w:spacing w:line="360" w:lineRule="auto"/>
        <w:jc w:val="both"/>
        <w:rPr>
          <w:rFonts w:ascii="Arial" w:hAnsi="Arial" w:cs="Arial"/>
        </w:rPr>
      </w:pPr>
    </w:p>
    <w:p w14:paraId="35C57588" w14:textId="77777777" w:rsidR="00397AAB" w:rsidRPr="00F840E1" w:rsidRDefault="00397AAB" w:rsidP="00F840E1">
      <w:pPr>
        <w:spacing w:line="360" w:lineRule="auto"/>
        <w:jc w:val="both"/>
        <w:rPr>
          <w:rFonts w:ascii="Arial" w:hAnsi="Arial" w:cs="Arial"/>
          <w:b/>
          <w:bCs/>
          <w:sz w:val="28"/>
          <w:szCs w:val="28"/>
        </w:rPr>
      </w:pPr>
      <w:r w:rsidRPr="00F840E1">
        <w:rPr>
          <w:rFonts w:ascii="Arial" w:hAnsi="Arial" w:cs="Arial"/>
          <w:b/>
          <w:bCs/>
          <w:sz w:val="28"/>
          <w:szCs w:val="28"/>
        </w:rPr>
        <w:t>Overview and Justification of Exercise and Behavioural Recommendations Relevant to the Condition</w:t>
      </w:r>
      <w:r w:rsidRPr="00F840E1">
        <w:rPr>
          <w:rFonts w:ascii="Arial" w:hAnsi="Arial" w:cs="Arial"/>
        </w:rPr>
        <w:t xml:space="preserve"> </w:t>
      </w:r>
    </w:p>
    <w:p w14:paraId="733AC5D5" w14:textId="77777777" w:rsidR="00397AAB" w:rsidRPr="00F840E1" w:rsidRDefault="00397AAB" w:rsidP="00F840E1">
      <w:pPr>
        <w:spacing w:line="360" w:lineRule="auto"/>
        <w:jc w:val="both"/>
        <w:rPr>
          <w:rFonts w:ascii="Arial" w:hAnsi="Arial" w:cs="Arial"/>
        </w:rPr>
      </w:pPr>
      <w:r w:rsidRPr="00F840E1">
        <w:rPr>
          <w:rFonts w:ascii="Arial" w:hAnsi="Arial" w:cs="Arial"/>
        </w:rPr>
        <w:t xml:space="preserve">A series of recommendations have been provided for this client in relation to both exercise and lifestyle factors. The purpose of the recommendations and advice is to improve on various aspects of their health which may be associated with their asthma condition as well improving their fitness levels to pursue their overall goal of completing a marathon in under four hours. </w:t>
      </w:r>
    </w:p>
    <w:p w14:paraId="30C47E02" w14:textId="77777777" w:rsidR="00397AAB" w:rsidRPr="00F840E1" w:rsidRDefault="00397AAB" w:rsidP="00F840E1">
      <w:pPr>
        <w:spacing w:line="360" w:lineRule="auto"/>
        <w:jc w:val="both"/>
        <w:rPr>
          <w:rFonts w:ascii="Arial" w:hAnsi="Arial" w:cs="Arial"/>
        </w:rPr>
      </w:pPr>
    </w:p>
    <w:p w14:paraId="7D22CF7D" w14:textId="77777777" w:rsidR="00397AAB" w:rsidRPr="00F840E1" w:rsidRDefault="00397AAB" w:rsidP="00F840E1">
      <w:pPr>
        <w:spacing w:line="360" w:lineRule="auto"/>
        <w:jc w:val="both"/>
        <w:rPr>
          <w:rFonts w:ascii="Arial" w:hAnsi="Arial" w:cs="Arial"/>
        </w:rPr>
      </w:pPr>
      <w:r w:rsidRPr="00F840E1">
        <w:rPr>
          <w:rFonts w:ascii="Arial" w:hAnsi="Arial" w:cs="Arial"/>
        </w:rPr>
        <w:t xml:space="preserve">The FEV/FVC ratio is an area where the client scores below the normal levels. This is to be expected due to their asthma diagnosis and suggests there is a mild obstruction of the airway </w:t>
      </w:r>
      <w:r w:rsidRPr="00F840E1">
        <w:rPr>
          <w:rFonts w:ascii="Arial" w:hAnsi="Arial" w:cs="Arial"/>
        </w:rPr>
        <w:fldChar w:fldCharType="begin" w:fldLock="1"/>
      </w:r>
      <w:r w:rsidRPr="00F840E1">
        <w:rPr>
          <w:rFonts w:ascii="Arial" w:hAnsi="Arial" w:cs="Arial"/>
        </w:rPr>
        <w:instrText>ADDIN CSL_CITATION {"citationItems":[{"id":"ITEM-1","itemData":{"author":[{"dropping-particle":"","family":"Lambert","given":"Allison","non-dropping-particle":"","parse-names":false,"suffix":""},{"dropping-particle":"","family":"Drummond","given":"M. Bradley","non-dropping-particle":"","parse-names":false,"suffix":""},{"dropping-particle":"","family":"Wei","given":"Christine","non-dropping-particle":"","parse-names":false,"suffix":""},{"dropping-particle":"","family":"Irvin","given":"Charles","non-dropping-particle":"","parse-names":false,"suffix":""},{"dropping-particle":"","family":"Kaminsky","given":"David","non-dropping-particle":"","parse-names":false,"suffix":""},{"dropping-particle":"","family":"McCormack","given":"Meredith","non-dropping-particle":"","parse-names":false,"suffix":""},{"dropping-particle":"","family":"Wise","given":"Robert","non-dropping-particle":"","parse-names":false,"suffix":""}],"container-title":"Journal of Allergy and Clinical Immunology","id":"ITEM-1","issue":"3","issued":{"date-parts":[["2015"]]},"page":"649-653","title":"Diagnostic Accuracy of FEV1/FVC Z-Score in Patients with Asthma","type":"article-journal","volume":"136"},"uris":["http://www.mendeley.com/documents/?uuid=919b66e3-7ca0-4e0a-a5a0-73fa70d5c8e1"]}],"mendeley":{"formattedCitation":"(Lambert &lt;i&gt;et al.&lt;/i&gt;, 2015)","plainTextFormattedCitation":"(Lambert et al., 2015)","previouslyFormattedCitation":"(Lambert &lt;i&gt;et al.&lt;/i&gt;, 2015)"},"properties":{"noteIndex":0},"schema":"https://github.com/citation-style-language/schema/raw/master/csl-citation.json"}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 xml:space="preserve">(Lambert </w:t>
      </w:r>
      <w:r w:rsidRPr="00F840E1">
        <w:rPr>
          <w:rFonts w:ascii="Arial" w:hAnsi="Arial" w:cs="Arial"/>
          <w:i/>
          <w:noProof/>
        </w:rPr>
        <w:t>et al.</w:t>
      </w:r>
      <w:r w:rsidRPr="00F840E1">
        <w:rPr>
          <w:rFonts w:ascii="Arial" w:hAnsi="Arial" w:cs="Arial"/>
          <w:noProof/>
        </w:rPr>
        <w:t>, 2015)</w:t>
      </w:r>
      <w:r w:rsidRPr="00F840E1">
        <w:rPr>
          <w:rFonts w:ascii="Arial" w:hAnsi="Arial" w:cs="Arial"/>
        </w:rPr>
        <w:fldChar w:fldCharType="end"/>
      </w:r>
      <w:r w:rsidRPr="00F840E1">
        <w:rPr>
          <w:rFonts w:ascii="Arial" w:hAnsi="Arial" w:cs="Arial"/>
        </w:rPr>
        <w:t xml:space="preserve">. However, research has shown that exercise methods can be effective in improving FEV/FVC ratio and consequently lung function </w:t>
      </w:r>
      <w:r w:rsidRPr="00F840E1">
        <w:rPr>
          <w:rFonts w:ascii="Arial" w:hAnsi="Arial" w:cs="Arial"/>
        </w:rPr>
        <w:lastRenderedPageBreak/>
        <w:t xml:space="preserve">and quality of life within asthma patients </w:t>
      </w:r>
      <w:r w:rsidRPr="00F840E1">
        <w:rPr>
          <w:rFonts w:ascii="Arial" w:hAnsi="Arial" w:cs="Arial"/>
        </w:rPr>
        <w:fldChar w:fldCharType="begin" w:fldLock="1"/>
      </w:r>
      <w:r w:rsidRPr="00F840E1">
        <w:rPr>
          <w:rFonts w:ascii="Arial" w:hAnsi="Arial" w:cs="Arial"/>
        </w:rPr>
        <w:instrText>ADDIN CSL_CITATION {"citationItems":[{"id":"ITEM-1","itemData":{"DOI":"10.21037/jtd-19-2813","ISSN":"20776624","abstract":"Background: Despite the obvious benefits of aerobic exercise for asthmatic patients, controversies persist. The current study evaluated the effectiveness of continuous aerobic exercise on lung function and quality of life of asthmatic patients. Methods: We searched PubMed, EMBASE, and the Cochrane Central Register of Controlled Trials databases up to May 2019 and included randomized controlled trials (RCTs) of asthmatic patients intervened with whole body continuous aerobic exercise (moderate intensity, at least 20 minutes and two times a week, over a minimum period of four weeks), in which the endpoint measures were lung function and asthmarelated quality of life. A fixed-effects model (I2≤50%) or random-effects model (I2&gt;50%) was applied to calculate the pooled effects according to the I2-and Chi-squared (χ2) test, funnel plots were quantified to present publication bias, and a P value &lt;0.05 was statistically significant. Results: Eventually, 22 trials conformed to the selection criteria. In the aerobic exercise group, the forced expiratory volume improved in one second (FEV1) (I2=10.2%, WMD: 0.12, P=0.011), peak expiratory flow (PEF) (I2=87.3%, WMD: 0.66, P=0.002), forced vital capacity (FVC) (I2=0.0%, WMD: 0.18, P&lt;0.001), FVC/predict (I2=3.9%, WMD: 4.3, P=0.014), forced expiratory flow between 25% and 75% of vital capacity (FEF25-75%) (I2=0.0%, WMD: 9.6, P=0.005), Asthma Quality of Life Questionnaire (AQLQ) (I2=0.0%, WMD: 0.20, P=0.002), and Pediatric Asthma Quality of life Questionnaire (PAQLQ) (I2=72.1%, WMD: 0.81, P&lt;0.001), respectively, while no statistical significance existed in FEV1%predict (I2=36.0%, WMD: 0.68, P=0.312) and FEV1/FVC ratio (I2=0.0%, WMD: 0.27, P=0.443) compared with the control group. When the exercise mode was taken into account, we observed significant improvement in FEV1, PEF, and FVC in the swimming (P&lt;0.05) or indoor treadmill (P&lt;0.05) training group. Conclusions: Our meta-analysis proved that regular continuous aerobic exercise benefits asthma patients on FEV1, PEF, FVC, FVC%pred, FEF25-75%, and quality of life, and was well tolerated, while there were no improvements in FEV1%pred and FEV1/FVC%. As such, swimming and treadmill training may be appropriate options.","author":[{"dropping-particle":"","family":"Wu","given":"Xinggui","non-dropping-particle":"","parse-names":false,"suffix":""},{"dropping-particle":"","family":"Gao","given":"Shiyuan","non-dropping-particle":"","parse-names":false,"suffix":""},{"dropping-particle":"","family":"Lian","given":"Yixin","non-dropping-particle":"","parse-names":false,"suffix":""}],"container-title":"Journal of Thoracic Disease","id":"ITEM-1","issue":"9","issued":{"date-parts":[["2020"]]},"page":"4781-4795","title":"Effects of continuous aerobic exercise on lung function and quality of life with asthma: A systematic review and meta-analysis","type":"article-journal","volume":"12"},"uris":["http://www.mendeley.com/documents/?uuid=76c9cd68-b787-4630-ac8c-9db70bc0a394"]}],"mendeley":{"formattedCitation":"(Wu, Gao and Lian, 2020)","plainTextFormattedCitation":"(Wu, Gao and Lian, 2020)","previouslyFormattedCitation":"(Wu, Gao and Lian, 2020)"},"properties":{"noteIndex":0},"schema":"https://github.com/citation-style-language/schema/raw/master/csl-citation.json"}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(Wu, Gao and Lian, 2020)</w:t>
      </w:r>
      <w:r w:rsidRPr="00F840E1">
        <w:rPr>
          <w:rFonts w:ascii="Arial" w:hAnsi="Arial" w:cs="Arial"/>
        </w:rPr>
        <w:fldChar w:fldCharType="end"/>
      </w:r>
      <w:r w:rsidRPr="00F840E1">
        <w:rPr>
          <w:rFonts w:ascii="Arial" w:hAnsi="Arial" w:cs="Arial"/>
        </w:rPr>
        <w:t xml:space="preserve">. Exercise methods which have been shown to be effective in improving lung function in asthma include continuous aerobic exercise such as swimming and running </w:t>
      </w:r>
      <w:r w:rsidRPr="00F840E1">
        <w:rPr>
          <w:rFonts w:ascii="Arial" w:hAnsi="Arial" w:cs="Arial"/>
        </w:rPr>
        <w:fldChar w:fldCharType="begin" w:fldLock="1"/>
      </w:r>
      <w:r w:rsidRPr="00F840E1">
        <w:rPr>
          <w:rFonts w:ascii="Arial" w:hAnsi="Arial" w:cs="Arial"/>
        </w:rPr>
        <w:instrText>ADDIN CSL_CITATION {"citationItems":[{"id":"ITEM-1","itemData":{"DOI":"10.21037/jtd-19-2813","ISSN":"20776624","abstract":"Background: Despite the obvious benefits of aerobic exercise for asthmatic patients, controversies persist. The current study evaluated the effectiveness of continuous aerobic exercise on lung function and quality of life of asthmatic patients. Methods: We searched PubMed, EMBASE, and the Cochrane Central Register of Controlled Trials databases up to May 2019 and included randomized controlled trials (RCTs) of asthmatic patients intervened with whole body continuous aerobic exercise (moderate intensity, at least 20 minutes and two times a week, over a minimum period of four weeks), in which the endpoint measures were lung function and asthmarelated quality of life. A fixed-effects model (I2≤50%) or random-effects model (I2&gt;50%) was applied to calculate the pooled effects according to the I2-and Chi-squared (χ2) test, funnel plots were quantified to present publication bias, and a P value &lt;0.05 was statistically significant. Results: Eventually, 22 trials conformed to the selection criteria. In the aerobic exercise group, the forced expiratory volume improved in one second (FEV1) (I2=10.2%, WMD: 0.12, P=0.011), peak expiratory flow (PEF) (I2=87.3%, WMD: 0.66, P=0.002), forced vital capacity (FVC) (I2=0.0%, WMD: 0.18, P&lt;0.001), FVC/predict (I2=3.9%, WMD: 4.3, P=0.014), forced expiratory flow between 25% and 75% of vital capacity (FEF25-75%) (I2=0.0%, WMD: 9.6, P=0.005), Asthma Quality of Life Questionnaire (AQLQ) (I2=0.0%, WMD: 0.20, P=0.002), and Pediatric Asthma Quality of life Questionnaire (PAQLQ) (I2=72.1%, WMD: 0.81, P&lt;0.001), respectively, while no statistical significance existed in FEV1%predict (I2=36.0%, WMD: 0.68, P=0.312) and FEV1/FVC ratio (I2=0.0%, WMD: 0.27, P=0.443) compared with the control group. When the exercise mode was taken into account, we observed significant improvement in FEV1, PEF, and FVC in the swimming (P&lt;0.05) or indoor treadmill (P&lt;0.05) training group. Conclusions: Our meta-analysis proved that regular continuous aerobic exercise benefits asthma patients on FEV1, PEF, FVC, FVC%pred, FEF25-75%, and quality of life, and was well tolerated, while there were no improvements in FEV1%pred and FEV1/FVC%. As such, swimming and treadmill training may be appropriate options.","author":[{"dropping-particle":"","family":"Wu","given":"Xinggui","non-dropping-particle":"","parse-names":false,"suffix":""},{"dropping-particle":"","family":"Gao","given":"Shiyuan","non-dropping-particle":"","parse-names":false,"suffix":""},{"dropping-particle":"","family":"Lian","given":"Yixin","non-dropping-particle":"","parse-names":false,"suffix":""}],"container-title":"Journal of Thoracic Disease","id":"ITEM-1","issue":"9","issued":{"date-parts":[["2020"]]},"page":"4781-4795","title":"Effects of continuous aerobic exercise on lung function and quality of life with asthma: A systematic review and meta-analysis","type":"article-journal","volume":"12"},"uris":["http://www.mendeley.com/documents/?uuid=76c9cd68-b787-4630-ac8c-9db70bc0a394"]}],"mendeley":{"formattedCitation":"(Wu, Gao and Lian, 2020)","plainTextFormattedCitation":"(Wu, Gao and Lian, 2020)","previouslyFormattedCitation":"(Wu, Gao and Lian, 2020)"},"properties":{"noteIndex":0},"schema":"https://github.com/citation-style-language/schema/raw/master/csl-citation.json"}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(Wu, Gao and Lian, 2020)</w:t>
      </w:r>
      <w:r w:rsidRPr="00F840E1">
        <w:rPr>
          <w:rFonts w:ascii="Arial" w:hAnsi="Arial" w:cs="Arial"/>
        </w:rPr>
        <w:fldChar w:fldCharType="end"/>
      </w:r>
      <w:r w:rsidRPr="00F840E1">
        <w:rPr>
          <w:rFonts w:ascii="Arial" w:hAnsi="Arial" w:cs="Arial"/>
        </w:rPr>
        <w:t xml:space="preserve">. Another method which has been utilised to elicit improvements in FEV/FVC ratio in groups with asthma is high intensity interval training (HIIT) </w:t>
      </w:r>
      <w:r w:rsidRPr="00F840E1">
        <w:rPr>
          <w:rFonts w:ascii="Arial" w:hAnsi="Arial" w:cs="Arial"/>
        </w:rPr>
        <w:fldChar w:fldCharType="begin" w:fldLock="1"/>
      </w:r>
      <w:r w:rsidRPr="00F840E1">
        <w:rPr>
          <w:rFonts w:ascii="Arial" w:hAnsi="Arial" w:cs="Arial"/>
        </w:rPr>
        <w:instrText>ADDIN CSL_CITATION {"citationItems":[{"id":"ITEM-1","itemData":{"DOI":"10.1186/s13102-020-00167-y","ISSN":"20521847","abstract":"Background: Exercise training is important in the management of adults with chronic pulmonary conditions. However, achieving high intensity exercise may be challenging for this clinical population. There has been clinical interest in applying interval-based training as a strategy to optimise the load that can be tolerated during exercise training. Evidence for such an approach is limited in most chronic pulmonary populations. Main body: In this narrative review, we provide an appraisal of studies investigating whole-body high intensity interval training (HIIT) in adults with chronic obstructive pulmonary disease (COPD). This is the first review to also include studies investigating HIIT in people with conditions other than COPD. Studies undertaken in adults with a chronic pulmonary condition were reviewed when participants were randomised to receive; (i) HIIT or no exercise or, (ii) HIIT or moderate intensity continuous exercise. Data were extracted on peak rate of oxygen uptake (VO2peak; 'cardiorespiratory fitness') and maximal work rate (Wmax; 'exercise capacity'). In people with COPD, two studies demonstrated between-group differences favouring HIIT compared with no exercise. There appears to be no advantage for HIIT compared to continuous exercise on these outcomes. In people with cystic fibrosis (CF), no studies have compared HIIT to no exercise and the two studies that compared HIIT to continuous exercise reported similar benefits. In people prior to resection for non-small cell lung cancer, one study demonstrated a between-group difference in favour of HIIT compared with no exercise on VO2peak. In people with asthma, one study demonstrated a between-group difference in favour of HIIT compared with no exercise on VO2peak and one that compared HIIT to continuous exercise reported similar benefits. No studies were identified non-CF bronchiectasis or interstitial lung diseases. Conclusions: High intensity interval training increases cardiorespiratory fitness and exercise capacity when compared with no exercise and produces a similar magnitude of change as continuous exercise in people with COPD. There is a paucity of studies exploring the effects of HIIT in other chronic pulmonary conditions.","author":[{"dropping-particle":"","family":"Sawyer","given":"Abbey","non-dropping-particle":"","parse-names":false,"suffix":""},{"dropping-particle":"","family":"Cavalheri","given":"Vinicius","non-dropping-particle":"","parse-names":false,"suffix":""},{"dropping-particle":"","family":"Hill","given":"Kylie","non-dropping-particle":"","parse-names":false,"suffix":""}],"container-title":"BMC Sports Science, Medicine and Rehabilitation","id":"ITEM-1","issue":"1","issued":{"date-parts":[["2020"]]},"title":"Effects of high intensity interval training on exercise capacity in people with chronic pulmonary conditions: A narrative review","type":"article-journal","volume":"12"},"uris":["http://www.mendeley.com/documents/?uuid=7fca3f93-f047-4902-8574-dbad43afa0ca"]}],"mendeley":{"formattedCitation":"(Sawyer, Cavalheri and Hill, 2020)","plainTextFormattedCitation":"(Sawyer, Cavalheri and Hill, 2020)","previouslyFormattedCitation":"(Sawyer, Cavalheri and Hill, 2020)"},"properties":{"noteIndex":0},"schema":"https://github.com/citation-style-language/schema/raw/master/csl-citation.json"}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(Sawyer, Cavalheri and Hill, 2020)</w:t>
      </w:r>
      <w:r w:rsidRPr="00F840E1">
        <w:rPr>
          <w:rFonts w:ascii="Arial" w:hAnsi="Arial" w:cs="Arial"/>
        </w:rPr>
        <w:fldChar w:fldCharType="end"/>
      </w:r>
      <w:r w:rsidRPr="00F840E1">
        <w:rPr>
          <w:rFonts w:ascii="Arial" w:hAnsi="Arial" w:cs="Arial"/>
        </w:rPr>
        <w:t xml:space="preserve">. There has been debate around whether HIIT may induce bronchoconstriction in asthmatics, however, studies have shown including a warm up prior to the HIIT can reduce this </w:t>
      </w:r>
      <w:r w:rsidRPr="00F840E1">
        <w:rPr>
          <w:rFonts w:ascii="Arial" w:hAnsi="Arial" w:cs="Arial"/>
        </w:rPr>
        <w:fldChar w:fldCharType="begin" w:fldLock="1"/>
      </w:r>
      <w:r w:rsidRPr="00F840E1">
        <w:rPr>
          <w:rFonts w:ascii="Arial" w:hAnsi="Arial" w:cs="Arial"/>
        </w:rPr>
        <w:instrText>ADDIN CSL_CITATION {"citationItems":[{"id":"ITEM-1","itemData":{"DOI":"10.1186/s13102-020-00167-y","ISSN":"20521847","abstract":"Background: Exercise training is important in the management of adults with chronic pulmonary conditions. However, achieving high intensity exercise may be challenging for this clinical population. There has been clinical interest in applying interval-based training as a strategy to optimise the load that can be tolerated during exercise training. Evidence for such an approach is limited in most chronic pulmonary populations. Main body: In this narrative review, we provide an appraisal of studies investigating whole-body high intensity interval training (HIIT) in adults with chronic obstructive pulmonary disease (COPD). This is the first review to also include studies investigating HIIT in people with conditions other than COPD. Studies undertaken in adults with a chronic pulmonary condition were reviewed when participants were randomised to receive; (i) HIIT or no exercise or, (ii) HIIT or moderate intensity continuous exercise. Data were extracted on peak rate of oxygen uptake (VO2peak; 'cardiorespiratory fitness') and maximal work rate (Wmax; 'exercise capacity'). In people with COPD, two studies demonstrated between-group differences favouring HIIT compared with no exercise. There appears to be no advantage for HIIT compared to continuous exercise on these outcomes. In people with cystic fibrosis (CF), no studies have compared HIIT to no exercise and the two studies that compared HIIT to continuous exercise reported similar benefits. In people prior to resection for non-small cell lung cancer, one study demonstrated a between-group difference in favour of HIIT compared with no exercise on VO2peak. In people with asthma, one study demonstrated a between-group difference in favour of HIIT compared with no exercise on VO2peak and one that compared HIIT to continuous exercise reported similar benefits. No studies were identified non-CF bronchiectasis or interstitial lung diseases. Conclusions: High intensity interval training increases cardiorespiratory fitness and exercise capacity when compared with no exercise and produces a similar magnitude of change as continuous exercise in people with COPD. There is a paucity of studies exploring the effects of HIIT in other chronic pulmonary conditions.","author":[{"dropping-particle":"","family":"Sawyer","given":"Abbey","non-dropping-particle":"","parse-names":false,"suffix":""},{"dropping-particle":"","family":"Cavalheri","given":"Vinicius","non-dropping-particle":"","parse-names":false,"suffix":""},{"dropping-particle":"","family":"Hill","given":"Kylie","non-dropping-particle":"","parse-names":false,"suffix":""}],"container-title":"BMC Sports Science, Medicine and Rehabilitation","id":"ITEM-1","issue":"1","issued":{"date-parts":[["2020"]]},"title":"Effects of high intensity interval training on exercise capacity in people with chronic pulmonary conditions: A narrative review","type":"article-journal","volume":"12"},"uris":["http://www.mendeley.com/documents/?uuid=7fca3f93-f047-4902-8574-dbad43afa0ca"]}],"mendeley":{"formattedCitation":"(Sawyer, Cavalheri and Hill, 2020)","plainTextFormattedCitation":"(Sawyer, Cavalheri and Hill, 2020)","previouslyFormattedCitation":"(Sawyer, Cavalheri and Hill, 2020)"},"properties":{"noteIndex":0},"schema":"https://github.com/citation-style-language/schema/raw/master/csl-citation.json"}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(Sawyer, Cavalheri and Hill, 2020)</w:t>
      </w:r>
      <w:r w:rsidRPr="00F840E1">
        <w:rPr>
          <w:rFonts w:ascii="Arial" w:hAnsi="Arial" w:cs="Arial"/>
        </w:rPr>
        <w:fldChar w:fldCharType="end"/>
      </w:r>
      <w:r w:rsidRPr="00F840E1">
        <w:rPr>
          <w:rFonts w:ascii="Arial" w:hAnsi="Arial" w:cs="Arial"/>
        </w:rPr>
        <w:t xml:space="preserve">. Therefore, it can be recommended that this client completes continuous aerobic exercise including swimming and running regularly as well as including HIIT sessions within their training. This will be safe and effective in improving their lung function providing they complete a warm up and monitor for the exacerbation of their usual asthma symptoms.  </w:t>
      </w:r>
    </w:p>
    <w:p w14:paraId="3B7EFA87" w14:textId="77777777" w:rsidR="00397AAB" w:rsidRPr="00F840E1" w:rsidRDefault="00397AAB" w:rsidP="00F840E1">
      <w:pPr>
        <w:spacing w:line="360" w:lineRule="auto"/>
        <w:jc w:val="both"/>
        <w:rPr>
          <w:rFonts w:ascii="Arial" w:hAnsi="Arial" w:cs="Arial"/>
        </w:rPr>
      </w:pPr>
    </w:p>
    <w:p w14:paraId="115DDA4C" w14:textId="77777777" w:rsidR="00397AAB" w:rsidRPr="00F840E1" w:rsidRDefault="00397AAB" w:rsidP="00F840E1">
      <w:pPr>
        <w:spacing w:line="360" w:lineRule="auto"/>
        <w:jc w:val="both"/>
        <w:rPr>
          <w:rFonts w:ascii="Arial" w:hAnsi="Arial" w:cs="Arial"/>
        </w:rPr>
      </w:pPr>
      <w:r w:rsidRPr="00F840E1">
        <w:rPr>
          <w:rFonts w:ascii="Arial" w:hAnsi="Arial" w:cs="Arial"/>
        </w:rPr>
        <w:t xml:space="preserve">Another aspect that the client can improve on is their BMI. The client’s BMI is currently at 31.2 which places them in the obese category </w:t>
      </w:r>
      <w:r w:rsidRPr="00F840E1">
        <w:rPr>
          <w:rFonts w:ascii="Arial" w:hAnsi="Arial" w:cs="Arial"/>
        </w:rPr>
        <w:fldChar w:fldCharType="begin" w:fldLock="1"/>
      </w:r>
      <w:r w:rsidRPr="00F840E1">
        <w:rPr>
          <w:rFonts w:ascii="Arial" w:hAnsi="Arial" w:cs="Arial"/>
        </w:rPr>
        <w:instrText>ADDIN CSL_CITATION {"citationItems":[{"id":"ITEM-1","itemData":{"DOI":"10.1097/ij9.0000000000000017","ISSN":"2471-3864","abstract":"Excessive fat accumulation in the body may impair health leading to a significant long-term health consequences including the development of diabetes, coronary heart disease, and osteoarthritis as well as increasing the risk of developing certain cancers and influencing their outcomes. England has some of the worst figures and trends in obesity compared with the rest of the Europe. In the majority of European countries the trend has increased from 10% to 40% in the last 10 years, whereas in England prevalence has more than doubled. This article outlines the public health impact of rising obesity levels.","author":[{"dropping-particle":"","family":"Agha","given":"Maliha","non-dropping-particle":"","parse-names":false,"suffix":""},{"dropping-particle":"","family":"Agha","given":"Riaz","non-dropping-particle":"","parse-names":false,"suffix":""}],"container-title":"International Journal of Surgery: Oncology","id":"ITEM-1","issue":"7","issued":{"date-parts":[["2017"]]},"page":"17","title":"The rising prevalence of obesity: part A: impact on public health","type":"article-journal","volume":"2"},"uris":["http://www.mendeley.com/documents/?uuid=63b5122c-a346-466f-9e99-bae0ab8eb4f8"]}],"mendeley":{"formattedCitation":"(Agha and Agha, 2017)","plainTextFormattedCitation":"(Agha and Agha, 2017)","previouslyFormattedCitation":"(Agha and Agha, 2017)"},"properties":{"noteIndex":0},"schema":"https://github.com/citation-style-language/schema/raw/master/csl-citation.json"}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(Agha and Agha, 2017)</w:t>
      </w:r>
      <w:r w:rsidRPr="00F840E1">
        <w:rPr>
          <w:rFonts w:ascii="Arial" w:hAnsi="Arial" w:cs="Arial"/>
        </w:rPr>
        <w:fldChar w:fldCharType="end"/>
      </w:r>
      <w:r w:rsidRPr="00F840E1">
        <w:rPr>
          <w:rFonts w:ascii="Arial" w:hAnsi="Arial" w:cs="Arial"/>
        </w:rPr>
        <w:t xml:space="preserve">. Due to the association between obesity and asthma </w:t>
      </w:r>
      <w:r w:rsidRPr="00F840E1">
        <w:rPr>
          <w:rFonts w:ascii="Arial" w:hAnsi="Arial" w:cs="Arial"/>
        </w:rPr>
        <w:fldChar w:fldCharType="begin" w:fldLock="1"/>
      </w:r>
      <w:r w:rsidRPr="00F840E1">
        <w:rPr>
          <w:rFonts w:ascii="Arial" w:hAnsi="Arial" w:cs="Arial"/>
        </w:rPr>
        <w:instrText>ADDIN CSL_CITATION {"citationItems":[{"id":"ITEM-1","itemData":{"author":[{"dropping-particle":"","family":"Boulet","given":"L. P.","non-dropping-particle":"","parse-names":false,"suffix":""}],"container-title":"Clinical and experimental allergy","id":"ITEM-1","issue":"1","issued":{"date-parts":[["2012"]]},"page":"8-21","title":"Asthma and obesity","type":"article-journal","volume":"43"},"uris":["http://www.mendeley.com/documents/?uuid=f74e052a-5cfa-4b47-8ea9-699f4769d884"]}],"mendeley":{"formattedCitation":"(Boulet, 2012)","plainTextFormattedCitation":"(Boulet, 2012)","previouslyFormattedCitation":"(Boulet, 2012)"},"properties":{"noteIndex":0},"schema":"https://github.com/citation-style-language/schema/raw/master/csl-citation.json"}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(Boulet, 2012)</w:t>
      </w:r>
      <w:r w:rsidRPr="00F840E1">
        <w:rPr>
          <w:rFonts w:ascii="Arial" w:hAnsi="Arial" w:cs="Arial"/>
        </w:rPr>
        <w:fldChar w:fldCharType="end"/>
      </w:r>
      <w:r w:rsidRPr="00F840E1">
        <w:rPr>
          <w:rFonts w:ascii="Arial" w:hAnsi="Arial" w:cs="Arial"/>
        </w:rPr>
        <w:t xml:space="preserve"> as well as an increased risk of many other potential health complications, it is important that this is addressed. BMI can be reduced through interventions such as diet and exercise </w:t>
      </w:r>
      <w:r w:rsidRPr="00F840E1">
        <w:rPr>
          <w:rFonts w:ascii="Arial" w:hAnsi="Arial" w:cs="Arial"/>
        </w:rPr>
        <w:fldChar w:fldCharType="begin" w:fldLock="1"/>
      </w:r>
      <w:r w:rsidRPr="00F840E1">
        <w:rPr>
          <w:rFonts w:ascii="Arial" w:hAnsi="Arial" w:cs="Arial"/>
        </w:rPr>
        <w:instrText>ADDIN CSL_CITATION {"citationItems":[{"id":"ITEM-1","itemData":{"DOI":"10.1038/oby.2011.76","ISSN":"19307381","PMID":"21494229","abstract":"Lifestyle interventions for weight loss are the cornerstone of obesity therapy, yet their optimal design is debated. This is particularly true for postmenopausal women; a population with a high prevalence of obesity yet toward whom fewer studies are targeted. We conducted a year-long, 4-arm randomized trial among 439 overweight-to-obese postmenopausal sedentary women to determine the effects of a calorie-reduced, low-fat diet (D), a moderate-intensity, facility-based aerobic exercise program (E), or the combination of both interventions (DE), vs. a no-lifestyle-change control (C) on change in body weight and composition. The group-based dietary intervention had a weight-reduction goal of 10%, and the exercise intervention consisted of a gradual escalation to 45-min aerobic exercise 5 day/week. Participants were predominantly non-Hispanic whites (85%) with a mean age of 58.0 5.0 years, a mean BMI of 30.9 4.0kg/m2 and an average of 47.8 4.4% body fat. Baseline and 12-month weight and adiposity measures were obtained by staff blinded to participants' intervention assignment. Three hundred and ninety nine women completed the trial (91% retention). Using an intention-to-treat analysis, average weight loss at 12 months was 8.5% for the D group (P 0.0001 vs. C), 2.4% for the E group (P = 0.03 vs. C), and 10.8% for the DE group (P 0.0001 vs. C), whereas the C group experienced a nonsignificant 0.8% decrease. BMI, waist circumference, and % body fat were also similarly reduced. Among postmenopausal women, lifestyle-change involving diet, exercise, or both combined over 1 year improves body weight and adiposity, with the greatest change arising from the combined intervention. © 2011 The Obesity Society.","author":[{"dropping-particle":"","family":"Foster-Schubert","given":"Karen E.","non-dropping-particle":"","parse-names":false,"suffix":""},{"dropping-particle":"","family":"Alfano","given":"Catherine M.","non-dropping-particle":"","parse-names":false,"suffix":""},{"dropping-particle":"","family":"Duggan","given":"Catherine R.","non-dropping-particle":"","parse-names":false,"suffix":""},{"dropping-particle":"","family":"Xiao","given":"Liren","non-dropping-particle":"","parse-names":false,"suffix":""},{"dropping-particle":"","family":"Campbell","given":"Kristin L.","non-dropping-particle":"","parse-names":false,"suffix":""},{"dropping-particle":"","family":"Kong","given":"Angela","non-dropping-particle":"","parse-names":false,"suffix":""},{"dropping-particle":"","family":"Bain","given":"Carolyn E.","non-dropping-particle":"","parse-names":false,"suffix":""},{"dropping-particle":"","family":"Wang","given":"Ching Yun","non-dropping-particle":"","parse-names":false,"suffix":""},{"dropping-particle":"","family":"Blackburn","given":"George L.","non-dropping-particle":"","parse-names":false,"suffix":""},{"dropping-particle":"","family":"Mctiernan","given":"Anne","non-dropping-particle":"","parse-names":false,"suffix":""}],"container-title":"Obesity","id":"ITEM-1","issue":"8","issued":{"date-parts":[["2012"]]},"page":"1628-1638","title":"Effect of diet and exercise, alone or combined, on weight and body composition in overweight-to-obese postmenopausal women","type":"article-journal","volume":"20"},"uris":["http://www.mendeley.com/documents/?uuid=0b1cc2bc-9627-48e3-a8ba-ba0ac9c942c3"]}],"mendeley":{"formattedCitation":"(Foster-Schubert &lt;i&gt;et al.&lt;/i&gt;, 2012)","plainTextFormattedCitation":"(Foster-Schubert et al., 2012)","previouslyFormattedCitation":"(Foster-Schubert &lt;i&gt;et al.&lt;/i&gt;, 2012)"},"properties":{"noteIndex":0},"schema":"https://github.com/citation-style-language/schema/raw/master/csl-citation.json"}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 xml:space="preserve">(Foster-Schubert </w:t>
      </w:r>
      <w:r w:rsidRPr="00F840E1">
        <w:rPr>
          <w:rFonts w:ascii="Arial" w:hAnsi="Arial" w:cs="Arial"/>
          <w:i/>
          <w:noProof/>
        </w:rPr>
        <w:t>et al.</w:t>
      </w:r>
      <w:r w:rsidRPr="00F840E1">
        <w:rPr>
          <w:rFonts w:ascii="Arial" w:hAnsi="Arial" w:cs="Arial"/>
          <w:noProof/>
        </w:rPr>
        <w:t>, 2012)</w:t>
      </w:r>
      <w:r w:rsidRPr="00F840E1">
        <w:rPr>
          <w:rFonts w:ascii="Arial" w:hAnsi="Arial" w:cs="Arial"/>
        </w:rPr>
        <w:fldChar w:fldCharType="end"/>
      </w:r>
      <w:r w:rsidRPr="00F840E1">
        <w:rPr>
          <w:rFonts w:ascii="Arial" w:hAnsi="Arial" w:cs="Arial"/>
        </w:rPr>
        <w:t xml:space="preserve">. Effective exercise interventions for the management of obesity include HIIT </w:t>
      </w:r>
      <w:r w:rsidRPr="00F840E1">
        <w:rPr>
          <w:rFonts w:ascii="Arial" w:hAnsi="Arial" w:cs="Arial"/>
        </w:rPr>
        <w:fldChar w:fldCharType="begin" w:fldLock="1"/>
      </w:r>
      <w:r w:rsidRPr="00F840E1">
        <w:rPr>
          <w:rFonts w:ascii="Arial" w:hAnsi="Arial" w:cs="Arial"/>
        </w:rPr>
        <w:instrText>ADDIN CSL_CITATION {"citationItems":[{"id":"ITEM-1","itemData":{"DOI":"10.1016/j.obmed.2020.100233","ISSN":"24518476","abstract":"Aims: Obesity and overweight are one of the main causes of some serious health problems such as hepatic disease. Among none-drugs approach for overweight management, physical exercise is in the first line. The purpose of this study was to determine the effect of eight weeks of high intensity interval training on the levels of enzymes involved in liver injury, lipid profile and body composition in overweight young men. Methods: In this study, 18 inactive 20–30 years old with a BMI of 25–30 kg/m2 were selected using convenience sampling and then randomly divided into two groups of HIIT (n = 10) and control group (N = 8). The experimental group performed the exercise protocol three times a week for eight weeks. Blood samples were taken 24 h before the first and 48 h after the last training session to measure liver enzymes and lipid profile. Paired and independent t-tests were used to compare intra- and inter-group changes, respectively. Results: Based on the results of the present study, eight weeks of HIIT training significantly decreased AST, TG, BMI, PBF, WHR values (p &lt; 0/05) and a significant difference was observed in ALT, TG, AST and WHR values between the two groups (p &lt; 0/05). Conclusion: HIIT exercise could be an effective training method for improving liver enzymes and reducing body fat in obese young men.","author":[{"dropping-particle":"","family":"Hematinafar","given":"Aboutaleb","non-dropping-particle":"","parse-names":false,"suffix":""},{"dropping-particle":"","family":"Fathi","given":"Mehrdad","non-dropping-particle":"","parse-names":false,"suffix":""},{"dropping-particle":"","family":"Ziaaldini","given":"Mohammad Mosaferi","non-dropping-particle":"","parse-names":false,"suffix":""}],"container-title":"Obesity Medicine","id":"ITEM-1","issue":"1","issued":{"date-parts":[["2020"]]},"title":"Effect of 8 weeks of HIIT on hepatic enzyme levels, lipid profile and body composition in overweight young men","type":"article-journal","volume":"18"},"uris":["http://www.mendeley.com/documents/?uuid=49908b14-0ae2-4e0e-a574-419a3432c43b"]}],"mendeley":{"formattedCitation":"(Hematinafar, Fathi and Ziaaldini, 2020)","manualFormatting":"(Hematinafar et al., 2020)","plainTextFormattedCitation":"(Hematinafar, Fathi and Ziaaldini, 2020)","previouslyFormattedCitation":"(Hematinafar, Fathi and Ziaaldini, 2020)"},"properties":{"noteIndex":0},"schema":"https://github.com/citation-style-language/schema/raw/master/csl-citation.json"}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 xml:space="preserve">(Hematinafar </w:t>
      </w:r>
      <w:r w:rsidRPr="00F840E1">
        <w:rPr>
          <w:rFonts w:ascii="Arial" w:hAnsi="Arial" w:cs="Arial"/>
          <w:i/>
          <w:iCs/>
          <w:noProof/>
        </w:rPr>
        <w:t>et al.,</w:t>
      </w:r>
      <w:r w:rsidRPr="00F840E1">
        <w:rPr>
          <w:rFonts w:ascii="Arial" w:hAnsi="Arial" w:cs="Arial"/>
          <w:noProof/>
        </w:rPr>
        <w:t xml:space="preserve"> 2020)</w:t>
      </w:r>
      <w:r w:rsidRPr="00F840E1">
        <w:rPr>
          <w:rFonts w:ascii="Arial" w:hAnsi="Arial" w:cs="Arial"/>
        </w:rPr>
        <w:fldChar w:fldCharType="end"/>
      </w:r>
      <w:r w:rsidRPr="00F840E1">
        <w:rPr>
          <w:rFonts w:ascii="Arial" w:hAnsi="Arial" w:cs="Arial"/>
        </w:rPr>
        <w:t xml:space="preserve"> as well as resistance training </w:t>
      </w:r>
      <w:r w:rsidRPr="00F840E1">
        <w:rPr>
          <w:rFonts w:ascii="Arial" w:hAnsi="Arial" w:cs="Arial"/>
        </w:rPr>
        <w:fldChar w:fldCharType="begin" w:fldLock="1"/>
      </w:r>
      <w:r w:rsidRPr="00F840E1">
        <w:rPr>
          <w:rFonts w:ascii="Arial" w:hAnsi="Arial" w:cs="Arial"/>
        </w:rPr>
        <w:instrText>ADDIN CSL_CITATION {"citationItems":[{"id":"ITEM-1","itemData":{"DOI":"10.1155/2011/482564","ISSN":"20900716","abstract":"Over the last decade, investigators have paid increasing attention to the effects of resistance training (RT) on several metabolic syndrome variables. Evidence suggests that skeletal muscle is responsible for up to 40% of individuals' total body weight and may be influential in modifying metabolic risk factors via muscle mass development. Due to the metabolic consequences of reduced muscle mass, it is understood that normal aging and/or decreased physical activity may lead to a higher prevalence of metabolic disorders. The purpose of this review is to (1) evaluate the potential clinical effectiveness and biological mechanisms of RT in the treatment of obesity and (2) provide up-to-date evidence relating to the impact of RT in reducing major cardiovascular disease risk factors (including dyslipidaemia and type 2 diabetes). A further aim of this paper is to provide clinicians with recommendations for facilitating the use of RT as therapy in obesity and obesity-related metabolic disorders. © 2011 Barbara Strasser and Wolfgang Schobersberger.","author":[{"dropping-particle":"","family":"Strasser","given":"Barbara","non-dropping-particle":"","parse-names":false,"suffix":""},{"dropping-particle":"","family":"Schobersberger","given":"Wolfgang","non-dropping-particle":"","parse-names":false,"suffix":""}],"container-title":"Journal of Obesity","id":"ITEM-1","issue":"1","issued":{"date-parts":[["2011"]]},"title":"Evidence for resistance training as a treatment therapy in obesity","type":"article-journal","volume":"2011"},"uris":["http://www.mendeley.com/documents/?uuid=9f4075cd-6ec9-4771-a161-2a997980354f"]}],"mendeley":{"formattedCitation":"(Strasser and Schobersberger, 2011)","plainTextFormattedCitation":"(Strasser and Schobersberger, 2011)","previouslyFormattedCitation":"(Strasser and Schobersberger, 2011)"},"properties":{"noteIndex":0},"schema":"https://github.com/citation-style-language/schema/raw/master/csl-citation.json"}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(Strasser and Schobersberger, 2011)</w:t>
      </w:r>
      <w:r w:rsidRPr="00F840E1">
        <w:rPr>
          <w:rFonts w:ascii="Arial" w:hAnsi="Arial" w:cs="Arial"/>
        </w:rPr>
        <w:fldChar w:fldCharType="end"/>
      </w:r>
      <w:r w:rsidRPr="00F840E1">
        <w:rPr>
          <w:rFonts w:ascii="Arial" w:hAnsi="Arial" w:cs="Arial"/>
        </w:rPr>
        <w:t xml:space="preserve">. Therefore, it is recommended that the client includes regular HIIT and resistance training within their training programme to elicit improvements in BMI and reduce the potential risks associated with obesity. A well-balanced diet including optimal intake of dietary fats, carbohydrates, proteins, fruit, vegetables and vitamins and minerals is crucial for general health, weight management and reducing the risk of various health problems </w:t>
      </w:r>
      <w:r w:rsidRPr="00F840E1">
        <w:rPr>
          <w:rFonts w:ascii="Arial" w:hAnsi="Arial" w:cs="Arial"/>
        </w:rPr>
        <w:fldChar w:fldCharType="begin" w:fldLock="1"/>
      </w:r>
      <w:r w:rsidRPr="00F840E1">
        <w:rPr>
          <w:rFonts w:ascii="Arial" w:hAnsi="Arial" w:cs="Arial"/>
        </w:rPr>
        <w:instrText>ADDIN CSL_CITATION {"citationItems":[{"id":"ITEM-1","itemData":{"ISSN":"1526-9523","abstract":"Enough solid evidence now exists to offer women several fundamental strategies for healthy eating. They include emphasizing healthful unsaturated fats, whole grains, good protein \" packages,\" and fruits and vegetables; limiting consumption of trans and saturated fats, highly refined grains, and sugary beverages; and taking a multivitamin with folic acid and extra vitamin D as a nutritional safety net. A diet based on these principles is healthy through virtually all life stages, from young adulthood through planning for pregnancy, pregnancy, and on into old age. © 2010 American College of Nurse-Midwives.","author":[{"dropping-particle":"","family":"Skerett","given":"P. J.","non-dropping-particle":"","parse-names":false,"suffix":""},{"dropping-particle":"","family":"Willet","given":"W. C.","non-dropping-particle":"","parse-names":false,"suffix":""}],"container-title":"Journal of Midwifery and Women's Health","id":"ITEM-1","issue":"6","issued":{"date-parts":[["2010"]]},"page":"492-501","title":"Essentials of healthy eating: A guide","type":"article-journal","volume":"55"},"uris":["http://www.mendeley.com/documents/?uuid=e7cf353a-513e-44c4-b994-c4139e47dda9"]}],"mendeley":{"formattedCitation":"(Skerett and Willet, 2010)","plainTextFormattedCitation":"(Skerett and Willet, 2010)","previouslyFormattedCitation":"(Skerett and Willet, 2010)"},"properties":{"noteIndex":0},"schema":"https://github.com/citation-style-language/schema/raw/master/csl-citation.json"}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(Skerett and Willet, 2010)</w:t>
      </w:r>
      <w:r w:rsidRPr="00F840E1">
        <w:rPr>
          <w:rFonts w:ascii="Arial" w:hAnsi="Arial" w:cs="Arial"/>
        </w:rPr>
        <w:fldChar w:fldCharType="end"/>
      </w:r>
      <w:r w:rsidRPr="00F840E1">
        <w:rPr>
          <w:rFonts w:ascii="Arial" w:hAnsi="Arial" w:cs="Arial"/>
        </w:rPr>
        <w:t xml:space="preserve">. The client is currently on a low carbohydrate diet. It is recommended that the client meets the recommended intake of carbohydrates of 50% of their total food intake and focuses more on the inclusion of low glycaemic index carbohydrates such as whole grain foods </w:t>
      </w:r>
      <w:r w:rsidRPr="00F840E1">
        <w:rPr>
          <w:rFonts w:ascii="Arial" w:hAnsi="Arial" w:cs="Arial"/>
        </w:rPr>
        <w:fldChar w:fldCharType="begin" w:fldLock="1"/>
      </w:r>
      <w:r w:rsidRPr="00F840E1">
        <w:rPr>
          <w:rFonts w:ascii="Arial" w:hAnsi="Arial" w:cs="Arial"/>
        </w:rPr>
        <w:instrText>ADDIN CSL_CITATION {"citationItems":[{"id":"ITEM-1","itemData":{"DOI":"10.1038/s41430-017-0035-4","ISSN":"14765640","PMID":"29572552","abstract":"Background/objectives: Renewed dietary recommendations for carbohydrates have recently been published by various international health authorities. The present work (1) reviews the methods and processes (systematic approach/review, inclusion of public consultation) used to identify, select and grade the evidence underpinning the recommendations, particularly for total carbohydrate (CHO), fibre and sugar consumption, and (2) examines the extent to which variation in the methods and processes applied relates to any differences in the final recommendations. Subjects/methods: A search of WHO, US, Canada, Australia and European sources identified 19 documents from 13 authorities with the desired detailed information. Processes and methods applied to derive recommendations were compiled and compared. Results: (1) A relatively high total CHO and fibre intake and limited intake of (added or free) sugars are generally recommended. (2) Even where recommendations are similar, the specific justifications for quantitative/qualitative recommendations differ across authorities. (3) Differences in recommendations mainly arise from differences in the underlying definitions of CHO exposure and classifications, the degree to which specific CHO-providing foods and food components were considered, and the choice and number of health outcomes selected. (4) Differences in the selection of source material, time frames or data aggregation and grading methods appeared to have minor influence. Conclusions: Despite general consistency, apparent differences among the recommendations of different authorities would likely be minimized by: (1) More explicit quantitative justifications for numerical recommendations and communication of uncertainty, and (2) greater international harmonization, particularly in the underlying definitions of exposures and range of relevant nutrition-related outcomes.","author":[{"dropping-particle":"","family":"Buyken","given":"A. E.","non-dropping-particle":"","parse-names":false,"suffix":""},{"dropping-particle":"","family":"Mela","given":"D. J.","non-dropping-particle":"","parse-names":false,"suffix":""},{"dropping-particle":"","family":"Dussort","given":"P.","non-dropping-particle":"","parse-names":false,"suffix":""},{"dropping-particle":"","family":"Johnson","given":"I. T.","non-dropping-particle":"","parse-names":false,"suffix":""},{"dropping-particle":"","family":"Macdonald","given":"I. A.","non-dropping-particle":"","parse-names":false,"suffix":""},{"dropping-particle":"","family":"Stowell","given":"J. D.","non-dropping-particle":"","parse-names":false,"suffix":""},{"dropping-particle":"","family":"Brouns","given":"F. J.P.H.","non-dropping-particle":"","parse-names":false,"suffix":""}],"container-title":"European Journal of Clinical Nutrition","id":"ITEM-1","issue":"12","issued":{"date-parts":[["2018"]]},"page":"1625-1643","title":"Dietary carbohydrates: a review of international recommendations and the methods used to derive them","type":"article-journal","volume":"72"},"uris":["http://www.mendeley.com/documents/?uuid=1e234afc-f76c-4230-8416-b144ce1af258"]}],"mendeley":{"formattedCitation":"(Buyken &lt;i&gt;et al.&lt;/i&gt;, 2018)","plainTextFormattedCitation":"(Buyken et al., 2018)","previouslyFormattedCitation":"(Buyken &lt;i&gt;et al.&lt;/i&gt;, 2018)"},"properties":{"noteIndex":0},"schema":"https://github.com/citation-style-language/schema/raw/master/csl-citation.json"}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 xml:space="preserve">(Buyken </w:t>
      </w:r>
      <w:r w:rsidRPr="00F840E1">
        <w:rPr>
          <w:rFonts w:ascii="Arial" w:hAnsi="Arial" w:cs="Arial"/>
          <w:i/>
          <w:noProof/>
        </w:rPr>
        <w:t>et al.</w:t>
      </w:r>
      <w:r w:rsidRPr="00F840E1">
        <w:rPr>
          <w:rFonts w:ascii="Arial" w:hAnsi="Arial" w:cs="Arial"/>
          <w:noProof/>
        </w:rPr>
        <w:t>, 2018)</w:t>
      </w:r>
      <w:r w:rsidRPr="00F840E1">
        <w:rPr>
          <w:rFonts w:ascii="Arial" w:hAnsi="Arial" w:cs="Arial"/>
        </w:rPr>
        <w:fldChar w:fldCharType="end"/>
      </w:r>
      <w:r w:rsidRPr="00F840E1">
        <w:rPr>
          <w:rFonts w:ascii="Arial" w:hAnsi="Arial" w:cs="Arial"/>
        </w:rPr>
        <w:t xml:space="preserve">. This recommendation has been made because it has been shown that  consuming a low carbohydrate diet is associated with increasing likelihood of being overweight and obese </w:t>
      </w:r>
      <w:r w:rsidRPr="00F840E1">
        <w:rPr>
          <w:rFonts w:ascii="Arial" w:hAnsi="Arial" w:cs="Arial"/>
        </w:rPr>
        <w:fldChar w:fldCharType="begin" w:fldLock="1"/>
      </w:r>
      <w:r w:rsidRPr="00F840E1">
        <w:rPr>
          <w:rFonts w:ascii="Arial" w:hAnsi="Arial" w:cs="Arial"/>
        </w:rPr>
        <w:instrText>ADDIN CSL_CITATION {"citationItems":[{"id":"ITEM-1","itemData":{"DOI":"10.1177/0884533610379858","ISSN":"08845336","abstract":"Background: Little is known about the dietary habits of people with optimal body weight in communities with high overweight and obesity prevalence. Objective: To evaluate carbohydrate intake in relation to overweight and obesity in healthy, free-living adults. Design: Cross-sectional analysis. Subjects/ Setting: The Canadian Community Health Survey Cycle 2.2 is a cross-sectional survey of Canadians conducted in 2004-2005. There were 4,451 participants aged 18 years and older with anthropometric and dietary data and no comorbid conditions in this analysis. Main Outcome Measures: Outcome variables were body mass index (BMI; kg/m2) and overweight or obesity status (dichotomous) defined as BMI &gt;25 compared with BMI &lt;25 based on measured height and weight. Diet was evaluated by 24-hour dietary recall based on the Automated Multi-Pass Method. Statistical Analyses Performed: Weighted regression models with bootstrapping and cubic splines were used. Outcome variables were BMI and overweight or obesity, and predictors were daily nutrient intake. Adjustment for total energy intake, age, leisure time energy expenditure, sex, smoking, education, and income adequacy was performed. Results: Risk of overweight and obesity was decreased in all quartiles of carbohydrate intake compared with the lowest intake category (multivariate odds ratio quartile 2 = 0.63; 95% confidence interval: 0.49 to 0.90; odds ratio quartile 3 = 0.58; 95% confidence interval: 0.41 to 0.82; odds ratio quartile 4 = 0.60; 95% confidence interval: 0.42 to 0.85). Spline analyses revealed lowest risk among those consuming 290-310 g/day carbohydrates. Conclusions: Consuming a low-carbohydrate (approximately 47% energy) diet was associated with greater likelihood of being overweight or obese among healthy, free-living adults. Lowest risk may be obtained by consuming 47% to 64% of energy from carbohydrates. © 2010 American Society for Parenteral and Enteral Nutrition.","author":[{"dropping-particle":"","family":"Merchant","given":"A. T.","non-dropping-particle":"","parse-names":false,"suffix":""},{"dropping-particle":"","family":"Vatanparast","given":"H.","non-dropping-particle":"","parse-names":false,"suffix":""},{"dropping-particle":"","family":"Barlas","given":"S.","non-dropping-particle":"","parse-names":false,"suffix":""},{"dropping-particle":"","family":"Cheskin","given":"Lawrence J.","non-dropping-particle":"","parse-names":false,"suffix":""}],"container-title":"Nutrition in Clinical Practice","id":"ITEM-1","issue":"6","issued":{"date-parts":[["2010"]]},"page":"680-681","title":"Carbohydrate intake and overweight and obesity among healthy adults","type":"article-journal","volume":"25"},"uris":["http://www.mendeley.com/documents/?uuid=8df981d3-919e-410c-9647-46d73df35552"]}],"mendeley":{"formattedCitation":"(Merchant &lt;i&gt;et al.&lt;/i&gt;, 2010)","plainTextFormattedCitation":"(Merchant et al., 2010)","previouslyFormattedCitation":"(Merchant &lt;i&gt;et al.&lt;/i&gt;, 2010)"},"properties":{"noteIndex":0},"schema":"https://github.com/citation-style-language/schema/raw/master/csl-citation.json"}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 xml:space="preserve">(Merchant </w:t>
      </w:r>
      <w:r w:rsidRPr="00F840E1">
        <w:rPr>
          <w:rFonts w:ascii="Arial" w:hAnsi="Arial" w:cs="Arial"/>
          <w:i/>
          <w:noProof/>
        </w:rPr>
        <w:t>et al.</w:t>
      </w:r>
      <w:r w:rsidRPr="00F840E1">
        <w:rPr>
          <w:rFonts w:ascii="Arial" w:hAnsi="Arial" w:cs="Arial"/>
          <w:noProof/>
        </w:rPr>
        <w:t>, 2010)</w:t>
      </w:r>
      <w:r w:rsidRPr="00F840E1">
        <w:rPr>
          <w:rFonts w:ascii="Arial" w:hAnsi="Arial" w:cs="Arial"/>
        </w:rPr>
        <w:fldChar w:fldCharType="end"/>
      </w:r>
      <w:r w:rsidRPr="00F840E1">
        <w:rPr>
          <w:rFonts w:ascii="Arial" w:hAnsi="Arial" w:cs="Arial"/>
        </w:rPr>
        <w:t xml:space="preserve">. </w:t>
      </w:r>
    </w:p>
    <w:p w14:paraId="588C5380" w14:textId="77777777" w:rsidR="00397AAB" w:rsidRPr="00F840E1" w:rsidRDefault="00397AAB" w:rsidP="00F840E1">
      <w:pPr>
        <w:spacing w:line="360" w:lineRule="auto"/>
        <w:jc w:val="both"/>
        <w:rPr>
          <w:rFonts w:ascii="Arial" w:hAnsi="Arial" w:cs="Arial"/>
        </w:rPr>
      </w:pPr>
    </w:p>
    <w:p w14:paraId="1A6C30B1" w14:textId="77777777" w:rsidR="00397AAB" w:rsidRPr="00F840E1" w:rsidRDefault="00397AAB" w:rsidP="00F840E1">
      <w:pPr>
        <w:spacing w:line="360" w:lineRule="auto"/>
        <w:jc w:val="both"/>
        <w:rPr>
          <w:rFonts w:ascii="Arial" w:hAnsi="Arial" w:cs="Arial"/>
        </w:rPr>
      </w:pPr>
      <w:r w:rsidRPr="00F840E1">
        <w:rPr>
          <w:rFonts w:ascii="Arial" w:hAnsi="Arial" w:cs="Arial"/>
        </w:rPr>
        <w:lastRenderedPageBreak/>
        <w:t xml:space="preserve">It is recommended that the client aims to improve their sleep quality. Sleep is an important factor in general health and adequate sleep can reduce the risk of the development of various health conditions </w:t>
      </w:r>
      <w:r w:rsidRPr="00F840E1">
        <w:rPr>
          <w:rFonts w:ascii="Arial" w:hAnsi="Arial" w:cs="Arial"/>
        </w:rPr>
        <w:fldChar w:fldCharType="begin" w:fldLock="1"/>
      </w:r>
      <w:r w:rsidRPr="00F840E1">
        <w:rPr>
          <w:rFonts w:ascii="Arial" w:hAnsi="Arial" w:cs="Arial"/>
        </w:rPr>
        <w:instrText>ADDIN CSL_CITATION {"citationItems":[{"id":"ITEM-1","itemData":{"DOI":"10.1155/2015/615681","ISSN":"20900392","abstract":"Sleep plays a vital role in an individual's mental, emotional, and physiological well-being. Not only does sleep deficiency lead to neurological and psychological disorders, but also the literature has explored the adverse effects of sleep deficiency on the cardiovascular system. Decreased quantity and quality of sleep have been linked to cardiovascular disease (CVD) risk factors, such as hypertension, obesity, diabetes, and dyslipidemia. We explore the literature correlating primary sleep deficiency and deprivation as a cause for cardiovascular disease and cite endothelial dysfunction as a common underlying mechanism.","author":[{"dropping-particle":"","family":"Kohansieh","given":"Michelle","non-dropping-particle":"","parse-names":false,"suffix":""},{"dropping-particle":"","family":"Makaryus","given":"Amgad N.","non-dropping-particle":"","parse-names":false,"suffix":""}],"container-title":"International Journal of Hypertension","id":"ITEM-1","issue":"1","issued":{"date-parts":[["2015"]]},"page":"1-5","title":"Sleep Deficiency and Deprivation Leading to Cardiovascular Disease","type":"article-journal","volume":"2015"},"uris":["http://www.mendeley.com/documents/?uuid=dcb499e8-a0c6-4640-81fb-19237e32a822"]}],"mendeley":{"formattedCitation":"(Kohansieh and Makaryus, 2015)","plainTextFormattedCitation":"(Kohansieh and Makaryus, 2015)","previouslyFormattedCitation":"(Kohansieh and Makaryus, 2015)"},"properties":{"noteIndex":0},"schema":"https://github.com/citation-style-language/schema/raw/master/csl-citation.json"}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(Kohansieh and Makaryus, 2015)</w:t>
      </w:r>
      <w:r w:rsidRPr="00F840E1">
        <w:rPr>
          <w:rFonts w:ascii="Arial" w:hAnsi="Arial" w:cs="Arial"/>
        </w:rPr>
        <w:fldChar w:fldCharType="end"/>
      </w:r>
      <w:r w:rsidRPr="00F840E1">
        <w:rPr>
          <w:rFonts w:ascii="Arial" w:hAnsi="Arial" w:cs="Arial"/>
        </w:rPr>
        <w:t xml:space="preserve">. There are lifestyle factors which may explain the client’s sleep problem including BMI </w:t>
      </w:r>
      <w:r w:rsidRPr="00F840E1">
        <w:rPr>
          <w:rFonts w:ascii="Arial" w:hAnsi="Arial" w:cs="Arial"/>
        </w:rPr>
        <w:fldChar w:fldCharType="begin" w:fldLock="1"/>
      </w:r>
      <w:r w:rsidRPr="00F840E1">
        <w:rPr>
          <w:rFonts w:ascii="Arial" w:hAnsi="Arial" w:cs="Arial"/>
        </w:rPr>
        <w:instrText>ADDIN CSL_CITATION {"citationItems":[{"id":"ITEM-1","itemData":{"DOI":"10.1097/01.mlg.0000172204.82314.c3","ISSN":"0023852X","PMID":"16094131","abstract":"Objective: To investigate body fat composition, measured by bioelectrical impedance assay (BIA), for predicting the presence and severity of obstructive sleep apnea-hypopnea syndrome (OSAHS). Body fat composition was also compared with other well-known OSAHS predictors such as body mass index (BMI), neck circumference, and abdominal visceral fat. Study Design: A prospective study was designed. Fifty-one patients (41 male, 10 female), who were referred to Hacettepe University Faculty of Medicine, Department of Otorhinolaryngology, Head and Neck Surgery with suspected OSAHS, between April 2003 and June 2004, were included in the study. Methods: All patients underwent polysomnography (PSG) and were classified according to their apnea-hypopnea index (AHI) into four groups. The cross-sectional area of abdominal visceral fat was measured by computed tomography (CT) scanning in 33 of the patients. Neck circumference and BMI was measured for all patients. BIA was performed to determine body fat composition. The groups were compared, and correlation of the variables with AHI was investigated. Results: Of the variables, BMI and percentage of body fat (determined by BIA) were found to be significantly correlated with AHI (r = 0.782, r = 0.647). CT of cross-sectional area of abdominal visceral fat provided 100% sensitivity and specificity (P &lt; .001) in differentiating simple snorers from OSAHS patients. By combining percentage of body fat and body fat mass, higher levels of sensitivity (95%) and specificity (100%) were achieved for diagnosis of OSAHS. Conclusion: It was concluded that the BIA could be an inexpensive and practical alternative to prePSG screening tests and should be included in the evaluation of OSAHS patients. © The American Laryngological, Rhinological and Otological Society, Inc.","author":[{"dropping-particle":"","family":"Öǧretmenoǧlu","given":"Oǧuz","non-dropping-particle":"","parse-names":false,"suffix":""},{"dropping-particle":"","family":"Süslü","given":"Ahmet Emre","non-dropping-particle":"","parse-names":false,"suffix":""},{"dropping-particle":"","family":"Yücel","given":"Ömer Taşkin","non-dropping-particle":"","parse-names":false,"suffix":""},{"dropping-particle":"","family":"Önerci","given":"Tevfik Metin","non-dropping-particle":"","parse-names":false,"suffix":""},{"dropping-particle":"","family":"Şahin","given":"Altay","non-dropping-particle":"","parse-names":false,"suffix":""}],"container-title":"Laryngoscope","id":"ITEM-1","issue":"8","issued":{"date-parts":[["2005"]]},"page":"1493-1498","title":"Body fat composition: A predictive factor for obstructive sleep apnea","type":"article-journal","volume":"115"},"uris":["http://www.mendeley.com/documents/?uuid=1d02706a-a1d3-4499-800d-0f1a04976d40"]}],"mendeley":{"formattedCitation":"(Öǧretmenoǧlu &lt;i&gt;et al.&lt;/i&gt;, 2005)","plainTextFormattedCitation":"(Öǧretmenoǧlu et al., 2005)","previouslyFormattedCitation":"(Öǧretmenoǧlu &lt;i&gt;et al.&lt;/i&gt;, 2005)"},"properties":{"noteIndex":0},"schema":"https://github.com/citation-style-language/schema/raw/master/csl-citation.json"}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 xml:space="preserve">(Öǧretmenoǧlu </w:t>
      </w:r>
      <w:r w:rsidRPr="00F840E1">
        <w:rPr>
          <w:rFonts w:ascii="Arial" w:hAnsi="Arial" w:cs="Arial"/>
          <w:i/>
          <w:noProof/>
        </w:rPr>
        <w:t>et al.</w:t>
      </w:r>
      <w:r w:rsidRPr="00F840E1">
        <w:rPr>
          <w:rFonts w:ascii="Arial" w:hAnsi="Arial" w:cs="Arial"/>
          <w:noProof/>
        </w:rPr>
        <w:t>, 2005)</w:t>
      </w:r>
      <w:r w:rsidRPr="00F840E1">
        <w:rPr>
          <w:rFonts w:ascii="Arial" w:hAnsi="Arial" w:cs="Arial"/>
        </w:rPr>
        <w:fldChar w:fldCharType="end"/>
      </w:r>
      <w:r w:rsidRPr="00F840E1">
        <w:rPr>
          <w:rFonts w:ascii="Arial" w:hAnsi="Arial" w:cs="Arial"/>
        </w:rPr>
        <w:t xml:space="preserve">. The client should, therefore, aim to reduce their BMI through the methods previously discussed as this may improve their sleep. Another potential cause for their sleep problems is hypoglycaemia </w:t>
      </w:r>
      <w:r w:rsidRPr="00F840E1">
        <w:rPr>
          <w:rFonts w:ascii="Arial" w:hAnsi="Arial" w:cs="Arial"/>
        </w:rPr>
        <w:fldChar w:fldCharType="begin" w:fldLock="1"/>
      </w:r>
      <w:r w:rsidRPr="00F840E1">
        <w:rPr>
          <w:rFonts w:ascii="Arial" w:hAnsi="Arial" w:cs="Arial"/>
        </w:rPr>
        <w:instrText>ADDIN CSL_CITATION {"citationItems":[{"id":"ITEM-1","itemData":{"author":[{"dropping-particle":"","family":"Weng","given":"N.","non-dropping-particle":"","parse-names":false,"suffix":""},{"dropping-particle":"","family":"Luo","given":"Y.","non-dropping-particle":"","parse-names":false,"suffix":""},{"dropping-particle":"","family":"Xu","given":"J.","non-dropping-particle":"","parse-names":false,"suffix":""},{"dropping-particle":"","family":"Yue","given":"Z.","non-dropping-particle":"","parse-names":false,"suffix":""}],"container-title":"Medicine","id":"ITEM-1","issue":"6","issued":{"date-parts":[["2019"]]},"title":"Abnormal nocturnal behaviour due to hypoglycemia","type":"article-journal","volume":"98"},"uris":["http://www.mendeley.com/documents/?uuid=56b53e8f-4dc7-47b5-8c13-7eb801074ed0"]}],"mendeley":{"formattedCitation":"(Weng &lt;i&gt;et al.&lt;/i&gt;, 2019)","plainTextFormattedCitation":"(Weng et al., 2019)","previouslyFormattedCitation":"(Weng &lt;i&gt;et al.&lt;/i&gt;, 2019)"},"properties":{"noteIndex":0},"schema":"https://github.com/citation-style-language/schema/raw/master/csl-citation.json"}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 xml:space="preserve">(Weng </w:t>
      </w:r>
      <w:r w:rsidRPr="00F840E1">
        <w:rPr>
          <w:rFonts w:ascii="Arial" w:hAnsi="Arial" w:cs="Arial"/>
          <w:i/>
          <w:noProof/>
        </w:rPr>
        <w:t>et al.</w:t>
      </w:r>
      <w:r w:rsidRPr="00F840E1">
        <w:rPr>
          <w:rFonts w:ascii="Arial" w:hAnsi="Arial" w:cs="Arial"/>
          <w:noProof/>
        </w:rPr>
        <w:t>, 2019)</w:t>
      </w:r>
      <w:r w:rsidRPr="00F840E1">
        <w:rPr>
          <w:rFonts w:ascii="Arial" w:hAnsi="Arial" w:cs="Arial"/>
        </w:rPr>
        <w:fldChar w:fldCharType="end"/>
      </w:r>
      <w:r w:rsidRPr="00F840E1">
        <w:rPr>
          <w:rFonts w:ascii="Arial" w:hAnsi="Arial" w:cs="Arial"/>
        </w:rPr>
        <w:t xml:space="preserve">. Following the recommendations that have been set out for increasing the low glycaemic index carbohydrate content in their diet may prevent nocturnal hypoglycaemia and therefore improve the client’s sleep. </w:t>
      </w:r>
    </w:p>
    <w:p w14:paraId="4394ABF3" w14:textId="77777777" w:rsidR="00397AAB" w:rsidRPr="00F840E1" w:rsidRDefault="00397AAB" w:rsidP="00F840E1">
      <w:pPr>
        <w:spacing w:line="360" w:lineRule="auto"/>
        <w:jc w:val="both"/>
        <w:rPr>
          <w:rFonts w:ascii="Arial" w:hAnsi="Arial" w:cs="Arial"/>
        </w:rPr>
      </w:pPr>
    </w:p>
    <w:p w14:paraId="39956537" w14:textId="77777777" w:rsidR="00397AAB" w:rsidRPr="00F840E1" w:rsidRDefault="00397AAB" w:rsidP="00F840E1">
      <w:pPr>
        <w:spacing w:line="360" w:lineRule="auto"/>
        <w:jc w:val="both"/>
        <w:rPr>
          <w:rFonts w:ascii="Arial" w:hAnsi="Arial" w:cs="Arial"/>
        </w:rPr>
      </w:pPr>
      <w:r w:rsidRPr="00F840E1">
        <w:rPr>
          <w:rFonts w:ascii="Arial" w:hAnsi="Arial" w:cs="Arial"/>
        </w:rPr>
        <w:t>There is also room for improvement in the client’s predicted VO</w:t>
      </w:r>
      <w:r w:rsidRPr="00F840E1">
        <w:rPr>
          <w:rFonts w:ascii="Arial" w:hAnsi="Arial" w:cs="Arial"/>
          <w:vertAlign w:val="subscript"/>
        </w:rPr>
        <w:t xml:space="preserve">2 </w:t>
      </w:r>
      <w:r w:rsidRPr="00F840E1">
        <w:rPr>
          <w:rFonts w:ascii="Arial" w:hAnsi="Arial" w:cs="Arial"/>
        </w:rPr>
        <w:t>max. The score of 27ml/kg/min</w:t>
      </w:r>
      <w:r w:rsidRPr="00F840E1">
        <w:rPr>
          <w:rFonts w:ascii="Arial" w:hAnsi="Arial" w:cs="Arial"/>
          <w:vertAlign w:val="superscript"/>
        </w:rPr>
        <w:t>-1</w:t>
      </w:r>
      <w:r w:rsidRPr="00F840E1">
        <w:rPr>
          <w:rFonts w:ascii="Arial" w:hAnsi="Arial" w:cs="Arial"/>
        </w:rPr>
        <w:t xml:space="preserve">, is classified as ‘fair’ for the individual’s age and gender </w:t>
      </w:r>
      <w:r w:rsidRPr="00F840E1">
        <w:rPr>
          <w:rFonts w:ascii="Arial" w:hAnsi="Arial" w:cs="Arial"/>
        </w:rPr>
        <w:fldChar w:fldCharType="begin" w:fldLock="1"/>
      </w:r>
      <w:r w:rsidRPr="00F840E1">
        <w:rPr>
          <w:rFonts w:ascii="Arial" w:hAnsi="Arial" w:cs="Arial"/>
        </w:rPr>
        <w:instrText>ADDIN CSL_CITATION {"citationItems":[{"id":"ITEM-1","itemData":{"author":[{"dropping-particle":"","family":"Gibson","given":"A. L.","non-dropping-particle":"","parse-names":false,"suffix":""},{"dropping-particle":"","family":"Wagner","given":"D. R.","non-dropping-particle":"","parse-names":false,"suffix":""},{"dropping-particle":"","family":"Heyward","given":"H.","non-dropping-particle":"","parse-names":false,"suffix":""}],"edition":"8th","id":"ITEM-1","issued":{"date-parts":[["2018"]]},"publisher":"Human Kinetics","publisher-place":"Ilinois","title":"Advanced Fitness Assessment and Exercise Presciption","type":"book"},"uris":["http://www.mendeley.com/documents/?uuid=ebb051fe-e061-4cd7-be4b-3740c3ebcc4f"]}],"mendeley":{"formattedCitation":"(Gibson, Wagner and Heyward, 2018)","plainTextFormattedCitation":"(Gibson, Wagner and Heyward, 2018)","previouslyFormattedCitation":"(Gibson, Wagner and Heyward, 2018)"},"properties":{"noteIndex":0},"schema":"https://github.com/citation-style-language/schema/raw/master/csl-citation.json"}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(Gibson, Wagner and Heyward, 2018)</w:t>
      </w:r>
      <w:r w:rsidRPr="00F840E1">
        <w:rPr>
          <w:rFonts w:ascii="Arial" w:hAnsi="Arial" w:cs="Arial"/>
        </w:rPr>
        <w:fldChar w:fldCharType="end"/>
      </w:r>
      <w:r w:rsidRPr="00F840E1">
        <w:rPr>
          <w:rFonts w:ascii="Arial" w:hAnsi="Arial" w:cs="Arial"/>
        </w:rPr>
        <w:t xml:space="preserve">. Reduced VO2 max is commonly seen within individuals with exercise induced asthma </w:t>
      </w:r>
      <w:r w:rsidRPr="00F840E1">
        <w:rPr>
          <w:rFonts w:ascii="Arial" w:hAnsi="Arial" w:cs="Arial"/>
        </w:rPr>
        <w:fldChar w:fldCharType="begin" w:fldLock="1"/>
      </w:r>
      <w:r w:rsidRPr="00F840E1">
        <w:rPr>
          <w:rFonts w:ascii="Arial" w:hAnsi="Arial" w:cs="Arial"/>
        </w:rPr>
        <w:instrText>ADDIN CSL_CITATION {"citationItems":[{"id":"ITEM-1","itemData":{"author":[{"dropping-particle":"","family":"Grimm","given":"C.","non-dropping-particle":"","parse-names":false,"suffix":""},{"dropping-particle":"","family":"Kammerzell","given":"K.","non-dropping-particle":"","parse-names":false,"suffix":""},{"dropping-particle":"","family":"Kang","given":"D.","non-dropping-particle":"","parse-names":false,"suffix":""}],"container-title":"International journal of exercise science","id":"ITEM-1","issue":"7","issued":{"date-parts":[["2019"]]},"page":"52","title":"Reduced peak flow and VO2 max in individuals with exercise induced asthma","type":"article-journal","volume":"8"},"uris":["http://www.mendeley.com/documents/?uuid=cccb1100-cf63-4eaa-a69e-3df5e01f8938"]}],"mendeley":{"formattedCitation":"(Grimm, Kammerzell and Kang, 2019)","plainTextFormattedCitation":"(Grimm, Kammerzell and Kang, 2019)","previouslyFormattedCitation":"(Grimm, Kammerzell and Kang, 2019)"},"properties":{"noteIndex":0},"schema":"https://github.com/citation-style-language/schema/raw/master/csl-citation.json"}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(Grimm, Kammerzell and Kang, 2019)</w:t>
      </w:r>
      <w:r w:rsidRPr="00F840E1">
        <w:rPr>
          <w:rFonts w:ascii="Arial" w:hAnsi="Arial" w:cs="Arial"/>
        </w:rPr>
        <w:fldChar w:fldCharType="end"/>
      </w:r>
      <w:r w:rsidRPr="00F840E1">
        <w:rPr>
          <w:rFonts w:ascii="Arial" w:hAnsi="Arial" w:cs="Arial"/>
        </w:rPr>
        <w:t>. Despite this association, improvements in VO</w:t>
      </w:r>
      <w:r w:rsidRPr="00F840E1">
        <w:rPr>
          <w:rFonts w:ascii="Arial" w:hAnsi="Arial" w:cs="Arial"/>
          <w:vertAlign w:val="subscript"/>
        </w:rPr>
        <w:t>2</w:t>
      </w:r>
      <w:r w:rsidRPr="00F840E1">
        <w:rPr>
          <w:rFonts w:ascii="Arial" w:hAnsi="Arial" w:cs="Arial"/>
        </w:rPr>
        <w:t xml:space="preserve"> max in adult asthmatics have been seen through exercise interventions such as aerobic training and HIIT </w:t>
      </w:r>
      <w:r w:rsidRPr="00F840E1">
        <w:rPr>
          <w:rFonts w:ascii="Arial" w:hAnsi="Arial" w:cs="Arial"/>
        </w:rPr>
        <w:fldChar w:fldCharType="begin" w:fldLock="1"/>
      </w:r>
      <w:r w:rsidRPr="00F840E1">
        <w:rPr>
          <w:rFonts w:ascii="Arial" w:hAnsi="Arial" w:cs="Arial"/>
        </w:rPr>
        <w:instrText>ADDIN CSL_CITATION {"citationItems":[{"id":"ITEM-1","itemData":{"DOI":"10.1080/20018525.2018.1468714","ISSN":"20018525","abstract":"Background: High-intensity interval training is an effective and popular training regime but its feasibility in untrained adults with asthma is insufficiently described. Objective: The randomized controlled trial ‘EFFORT Asthma’ explored the effects of behavioural interventions including high-intensity interval training on clinical outcomes in nonobese sedentary adults with asthma. In this article we present a sub analysis of data aiming to evaluate if patients’ pre-intervention levels of asthma control, FEV1, airway inflammation and airway hyperresponsiveness (AHR) predicted their training response to the high-intensity interval training program, measured as increase in maximal oxygen consumption (VO2max). Design: We used data from the EFFORT Asthma Study. Of the 36 patients randomized to the 8-week exercise intervention consisting of high-intensity training three times per week, 29 patients (45% females) completed the study and were included in this data analysis. Pre-intervention assessment included the asthma control questionnaire (ACQ), spirometry, fractional exhaled nitric oxide (FeNO) and AHR to mannitol. VO2 max was measured during an incremental cycle test. Results: The majority of included patients had partly or uncontrolled asthma reflected by a mean (SD) ACQ at 1.7 (0.6). Median (IQR) FeNO was 28.5 (23.8) ppb and 75% had a positive mannitol test indicating AHR. The association between patients’ training response measured as increase in VO2max and pre-intervention ACQ scores was not statistically significant (p = 0.49). Likewise, the association between patients’ increase in VO2max and FeNO as well as AHR was not statistically significant (p = 0.80 and p = 0.58). Conclusions: Included asthma patients could adhere to the high-intensity interval protocol and improve their VO2max regardless of pre-intervention levels of asthma control, airway inflammation and AHR.","author":[{"dropping-particle":"","family":"Toennesen","given":"L. L.","non-dropping-particle":"","parse-names":false,"suffix":""},{"dropping-particle":"","family":"Soerensen","given":"E. D.","non-dropping-particle":"","parse-names":false,"suffix":""},{"dropping-particle":"","family":"Hostrup","given":"M.","non-dropping-particle":"","parse-names":false,"suffix":""},{"dropping-particle":"","family":"Porsbjerg","given":"C.","non-dropping-particle":"","parse-names":false,"suffix":""},{"dropping-particle":"","family":"Bangsbo","given":"J.","non-dropping-particle":"","parse-names":false,"suffix":""},{"dropping-particle":"","family":"Backer","given":"V.","non-dropping-particle":"","parse-names":false,"suffix":""}],"container-title":"European Clinical Respiratory Journal","id":"ITEM-1","issue":"1","issued":{"date-parts":[["2018"]]},"publisher":"Taylor &amp; Francis","title":"Feasibility of high-intensity training in asthma","type":"article-journal","volume":"5"},"uris":["http://www.mendeley.com/documents/?uuid=7eaaa284-4479-46e4-a80c-0b5069989bd7"]}],"mendeley":{"formattedCitation":"(Toennesen &lt;i&gt;et al.&lt;/i&gt;, 2018)","plainTextFormattedCitation":"(Toennesen et al., 2018)","previouslyFormattedCitation":"(Toennesen &lt;i&gt;et al.&lt;/i&gt;, 2018)"},"properties":{"noteIndex":0},"schema":"https://github.com/citation-style-language/schema/raw/master/csl-citation.json"}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 xml:space="preserve">(Toennesen </w:t>
      </w:r>
      <w:r w:rsidRPr="00F840E1">
        <w:rPr>
          <w:rFonts w:ascii="Arial" w:hAnsi="Arial" w:cs="Arial"/>
          <w:i/>
          <w:noProof/>
        </w:rPr>
        <w:t>et al.</w:t>
      </w:r>
      <w:r w:rsidRPr="00F840E1">
        <w:rPr>
          <w:rFonts w:ascii="Arial" w:hAnsi="Arial" w:cs="Arial"/>
          <w:noProof/>
        </w:rPr>
        <w:t>, 2018)</w:t>
      </w:r>
      <w:r w:rsidRPr="00F840E1">
        <w:rPr>
          <w:rFonts w:ascii="Arial" w:hAnsi="Arial" w:cs="Arial"/>
        </w:rPr>
        <w:fldChar w:fldCharType="end"/>
      </w:r>
      <w:r w:rsidRPr="00F840E1">
        <w:rPr>
          <w:rFonts w:ascii="Arial" w:hAnsi="Arial" w:cs="Arial"/>
        </w:rPr>
        <w:t>. Including this type of training in the client’s training programme is important due to the benefits associated with increased VO</w:t>
      </w:r>
      <w:r w:rsidRPr="00F840E1">
        <w:rPr>
          <w:rFonts w:ascii="Arial" w:hAnsi="Arial" w:cs="Arial"/>
          <w:vertAlign w:val="subscript"/>
        </w:rPr>
        <w:t>2</w:t>
      </w:r>
      <w:r w:rsidRPr="00F840E1">
        <w:rPr>
          <w:rFonts w:ascii="Arial" w:hAnsi="Arial" w:cs="Arial"/>
        </w:rPr>
        <w:t xml:space="preserve">max such as the reduced risk of development of certain health problems </w:t>
      </w:r>
      <w:r w:rsidRPr="00F840E1">
        <w:rPr>
          <w:rFonts w:ascii="Arial" w:hAnsi="Arial" w:cs="Arial"/>
        </w:rPr>
        <w:fldChar w:fldCharType="begin" w:fldLock="1"/>
      </w:r>
      <w:r w:rsidRPr="00F840E1">
        <w:rPr>
          <w:rFonts w:ascii="Arial" w:hAnsi="Arial" w:cs="Arial"/>
        </w:rPr>
        <w:instrText>ADDIN CSL_CITATION {"citationItems":[{"id":"ITEM-1","itemData":{"author":[{"dropping-particle":"","family":"Taylor","given":"D.","non-dropping-particle":"","parse-names":false,"suffix":""}],"container-title":"Postgraduate Medical Journal","id":"ITEM-1","issue":"1","issued":{"date-parts":[["2014"]]},"page":"26-32","title":"Physical activity is medicine for older adults","type":"article-journal","volume":"90"},"uris":["http://www.mendeley.com/documents/?uuid=67a8244b-a619-42ee-8e44-2a244b40e48a"]}],"mendeley":{"formattedCitation":"(Taylor, 2014)","plainTextFormattedCitation":"(Taylor, 2014)","previouslyFormattedCitation":"(Taylor, 2014)"},"properties":{"noteIndex":0},"schema":"https://github.com/citation-style-language/schema/raw/master/csl-citation.json"}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(Taylor, 2014)</w:t>
      </w:r>
      <w:r w:rsidRPr="00F840E1">
        <w:rPr>
          <w:rFonts w:ascii="Arial" w:hAnsi="Arial" w:cs="Arial"/>
        </w:rPr>
        <w:fldChar w:fldCharType="end"/>
      </w:r>
      <w:r w:rsidRPr="00F840E1">
        <w:rPr>
          <w:rFonts w:ascii="Arial" w:hAnsi="Arial" w:cs="Arial"/>
        </w:rPr>
        <w:t xml:space="preserve"> as well as improved quality of life within adult asthmatics </w:t>
      </w:r>
      <w:r w:rsidRPr="00F840E1">
        <w:rPr>
          <w:rFonts w:ascii="Arial" w:hAnsi="Arial" w:cs="Arial"/>
        </w:rPr>
        <w:fldChar w:fldCharType="begin" w:fldLock="1"/>
      </w:r>
      <w:r w:rsidRPr="00F840E1">
        <w:rPr>
          <w:rFonts w:ascii="Arial" w:hAnsi="Arial" w:cs="Arial"/>
        </w:rPr>
        <w:instrText>ADDIN CSL_CITATION {"citationItems":[{"id":"ITEM-1","itemData":{"DOI":"10.1016/j.jaci.2005.01.033","ISSN":"00916749","PMID":"15867847","abstract":"There is little doubt that the cause of the increased prevalence and severity of asthma is multifactorial. Although the factors of allergen exposure and hygiene are almost certainly necessary for its development, there is a growing body of literature that implicates lifestyle change, specifically decreased physical activity, as a contributor to the increase in asthma prevalence and severity. Several literature reviews of exercise conditioning in patients with asthma have been published. These reviews and recent controlled trials emphasize that although many of the studies of exercise conditioning in asthmatic patients involved different methods and outcome measures, the overwhelming majority of studies demonstrated the capacity for asthmatic subjects to exercise safely and significantly improve their cardiovascular fitness and quality of life. There are several proposed pathophysiologic mechanisms responsible for the effects of decreased activity on the lung function of patients with asthma. A prescription for exercise has been endorsed for all asthmatic subjects by the American College of Sports Medicine and the American Thoracic Society. The allergy community has placed emphasis on medical therapy and allergen avoidance; in addition, exercise avoidance has not been formally incorporated into the National Asthma Education and Prevention Program guidelines. It is our belief that an exercise prescription should be part of the treatment for all cases of asthma. The real question is whether prolonged physical activity and, in particular, outdoor play of children plays a role in prophylaxis against persistent wheezing. If so, the decrease in physical activity might have played a major role in recent increases in asthma prevalence and severity. © 2005 American Academy of Allergy, Asthma and Immunology.","author":[{"dropping-particle":"","family":"Lucas","given":"Sean R.","non-dropping-particle":"","parse-names":false,"suffix":""},{"dropping-particle":"","family":"Platts-Mills","given":"Thomas A.E.","non-dropping-particle":"","parse-names":false,"suffix":""}],"container-title":"Journal of Allergy and Clinical Immunology","id":"ITEM-1","issue":"5","issued":{"date-parts":[["2005"]]},"page":"928-934","title":"Physical activity and exercise in asthma: Relevance to etiology and treatment","type":"article-journal","volume":"115"},"uris":["http://www.mendeley.com/documents/?uuid=74e1d370-8e54-4bd7-a0a1-1a651e018d3d"]}],"mendeley":{"formattedCitation":"(Lucas and Platts-Mills, 2005)","plainTextFormattedCitation":"(Lucas and Platts-Mills, 2005)","previouslyFormattedCitation":"(Lucas and Platts-Mills, 2005)"},"properties":{"noteIndex":0},"schema":"https://github.com/citation-style-language/schema/raw/master/csl-citation.json"}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(Lucas and Platts-Mills, 2005)</w:t>
      </w:r>
      <w:r w:rsidRPr="00F840E1">
        <w:rPr>
          <w:rFonts w:ascii="Arial" w:hAnsi="Arial" w:cs="Arial"/>
        </w:rPr>
        <w:fldChar w:fldCharType="end"/>
      </w:r>
      <w:r w:rsidRPr="00F840E1">
        <w:rPr>
          <w:rFonts w:ascii="Arial" w:hAnsi="Arial" w:cs="Arial"/>
        </w:rPr>
        <w:t xml:space="preserve">. </w:t>
      </w:r>
    </w:p>
    <w:p w14:paraId="3358C3F3" w14:textId="77777777" w:rsidR="00397AAB" w:rsidRPr="00F840E1" w:rsidRDefault="00397AAB" w:rsidP="00F840E1">
      <w:pPr>
        <w:spacing w:line="360" w:lineRule="auto"/>
        <w:jc w:val="both"/>
        <w:rPr>
          <w:rFonts w:ascii="Arial" w:hAnsi="Arial" w:cs="Arial"/>
        </w:rPr>
      </w:pPr>
    </w:p>
    <w:p w14:paraId="219A60DE" w14:textId="031CC132" w:rsidR="00397AAB" w:rsidRPr="00F840E1" w:rsidRDefault="00397AAB" w:rsidP="00F840E1">
      <w:pPr>
        <w:spacing w:line="360" w:lineRule="auto"/>
        <w:jc w:val="both"/>
        <w:rPr>
          <w:rFonts w:ascii="Arial" w:hAnsi="Arial" w:cs="Arial"/>
        </w:rPr>
      </w:pPr>
      <w:r w:rsidRPr="00F840E1">
        <w:rPr>
          <w:rFonts w:ascii="Arial" w:hAnsi="Arial" w:cs="Arial"/>
        </w:rPr>
        <w:t xml:space="preserve">The recommendations and advice presented to the client can also have an impact on their marathon performance and will therefore help them achieve their goal of completing a marathon in under four hours. Implementing HIIT, continuous aerobic training and resistance training have been shown to improve factors associated with marathon performance such as VO2 max and running economy </w:t>
      </w:r>
      <w:r w:rsidRPr="00F840E1">
        <w:rPr>
          <w:rFonts w:ascii="Arial" w:hAnsi="Arial" w:cs="Arial"/>
        </w:rPr>
        <w:fldChar w:fldCharType="begin" w:fldLock="1"/>
      </w:r>
      <w:r w:rsidRPr="00F840E1">
        <w:rPr>
          <w:rFonts w:ascii="Arial" w:hAnsi="Arial" w:cs="Arial"/>
        </w:rPr>
        <w:instrText>ADDIN CSL_CITATION {"citationItems":[{"id":"ITEM-1","itemData":{"author":[{"dropping-particle":"","family":"Kelly","given":"C. M","non-dropping-particle":"","parse-names":false,"suffix":""},{"dropping-particle":"","family":"Burnett","given":"A. F","non-dropping-particle":"","parse-names":false,"suffix":""},{"dropping-particle":"","family":"Newton","given":"M. J","non-dropping-particle":"","parse-names":false,"suffix":""}],"container-title":"Journal of Strength and Conditioning Research","id":"ITEM-1","issue":"2","issued":{"date-parts":[["2008"]]},"page":"396-403","title":"The effect of strength training on three-kilometer performance in recreational women endurance runners","type":"article-journal","volume":"22"},"uris":["http://www.mendeley.com/documents/?uuid=d49da87e-065c-42dd-826a-b8d6efe6c585"]}],"mendeley":{"formattedCitation":"(Kelly, Burnett and Newton, 2008)","plainTextFormattedCitation":"(Kelly, Burnett and Newton, 2008)","previouslyFormattedCitation":"(Kelly, Burnett and Newton, 2008)"},"properties":{"noteIndex":0},"schema":"https://github.com/citation-style-language/schema/raw/master/csl-citation.json"}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(Kelly, Burnett and Newton, 2008)</w:t>
      </w:r>
      <w:r w:rsidRPr="00F840E1">
        <w:rPr>
          <w:rFonts w:ascii="Arial" w:hAnsi="Arial" w:cs="Arial"/>
        </w:rPr>
        <w:fldChar w:fldCharType="end"/>
      </w:r>
      <w:r w:rsidRPr="00F840E1">
        <w:rPr>
          <w:rFonts w:ascii="Arial" w:hAnsi="Arial" w:cs="Arial"/>
        </w:rPr>
        <w:t xml:space="preserve">. As well as these factors, including this type of training can improve </w:t>
      </w:r>
      <w:r w:rsidR="00DA52B5" w:rsidRPr="00F840E1">
        <w:rPr>
          <w:rFonts w:ascii="Arial" w:hAnsi="Arial" w:cs="Arial"/>
        </w:rPr>
        <w:t>aspects</w:t>
      </w:r>
      <w:r w:rsidRPr="00F840E1">
        <w:rPr>
          <w:rFonts w:ascii="Arial" w:hAnsi="Arial" w:cs="Arial"/>
        </w:rPr>
        <w:t xml:space="preserve"> such as BMI which has been shown to be associated with improved marathon performance </w:t>
      </w:r>
      <w:r w:rsidRPr="00F840E1">
        <w:rPr>
          <w:rFonts w:ascii="Arial" w:hAnsi="Arial" w:cs="Arial"/>
        </w:rPr>
        <w:fldChar w:fldCharType="begin" w:fldLock="1"/>
      </w:r>
      <w:r w:rsidRPr="00F840E1">
        <w:rPr>
          <w:rFonts w:ascii="Arial" w:hAnsi="Arial" w:cs="Arial"/>
        </w:rPr>
        <w:instrText>ADDIN CSL_CITATION {"citationItems":[{"id":"ITEM-1","itemData":{"DOI":"10.1371/journal.pone.0090183","ISSN":"19326203","PMID":"24587266","abstract":"The purpose of this study is to investigate the association between anthropometric characteristics and performance in all track and field running events and assess Body Mass Index (BMI) as a relevant performance indicator. Data of mass, height, BMI and speed were collected for the top 100 international men athletes in track events from 100 m to marathon for the 1996-2011 seasons, and analyzed by decile of performance. Speed is significantly associated with mass (r = 0.71) and BMI (r = 0.71) in world-class runners and moderately with height (r = 0.39). Athletes, on average were continuously lighter and smaller with distance increments. In track and field, speed continuously increases with BMI. In each event, performances are organized through physique gradients. «Lighter and smaller is better in endurance events but «heavier and taller is better for sprints. When performance increases, BMI variability progressively tightens, but it is always centered around a distancespecific optimum. Running speed is organized through biometric gradients, which both drives and are driven by performance optimization. The highest performance level is associated with narrower biometric intervals. Through BMI indicators, diversity is possible for sprints whereas for long distance events, there is a more restrictive aspect in terms of physique. BMI is a relevant indicator, which allows for a clear differentiation of athletes' capacities between each discipline and level of performance in the fields of human possibilities. © 2014 Sedeaud et al.","author":[{"dropping-particle":"","family":"Sedeaud","given":"Adrien","non-dropping-particle":"","parse-names":false,"suffix":""},{"dropping-particle":"","family":"Marc","given":"Andy","non-dropping-particle":"","parse-names":false,"suffix":""},{"dropping-particle":"","family":"Marck","given":"Adrien","non-dropping-particle":"","parse-names":false,"suffix":""},{"dropping-particle":"","family":"Dor","given":"Frédéric","non-dropping-particle":"","parse-names":false,"suffix":""},{"dropping-particle":"","family":"Schipman","given":"Julien","non-dropping-particle":"","parse-names":false,"suffix":""},{"dropping-particle":"","family":"Dorsey","given":"Maya","non-dropping-particle":"","parse-names":false,"suffix":""},{"dropping-particle":"","family":"Haida","given":"Amal","non-dropping-particle":"","parse-names":false,"suffix":""},{"dropping-particle":"","family":"Berthelot","given":"Geoffroy","non-dropping-particle":"","parse-names":false,"suffix":""},{"dropping-particle":"","family":"Toussaint","given":"Jean François","non-dropping-particle":"","parse-names":false,"suffix":""}],"container-title":"PLoS ONE","id":"ITEM-1","issue":"2","issued":{"date-parts":[["2014"]]},"title":"BMI, a performance parameter for speed improvement","type":"article-journal","volume":"9"},"uris":["http://www.mendeley.com/documents/?uuid=4d73648e-66fa-4f01-9a16-68af052333c1"]}],"mendeley":{"formattedCitation":"(Sedeaud &lt;i&gt;et al.&lt;/i&gt;, 2014)","plainTextFormattedCitation":"(Sedeaud et al., 2014)","previouslyFormattedCitation":"(Sedeaud &lt;i&gt;et al.&lt;/i&gt;, 2014)"},"properties":{"noteIndex":0},"schema":"https://github.com/citation-style-language/schema/raw/master/csl-citation.json"}</w:instrText>
      </w:r>
      <w:r w:rsidRPr="00F840E1">
        <w:rPr>
          <w:rFonts w:ascii="Arial" w:hAnsi="Arial" w:cs="Arial"/>
        </w:rPr>
        <w:fldChar w:fldCharType="separate"/>
      </w:r>
      <w:r w:rsidRPr="00F840E1">
        <w:rPr>
          <w:rFonts w:ascii="Arial" w:hAnsi="Arial" w:cs="Arial"/>
          <w:noProof/>
        </w:rPr>
        <w:t xml:space="preserve">(Sedeaud </w:t>
      </w:r>
      <w:r w:rsidRPr="00F840E1">
        <w:rPr>
          <w:rFonts w:ascii="Arial" w:hAnsi="Arial" w:cs="Arial"/>
          <w:i/>
          <w:noProof/>
        </w:rPr>
        <w:t>et al.</w:t>
      </w:r>
      <w:r w:rsidRPr="00F840E1">
        <w:rPr>
          <w:rFonts w:ascii="Arial" w:hAnsi="Arial" w:cs="Arial"/>
          <w:noProof/>
        </w:rPr>
        <w:t>, 2014)</w:t>
      </w:r>
      <w:r w:rsidRPr="00F840E1">
        <w:rPr>
          <w:rFonts w:ascii="Arial" w:hAnsi="Arial" w:cs="Arial"/>
        </w:rPr>
        <w:fldChar w:fldCharType="end"/>
      </w:r>
      <w:r w:rsidRPr="00F840E1">
        <w:rPr>
          <w:rFonts w:ascii="Arial" w:hAnsi="Arial" w:cs="Arial"/>
        </w:rPr>
        <w:t xml:space="preserve">. </w:t>
      </w:r>
    </w:p>
    <w:p w14:paraId="012C50AB" w14:textId="1C1F57C3" w:rsidR="003C047D" w:rsidRPr="00F840E1" w:rsidRDefault="003C047D" w:rsidP="00F840E1">
      <w:pPr>
        <w:spacing w:line="360" w:lineRule="auto"/>
        <w:jc w:val="both"/>
        <w:rPr>
          <w:rFonts w:ascii="Arial" w:hAnsi="Arial" w:cs="Arial"/>
        </w:rPr>
      </w:pPr>
    </w:p>
    <w:p w14:paraId="7976A1AE" w14:textId="57259911" w:rsidR="003C047D" w:rsidRPr="00F840E1" w:rsidRDefault="003C047D" w:rsidP="00F840E1">
      <w:pPr>
        <w:spacing w:line="360" w:lineRule="auto"/>
        <w:jc w:val="both"/>
        <w:rPr>
          <w:rFonts w:ascii="Arial" w:hAnsi="Arial" w:cs="Arial"/>
        </w:rPr>
      </w:pPr>
    </w:p>
    <w:p w14:paraId="586E055B" w14:textId="77777777" w:rsidR="003C047D" w:rsidRPr="00F840E1" w:rsidRDefault="003C047D" w:rsidP="00F840E1">
      <w:pPr>
        <w:spacing w:line="360" w:lineRule="auto"/>
        <w:jc w:val="both"/>
        <w:rPr>
          <w:rFonts w:ascii="Arial" w:hAnsi="Arial" w:cs="Arial"/>
        </w:rPr>
      </w:pPr>
    </w:p>
    <w:p w14:paraId="3A82DA86" w14:textId="77777777" w:rsidR="00397AAB" w:rsidRPr="00F840E1" w:rsidRDefault="00397AAB" w:rsidP="00F840E1">
      <w:pPr>
        <w:spacing w:line="360" w:lineRule="auto"/>
        <w:jc w:val="both"/>
        <w:rPr>
          <w:rFonts w:ascii="Arial" w:hAnsi="Arial" w:cs="Arial"/>
        </w:rPr>
      </w:pPr>
      <w:r w:rsidRPr="00F840E1">
        <w:rPr>
          <w:rFonts w:ascii="Arial" w:hAnsi="Arial" w:cs="Arial"/>
          <w:b/>
          <w:bCs/>
          <w:sz w:val="28"/>
          <w:szCs w:val="28"/>
        </w:rPr>
        <w:lastRenderedPageBreak/>
        <w:t>Summary of Key Recommendations and Goal Setting</w:t>
      </w:r>
      <w:r w:rsidRPr="00F840E1">
        <w:rPr>
          <w:rFonts w:ascii="Arial" w:hAnsi="Arial" w:cs="Arial"/>
        </w:rPr>
        <w:t xml:space="preserve"> </w:t>
      </w:r>
    </w:p>
    <w:p w14:paraId="49061128" w14:textId="0134E094" w:rsidR="00397AAB" w:rsidRPr="00F840E1" w:rsidRDefault="00397AAB" w:rsidP="00F840E1">
      <w:pPr>
        <w:spacing w:line="360" w:lineRule="auto"/>
        <w:jc w:val="both"/>
        <w:rPr>
          <w:rFonts w:ascii="Arial" w:hAnsi="Arial" w:cs="Arial"/>
        </w:rPr>
      </w:pPr>
      <w:r w:rsidRPr="00F840E1">
        <w:rPr>
          <w:rFonts w:ascii="Arial" w:hAnsi="Arial" w:cs="Arial"/>
        </w:rPr>
        <w:t xml:space="preserve">The client’s main goal is to complete a marathon in under four hours. Other areas which are focused on in the recommendations for this client can also improve their overall health and their asthma condition. The recommendations that have been presented to the client include two resistance training sessions and two HIIT sessions per week alongside three endurance runs per week. This will elicit many improvements within the client including their BMI, VO2 max and FEV/FVC ratio which in turn will benefit their health and performance goals. It is also recommended that the client consumes a well-balanced diet and increases their intake of low glycaemic carbohydrates to improve factors associated with their sleep as well as improving their BMI. Improving the client’s sleep will have a positive impact on many factors associated with their physical and well-being. Reductions in BMI will also reduce the risks associated with obesity including the exacerbation of asthma symptoms. It is suggested that the client </w:t>
      </w:r>
      <w:r w:rsidR="00DC6750" w:rsidRPr="00F840E1">
        <w:rPr>
          <w:rFonts w:ascii="Arial" w:hAnsi="Arial" w:cs="Arial"/>
        </w:rPr>
        <w:t xml:space="preserve">completes a physical activity readiness questionnaire prior to </w:t>
      </w:r>
      <w:r w:rsidR="00F840E1" w:rsidRPr="00F840E1">
        <w:rPr>
          <w:rFonts w:ascii="Arial" w:hAnsi="Arial" w:cs="Arial"/>
        </w:rPr>
        <w:t>commencing</w:t>
      </w:r>
      <w:r w:rsidR="00DC6750" w:rsidRPr="00F840E1">
        <w:rPr>
          <w:rFonts w:ascii="Arial" w:hAnsi="Arial" w:cs="Arial"/>
        </w:rPr>
        <w:t xml:space="preserve"> </w:t>
      </w:r>
      <w:r w:rsidR="00F840E1" w:rsidRPr="00F840E1">
        <w:rPr>
          <w:rFonts w:ascii="Arial" w:hAnsi="Arial" w:cs="Arial"/>
        </w:rPr>
        <w:t xml:space="preserve">and </w:t>
      </w:r>
      <w:r w:rsidRPr="00F840E1">
        <w:rPr>
          <w:rFonts w:ascii="Arial" w:hAnsi="Arial" w:cs="Arial"/>
        </w:rPr>
        <w:t>takes caution in implementing the exercise recommendations initially and monitors for any exercise indu</w:t>
      </w:r>
      <w:bookmarkStart w:id="0" w:name="_GoBack"/>
      <w:bookmarkEnd w:id="0"/>
      <w:r w:rsidRPr="00F840E1">
        <w:rPr>
          <w:rFonts w:ascii="Arial" w:hAnsi="Arial" w:cs="Arial"/>
        </w:rPr>
        <w:t xml:space="preserve">ced exacerbations of their symptoms. </w:t>
      </w:r>
    </w:p>
    <w:p w14:paraId="08CD1A81" w14:textId="77777777" w:rsidR="00397AAB" w:rsidRDefault="00397AAB" w:rsidP="00397AAB"/>
    <w:p w14:paraId="3F7E7AB7" w14:textId="77777777" w:rsidR="00397AAB" w:rsidRDefault="00397AAB" w:rsidP="00397AAB"/>
    <w:p w14:paraId="72368CA1" w14:textId="77777777" w:rsidR="00397AAB" w:rsidRDefault="00397AAB" w:rsidP="00397AAB"/>
    <w:p w14:paraId="31BDE7A3" w14:textId="77777777" w:rsidR="00397AAB" w:rsidRDefault="00397AAB" w:rsidP="00397AAB"/>
    <w:p w14:paraId="5D6C2876" w14:textId="77777777" w:rsidR="00397AAB" w:rsidRDefault="00397AAB" w:rsidP="00397AAB"/>
    <w:p w14:paraId="19592550" w14:textId="77777777" w:rsidR="00397AAB" w:rsidRPr="00EB7861" w:rsidRDefault="00397AAB" w:rsidP="00397AAB">
      <w:pPr>
        <w:rPr>
          <w:rFonts w:ascii="Arial" w:hAnsi="Arial" w:cs="Arial"/>
        </w:rPr>
      </w:pPr>
      <w:r w:rsidRPr="00EB7861">
        <w:rPr>
          <w:rFonts w:ascii="Arial" w:hAnsi="Arial" w:cs="Arial"/>
          <w:b/>
          <w:bCs/>
        </w:rPr>
        <w:t>Word count:</w:t>
      </w:r>
      <w:r w:rsidRPr="00EB7861">
        <w:rPr>
          <w:rFonts w:ascii="Arial" w:hAnsi="Arial" w:cs="Arial"/>
        </w:rPr>
        <w:t xml:space="preserve"> 2750 words </w:t>
      </w:r>
    </w:p>
    <w:p w14:paraId="605A8149" w14:textId="649841D7" w:rsidR="00111800" w:rsidRDefault="00111800" w:rsidP="00111800">
      <w:pPr>
        <w:rPr>
          <w:rFonts w:ascii="Arial" w:hAnsi="Arial" w:cs="Arial"/>
          <w:b/>
        </w:rPr>
      </w:pPr>
    </w:p>
    <w:p w14:paraId="4022B82A" w14:textId="0EFFE725" w:rsidR="00F840E1" w:rsidRDefault="00F840E1" w:rsidP="00111800">
      <w:pPr>
        <w:rPr>
          <w:rFonts w:ascii="Arial" w:hAnsi="Arial" w:cs="Arial"/>
          <w:b/>
        </w:rPr>
      </w:pPr>
    </w:p>
    <w:p w14:paraId="0A533FA6" w14:textId="36BD888A" w:rsidR="00F840E1" w:rsidRDefault="00F840E1" w:rsidP="00111800">
      <w:pPr>
        <w:rPr>
          <w:rFonts w:ascii="Arial" w:hAnsi="Arial" w:cs="Arial"/>
          <w:b/>
        </w:rPr>
      </w:pPr>
    </w:p>
    <w:p w14:paraId="202BE9AE" w14:textId="4FB07FFE" w:rsidR="00F840E1" w:rsidRDefault="00F840E1" w:rsidP="00111800">
      <w:pPr>
        <w:rPr>
          <w:rFonts w:ascii="Arial" w:hAnsi="Arial" w:cs="Arial"/>
          <w:b/>
        </w:rPr>
      </w:pPr>
    </w:p>
    <w:p w14:paraId="412B0D90" w14:textId="2BB4226F" w:rsidR="00F840E1" w:rsidRDefault="00F840E1" w:rsidP="00111800">
      <w:pPr>
        <w:rPr>
          <w:rFonts w:ascii="Arial" w:hAnsi="Arial" w:cs="Arial"/>
          <w:b/>
        </w:rPr>
      </w:pPr>
    </w:p>
    <w:p w14:paraId="3899BCFD" w14:textId="7CF40661" w:rsidR="00F840E1" w:rsidRDefault="00F840E1" w:rsidP="00111800">
      <w:pPr>
        <w:rPr>
          <w:rFonts w:ascii="Arial" w:hAnsi="Arial" w:cs="Arial"/>
          <w:b/>
        </w:rPr>
      </w:pPr>
    </w:p>
    <w:p w14:paraId="38A5BA97" w14:textId="48F3F65E" w:rsidR="00F840E1" w:rsidRDefault="00F840E1" w:rsidP="00111800">
      <w:pPr>
        <w:rPr>
          <w:rFonts w:ascii="Arial" w:hAnsi="Arial" w:cs="Arial"/>
          <w:b/>
        </w:rPr>
      </w:pPr>
    </w:p>
    <w:p w14:paraId="523F40E0" w14:textId="5FA8AB36" w:rsidR="00F840E1" w:rsidRDefault="00F840E1" w:rsidP="00111800">
      <w:pPr>
        <w:rPr>
          <w:rFonts w:ascii="Arial" w:hAnsi="Arial" w:cs="Arial"/>
          <w:b/>
        </w:rPr>
      </w:pPr>
    </w:p>
    <w:p w14:paraId="64BD2EA7" w14:textId="48B3960F" w:rsidR="00F840E1" w:rsidRDefault="00F840E1" w:rsidP="00111800">
      <w:pPr>
        <w:rPr>
          <w:rFonts w:ascii="Arial" w:hAnsi="Arial" w:cs="Arial"/>
          <w:b/>
        </w:rPr>
      </w:pPr>
    </w:p>
    <w:p w14:paraId="2C908BAD" w14:textId="404B379A" w:rsidR="00F840E1" w:rsidRDefault="00F840E1" w:rsidP="00111800">
      <w:pPr>
        <w:rPr>
          <w:rFonts w:ascii="Arial" w:hAnsi="Arial" w:cs="Arial"/>
          <w:b/>
        </w:rPr>
      </w:pPr>
    </w:p>
    <w:p w14:paraId="20A0DAED" w14:textId="55FB709E" w:rsidR="00F840E1" w:rsidRDefault="00F840E1" w:rsidP="00111800">
      <w:pPr>
        <w:rPr>
          <w:rFonts w:ascii="Arial" w:hAnsi="Arial" w:cs="Arial"/>
          <w:b/>
        </w:rPr>
      </w:pPr>
    </w:p>
    <w:p w14:paraId="2A1C31EB" w14:textId="16B3DA04" w:rsidR="00F840E1" w:rsidRDefault="00F840E1" w:rsidP="00111800">
      <w:pPr>
        <w:rPr>
          <w:rFonts w:ascii="Arial" w:hAnsi="Arial" w:cs="Arial"/>
          <w:b/>
        </w:rPr>
      </w:pPr>
    </w:p>
    <w:p w14:paraId="0CBF9689" w14:textId="2CFEB966" w:rsidR="00F840E1" w:rsidRDefault="00F840E1" w:rsidP="00111800">
      <w:pPr>
        <w:rPr>
          <w:rFonts w:ascii="Arial" w:hAnsi="Arial" w:cs="Arial"/>
          <w:b/>
        </w:rPr>
      </w:pPr>
    </w:p>
    <w:p w14:paraId="431B374D" w14:textId="06255620" w:rsidR="00F840E1" w:rsidRDefault="00F840E1" w:rsidP="00111800">
      <w:pPr>
        <w:rPr>
          <w:rFonts w:ascii="Arial" w:hAnsi="Arial" w:cs="Arial"/>
          <w:b/>
        </w:rPr>
      </w:pPr>
    </w:p>
    <w:p w14:paraId="6165B23C" w14:textId="157392DF" w:rsidR="00F840E1" w:rsidRDefault="00F840E1" w:rsidP="00111800">
      <w:pPr>
        <w:rPr>
          <w:rFonts w:ascii="Arial" w:hAnsi="Arial" w:cs="Arial"/>
          <w:b/>
        </w:rPr>
      </w:pPr>
    </w:p>
    <w:p w14:paraId="0DD63E25" w14:textId="6F1ACFB4" w:rsidR="00F840E1" w:rsidRDefault="00F840E1" w:rsidP="00111800">
      <w:pPr>
        <w:rPr>
          <w:rFonts w:ascii="Arial" w:hAnsi="Arial" w:cs="Arial"/>
          <w:b/>
        </w:rPr>
      </w:pPr>
    </w:p>
    <w:p w14:paraId="729F2A6B" w14:textId="5F2B38CA" w:rsidR="00F840E1" w:rsidRDefault="00F840E1" w:rsidP="00111800">
      <w:pPr>
        <w:rPr>
          <w:rFonts w:ascii="Arial" w:hAnsi="Arial" w:cs="Arial"/>
          <w:b/>
        </w:rPr>
      </w:pPr>
    </w:p>
    <w:p w14:paraId="182E8935" w14:textId="4C527857" w:rsidR="00F840E1" w:rsidRDefault="00F840E1" w:rsidP="00111800">
      <w:pPr>
        <w:rPr>
          <w:rFonts w:ascii="Arial" w:hAnsi="Arial" w:cs="Arial"/>
          <w:b/>
        </w:rPr>
      </w:pPr>
    </w:p>
    <w:p w14:paraId="2BD8BDB1" w14:textId="7B1EFAF6" w:rsidR="00F840E1" w:rsidRDefault="00F840E1" w:rsidP="00111800">
      <w:pPr>
        <w:rPr>
          <w:rFonts w:ascii="Arial" w:hAnsi="Arial" w:cs="Arial"/>
          <w:b/>
        </w:rPr>
      </w:pPr>
    </w:p>
    <w:p w14:paraId="6E8E9E69" w14:textId="33184FA9" w:rsidR="00F840E1" w:rsidRDefault="00F840E1" w:rsidP="00111800">
      <w:pPr>
        <w:rPr>
          <w:rFonts w:ascii="Arial" w:hAnsi="Arial" w:cs="Arial"/>
          <w:b/>
          <w:sz w:val="28"/>
          <w:szCs w:val="28"/>
        </w:rPr>
      </w:pPr>
      <w:r w:rsidRPr="00F840E1">
        <w:rPr>
          <w:rFonts w:ascii="Arial" w:hAnsi="Arial" w:cs="Arial"/>
          <w:b/>
          <w:sz w:val="28"/>
          <w:szCs w:val="28"/>
        </w:rPr>
        <w:lastRenderedPageBreak/>
        <w:t xml:space="preserve">References </w:t>
      </w:r>
    </w:p>
    <w:p w14:paraId="46B4E208" w14:textId="24502C5E" w:rsidR="009A77DA" w:rsidRDefault="009A77DA" w:rsidP="00111800">
      <w:pPr>
        <w:rPr>
          <w:rFonts w:ascii="Arial" w:hAnsi="Arial" w:cs="Arial"/>
          <w:b/>
          <w:sz w:val="28"/>
          <w:szCs w:val="28"/>
        </w:rPr>
      </w:pPr>
    </w:p>
    <w:p w14:paraId="778001A3"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rPr>
        <w:fldChar w:fldCharType="begin" w:fldLock="1"/>
      </w:r>
      <w:r w:rsidRPr="009025A7">
        <w:rPr>
          <w:rFonts w:ascii="Arial" w:hAnsi="Arial" w:cs="Arial"/>
        </w:rPr>
        <w:instrText xml:space="preserve">ADDIN Mendeley Bibliography CSL_BIBLIOGRAPHY </w:instrText>
      </w:r>
      <w:r w:rsidRPr="009025A7">
        <w:rPr>
          <w:rFonts w:ascii="Arial" w:hAnsi="Arial" w:cs="Arial"/>
        </w:rPr>
        <w:fldChar w:fldCharType="separate"/>
      </w:r>
      <w:r w:rsidRPr="009025A7">
        <w:rPr>
          <w:rFonts w:ascii="Arial" w:hAnsi="Arial" w:cs="Arial"/>
          <w:noProof/>
          <w:lang w:val="en-US"/>
        </w:rPr>
        <w:t xml:space="preserve">Agarwal, S. K. (2012). Cardiovascular benefits of exercise. </w:t>
      </w:r>
      <w:r w:rsidRPr="009025A7">
        <w:rPr>
          <w:rFonts w:ascii="Arial" w:hAnsi="Arial" w:cs="Arial"/>
          <w:i/>
          <w:iCs/>
          <w:noProof/>
          <w:lang w:val="en-US"/>
        </w:rPr>
        <w:t>International Journal of General Medicine</w:t>
      </w:r>
      <w:r w:rsidRPr="009025A7">
        <w:rPr>
          <w:rFonts w:ascii="Arial" w:hAnsi="Arial" w:cs="Arial"/>
          <w:noProof/>
          <w:lang w:val="en-US"/>
        </w:rPr>
        <w:t xml:space="preserve">, 5(1), pp. 541–545. </w:t>
      </w:r>
    </w:p>
    <w:p w14:paraId="04CBB48B"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p>
    <w:p w14:paraId="15D9E262"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noProof/>
          <w:lang w:val="en-US"/>
        </w:rPr>
        <w:t xml:space="preserve">Agha, M. &amp; Agha, R. (2017). The rising prevalence of obesity: part A: impact on public health.  </w:t>
      </w:r>
      <w:r w:rsidRPr="009025A7">
        <w:rPr>
          <w:rFonts w:ascii="Arial" w:hAnsi="Arial" w:cs="Arial"/>
          <w:i/>
          <w:iCs/>
          <w:noProof/>
          <w:lang w:val="en-US"/>
        </w:rPr>
        <w:t>International Journal of Surgery: Oncology</w:t>
      </w:r>
      <w:r w:rsidRPr="009025A7">
        <w:rPr>
          <w:rFonts w:ascii="Arial" w:hAnsi="Arial" w:cs="Arial"/>
          <w:noProof/>
          <w:lang w:val="en-US"/>
        </w:rPr>
        <w:t xml:space="preserve">, 2(7), p. 17. </w:t>
      </w:r>
    </w:p>
    <w:p w14:paraId="62CE91AE"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p>
    <w:p w14:paraId="29B7B660"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noProof/>
          <w:lang w:val="en-US"/>
        </w:rPr>
        <w:t xml:space="preserve">Anselmo-Lima, W. T., Sakano, E., Tamashiro, E., Nunes, A. A., Fernandes, A. M., Pereira, A., Oritz, E. &amp; Pinna, F. R. (2015). Rhinosinusitis: evidence and experience. </w:t>
      </w:r>
      <w:r w:rsidRPr="009025A7">
        <w:rPr>
          <w:rFonts w:ascii="Arial" w:hAnsi="Arial" w:cs="Arial"/>
          <w:i/>
          <w:iCs/>
          <w:noProof/>
          <w:lang w:val="en-US"/>
        </w:rPr>
        <w:t>Brazilian Journal of Otorhinolaryngology</w:t>
      </w:r>
      <w:r w:rsidRPr="009025A7">
        <w:rPr>
          <w:rFonts w:ascii="Arial" w:hAnsi="Arial" w:cs="Arial"/>
          <w:noProof/>
          <w:lang w:val="en-US"/>
        </w:rPr>
        <w:t xml:space="preserve">, 81(1), pp. 1–49. </w:t>
      </w:r>
    </w:p>
    <w:p w14:paraId="07DC4583"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p>
    <w:p w14:paraId="286374C1"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noProof/>
          <w:lang w:val="en-US"/>
        </w:rPr>
        <w:t xml:space="preserve">Boulet, L. P. (2012). Asthma and obesity. </w:t>
      </w:r>
      <w:r w:rsidRPr="009025A7">
        <w:rPr>
          <w:rFonts w:ascii="Arial" w:hAnsi="Arial" w:cs="Arial"/>
          <w:i/>
          <w:iCs/>
          <w:noProof/>
          <w:lang w:val="en-US"/>
        </w:rPr>
        <w:t>Clinical and experimental allergy</w:t>
      </w:r>
      <w:r w:rsidRPr="009025A7">
        <w:rPr>
          <w:rFonts w:ascii="Arial" w:hAnsi="Arial" w:cs="Arial"/>
          <w:noProof/>
          <w:lang w:val="en-US"/>
        </w:rPr>
        <w:t>, 43(1), pp. 8–21.</w:t>
      </w:r>
    </w:p>
    <w:p w14:paraId="0A82D281"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p>
    <w:p w14:paraId="57D24FCA"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noProof/>
          <w:lang w:val="en-US"/>
        </w:rPr>
        <w:t xml:space="preserve">Bray, G. A., Ryan, D. H., Wilding, J. P. &amp; Fruhbeck, G. (2016). Management of obesity. </w:t>
      </w:r>
      <w:r w:rsidRPr="009025A7">
        <w:rPr>
          <w:rFonts w:ascii="Arial" w:hAnsi="Arial" w:cs="Arial"/>
          <w:i/>
          <w:iCs/>
          <w:noProof/>
          <w:lang w:val="en-US"/>
        </w:rPr>
        <w:t>The Lancet</w:t>
      </w:r>
      <w:r w:rsidRPr="009025A7">
        <w:rPr>
          <w:rFonts w:ascii="Arial" w:hAnsi="Arial" w:cs="Arial"/>
          <w:noProof/>
          <w:lang w:val="en-US"/>
        </w:rPr>
        <w:t>, 387(10031), pp. 1947–1956.</w:t>
      </w:r>
    </w:p>
    <w:p w14:paraId="3A4BE9AD"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p>
    <w:p w14:paraId="0D505DE7"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noProof/>
          <w:lang w:val="en-US"/>
        </w:rPr>
        <w:t xml:space="preserve">Buyken, A. E., Mela, D. J., Johnson, I. T., Macdonald, I. A., Stowell, J. D. &amp; Brouns, F. J. P. (2018). Dietary carbohydrates: a review of international recommendations and the methods used to derive them. </w:t>
      </w:r>
      <w:r w:rsidRPr="009025A7">
        <w:rPr>
          <w:rFonts w:ascii="Arial" w:hAnsi="Arial" w:cs="Arial"/>
          <w:i/>
          <w:iCs/>
          <w:noProof/>
          <w:lang w:val="en-US"/>
        </w:rPr>
        <w:t>European Journal of Clinical Nutrition</w:t>
      </w:r>
      <w:r w:rsidRPr="009025A7">
        <w:rPr>
          <w:rFonts w:ascii="Arial" w:hAnsi="Arial" w:cs="Arial"/>
          <w:noProof/>
          <w:lang w:val="en-US"/>
        </w:rPr>
        <w:t>, 72(12), pp. 1625–1643.</w:t>
      </w:r>
    </w:p>
    <w:p w14:paraId="5F2F2867"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p>
    <w:p w14:paraId="2F2DEE2E"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noProof/>
          <w:lang w:val="en-US"/>
        </w:rPr>
        <w:t xml:space="preserve">Calapai, G., Casciaro, M., Miroddi, M., Calapai, F., Navarra, M. &amp; Gangemi, S. (2014). Montelukast-induced adverse drug reactions: A review of case reports in the literature. </w:t>
      </w:r>
      <w:r w:rsidRPr="009025A7">
        <w:rPr>
          <w:rFonts w:ascii="Arial" w:hAnsi="Arial" w:cs="Arial"/>
          <w:i/>
          <w:iCs/>
          <w:noProof/>
          <w:lang w:val="en-US"/>
        </w:rPr>
        <w:t>Pharmacology</w:t>
      </w:r>
      <w:r w:rsidRPr="009025A7">
        <w:rPr>
          <w:rFonts w:ascii="Arial" w:hAnsi="Arial" w:cs="Arial"/>
          <w:noProof/>
          <w:lang w:val="en-US"/>
        </w:rPr>
        <w:t xml:space="preserve">, 94(1), pp. 60–70. </w:t>
      </w:r>
    </w:p>
    <w:p w14:paraId="101730BB"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p>
    <w:p w14:paraId="64B53D7D"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noProof/>
          <w:lang w:val="en-US"/>
        </w:rPr>
        <w:t xml:space="preserve">Dixit, R. (2018). Asthma and obstructive sleep apnea: More than an association!. </w:t>
      </w:r>
      <w:r w:rsidRPr="009025A7">
        <w:rPr>
          <w:rFonts w:ascii="Arial" w:hAnsi="Arial" w:cs="Arial"/>
          <w:i/>
          <w:iCs/>
          <w:noProof/>
          <w:lang w:val="en-US"/>
        </w:rPr>
        <w:t>Lung India</w:t>
      </w:r>
      <w:r w:rsidRPr="009025A7">
        <w:rPr>
          <w:rFonts w:ascii="Arial" w:hAnsi="Arial" w:cs="Arial"/>
          <w:noProof/>
          <w:lang w:val="en-US"/>
        </w:rPr>
        <w:t xml:space="preserve">, 35(3), pp. 191–192. </w:t>
      </w:r>
    </w:p>
    <w:p w14:paraId="1804D029"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p>
    <w:p w14:paraId="0BB27004"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noProof/>
          <w:lang w:val="en-US"/>
        </w:rPr>
        <w:t xml:space="preserve">Douwes, J., Gibson, P., Pekkanen, J. &amp; Pearce, N. (2002). Non-eosinophilic asthma: Importance and possible mechanisms. </w:t>
      </w:r>
      <w:r w:rsidRPr="009025A7">
        <w:rPr>
          <w:rFonts w:ascii="Arial" w:hAnsi="Arial" w:cs="Arial"/>
          <w:i/>
          <w:iCs/>
          <w:noProof/>
          <w:lang w:val="en-US"/>
        </w:rPr>
        <w:t>Thorax</w:t>
      </w:r>
      <w:r w:rsidRPr="009025A7">
        <w:rPr>
          <w:rFonts w:ascii="Arial" w:hAnsi="Arial" w:cs="Arial"/>
          <w:noProof/>
          <w:lang w:val="en-US"/>
        </w:rPr>
        <w:t xml:space="preserve">, 57(7), pp. 643–648. </w:t>
      </w:r>
    </w:p>
    <w:p w14:paraId="578008FE"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p>
    <w:p w14:paraId="65E5D34F"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noProof/>
          <w:lang w:val="en-US"/>
        </w:rPr>
        <w:t xml:space="preserve">Eccles, R. (2011). Mechanisms of the symptoms of rhinosinusitis. </w:t>
      </w:r>
      <w:r w:rsidRPr="009025A7">
        <w:rPr>
          <w:rFonts w:ascii="Arial" w:hAnsi="Arial" w:cs="Arial"/>
          <w:i/>
          <w:iCs/>
          <w:noProof/>
          <w:lang w:val="en-US"/>
        </w:rPr>
        <w:t>Rhinology</w:t>
      </w:r>
      <w:r w:rsidRPr="009025A7">
        <w:rPr>
          <w:rFonts w:ascii="Arial" w:hAnsi="Arial" w:cs="Arial"/>
          <w:noProof/>
          <w:lang w:val="en-US"/>
        </w:rPr>
        <w:t xml:space="preserve">, 49(2), </w:t>
      </w:r>
      <w:r w:rsidRPr="009025A7">
        <w:rPr>
          <w:rFonts w:ascii="Arial" w:hAnsi="Arial" w:cs="Arial"/>
          <w:noProof/>
          <w:lang w:val="en-US"/>
        </w:rPr>
        <w:lastRenderedPageBreak/>
        <w:t xml:space="preserve">pp. 131–138. </w:t>
      </w:r>
    </w:p>
    <w:p w14:paraId="3CE87223"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p>
    <w:p w14:paraId="3C6F8CE5"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noProof/>
          <w:lang w:val="en-US"/>
        </w:rPr>
        <w:t xml:space="preserve">Farhud, D. D. (2015). Impact of lifestyle on health. </w:t>
      </w:r>
      <w:r w:rsidRPr="009025A7">
        <w:rPr>
          <w:rFonts w:ascii="Arial" w:hAnsi="Arial" w:cs="Arial"/>
          <w:i/>
          <w:iCs/>
          <w:noProof/>
          <w:lang w:val="en-US"/>
        </w:rPr>
        <w:t>Iranian Journal of Public Health</w:t>
      </w:r>
      <w:r w:rsidRPr="009025A7">
        <w:rPr>
          <w:rFonts w:ascii="Arial" w:hAnsi="Arial" w:cs="Arial"/>
          <w:noProof/>
          <w:lang w:val="en-US"/>
        </w:rPr>
        <w:t>, 44(11), pp. 1442–1444.</w:t>
      </w:r>
    </w:p>
    <w:p w14:paraId="1E7D016A"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p>
    <w:p w14:paraId="3CABF947"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noProof/>
          <w:lang w:val="en-US"/>
        </w:rPr>
        <w:t xml:space="preserve">Flegal, K. M., Kit, B. K. &amp; Graubard, B. I. (2014). Body mass index categories in observational studies of weight and risk of death. </w:t>
      </w:r>
      <w:r w:rsidRPr="009025A7">
        <w:rPr>
          <w:rFonts w:ascii="Arial" w:hAnsi="Arial" w:cs="Arial"/>
          <w:i/>
          <w:iCs/>
          <w:noProof/>
          <w:lang w:val="en-US"/>
        </w:rPr>
        <w:t>American Journal of Epidemiology</w:t>
      </w:r>
      <w:r w:rsidRPr="009025A7">
        <w:rPr>
          <w:rFonts w:ascii="Arial" w:hAnsi="Arial" w:cs="Arial"/>
          <w:noProof/>
          <w:lang w:val="en-US"/>
        </w:rPr>
        <w:t xml:space="preserve">, 180(3), pp. 288–296. </w:t>
      </w:r>
    </w:p>
    <w:p w14:paraId="2C86F45B"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p>
    <w:p w14:paraId="50591F8C"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noProof/>
          <w:lang w:val="en-US"/>
        </w:rPr>
        <w:t xml:space="preserve">Foster-Schubert, K. E., Alfano, C. M., Duggan, C. R., Xiao, L., Campbell, K. L., Kong, A., Bain, C., Wang, C. Y., Blackburn, G. &amp; McTiernan, A. (2012). Effect of diet and exercise, alone or combined, on weight and body composition in overweight-to-obese postmenopausal women. </w:t>
      </w:r>
      <w:r w:rsidRPr="009025A7">
        <w:rPr>
          <w:rFonts w:ascii="Arial" w:hAnsi="Arial" w:cs="Arial"/>
          <w:i/>
          <w:iCs/>
          <w:noProof/>
          <w:lang w:val="en-US"/>
        </w:rPr>
        <w:t>Obesity</w:t>
      </w:r>
      <w:r w:rsidRPr="009025A7">
        <w:rPr>
          <w:rFonts w:ascii="Arial" w:hAnsi="Arial" w:cs="Arial"/>
          <w:noProof/>
          <w:lang w:val="en-US"/>
        </w:rPr>
        <w:t xml:space="preserve">, 20(8), pp. 1628–1638. </w:t>
      </w:r>
    </w:p>
    <w:p w14:paraId="061C2B8F"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p>
    <w:p w14:paraId="01BFBD6F"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noProof/>
          <w:lang w:val="en-US"/>
        </w:rPr>
        <w:t xml:space="preserve">Gibson, A. L., Wagner, D. R. and Heyward, H. (2018). </w:t>
      </w:r>
      <w:r w:rsidRPr="009025A7">
        <w:rPr>
          <w:rFonts w:ascii="Arial" w:hAnsi="Arial" w:cs="Arial"/>
          <w:i/>
          <w:iCs/>
          <w:noProof/>
          <w:lang w:val="en-US"/>
        </w:rPr>
        <w:t>Advanced Fitness Assessment and Exercise Presciption</w:t>
      </w:r>
      <w:r w:rsidRPr="009025A7">
        <w:rPr>
          <w:rFonts w:ascii="Arial" w:hAnsi="Arial" w:cs="Arial"/>
          <w:noProof/>
          <w:lang w:val="en-US"/>
        </w:rPr>
        <w:t>. 8th edn. Ilinois: Human Kinetics.</w:t>
      </w:r>
    </w:p>
    <w:p w14:paraId="33D2EC72"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p>
    <w:p w14:paraId="3DC58FD5"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noProof/>
          <w:lang w:val="en-US"/>
        </w:rPr>
        <w:t xml:space="preserve">Grimm, C., Kammerzell, K. &amp; Kang, D. (2019). Reduced peak flow and VO2 max in individuals with exercise induced asthma. </w:t>
      </w:r>
      <w:r w:rsidRPr="009025A7">
        <w:rPr>
          <w:rFonts w:ascii="Arial" w:hAnsi="Arial" w:cs="Arial"/>
          <w:i/>
          <w:iCs/>
          <w:noProof/>
          <w:lang w:val="en-US"/>
        </w:rPr>
        <w:t>International journal of exercise science</w:t>
      </w:r>
      <w:r w:rsidRPr="009025A7">
        <w:rPr>
          <w:rFonts w:ascii="Arial" w:hAnsi="Arial" w:cs="Arial"/>
          <w:noProof/>
          <w:lang w:val="en-US"/>
        </w:rPr>
        <w:t>, 8(7), p. 52.</w:t>
      </w:r>
    </w:p>
    <w:p w14:paraId="5F2BB49F"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p>
    <w:p w14:paraId="2ABD143A"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noProof/>
          <w:lang w:val="en-US"/>
        </w:rPr>
        <w:t xml:space="preserve">Guhan, A. R., Cooper, S., Oborne, J., Lewis, S., Bennett, J. &amp; Tattersfield, A. (2000). Systemic effects of formoterol and salmeterol: A dose-response comparison in healthy subjects.  </w:t>
      </w:r>
      <w:r w:rsidRPr="009025A7">
        <w:rPr>
          <w:rFonts w:ascii="Arial" w:hAnsi="Arial" w:cs="Arial"/>
          <w:i/>
          <w:iCs/>
          <w:noProof/>
          <w:lang w:val="en-US"/>
        </w:rPr>
        <w:t>Thorax</w:t>
      </w:r>
      <w:r w:rsidRPr="009025A7">
        <w:rPr>
          <w:rFonts w:ascii="Arial" w:hAnsi="Arial" w:cs="Arial"/>
          <w:noProof/>
          <w:lang w:val="en-US"/>
        </w:rPr>
        <w:t xml:space="preserve">, 55(8), pp. 650–656. </w:t>
      </w:r>
    </w:p>
    <w:p w14:paraId="32BDAE18"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p>
    <w:p w14:paraId="31CC8AF6"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noProof/>
          <w:lang w:val="en-US"/>
        </w:rPr>
        <w:t xml:space="preserve">Hausman, D. B., Johnson, M. A., Davey, A. &amp; Poon, L. W. (2011). Body mass index is associated with dietary patterns and health conditions in Georgia centenarians. </w:t>
      </w:r>
      <w:r w:rsidRPr="009025A7">
        <w:rPr>
          <w:rFonts w:ascii="Arial" w:hAnsi="Arial" w:cs="Arial"/>
          <w:i/>
          <w:iCs/>
          <w:noProof/>
          <w:lang w:val="en-US"/>
        </w:rPr>
        <w:t>Journal of Aging Research</w:t>
      </w:r>
      <w:r w:rsidRPr="009025A7">
        <w:rPr>
          <w:rFonts w:ascii="Arial" w:hAnsi="Arial" w:cs="Arial"/>
          <w:noProof/>
          <w:lang w:val="en-US"/>
        </w:rPr>
        <w:t xml:space="preserve">, 2011(1). </w:t>
      </w:r>
    </w:p>
    <w:p w14:paraId="0EFBDAB5"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p>
    <w:p w14:paraId="6F021556"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noProof/>
          <w:lang w:val="en-US"/>
        </w:rPr>
        <w:t xml:space="preserve">Hematinafar, A., Fathi, M. &amp; Ziaaldini, M. M. (2020). Effect of 8 weeks of HIIT on hepatic enzyme levels, lipid profile and body composition in overweight young men. </w:t>
      </w:r>
      <w:r w:rsidRPr="009025A7">
        <w:rPr>
          <w:rFonts w:ascii="Arial" w:hAnsi="Arial" w:cs="Arial"/>
          <w:i/>
          <w:iCs/>
          <w:noProof/>
          <w:lang w:val="en-US"/>
        </w:rPr>
        <w:t>Obesity Medicine</w:t>
      </w:r>
      <w:r w:rsidRPr="009025A7">
        <w:rPr>
          <w:rFonts w:ascii="Arial" w:hAnsi="Arial" w:cs="Arial"/>
          <w:noProof/>
          <w:lang w:val="en-US"/>
        </w:rPr>
        <w:t xml:space="preserve">, 18(1). </w:t>
      </w:r>
    </w:p>
    <w:p w14:paraId="3DF97E4D"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p>
    <w:p w14:paraId="276F25C4"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noProof/>
          <w:lang w:val="en-US"/>
        </w:rPr>
        <w:t>Hussain, S., Amilia, H. H., Rosli, M. N., Zahedi, F. D. &amp; Sachlin, I. S.</w:t>
      </w:r>
      <w:r w:rsidRPr="009025A7">
        <w:rPr>
          <w:rFonts w:ascii="Arial" w:hAnsi="Arial" w:cs="Arial"/>
          <w:i/>
          <w:iCs/>
          <w:noProof/>
          <w:lang w:val="en-US"/>
        </w:rPr>
        <w:t>.</w:t>
      </w:r>
      <w:r w:rsidRPr="009025A7">
        <w:rPr>
          <w:rFonts w:ascii="Arial" w:hAnsi="Arial" w:cs="Arial"/>
          <w:noProof/>
          <w:lang w:val="en-US"/>
        </w:rPr>
        <w:t xml:space="preserve"> (2018). </w:t>
      </w:r>
      <w:r w:rsidRPr="009025A7">
        <w:rPr>
          <w:rFonts w:ascii="Arial" w:hAnsi="Arial" w:cs="Arial"/>
          <w:noProof/>
          <w:lang w:val="en-US"/>
        </w:rPr>
        <w:lastRenderedPageBreak/>
        <w:t xml:space="preserve">Management of rhinosinusitis in adults in primary care. </w:t>
      </w:r>
      <w:r w:rsidRPr="009025A7">
        <w:rPr>
          <w:rFonts w:ascii="Arial" w:hAnsi="Arial" w:cs="Arial"/>
          <w:i/>
          <w:iCs/>
          <w:noProof/>
          <w:lang w:val="en-US"/>
        </w:rPr>
        <w:t>Malaysian Family Physician</w:t>
      </w:r>
      <w:r w:rsidRPr="009025A7">
        <w:rPr>
          <w:rFonts w:ascii="Arial" w:hAnsi="Arial" w:cs="Arial"/>
          <w:noProof/>
          <w:lang w:val="en-US"/>
        </w:rPr>
        <w:t>, 13(1), pp. 28–33.</w:t>
      </w:r>
    </w:p>
    <w:p w14:paraId="6E08A937"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p>
    <w:p w14:paraId="5D509B17"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noProof/>
          <w:lang w:val="en-US"/>
        </w:rPr>
        <w:t xml:space="preserve">Jackson, E. M. (2013). Stress Relief: The Role of Exercise in Stress Management. </w:t>
      </w:r>
      <w:r w:rsidRPr="009025A7">
        <w:rPr>
          <w:rFonts w:ascii="Arial" w:hAnsi="Arial" w:cs="Arial"/>
          <w:i/>
          <w:iCs/>
          <w:noProof/>
          <w:lang w:val="en-US"/>
        </w:rPr>
        <w:t>ACSM’s Health and Fitness Journal</w:t>
      </w:r>
      <w:r w:rsidRPr="009025A7">
        <w:rPr>
          <w:rFonts w:ascii="Arial" w:hAnsi="Arial" w:cs="Arial"/>
          <w:noProof/>
          <w:lang w:val="en-US"/>
        </w:rPr>
        <w:t xml:space="preserve">, 17(3), pp. 14–19. </w:t>
      </w:r>
    </w:p>
    <w:p w14:paraId="785AA1C9"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p>
    <w:p w14:paraId="47FD9375"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noProof/>
          <w:lang w:val="en-US"/>
        </w:rPr>
        <w:t xml:space="preserve">Jang, A. S. (2013). The role of rhinosinusitis in severe asthma. </w:t>
      </w:r>
      <w:r w:rsidRPr="009025A7">
        <w:rPr>
          <w:rFonts w:ascii="Arial" w:hAnsi="Arial" w:cs="Arial"/>
          <w:i/>
          <w:iCs/>
          <w:noProof/>
          <w:lang w:val="en-US"/>
        </w:rPr>
        <w:t>Korean Journal of Internal Medicine</w:t>
      </w:r>
      <w:r w:rsidRPr="009025A7">
        <w:rPr>
          <w:rFonts w:ascii="Arial" w:hAnsi="Arial" w:cs="Arial"/>
          <w:noProof/>
          <w:lang w:val="en-US"/>
        </w:rPr>
        <w:t xml:space="preserve">, 28(6), pp. 646–651. </w:t>
      </w:r>
    </w:p>
    <w:p w14:paraId="660EB7A8"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p>
    <w:p w14:paraId="5DA8A529"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noProof/>
          <w:lang w:val="en-US"/>
        </w:rPr>
        <w:t xml:space="preserve">Jun, J., Chopra, S. &amp; Schwartz, A. R. (2016). Obstructive Sleep Apnoea. </w:t>
      </w:r>
      <w:r w:rsidRPr="009025A7">
        <w:rPr>
          <w:rFonts w:ascii="Arial" w:hAnsi="Arial" w:cs="Arial"/>
          <w:i/>
          <w:iCs/>
          <w:noProof/>
          <w:lang w:val="en-US"/>
        </w:rPr>
        <w:t>European Respiratory Review</w:t>
      </w:r>
      <w:r w:rsidRPr="009025A7">
        <w:rPr>
          <w:rFonts w:ascii="Arial" w:hAnsi="Arial" w:cs="Arial"/>
          <w:noProof/>
          <w:lang w:val="en-US"/>
        </w:rPr>
        <w:t>, 25(1), pp. 12–18.</w:t>
      </w:r>
    </w:p>
    <w:p w14:paraId="29D4FCC6"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p>
    <w:p w14:paraId="6AF1FA77"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noProof/>
          <w:lang w:val="en-US"/>
        </w:rPr>
        <w:t xml:space="preserve">Kelly, C. M., Burnett, A. F. &amp; Newton, M. J. (2008). The effect of strength training on three-kilometer performance in recreational women endurance runners. </w:t>
      </w:r>
      <w:r w:rsidRPr="009025A7">
        <w:rPr>
          <w:rFonts w:ascii="Arial" w:hAnsi="Arial" w:cs="Arial"/>
          <w:i/>
          <w:iCs/>
          <w:noProof/>
          <w:lang w:val="en-US"/>
        </w:rPr>
        <w:t>Journal of Strength and Conditioning Research</w:t>
      </w:r>
      <w:r w:rsidRPr="009025A7">
        <w:rPr>
          <w:rFonts w:ascii="Arial" w:hAnsi="Arial" w:cs="Arial"/>
          <w:noProof/>
          <w:lang w:val="en-US"/>
        </w:rPr>
        <w:t>, 22(2), pp. 396–403.</w:t>
      </w:r>
    </w:p>
    <w:p w14:paraId="60228C75"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p>
    <w:p w14:paraId="28734DA1"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noProof/>
          <w:lang w:val="en-US"/>
        </w:rPr>
        <w:t xml:space="preserve">Khachi, H., Meynell, H. &amp; Murphy, A. (2014). Asthma: pathophysiology, causes and diagnosis. </w:t>
      </w:r>
      <w:r w:rsidRPr="009025A7">
        <w:rPr>
          <w:rFonts w:ascii="Arial" w:hAnsi="Arial" w:cs="Arial"/>
          <w:i/>
          <w:iCs/>
          <w:noProof/>
          <w:lang w:val="en-US"/>
        </w:rPr>
        <w:t>The Pharmaceutical Journal</w:t>
      </w:r>
      <w:r w:rsidRPr="009025A7">
        <w:rPr>
          <w:rFonts w:ascii="Arial" w:hAnsi="Arial" w:cs="Arial"/>
          <w:noProof/>
          <w:lang w:val="en-US"/>
        </w:rPr>
        <w:t>, 5(9).</w:t>
      </w:r>
    </w:p>
    <w:p w14:paraId="6A75ED41"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p>
    <w:p w14:paraId="491BD9AA"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noProof/>
          <w:lang w:val="en-US"/>
        </w:rPr>
        <w:t xml:space="preserve">Kohansieh, M. &amp; Makaryus, A. N. (2015). Sleep Deficiency and Deprivation Leading to Cardiovascular Disease. </w:t>
      </w:r>
      <w:r w:rsidRPr="009025A7">
        <w:rPr>
          <w:rFonts w:ascii="Arial" w:hAnsi="Arial" w:cs="Arial"/>
          <w:i/>
          <w:iCs/>
          <w:noProof/>
          <w:lang w:val="en-US"/>
        </w:rPr>
        <w:t>International Journal of Hypertension</w:t>
      </w:r>
      <w:r w:rsidRPr="009025A7">
        <w:rPr>
          <w:rFonts w:ascii="Arial" w:hAnsi="Arial" w:cs="Arial"/>
          <w:noProof/>
          <w:lang w:val="en-US"/>
        </w:rPr>
        <w:t xml:space="preserve">, 2015(1), pp. 1–5. </w:t>
      </w:r>
    </w:p>
    <w:p w14:paraId="4C7A1CAF"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p>
    <w:p w14:paraId="03AB3BD2"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noProof/>
          <w:lang w:val="en-US"/>
        </w:rPr>
        <w:t xml:space="preserve">Lambert, A., Drummond, M. B., Wei, C., Irvin, C., Kaminsky, D., McCormack, M. &amp; Wise, R. (2015). Diagnostic Accuracy of FEV1/FVC Z-Score in Patients with Asthma.  </w:t>
      </w:r>
      <w:r w:rsidRPr="009025A7">
        <w:rPr>
          <w:rFonts w:ascii="Arial" w:hAnsi="Arial" w:cs="Arial"/>
          <w:i/>
          <w:iCs/>
          <w:noProof/>
          <w:lang w:val="en-US"/>
        </w:rPr>
        <w:t>Journal of Allergy and Clinical Immunology</w:t>
      </w:r>
      <w:r w:rsidRPr="009025A7">
        <w:rPr>
          <w:rFonts w:ascii="Arial" w:hAnsi="Arial" w:cs="Arial"/>
          <w:noProof/>
          <w:lang w:val="en-US"/>
        </w:rPr>
        <w:t>, 136(3), pp. 649–653.</w:t>
      </w:r>
    </w:p>
    <w:p w14:paraId="5B229D63" w14:textId="77777777" w:rsidR="009A77DA" w:rsidRPr="009025A7" w:rsidRDefault="009A77DA" w:rsidP="009A77DA">
      <w:pPr>
        <w:widowControl w:val="0"/>
        <w:autoSpaceDE w:val="0"/>
        <w:autoSpaceDN w:val="0"/>
        <w:adjustRightInd w:val="0"/>
        <w:spacing w:line="360" w:lineRule="auto"/>
        <w:rPr>
          <w:rFonts w:ascii="Arial" w:hAnsi="Arial" w:cs="Arial"/>
          <w:noProof/>
          <w:highlight w:val="green"/>
          <w:lang w:val="en-US"/>
        </w:rPr>
      </w:pPr>
    </w:p>
    <w:p w14:paraId="59FCBE59"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noProof/>
          <w:lang w:val="en-US"/>
        </w:rPr>
        <w:t xml:space="preserve">Lin, J. D., Chen, Y. L., Wu, C., Hsieh, C., Pei, D., Liang, Y. &amp; Chang, J. (2016). Identification of Normal Blood Pressure in Different Age Group.  </w:t>
      </w:r>
      <w:r w:rsidRPr="009025A7">
        <w:rPr>
          <w:rFonts w:ascii="Arial" w:hAnsi="Arial" w:cs="Arial"/>
          <w:i/>
          <w:iCs/>
          <w:noProof/>
          <w:lang w:val="en-US"/>
        </w:rPr>
        <w:t>Medicine (United States)</w:t>
      </w:r>
      <w:r w:rsidRPr="009025A7">
        <w:rPr>
          <w:rFonts w:ascii="Arial" w:hAnsi="Arial" w:cs="Arial"/>
          <w:noProof/>
          <w:lang w:val="en-US"/>
        </w:rPr>
        <w:t>, 95(14).</w:t>
      </w:r>
    </w:p>
    <w:p w14:paraId="501F3EF0" w14:textId="77777777" w:rsidR="009A77DA" w:rsidRPr="009025A7" w:rsidRDefault="009A77DA" w:rsidP="009A77DA">
      <w:pPr>
        <w:widowControl w:val="0"/>
        <w:autoSpaceDE w:val="0"/>
        <w:autoSpaceDN w:val="0"/>
        <w:adjustRightInd w:val="0"/>
        <w:spacing w:line="360" w:lineRule="auto"/>
        <w:rPr>
          <w:rFonts w:ascii="Arial" w:hAnsi="Arial" w:cs="Arial"/>
          <w:noProof/>
          <w:highlight w:val="green"/>
          <w:lang w:val="en-US"/>
        </w:rPr>
      </w:pPr>
    </w:p>
    <w:p w14:paraId="59BE5886"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noProof/>
          <w:lang w:val="en-US"/>
        </w:rPr>
        <w:t xml:space="preserve">Lorgeril, M., Salen, P., Martin, J. L., Monjaud, I., Delaye, J. &amp; Mamelle, N. (1998). Mediterranean diet, traditional risk factors, and the rate of cardiovascular complications after myocardial infarction. </w:t>
      </w:r>
      <w:r w:rsidRPr="009025A7">
        <w:rPr>
          <w:rFonts w:ascii="Arial" w:hAnsi="Arial" w:cs="Arial"/>
          <w:i/>
          <w:iCs/>
          <w:noProof/>
          <w:lang w:val="en-US"/>
        </w:rPr>
        <w:t>American Heart Association Journal</w:t>
      </w:r>
      <w:r w:rsidRPr="009025A7">
        <w:rPr>
          <w:rFonts w:ascii="Arial" w:hAnsi="Arial" w:cs="Arial"/>
          <w:noProof/>
          <w:lang w:val="en-US"/>
        </w:rPr>
        <w:t>, 99(6), pp. 779–785.</w:t>
      </w:r>
    </w:p>
    <w:p w14:paraId="7656F6A0"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p>
    <w:p w14:paraId="01405230"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noProof/>
          <w:lang w:val="en-US"/>
        </w:rPr>
        <w:t xml:space="preserve">Lucas, S. R. &amp; Platts-Mills, T. A. E. (2005). Physical activity and exercise in asthma: Relevance to etiology and treatment. </w:t>
      </w:r>
      <w:r w:rsidRPr="009025A7">
        <w:rPr>
          <w:rFonts w:ascii="Arial" w:hAnsi="Arial" w:cs="Arial"/>
          <w:i/>
          <w:iCs/>
          <w:noProof/>
          <w:lang w:val="en-US"/>
        </w:rPr>
        <w:t>Journal of Allergy and Clinical Immunology</w:t>
      </w:r>
      <w:r w:rsidRPr="009025A7">
        <w:rPr>
          <w:rFonts w:ascii="Arial" w:hAnsi="Arial" w:cs="Arial"/>
          <w:noProof/>
          <w:lang w:val="en-US"/>
        </w:rPr>
        <w:t xml:space="preserve">, 115(5), pp. 928–934. </w:t>
      </w:r>
    </w:p>
    <w:p w14:paraId="1B9DAADF"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p>
    <w:p w14:paraId="0AB0DFAB"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noProof/>
          <w:lang w:val="en-US"/>
        </w:rPr>
        <w:t xml:space="preserve">Merchant, A. T., Vatanparast, H., Barlas, S., Dehghan, M., Shah, S. M. A., Koning, L. D. &amp; Steck, S. E. (2010). Carbohydrate intake and overweight and obesity among healthy adults. </w:t>
      </w:r>
      <w:r w:rsidRPr="009025A7">
        <w:rPr>
          <w:rFonts w:ascii="Arial" w:hAnsi="Arial" w:cs="Arial"/>
          <w:i/>
          <w:iCs/>
          <w:noProof/>
          <w:lang w:val="en-US"/>
        </w:rPr>
        <w:t>Nutrition in Clinical Practice</w:t>
      </w:r>
      <w:r w:rsidRPr="009025A7">
        <w:rPr>
          <w:rFonts w:ascii="Arial" w:hAnsi="Arial" w:cs="Arial"/>
          <w:noProof/>
          <w:lang w:val="en-US"/>
        </w:rPr>
        <w:t xml:space="preserve">, 25(6), pp. 680–681. </w:t>
      </w:r>
    </w:p>
    <w:p w14:paraId="3E815A02"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p>
    <w:p w14:paraId="0366C760"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noProof/>
          <w:lang w:val="en-US"/>
        </w:rPr>
        <w:t xml:space="preserve">Meyer, J. M., Wenzel, C. L. &amp; Kradjan, W. A. (1993). Salmeterol-A Novel, Long-Acting Beta2-Agonist.  </w:t>
      </w:r>
      <w:r w:rsidRPr="009025A7">
        <w:rPr>
          <w:rFonts w:ascii="Arial" w:hAnsi="Arial" w:cs="Arial"/>
          <w:i/>
          <w:iCs/>
          <w:noProof/>
          <w:lang w:val="en-US"/>
        </w:rPr>
        <w:t>Annals of Pharmacotherapy</w:t>
      </w:r>
      <w:r w:rsidRPr="009025A7">
        <w:rPr>
          <w:rFonts w:ascii="Arial" w:hAnsi="Arial" w:cs="Arial"/>
          <w:noProof/>
          <w:lang w:val="en-US"/>
        </w:rPr>
        <w:t>, 27(12), pp. 1478–1487.</w:t>
      </w:r>
    </w:p>
    <w:p w14:paraId="18FB51FE"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p>
    <w:p w14:paraId="7C8545E0"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noProof/>
          <w:lang w:val="en-US"/>
        </w:rPr>
        <w:t xml:space="preserve">Mims, J. W. (2015). Asthma: definitions and pathophysiology. </w:t>
      </w:r>
      <w:r w:rsidRPr="009025A7">
        <w:rPr>
          <w:rFonts w:ascii="Arial" w:hAnsi="Arial" w:cs="Arial"/>
          <w:i/>
          <w:iCs/>
          <w:noProof/>
          <w:lang w:val="en-US"/>
        </w:rPr>
        <w:t>International forum of allergy and rhinology</w:t>
      </w:r>
      <w:r w:rsidRPr="009025A7">
        <w:rPr>
          <w:rFonts w:ascii="Arial" w:hAnsi="Arial" w:cs="Arial"/>
          <w:noProof/>
          <w:lang w:val="en-US"/>
        </w:rPr>
        <w:t xml:space="preserve">, 5(1), pp. 52–56. </w:t>
      </w:r>
    </w:p>
    <w:p w14:paraId="1FD6A2F4"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p>
    <w:p w14:paraId="083638CB"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noProof/>
          <w:lang w:val="en-US"/>
        </w:rPr>
        <w:t xml:space="preserve">Le Moual, N., Carsin, A. E., Siroux, V., Radon, K., Norback, D., Toren, K., Olivieri, M. &amp; Urrutia, I.  (2014). Occupational exposures and uncontrolled adult-onset asthma in the European Community Respiratory Health Survey II. </w:t>
      </w:r>
      <w:r w:rsidRPr="009025A7">
        <w:rPr>
          <w:rFonts w:ascii="Arial" w:hAnsi="Arial" w:cs="Arial"/>
          <w:i/>
          <w:iCs/>
          <w:noProof/>
          <w:lang w:val="en-US"/>
        </w:rPr>
        <w:t>European Respiratory Journal</w:t>
      </w:r>
      <w:r w:rsidRPr="009025A7">
        <w:rPr>
          <w:rFonts w:ascii="Arial" w:hAnsi="Arial" w:cs="Arial"/>
          <w:noProof/>
          <w:lang w:val="en-US"/>
        </w:rPr>
        <w:t xml:space="preserve">, 43(2), pp. 374–386. </w:t>
      </w:r>
    </w:p>
    <w:p w14:paraId="232D8888"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p>
    <w:p w14:paraId="24DB9982"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noProof/>
          <w:lang w:val="en-US"/>
        </w:rPr>
        <w:t xml:space="preserve">Mozaffarian, D., Hao, T., Rimm, E. B. &amp; Willet, W. C. (2011). Changes in Diet and Lifestyle and Long-Term Weight Gain in Women and Men. </w:t>
      </w:r>
      <w:r w:rsidRPr="009025A7">
        <w:rPr>
          <w:rFonts w:ascii="Arial" w:hAnsi="Arial" w:cs="Arial"/>
          <w:i/>
          <w:iCs/>
          <w:noProof/>
          <w:lang w:val="en-US"/>
        </w:rPr>
        <w:t>New England Journal of Medicine</w:t>
      </w:r>
      <w:r w:rsidRPr="009025A7">
        <w:rPr>
          <w:rFonts w:ascii="Arial" w:hAnsi="Arial" w:cs="Arial"/>
          <w:noProof/>
          <w:lang w:val="en-US"/>
        </w:rPr>
        <w:t xml:space="preserve">, 364(25), pp. 2392–2404. </w:t>
      </w:r>
    </w:p>
    <w:p w14:paraId="179CCA60"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p>
    <w:p w14:paraId="750C768D"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noProof/>
          <w:lang w:val="en-US"/>
        </w:rPr>
        <w:t xml:space="preserve">NHS (2021). </w:t>
      </w:r>
      <w:r w:rsidRPr="009025A7">
        <w:rPr>
          <w:rFonts w:ascii="Arial" w:hAnsi="Arial" w:cs="Arial"/>
          <w:i/>
          <w:iCs/>
          <w:noProof/>
          <w:lang w:val="en-US"/>
        </w:rPr>
        <w:t>Montelukast</w:t>
      </w:r>
      <w:r w:rsidRPr="009025A7">
        <w:rPr>
          <w:rFonts w:ascii="Arial" w:hAnsi="Arial" w:cs="Arial"/>
          <w:noProof/>
          <w:lang w:val="en-US"/>
        </w:rPr>
        <w:t xml:space="preserve">, </w:t>
      </w:r>
      <w:r w:rsidRPr="009025A7">
        <w:rPr>
          <w:rFonts w:ascii="Arial" w:hAnsi="Arial" w:cs="Arial"/>
          <w:i/>
          <w:iCs/>
          <w:noProof/>
          <w:lang w:val="en-US"/>
        </w:rPr>
        <w:t>NHS</w:t>
      </w:r>
      <w:r w:rsidRPr="009025A7">
        <w:rPr>
          <w:rFonts w:ascii="Arial" w:hAnsi="Arial" w:cs="Arial"/>
          <w:noProof/>
          <w:lang w:val="en-US"/>
        </w:rPr>
        <w:t xml:space="preserve">. Available at: https://www.nhs.uk/medicines/montelukast/  </w:t>
      </w:r>
    </w:p>
    <w:p w14:paraId="7A2CE978"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p>
    <w:p w14:paraId="28059050"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noProof/>
          <w:lang w:val="en-US"/>
        </w:rPr>
        <w:t xml:space="preserve">NICE (2021). </w:t>
      </w:r>
      <w:r w:rsidRPr="009025A7">
        <w:rPr>
          <w:rFonts w:ascii="Arial" w:hAnsi="Arial" w:cs="Arial"/>
          <w:i/>
          <w:iCs/>
          <w:noProof/>
          <w:lang w:val="en-US"/>
        </w:rPr>
        <w:t>Salmeterol</w:t>
      </w:r>
      <w:r w:rsidRPr="009025A7">
        <w:rPr>
          <w:rFonts w:ascii="Arial" w:hAnsi="Arial" w:cs="Arial"/>
          <w:noProof/>
          <w:lang w:val="en-US"/>
        </w:rPr>
        <w:t xml:space="preserve">, </w:t>
      </w:r>
      <w:r w:rsidRPr="009025A7">
        <w:rPr>
          <w:rFonts w:ascii="Arial" w:hAnsi="Arial" w:cs="Arial"/>
          <w:i/>
          <w:iCs/>
          <w:noProof/>
          <w:lang w:val="en-US"/>
        </w:rPr>
        <w:t>National institute for health and care excellence</w:t>
      </w:r>
      <w:r w:rsidRPr="009025A7">
        <w:rPr>
          <w:rFonts w:ascii="Arial" w:hAnsi="Arial" w:cs="Arial"/>
          <w:noProof/>
          <w:lang w:val="en-US"/>
        </w:rPr>
        <w:t>. Available at: https://bnf.nice.org.uk/drug/salmeterol.html.</w:t>
      </w:r>
    </w:p>
    <w:p w14:paraId="787E204E"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p>
    <w:p w14:paraId="19AA48F9"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noProof/>
          <w:lang w:val="en-US"/>
        </w:rPr>
        <w:t xml:space="preserve">Öǧretmenoǧlu, O., Susulu, A. E., Yucel, O. T, Onerci, T. M. &amp; Sahin, A. (2005). Body fat composition: A predictive factor for obstructive sleep apnea. </w:t>
      </w:r>
      <w:r w:rsidRPr="009025A7">
        <w:rPr>
          <w:rFonts w:ascii="Arial" w:hAnsi="Arial" w:cs="Arial"/>
          <w:i/>
          <w:iCs/>
          <w:noProof/>
          <w:lang w:val="en-US"/>
        </w:rPr>
        <w:t>Laryngoscope</w:t>
      </w:r>
      <w:r w:rsidRPr="009025A7">
        <w:rPr>
          <w:rFonts w:ascii="Arial" w:hAnsi="Arial" w:cs="Arial"/>
          <w:noProof/>
          <w:lang w:val="en-US"/>
        </w:rPr>
        <w:t xml:space="preserve">, 115(8), pp. 1493–1498. </w:t>
      </w:r>
    </w:p>
    <w:p w14:paraId="34BE3D04"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p>
    <w:p w14:paraId="0137A404"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noProof/>
          <w:lang w:val="en-US"/>
        </w:rPr>
        <w:lastRenderedPageBreak/>
        <w:t xml:space="preserve">Polosa, R. &amp; Thomson, N. C. (2013). Smoking and asthma: dangerous liaisons. </w:t>
      </w:r>
      <w:r w:rsidRPr="009025A7">
        <w:rPr>
          <w:rFonts w:ascii="Arial" w:hAnsi="Arial" w:cs="Arial"/>
          <w:i/>
          <w:iCs/>
          <w:noProof/>
          <w:lang w:val="en-US"/>
        </w:rPr>
        <w:t>European Respiratory Journal</w:t>
      </w:r>
      <w:r w:rsidRPr="009025A7">
        <w:rPr>
          <w:rFonts w:ascii="Arial" w:hAnsi="Arial" w:cs="Arial"/>
          <w:noProof/>
          <w:lang w:val="en-US"/>
        </w:rPr>
        <w:t>, 41(1), pp. 716–726.</w:t>
      </w:r>
    </w:p>
    <w:p w14:paraId="4E9BCD99"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p>
    <w:p w14:paraId="4A2B3D80"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noProof/>
          <w:lang w:val="en-US"/>
        </w:rPr>
        <w:t xml:space="preserve">Quirt, J., Hildebrand, K. J., Mazza, J. A. &amp; Noya, F. (2018). Asthma. </w:t>
      </w:r>
      <w:r w:rsidRPr="009025A7">
        <w:rPr>
          <w:rFonts w:ascii="Arial" w:hAnsi="Arial" w:cs="Arial"/>
          <w:i/>
          <w:iCs/>
          <w:noProof/>
          <w:lang w:val="en-US"/>
        </w:rPr>
        <w:t>Allergy Asthma Clinical Immunology</w:t>
      </w:r>
      <w:r w:rsidRPr="009025A7">
        <w:rPr>
          <w:rFonts w:ascii="Arial" w:hAnsi="Arial" w:cs="Arial"/>
          <w:noProof/>
          <w:lang w:val="en-US"/>
        </w:rPr>
        <w:t>, 14(2).</w:t>
      </w:r>
    </w:p>
    <w:p w14:paraId="77E33169"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p>
    <w:p w14:paraId="61EB8825"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noProof/>
          <w:lang w:val="en-US"/>
        </w:rPr>
        <w:t xml:space="preserve">Rehm, J. (2011). The risks associated with alcohol use and alcoholism. </w:t>
      </w:r>
      <w:r w:rsidRPr="009025A7">
        <w:rPr>
          <w:rFonts w:ascii="Arial" w:hAnsi="Arial" w:cs="Arial"/>
          <w:i/>
          <w:iCs/>
          <w:noProof/>
          <w:lang w:val="en-US"/>
        </w:rPr>
        <w:t>Alcohol Research and Health</w:t>
      </w:r>
      <w:r w:rsidRPr="009025A7">
        <w:rPr>
          <w:rFonts w:ascii="Arial" w:hAnsi="Arial" w:cs="Arial"/>
          <w:noProof/>
          <w:lang w:val="en-US"/>
        </w:rPr>
        <w:t>, 34(2), pp. 135–143.</w:t>
      </w:r>
    </w:p>
    <w:p w14:paraId="23D2EF26"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p>
    <w:p w14:paraId="6E2D5A5F"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noProof/>
          <w:lang w:val="en-US"/>
        </w:rPr>
        <w:t xml:space="preserve">Sawyer, A., Cavalheri, V. &amp; Hill, K. (2020). Effects of high intensity interval training on exercise capacity in people with chronic pulmonary conditions: A narrative review. </w:t>
      </w:r>
      <w:r w:rsidRPr="009025A7">
        <w:rPr>
          <w:rFonts w:ascii="Arial" w:hAnsi="Arial" w:cs="Arial"/>
          <w:i/>
          <w:iCs/>
          <w:noProof/>
          <w:lang w:val="en-US"/>
        </w:rPr>
        <w:t>BMC Sports Science, Medicine and Rehabilitation</w:t>
      </w:r>
      <w:r w:rsidRPr="009025A7">
        <w:rPr>
          <w:rFonts w:ascii="Arial" w:hAnsi="Arial" w:cs="Arial"/>
          <w:noProof/>
          <w:lang w:val="en-US"/>
        </w:rPr>
        <w:t xml:space="preserve">, 12(1). </w:t>
      </w:r>
    </w:p>
    <w:p w14:paraId="5CF0D8FC"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p>
    <w:p w14:paraId="1EC119BC"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noProof/>
          <w:lang w:val="en-US"/>
        </w:rPr>
        <w:t xml:space="preserve">Sedeaud, A., Marc, A., Marck, A., Frederic, D., Schipman, J., Dorsey, M., Haida, A., Berthelot, G. &amp; Toussaint, J. (2014). BMI, a performance parameter for speed improvement. </w:t>
      </w:r>
      <w:r w:rsidRPr="009025A7">
        <w:rPr>
          <w:rFonts w:ascii="Arial" w:hAnsi="Arial" w:cs="Arial"/>
          <w:i/>
          <w:iCs/>
          <w:noProof/>
          <w:lang w:val="en-US"/>
        </w:rPr>
        <w:t>PLoS ONE</w:t>
      </w:r>
      <w:r w:rsidRPr="009025A7">
        <w:rPr>
          <w:rFonts w:ascii="Arial" w:hAnsi="Arial" w:cs="Arial"/>
          <w:noProof/>
          <w:lang w:val="en-US"/>
        </w:rPr>
        <w:t xml:space="preserve">, 9(2). </w:t>
      </w:r>
    </w:p>
    <w:p w14:paraId="71050122"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p>
    <w:p w14:paraId="68096C43"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noProof/>
          <w:lang w:val="en-US"/>
        </w:rPr>
        <w:t xml:space="preserve">Skerett, P. J. &amp; Willet, W. C. (2010). Essentials of healthy eating: A guide. </w:t>
      </w:r>
      <w:r w:rsidRPr="009025A7">
        <w:rPr>
          <w:rFonts w:ascii="Arial" w:hAnsi="Arial" w:cs="Arial"/>
          <w:i/>
          <w:iCs/>
          <w:noProof/>
          <w:lang w:val="en-US"/>
        </w:rPr>
        <w:t>Journal of Midwifery and Women’s Health</w:t>
      </w:r>
      <w:r w:rsidRPr="009025A7">
        <w:rPr>
          <w:rFonts w:ascii="Arial" w:hAnsi="Arial" w:cs="Arial"/>
          <w:noProof/>
          <w:lang w:val="en-US"/>
        </w:rPr>
        <w:t xml:space="preserve">, 55(6), pp. 492–501. </w:t>
      </w:r>
    </w:p>
    <w:p w14:paraId="4C8B2A5E"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p>
    <w:p w14:paraId="11E544CC"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noProof/>
          <w:lang w:val="en-US"/>
        </w:rPr>
        <w:t xml:space="preserve">Strasser, B. &amp; Schobersberger, W. (2011). Evidence for resistance training as a treatment therapy in obesity’, </w:t>
      </w:r>
      <w:r w:rsidRPr="009025A7">
        <w:rPr>
          <w:rFonts w:ascii="Arial" w:hAnsi="Arial" w:cs="Arial"/>
          <w:i/>
          <w:iCs/>
          <w:noProof/>
          <w:lang w:val="en-US"/>
        </w:rPr>
        <w:t>Journal of Obesity</w:t>
      </w:r>
      <w:r w:rsidRPr="009025A7">
        <w:rPr>
          <w:rFonts w:ascii="Arial" w:hAnsi="Arial" w:cs="Arial"/>
          <w:noProof/>
          <w:lang w:val="en-US"/>
        </w:rPr>
        <w:t>, 2011(1).</w:t>
      </w:r>
    </w:p>
    <w:p w14:paraId="238D0820"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p>
    <w:p w14:paraId="747D6812"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noProof/>
          <w:lang w:val="en-US"/>
        </w:rPr>
        <w:t xml:space="preserve">Taylor, D. (2014). Physical activity is medicine for older adults. </w:t>
      </w:r>
      <w:r w:rsidRPr="009025A7">
        <w:rPr>
          <w:rFonts w:ascii="Arial" w:hAnsi="Arial" w:cs="Arial"/>
          <w:i/>
          <w:iCs/>
          <w:noProof/>
          <w:lang w:val="en-US"/>
        </w:rPr>
        <w:t>Postgraduate Medical Journal</w:t>
      </w:r>
      <w:r w:rsidRPr="009025A7">
        <w:rPr>
          <w:rFonts w:ascii="Arial" w:hAnsi="Arial" w:cs="Arial"/>
          <w:noProof/>
          <w:lang w:val="en-US"/>
        </w:rPr>
        <w:t xml:space="preserve">, 90(1), pp. 26–32. </w:t>
      </w:r>
    </w:p>
    <w:p w14:paraId="0A0E8071"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p>
    <w:p w14:paraId="696212F0"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noProof/>
          <w:lang w:val="en-US"/>
        </w:rPr>
        <w:t xml:space="preserve">Toennesen, L. L., Soerensen, E. D., Hostrup, M., Porsbjerg, C., Bangsbo, J. &amp; Backer, V. (2018). Feasibility of high-intensity training in asthma. </w:t>
      </w:r>
      <w:r w:rsidRPr="009025A7">
        <w:rPr>
          <w:rFonts w:ascii="Arial" w:hAnsi="Arial" w:cs="Arial"/>
          <w:i/>
          <w:iCs/>
          <w:noProof/>
          <w:lang w:val="en-US"/>
        </w:rPr>
        <w:t>European Clinical Respiratory Journal</w:t>
      </w:r>
      <w:r w:rsidRPr="009025A7">
        <w:rPr>
          <w:rFonts w:ascii="Arial" w:hAnsi="Arial" w:cs="Arial"/>
          <w:noProof/>
          <w:lang w:val="en-US"/>
        </w:rPr>
        <w:t xml:space="preserve">. Taylor &amp; Francis, 5(1). </w:t>
      </w:r>
    </w:p>
    <w:p w14:paraId="727D819D"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p>
    <w:p w14:paraId="53E24A9C"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noProof/>
          <w:lang w:val="en-US"/>
        </w:rPr>
        <w:t xml:space="preserve">Weng, N., Luo, Y. W., Xu, J. D &amp; Zhang, Y. (2019). Abnormal nocturnal behaviour due to hypoglycemia. </w:t>
      </w:r>
      <w:r w:rsidRPr="009025A7">
        <w:rPr>
          <w:rFonts w:ascii="Arial" w:hAnsi="Arial" w:cs="Arial"/>
          <w:i/>
          <w:iCs/>
          <w:noProof/>
          <w:lang w:val="en-US"/>
        </w:rPr>
        <w:t>Medicine</w:t>
      </w:r>
      <w:r w:rsidRPr="009025A7">
        <w:rPr>
          <w:rFonts w:ascii="Arial" w:hAnsi="Arial" w:cs="Arial"/>
          <w:noProof/>
          <w:lang w:val="en-US"/>
        </w:rPr>
        <w:t>, 98(6).</w:t>
      </w:r>
    </w:p>
    <w:p w14:paraId="2B553623"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p>
    <w:p w14:paraId="7F0AB307"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noProof/>
          <w:lang w:val="en-US"/>
        </w:rPr>
        <w:t xml:space="preserve">Worley, S. L. (2018). The Extraordinary Importance of Sleep. </w:t>
      </w:r>
      <w:r w:rsidRPr="009025A7">
        <w:rPr>
          <w:rFonts w:ascii="Arial" w:hAnsi="Arial" w:cs="Arial"/>
          <w:i/>
          <w:iCs/>
          <w:noProof/>
          <w:lang w:val="en-US"/>
        </w:rPr>
        <w:t xml:space="preserve">Journal Pharmacy and </w:t>
      </w:r>
      <w:r w:rsidRPr="009025A7">
        <w:rPr>
          <w:rFonts w:ascii="Arial" w:hAnsi="Arial" w:cs="Arial"/>
          <w:i/>
          <w:iCs/>
          <w:noProof/>
          <w:lang w:val="en-US"/>
        </w:rPr>
        <w:lastRenderedPageBreak/>
        <w:t>Therapeutics</w:t>
      </w:r>
      <w:r w:rsidRPr="009025A7">
        <w:rPr>
          <w:rFonts w:ascii="Arial" w:hAnsi="Arial" w:cs="Arial"/>
          <w:noProof/>
          <w:lang w:val="en-US"/>
        </w:rPr>
        <w:t xml:space="preserve">, 43(12), pp. 758–763. </w:t>
      </w:r>
    </w:p>
    <w:p w14:paraId="58831D56"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p>
    <w:p w14:paraId="39094795"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r w:rsidRPr="009025A7">
        <w:rPr>
          <w:rFonts w:ascii="Arial" w:hAnsi="Arial" w:cs="Arial"/>
          <w:noProof/>
          <w:lang w:val="en-US"/>
        </w:rPr>
        <w:t xml:space="preserve">Wu, X., Gao, S. &amp; Lian, Y. (2020). Effects of continuous aerobic exercise on lung function and quality of life with asthma: A systematic review and meta-analysis. </w:t>
      </w:r>
      <w:r w:rsidRPr="009025A7">
        <w:rPr>
          <w:rFonts w:ascii="Arial" w:hAnsi="Arial" w:cs="Arial"/>
          <w:i/>
          <w:iCs/>
          <w:noProof/>
          <w:lang w:val="en-US"/>
        </w:rPr>
        <w:t>Journal of Thoracic Disease</w:t>
      </w:r>
      <w:r w:rsidRPr="009025A7">
        <w:rPr>
          <w:rFonts w:ascii="Arial" w:hAnsi="Arial" w:cs="Arial"/>
          <w:noProof/>
          <w:lang w:val="en-US"/>
        </w:rPr>
        <w:t xml:space="preserve">, 12(9), pp. 4781–4795. </w:t>
      </w:r>
    </w:p>
    <w:p w14:paraId="340BE2B7" w14:textId="77777777" w:rsidR="009A77DA" w:rsidRPr="009025A7" w:rsidRDefault="009A77DA" w:rsidP="009A77DA">
      <w:pPr>
        <w:widowControl w:val="0"/>
        <w:autoSpaceDE w:val="0"/>
        <w:autoSpaceDN w:val="0"/>
        <w:adjustRightInd w:val="0"/>
        <w:spacing w:line="360" w:lineRule="auto"/>
        <w:rPr>
          <w:rFonts w:ascii="Arial" w:hAnsi="Arial" w:cs="Arial"/>
          <w:noProof/>
          <w:lang w:val="en-US"/>
        </w:rPr>
      </w:pPr>
    </w:p>
    <w:p w14:paraId="47055A2D" w14:textId="77777777" w:rsidR="009A77DA" w:rsidRPr="009025A7" w:rsidRDefault="009A77DA" w:rsidP="009A77DA">
      <w:pPr>
        <w:widowControl w:val="0"/>
        <w:autoSpaceDE w:val="0"/>
        <w:autoSpaceDN w:val="0"/>
        <w:adjustRightInd w:val="0"/>
        <w:spacing w:line="360" w:lineRule="auto"/>
        <w:rPr>
          <w:rFonts w:ascii="Arial" w:hAnsi="Arial" w:cs="Arial"/>
          <w:noProof/>
        </w:rPr>
      </w:pPr>
      <w:r w:rsidRPr="009025A7">
        <w:rPr>
          <w:rFonts w:ascii="Arial" w:hAnsi="Arial" w:cs="Arial"/>
          <w:noProof/>
          <w:lang w:val="en-US"/>
        </w:rPr>
        <w:t xml:space="preserve">Yang, Y. J. (2019). An Overview of Current Physical Activity Recommendations in Primary Care. </w:t>
      </w:r>
      <w:r w:rsidRPr="009025A7">
        <w:rPr>
          <w:rFonts w:ascii="Arial" w:hAnsi="Arial" w:cs="Arial"/>
          <w:i/>
          <w:iCs/>
          <w:noProof/>
          <w:lang w:val="en-US"/>
        </w:rPr>
        <w:t>Korean Journal of Family Medicine</w:t>
      </w:r>
      <w:r w:rsidRPr="009025A7">
        <w:rPr>
          <w:rFonts w:ascii="Arial" w:hAnsi="Arial" w:cs="Arial"/>
          <w:noProof/>
          <w:lang w:val="en-US"/>
        </w:rPr>
        <w:t xml:space="preserve">, 40(3), pp. 135–142. </w:t>
      </w:r>
    </w:p>
    <w:p w14:paraId="32C2D55C" w14:textId="6F908396" w:rsidR="009A77DA" w:rsidRDefault="009A77DA" w:rsidP="009A77DA">
      <w:pPr>
        <w:spacing w:line="360" w:lineRule="auto"/>
        <w:rPr>
          <w:rFonts w:ascii="Arial" w:hAnsi="Arial" w:cs="Arial"/>
        </w:rPr>
      </w:pPr>
      <w:r w:rsidRPr="009025A7">
        <w:rPr>
          <w:rFonts w:ascii="Arial" w:hAnsi="Arial" w:cs="Arial"/>
        </w:rPr>
        <w:fldChar w:fldCharType="end"/>
      </w:r>
    </w:p>
    <w:p w14:paraId="1614FE71" w14:textId="3E71ECB9" w:rsidR="0033290C" w:rsidRDefault="0033290C" w:rsidP="009A77DA">
      <w:pPr>
        <w:spacing w:line="360" w:lineRule="auto"/>
        <w:rPr>
          <w:rFonts w:ascii="Arial" w:hAnsi="Arial" w:cs="Arial"/>
        </w:rPr>
      </w:pPr>
    </w:p>
    <w:p w14:paraId="33934D79" w14:textId="350FF3C0" w:rsidR="0033290C" w:rsidRDefault="0033290C" w:rsidP="009A77DA">
      <w:pPr>
        <w:spacing w:line="360" w:lineRule="auto"/>
        <w:rPr>
          <w:rFonts w:ascii="Arial" w:hAnsi="Arial" w:cs="Arial"/>
        </w:rPr>
      </w:pPr>
    </w:p>
    <w:p w14:paraId="4006C998" w14:textId="5F709293" w:rsidR="0033290C" w:rsidRDefault="0033290C" w:rsidP="009A77DA">
      <w:pPr>
        <w:spacing w:line="360" w:lineRule="auto"/>
        <w:rPr>
          <w:rFonts w:ascii="Arial" w:hAnsi="Arial" w:cs="Arial"/>
        </w:rPr>
      </w:pPr>
    </w:p>
    <w:p w14:paraId="7CB400BE" w14:textId="208D7615" w:rsidR="0033290C" w:rsidRDefault="0033290C" w:rsidP="009A77DA">
      <w:pPr>
        <w:spacing w:line="360" w:lineRule="auto"/>
        <w:rPr>
          <w:rFonts w:ascii="Arial" w:hAnsi="Arial" w:cs="Arial"/>
        </w:rPr>
      </w:pPr>
    </w:p>
    <w:p w14:paraId="6DF7BD3F" w14:textId="54240DE0" w:rsidR="0033290C" w:rsidRDefault="0033290C" w:rsidP="009A77DA">
      <w:pPr>
        <w:spacing w:line="360" w:lineRule="auto"/>
        <w:rPr>
          <w:rFonts w:ascii="Arial" w:hAnsi="Arial" w:cs="Arial"/>
        </w:rPr>
      </w:pPr>
    </w:p>
    <w:p w14:paraId="06352B1C" w14:textId="40C397C1" w:rsidR="0033290C" w:rsidRDefault="0033290C" w:rsidP="009A77DA">
      <w:pPr>
        <w:spacing w:line="360" w:lineRule="auto"/>
        <w:rPr>
          <w:rFonts w:ascii="Arial" w:hAnsi="Arial" w:cs="Arial"/>
        </w:rPr>
      </w:pPr>
    </w:p>
    <w:p w14:paraId="2AA1A500" w14:textId="1643BB55" w:rsidR="0033290C" w:rsidRDefault="0033290C" w:rsidP="009A77DA">
      <w:pPr>
        <w:spacing w:line="360" w:lineRule="auto"/>
        <w:rPr>
          <w:rFonts w:ascii="Arial" w:hAnsi="Arial" w:cs="Arial"/>
        </w:rPr>
      </w:pPr>
    </w:p>
    <w:p w14:paraId="3F76668C" w14:textId="3C48EB51" w:rsidR="0033290C" w:rsidRDefault="0033290C" w:rsidP="009A77DA">
      <w:pPr>
        <w:spacing w:line="360" w:lineRule="auto"/>
        <w:rPr>
          <w:rFonts w:ascii="Arial" w:hAnsi="Arial" w:cs="Arial"/>
        </w:rPr>
      </w:pPr>
    </w:p>
    <w:p w14:paraId="54784FD3" w14:textId="269B43D8" w:rsidR="0033290C" w:rsidRDefault="0033290C" w:rsidP="009A77DA">
      <w:pPr>
        <w:spacing w:line="360" w:lineRule="auto"/>
        <w:rPr>
          <w:rFonts w:ascii="Arial" w:hAnsi="Arial" w:cs="Arial"/>
        </w:rPr>
      </w:pPr>
    </w:p>
    <w:p w14:paraId="2D86886A" w14:textId="1D2C2746" w:rsidR="0033290C" w:rsidRDefault="0033290C" w:rsidP="009A77DA">
      <w:pPr>
        <w:spacing w:line="360" w:lineRule="auto"/>
        <w:rPr>
          <w:rFonts w:ascii="Arial" w:hAnsi="Arial" w:cs="Arial"/>
        </w:rPr>
      </w:pPr>
    </w:p>
    <w:p w14:paraId="41EB56F6" w14:textId="7C73ED7C" w:rsidR="0033290C" w:rsidRDefault="0033290C" w:rsidP="009A77DA">
      <w:pPr>
        <w:spacing w:line="360" w:lineRule="auto"/>
        <w:rPr>
          <w:rFonts w:ascii="Arial" w:hAnsi="Arial" w:cs="Arial"/>
        </w:rPr>
      </w:pPr>
    </w:p>
    <w:p w14:paraId="066AB140" w14:textId="461E99D3" w:rsidR="0033290C" w:rsidRDefault="0033290C" w:rsidP="009A77DA">
      <w:pPr>
        <w:spacing w:line="360" w:lineRule="auto"/>
        <w:rPr>
          <w:rFonts w:ascii="Arial" w:hAnsi="Arial" w:cs="Arial"/>
        </w:rPr>
      </w:pPr>
    </w:p>
    <w:p w14:paraId="1F0008A0" w14:textId="5F5794DA" w:rsidR="0033290C" w:rsidRDefault="0033290C" w:rsidP="009A77DA">
      <w:pPr>
        <w:spacing w:line="360" w:lineRule="auto"/>
        <w:rPr>
          <w:rFonts w:ascii="Arial" w:hAnsi="Arial" w:cs="Arial"/>
        </w:rPr>
      </w:pPr>
    </w:p>
    <w:p w14:paraId="3DF647E9" w14:textId="2C3191E2" w:rsidR="0033290C" w:rsidRDefault="0033290C" w:rsidP="009A77DA">
      <w:pPr>
        <w:spacing w:line="360" w:lineRule="auto"/>
        <w:rPr>
          <w:rFonts w:ascii="Arial" w:hAnsi="Arial" w:cs="Arial"/>
        </w:rPr>
      </w:pPr>
    </w:p>
    <w:p w14:paraId="04B65596" w14:textId="61FDFDBC" w:rsidR="0033290C" w:rsidRDefault="0033290C" w:rsidP="009A77DA">
      <w:pPr>
        <w:spacing w:line="360" w:lineRule="auto"/>
        <w:rPr>
          <w:rFonts w:ascii="Arial" w:hAnsi="Arial" w:cs="Arial"/>
        </w:rPr>
      </w:pPr>
    </w:p>
    <w:p w14:paraId="67FBEF82" w14:textId="472042BD" w:rsidR="0033290C" w:rsidRDefault="0033290C" w:rsidP="009A77DA">
      <w:pPr>
        <w:spacing w:line="360" w:lineRule="auto"/>
        <w:rPr>
          <w:rFonts w:ascii="Arial" w:hAnsi="Arial" w:cs="Arial"/>
        </w:rPr>
      </w:pPr>
    </w:p>
    <w:p w14:paraId="3BAD37CF" w14:textId="7F42D04B" w:rsidR="0033290C" w:rsidRDefault="0033290C" w:rsidP="009A77DA">
      <w:pPr>
        <w:spacing w:line="360" w:lineRule="auto"/>
        <w:rPr>
          <w:rFonts w:ascii="Arial" w:hAnsi="Arial" w:cs="Arial"/>
        </w:rPr>
      </w:pPr>
    </w:p>
    <w:p w14:paraId="413DD41E" w14:textId="7BFF5AF0" w:rsidR="0033290C" w:rsidRDefault="0033290C" w:rsidP="009A77DA">
      <w:pPr>
        <w:spacing w:line="360" w:lineRule="auto"/>
        <w:rPr>
          <w:rFonts w:ascii="Arial" w:hAnsi="Arial" w:cs="Arial"/>
        </w:rPr>
      </w:pPr>
    </w:p>
    <w:p w14:paraId="0E509370" w14:textId="4434F90B" w:rsidR="0033290C" w:rsidRDefault="0033290C" w:rsidP="009A77DA">
      <w:pPr>
        <w:spacing w:line="360" w:lineRule="auto"/>
        <w:rPr>
          <w:rFonts w:ascii="Arial" w:hAnsi="Arial" w:cs="Arial"/>
        </w:rPr>
      </w:pPr>
    </w:p>
    <w:p w14:paraId="3F42EE2B" w14:textId="05B7B2EE" w:rsidR="0033290C" w:rsidRDefault="0033290C" w:rsidP="009A77DA">
      <w:pPr>
        <w:spacing w:line="360" w:lineRule="auto"/>
        <w:rPr>
          <w:rFonts w:ascii="Arial" w:hAnsi="Arial" w:cs="Arial"/>
        </w:rPr>
      </w:pPr>
    </w:p>
    <w:p w14:paraId="7357F6A0" w14:textId="109D51BD" w:rsidR="0033290C" w:rsidRDefault="0033290C" w:rsidP="009A77DA">
      <w:pPr>
        <w:spacing w:line="360" w:lineRule="auto"/>
        <w:rPr>
          <w:rFonts w:ascii="Arial" w:hAnsi="Arial" w:cs="Arial"/>
        </w:rPr>
      </w:pPr>
    </w:p>
    <w:p w14:paraId="7E556BA4" w14:textId="2E0F6452" w:rsidR="0033290C" w:rsidRDefault="0033290C" w:rsidP="009A77DA">
      <w:pPr>
        <w:spacing w:line="360" w:lineRule="auto"/>
        <w:rPr>
          <w:rFonts w:ascii="Arial" w:hAnsi="Arial" w:cs="Arial"/>
        </w:rPr>
      </w:pPr>
    </w:p>
    <w:p w14:paraId="1F886D71" w14:textId="4FDB3EBF" w:rsidR="0033290C" w:rsidRDefault="0033290C" w:rsidP="009A77DA">
      <w:pPr>
        <w:spacing w:line="360" w:lineRule="auto"/>
        <w:rPr>
          <w:rFonts w:ascii="Arial" w:hAnsi="Arial" w:cs="Arial"/>
        </w:rPr>
      </w:pPr>
    </w:p>
    <w:p w14:paraId="29031628" w14:textId="7675BE2A" w:rsidR="0033290C" w:rsidRDefault="0033290C" w:rsidP="009A77DA">
      <w:pPr>
        <w:spacing w:line="360" w:lineRule="auto"/>
        <w:rPr>
          <w:rFonts w:ascii="Arial" w:hAnsi="Arial" w:cs="Arial"/>
        </w:rPr>
      </w:pPr>
    </w:p>
    <w:p w14:paraId="0FB91FE2" w14:textId="45881142" w:rsidR="0033290C" w:rsidRDefault="0033290C" w:rsidP="009A77DA">
      <w:pPr>
        <w:spacing w:line="360" w:lineRule="auto"/>
        <w:rPr>
          <w:rFonts w:ascii="Arial" w:hAnsi="Arial" w:cs="Arial"/>
        </w:rPr>
      </w:pPr>
    </w:p>
    <w:p w14:paraId="0361CF03" w14:textId="30A39EFA" w:rsidR="0033290C" w:rsidRDefault="0033290C" w:rsidP="009A77DA">
      <w:pPr>
        <w:spacing w:line="360" w:lineRule="auto"/>
        <w:rPr>
          <w:rFonts w:ascii="Arial" w:hAnsi="Arial" w:cs="Arial"/>
          <w:b/>
          <w:bCs/>
          <w:sz w:val="28"/>
          <w:szCs w:val="28"/>
        </w:rPr>
      </w:pPr>
      <w:r w:rsidRPr="0033290C">
        <w:rPr>
          <w:rFonts w:ascii="Arial" w:hAnsi="Arial" w:cs="Arial"/>
          <w:b/>
          <w:bCs/>
          <w:sz w:val="28"/>
          <w:szCs w:val="28"/>
        </w:rPr>
        <w:lastRenderedPageBreak/>
        <w:t xml:space="preserve">Appendix 1 </w:t>
      </w:r>
    </w:p>
    <w:p w14:paraId="6C816318" w14:textId="77777777" w:rsidR="00D526DF" w:rsidRDefault="00D526DF" w:rsidP="00D526DF">
      <w:pPr>
        <w:jc w:val="center"/>
      </w:pPr>
      <w:r w:rsidRPr="007C30DB">
        <w:rPr>
          <w:b/>
          <w:sz w:val="28"/>
          <w:szCs w:val="28"/>
        </w:rPr>
        <w:t>Exercise Referral Form</w:t>
      </w:r>
    </w:p>
    <w:p w14:paraId="3AC37579" w14:textId="77777777" w:rsidR="00D526DF" w:rsidRDefault="00D526DF" w:rsidP="00D526DF">
      <w:pPr>
        <w:jc w:val="center"/>
      </w:pPr>
    </w:p>
    <w:p w14:paraId="777E7034" w14:textId="77777777" w:rsidR="00D526DF" w:rsidRPr="00BF5BC5" w:rsidRDefault="00D526DF" w:rsidP="00D526DF">
      <w:pPr>
        <w:jc w:val="center"/>
        <w:rPr>
          <w:u w:val="single"/>
        </w:rPr>
      </w:pPr>
      <w:r w:rsidRPr="00BF5BC5">
        <w:rPr>
          <w:u w:val="single"/>
        </w:rPr>
        <w:t xml:space="preserve">Case study reference- </w:t>
      </w:r>
      <w:r>
        <w:rPr>
          <w:u w:val="single"/>
        </w:rPr>
        <w:t>Asthma</w:t>
      </w:r>
    </w:p>
    <w:p w14:paraId="48A38582" w14:textId="77777777" w:rsidR="00D526DF" w:rsidRDefault="00D526DF" w:rsidP="00D526DF">
      <w:pPr>
        <w:jc w:val="center"/>
      </w:pPr>
    </w:p>
    <w:p w14:paraId="4445A790" w14:textId="77777777" w:rsidR="00D526DF" w:rsidRDefault="00D526DF" w:rsidP="00D526DF">
      <w:r>
        <w:t>Referring Centre: University of Wales Trinity Saint David</w:t>
      </w:r>
    </w:p>
    <w:p w14:paraId="3F3A2943" w14:textId="77777777" w:rsidR="00D526DF" w:rsidRDefault="00D526DF" w:rsidP="00D526DF">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2"/>
        <w:gridCol w:w="2121"/>
        <w:gridCol w:w="2143"/>
        <w:gridCol w:w="2146"/>
      </w:tblGrid>
      <w:tr w:rsidR="00D526DF" w14:paraId="5E0229FF" w14:textId="77777777" w:rsidTr="00A22F23">
        <w:tc>
          <w:tcPr>
            <w:tcW w:w="2112" w:type="dxa"/>
            <w:shd w:val="clear" w:color="auto" w:fill="auto"/>
          </w:tcPr>
          <w:p w14:paraId="354DC309" w14:textId="77777777" w:rsidR="00D526DF" w:rsidRPr="007734AE" w:rsidRDefault="00D526DF" w:rsidP="00A22F23">
            <w:pPr>
              <w:rPr>
                <w:b/>
              </w:rPr>
            </w:pPr>
            <w:r w:rsidRPr="007734AE">
              <w:rPr>
                <w:b/>
              </w:rPr>
              <w:t>Name</w:t>
            </w:r>
          </w:p>
        </w:tc>
        <w:tc>
          <w:tcPr>
            <w:tcW w:w="2121" w:type="dxa"/>
            <w:shd w:val="clear" w:color="auto" w:fill="auto"/>
          </w:tcPr>
          <w:p w14:paraId="034005FE" w14:textId="77777777" w:rsidR="00D526DF" w:rsidRDefault="00D526DF" w:rsidP="00A22F23">
            <w:r>
              <w:t>Mrs Monk</w:t>
            </w:r>
          </w:p>
        </w:tc>
        <w:tc>
          <w:tcPr>
            <w:tcW w:w="2143" w:type="dxa"/>
            <w:shd w:val="clear" w:color="auto" w:fill="auto"/>
          </w:tcPr>
          <w:p w14:paraId="4A328CF5" w14:textId="77777777" w:rsidR="00D526DF" w:rsidRPr="007734AE" w:rsidRDefault="00D526DF" w:rsidP="00A22F23">
            <w:pPr>
              <w:rPr>
                <w:b/>
              </w:rPr>
            </w:pPr>
            <w:r w:rsidRPr="007734AE">
              <w:rPr>
                <w:b/>
              </w:rPr>
              <w:t>Gender</w:t>
            </w:r>
          </w:p>
        </w:tc>
        <w:tc>
          <w:tcPr>
            <w:tcW w:w="2146" w:type="dxa"/>
            <w:shd w:val="clear" w:color="auto" w:fill="auto"/>
          </w:tcPr>
          <w:p w14:paraId="105668E1" w14:textId="77777777" w:rsidR="00D526DF" w:rsidRDefault="00D526DF" w:rsidP="00A22F23">
            <w:r>
              <w:t>Female</w:t>
            </w:r>
          </w:p>
        </w:tc>
      </w:tr>
      <w:tr w:rsidR="00D526DF" w14:paraId="00419D6F" w14:textId="77777777" w:rsidTr="00A22F23">
        <w:tc>
          <w:tcPr>
            <w:tcW w:w="2112" w:type="dxa"/>
            <w:shd w:val="clear" w:color="auto" w:fill="auto"/>
          </w:tcPr>
          <w:p w14:paraId="14120690" w14:textId="77777777" w:rsidR="00D526DF" w:rsidRPr="007734AE" w:rsidRDefault="00D526DF" w:rsidP="00A22F23">
            <w:pPr>
              <w:rPr>
                <w:b/>
              </w:rPr>
            </w:pPr>
            <w:r w:rsidRPr="007734AE">
              <w:rPr>
                <w:b/>
              </w:rPr>
              <w:t>Age</w:t>
            </w:r>
          </w:p>
        </w:tc>
        <w:tc>
          <w:tcPr>
            <w:tcW w:w="2121" w:type="dxa"/>
            <w:shd w:val="clear" w:color="auto" w:fill="auto"/>
          </w:tcPr>
          <w:p w14:paraId="12927D82" w14:textId="77777777" w:rsidR="00D526DF" w:rsidRDefault="00D526DF" w:rsidP="00A22F23">
            <w:r>
              <w:t>35</w:t>
            </w:r>
          </w:p>
        </w:tc>
        <w:tc>
          <w:tcPr>
            <w:tcW w:w="2143" w:type="dxa"/>
            <w:shd w:val="clear" w:color="auto" w:fill="auto"/>
          </w:tcPr>
          <w:p w14:paraId="18E5AABD" w14:textId="77777777" w:rsidR="00D526DF" w:rsidRPr="007734AE" w:rsidRDefault="00D526DF" w:rsidP="00A22F23">
            <w:pPr>
              <w:rPr>
                <w:b/>
              </w:rPr>
            </w:pPr>
            <w:r w:rsidRPr="007734AE">
              <w:rPr>
                <w:b/>
              </w:rPr>
              <w:t>Contact</w:t>
            </w:r>
          </w:p>
        </w:tc>
        <w:tc>
          <w:tcPr>
            <w:tcW w:w="2146" w:type="dxa"/>
            <w:shd w:val="clear" w:color="auto" w:fill="auto"/>
          </w:tcPr>
          <w:p w14:paraId="3DD3C537" w14:textId="77777777" w:rsidR="00D526DF" w:rsidRDefault="00D526DF" w:rsidP="00A22F23">
            <w:r>
              <w:t>01234 5678910</w:t>
            </w:r>
          </w:p>
        </w:tc>
      </w:tr>
      <w:tr w:rsidR="00D526DF" w14:paraId="0939928B" w14:textId="77777777" w:rsidTr="00A22F23">
        <w:tc>
          <w:tcPr>
            <w:tcW w:w="2112" w:type="dxa"/>
            <w:shd w:val="clear" w:color="auto" w:fill="auto"/>
          </w:tcPr>
          <w:p w14:paraId="7041659E" w14:textId="77777777" w:rsidR="00D526DF" w:rsidRPr="007734AE" w:rsidRDefault="00D526DF" w:rsidP="00A22F23">
            <w:pPr>
              <w:rPr>
                <w:b/>
              </w:rPr>
            </w:pPr>
            <w:r w:rsidRPr="007734AE">
              <w:rPr>
                <w:b/>
              </w:rPr>
              <w:t>Next of Kin</w:t>
            </w:r>
          </w:p>
        </w:tc>
        <w:tc>
          <w:tcPr>
            <w:tcW w:w="2121" w:type="dxa"/>
            <w:shd w:val="clear" w:color="auto" w:fill="auto"/>
          </w:tcPr>
          <w:p w14:paraId="17E44461" w14:textId="77777777" w:rsidR="00D526DF" w:rsidRDefault="00D526DF" w:rsidP="00A22F23">
            <w:r>
              <w:t>Mr Monk</w:t>
            </w:r>
          </w:p>
        </w:tc>
        <w:tc>
          <w:tcPr>
            <w:tcW w:w="2143" w:type="dxa"/>
            <w:shd w:val="clear" w:color="auto" w:fill="auto"/>
          </w:tcPr>
          <w:p w14:paraId="2B200758" w14:textId="77777777" w:rsidR="00D526DF" w:rsidRPr="007734AE" w:rsidRDefault="00D526DF" w:rsidP="00A22F23">
            <w:pPr>
              <w:rPr>
                <w:b/>
              </w:rPr>
            </w:pPr>
            <w:r w:rsidRPr="007734AE">
              <w:rPr>
                <w:b/>
              </w:rPr>
              <w:t>Contact</w:t>
            </w:r>
          </w:p>
        </w:tc>
        <w:tc>
          <w:tcPr>
            <w:tcW w:w="2146" w:type="dxa"/>
            <w:shd w:val="clear" w:color="auto" w:fill="auto"/>
          </w:tcPr>
          <w:p w14:paraId="06C6871A" w14:textId="77777777" w:rsidR="00D526DF" w:rsidRDefault="00D526DF" w:rsidP="00A22F23">
            <w:r>
              <w:t>01234 5678910</w:t>
            </w:r>
          </w:p>
        </w:tc>
      </w:tr>
      <w:tr w:rsidR="00D526DF" w14:paraId="778EA061" w14:textId="77777777" w:rsidTr="00A22F23">
        <w:tc>
          <w:tcPr>
            <w:tcW w:w="2112" w:type="dxa"/>
            <w:shd w:val="clear" w:color="auto" w:fill="auto"/>
          </w:tcPr>
          <w:p w14:paraId="00B7846A" w14:textId="77777777" w:rsidR="00D526DF" w:rsidRPr="007734AE" w:rsidRDefault="00D526DF" w:rsidP="00A22F23">
            <w:pPr>
              <w:rPr>
                <w:b/>
              </w:rPr>
            </w:pPr>
            <w:r w:rsidRPr="007734AE">
              <w:rPr>
                <w:b/>
              </w:rPr>
              <w:t>GP</w:t>
            </w:r>
          </w:p>
        </w:tc>
        <w:tc>
          <w:tcPr>
            <w:tcW w:w="2121" w:type="dxa"/>
            <w:shd w:val="clear" w:color="auto" w:fill="auto"/>
          </w:tcPr>
          <w:p w14:paraId="1B5F868A" w14:textId="77777777" w:rsidR="00D526DF" w:rsidRDefault="00D526DF" w:rsidP="00A22F23">
            <w:r>
              <w:t>Med practice</w:t>
            </w:r>
          </w:p>
        </w:tc>
        <w:tc>
          <w:tcPr>
            <w:tcW w:w="2143" w:type="dxa"/>
            <w:shd w:val="clear" w:color="auto" w:fill="auto"/>
          </w:tcPr>
          <w:p w14:paraId="3AB9202B" w14:textId="77777777" w:rsidR="00D526DF" w:rsidRPr="007734AE" w:rsidRDefault="00D526DF" w:rsidP="00A22F23">
            <w:pPr>
              <w:rPr>
                <w:b/>
              </w:rPr>
            </w:pPr>
            <w:r w:rsidRPr="007734AE">
              <w:rPr>
                <w:b/>
              </w:rPr>
              <w:t>Contact</w:t>
            </w:r>
          </w:p>
        </w:tc>
        <w:tc>
          <w:tcPr>
            <w:tcW w:w="2146" w:type="dxa"/>
            <w:shd w:val="clear" w:color="auto" w:fill="auto"/>
          </w:tcPr>
          <w:p w14:paraId="6B13F443" w14:textId="77777777" w:rsidR="00D526DF" w:rsidRDefault="00D526DF" w:rsidP="00A22F23">
            <w:r>
              <w:t>01987 6543210</w:t>
            </w:r>
          </w:p>
        </w:tc>
      </w:tr>
    </w:tbl>
    <w:p w14:paraId="35AB94C3" w14:textId="77777777" w:rsidR="00D526DF" w:rsidRDefault="00D526DF" w:rsidP="00D526DF">
      <w:pPr>
        <w:jc w:val="center"/>
      </w:pPr>
    </w:p>
    <w:p w14:paraId="1276C97F" w14:textId="77777777" w:rsidR="00D526DF" w:rsidRDefault="00D526DF" w:rsidP="00D526DF">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D526DF" w14:paraId="530AC4BC" w14:textId="77777777" w:rsidTr="00A22F23">
        <w:tc>
          <w:tcPr>
            <w:tcW w:w="8522" w:type="dxa"/>
            <w:tcBorders>
              <w:top w:val="nil"/>
              <w:left w:val="nil"/>
              <w:bottom w:val="single" w:sz="4" w:space="0" w:color="auto"/>
              <w:right w:val="nil"/>
            </w:tcBorders>
            <w:shd w:val="clear" w:color="auto" w:fill="auto"/>
          </w:tcPr>
          <w:p w14:paraId="721CB9A4" w14:textId="77777777" w:rsidR="00D526DF" w:rsidRPr="007734AE" w:rsidRDefault="00D526DF" w:rsidP="00A22F23">
            <w:pPr>
              <w:rPr>
                <w:b/>
              </w:rPr>
            </w:pPr>
            <w:r w:rsidRPr="007734AE">
              <w:rPr>
                <w:b/>
              </w:rPr>
              <w:t xml:space="preserve">Reason for Referral </w:t>
            </w:r>
          </w:p>
        </w:tc>
      </w:tr>
      <w:tr w:rsidR="00D526DF" w14:paraId="71E863AD" w14:textId="77777777" w:rsidTr="00A22F23">
        <w:tc>
          <w:tcPr>
            <w:tcW w:w="8522" w:type="dxa"/>
            <w:shd w:val="clear" w:color="auto" w:fill="auto"/>
          </w:tcPr>
          <w:p w14:paraId="5F2A3963" w14:textId="77777777" w:rsidR="00D526DF" w:rsidRDefault="00D526DF" w:rsidP="00A22F23">
            <w:r>
              <w:t>Asthma</w:t>
            </w:r>
          </w:p>
        </w:tc>
      </w:tr>
    </w:tbl>
    <w:p w14:paraId="7B44E672" w14:textId="77777777" w:rsidR="00D526DF" w:rsidRDefault="00D526DF" w:rsidP="00D526D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D526DF" w14:paraId="2ACC5088" w14:textId="77777777" w:rsidTr="00A22F23">
        <w:tc>
          <w:tcPr>
            <w:tcW w:w="8522" w:type="dxa"/>
            <w:tcBorders>
              <w:top w:val="nil"/>
              <w:left w:val="nil"/>
              <w:bottom w:val="single" w:sz="4" w:space="0" w:color="auto"/>
              <w:right w:val="nil"/>
            </w:tcBorders>
            <w:shd w:val="clear" w:color="auto" w:fill="auto"/>
          </w:tcPr>
          <w:p w14:paraId="1D499455" w14:textId="77777777" w:rsidR="00D526DF" w:rsidRDefault="00D526DF" w:rsidP="00A22F23">
            <w:r w:rsidRPr="007734AE">
              <w:rPr>
                <w:b/>
              </w:rPr>
              <w:t>Other Relevant Medical Concerns</w:t>
            </w:r>
          </w:p>
        </w:tc>
      </w:tr>
      <w:tr w:rsidR="00D526DF" w14:paraId="01215E37" w14:textId="77777777" w:rsidTr="00A22F23">
        <w:tc>
          <w:tcPr>
            <w:tcW w:w="8522" w:type="dxa"/>
            <w:shd w:val="clear" w:color="auto" w:fill="auto"/>
          </w:tcPr>
          <w:p w14:paraId="7B3A281A" w14:textId="77777777" w:rsidR="00D526DF" w:rsidRDefault="00D526DF" w:rsidP="00A22F23">
            <w:proofErr w:type="spellStart"/>
            <w:r>
              <w:t>Rhinsinusitis</w:t>
            </w:r>
            <w:proofErr w:type="spellEnd"/>
          </w:p>
        </w:tc>
      </w:tr>
    </w:tbl>
    <w:p w14:paraId="782825B1" w14:textId="77777777" w:rsidR="00D526DF" w:rsidRDefault="00D526DF" w:rsidP="00D526DF">
      <w:pPr>
        <w:jc w:val="center"/>
      </w:pPr>
    </w:p>
    <w:p w14:paraId="373ADC9B" w14:textId="77777777" w:rsidR="00D526DF" w:rsidRDefault="00D526DF" w:rsidP="00D526DF">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D526DF" w14:paraId="47164B7F" w14:textId="77777777" w:rsidTr="00A22F23">
        <w:tc>
          <w:tcPr>
            <w:tcW w:w="8522" w:type="dxa"/>
            <w:tcBorders>
              <w:top w:val="nil"/>
              <w:left w:val="nil"/>
              <w:bottom w:val="single" w:sz="4" w:space="0" w:color="auto"/>
              <w:right w:val="nil"/>
            </w:tcBorders>
            <w:shd w:val="clear" w:color="auto" w:fill="auto"/>
          </w:tcPr>
          <w:p w14:paraId="682DFB80" w14:textId="77777777" w:rsidR="00D526DF" w:rsidRPr="007734AE" w:rsidRDefault="00D526DF" w:rsidP="00A22F23">
            <w:pPr>
              <w:rPr>
                <w:b/>
              </w:rPr>
            </w:pPr>
            <w:r w:rsidRPr="007734AE">
              <w:rPr>
                <w:b/>
              </w:rPr>
              <w:t>Medication for the Referral condition/s</w:t>
            </w:r>
          </w:p>
        </w:tc>
      </w:tr>
      <w:tr w:rsidR="00D526DF" w14:paraId="6A077FC5" w14:textId="77777777" w:rsidTr="00A22F23">
        <w:tc>
          <w:tcPr>
            <w:tcW w:w="8522" w:type="dxa"/>
            <w:tcBorders>
              <w:top w:val="single" w:sz="4" w:space="0" w:color="auto"/>
            </w:tcBorders>
            <w:shd w:val="clear" w:color="auto" w:fill="auto"/>
          </w:tcPr>
          <w:p w14:paraId="3D5B137D" w14:textId="77777777" w:rsidR="00D526DF" w:rsidRPr="007734AE" w:rsidRDefault="00D526DF" w:rsidP="00A22F23">
            <w:pPr>
              <w:rPr>
                <w:rStyle w:val="apple-style-span"/>
                <w:rFonts w:ascii="Arial" w:hAnsi="Arial" w:cs="Arial"/>
                <w:color w:val="000000"/>
                <w:sz w:val="22"/>
                <w:szCs w:val="22"/>
                <w:shd w:val="clear" w:color="auto" w:fill="FFFFFF"/>
              </w:rPr>
            </w:pPr>
            <w:r w:rsidRPr="007734AE">
              <w:rPr>
                <w:rStyle w:val="apple-style-span"/>
                <w:rFonts w:ascii="Arial" w:hAnsi="Arial" w:cs="Arial"/>
                <w:color w:val="000000"/>
                <w:sz w:val="22"/>
                <w:szCs w:val="22"/>
                <w:shd w:val="clear" w:color="auto" w:fill="FFFFFF"/>
              </w:rPr>
              <w:t>Salmeterol</w:t>
            </w:r>
          </w:p>
        </w:tc>
      </w:tr>
      <w:tr w:rsidR="00D526DF" w14:paraId="4F1DCBFC" w14:textId="77777777" w:rsidTr="00A22F23">
        <w:tc>
          <w:tcPr>
            <w:tcW w:w="8522" w:type="dxa"/>
            <w:tcBorders>
              <w:top w:val="single" w:sz="4" w:space="0" w:color="auto"/>
            </w:tcBorders>
            <w:shd w:val="clear" w:color="auto" w:fill="auto"/>
          </w:tcPr>
          <w:p w14:paraId="3CBD8ED8" w14:textId="77777777" w:rsidR="00D526DF" w:rsidRPr="00BF0662" w:rsidRDefault="00D526DF" w:rsidP="00A22F23">
            <w:r w:rsidRPr="007734AE">
              <w:rPr>
                <w:rStyle w:val="apple-style-span"/>
                <w:rFonts w:ascii="Arial" w:hAnsi="Arial" w:cs="Arial"/>
                <w:color w:val="000000"/>
                <w:sz w:val="22"/>
                <w:szCs w:val="22"/>
                <w:shd w:val="clear" w:color="auto" w:fill="FFFFFF"/>
              </w:rPr>
              <w:t>Montelukast</w:t>
            </w:r>
          </w:p>
        </w:tc>
      </w:tr>
    </w:tbl>
    <w:p w14:paraId="45276261" w14:textId="77777777" w:rsidR="00D526DF" w:rsidRDefault="00D526DF" w:rsidP="00D526DF">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D526DF" w14:paraId="03CF44DD" w14:textId="77777777" w:rsidTr="00A22F23">
        <w:tc>
          <w:tcPr>
            <w:tcW w:w="8522" w:type="dxa"/>
            <w:tcBorders>
              <w:top w:val="nil"/>
              <w:left w:val="nil"/>
              <w:bottom w:val="single" w:sz="4" w:space="0" w:color="auto"/>
              <w:right w:val="nil"/>
            </w:tcBorders>
            <w:shd w:val="clear" w:color="auto" w:fill="auto"/>
          </w:tcPr>
          <w:p w14:paraId="12F6094B" w14:textId="77777777" w:rsidR="00D526DF" w:rsidRPr="007734AE" w:rsidRDefault="00D526DF" w:rsidP="00A22F23">
            <w:pPr>
              <w:rPr>
                <w:b/>
              </w:rPr>
            </w:pPr>
            <w:r w:rsidRPr="007734AE">
              <w:rPr>
                <w:b/>
              </w:rPr>
              <w:t>Any other Medication used on a regular basis</w:t>
            </w:r>
          </w:p>
        </w:tc>
      </w:tr>
      <w:tr w:rsidR="00D526DF" w14:paraId="03C5DE0C" w14:textId="77777777" w:rsidTr="00A22F23">
        <w:tc>
          <w:tcPr>
            <w:tcW w:w="8522" w:type="dxa"/>
            <w:tcBorders>
              <w:top w:val="single" w:sz="4" w:space="0" w:color="auto"/>
            </w:tcBorders>
            <w:shd w:val="clear" w:color="auto" w:fill="auto"/>
          </w:tcPr>
          <w:p w14:paraId="419171C1" w14:textId="77777777" w:rsidR="00D526DF" w:rsidRDefault="00D526DF" w:rsidP="00A22F23">
            <w:r>
              <w:t>none</w:t>
            </w:r>
          </w:p>
        </w:tc>
      </w:tr>
    </w:tbl>
    <w:p w14:paraId="58E4192C" w14:textId="77777777" w:rsidR="00D526DF" w:rsidRDefault="00D526DF" w:rsidP="00D526D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9"/>
        <w:gridCol w:w="710"/>
        <w:gridCol w:w="1421"/>
        <w:gridCol w:w="1421"/>
        <w:gridCol w:w="2841"/>
      </w:tblGrid>
      <w:tr w:rsidR="00D526DF" w14:paraId="2D135860" w14:textId="77777777" w:rsidTr="00A22F23">
        <w:tc>
          <w:tcPr>
            <w:tcW w:w="8522" w:type="dxa"/>
            <w:gridSpan w:val="5"/>
            <w:tcBorders>
              <w:top w:val="nil"/>
              <w:left w:val="nil"/>
              <w:bottom w:val="single" w:sz="4" w:space="0" w:color="auto"/>
              <w:right w:val="nil"/>
            </w:tcBorders>
            <w:shd w:val="clear" w:color="auto" w:fill="auto"/>
          </w:tcPr>
          <w:p w14:paraId="41A68A45" w14:textId="77777777" w:rsidR="00D526DF" w:rsidRPr="007734AE" w:rsidRDefault="00D526DF" w:rsidP="00A22F23">
            <w:pPr>
              <w:rPr>
                <w:b/>
              </w:rPr>
            </w:pPr>
            <w:r w:rsidRPr="007734AE">
              <w:rPr>
                <w:b/>
              </w:rPr>
              <w:t>Physiological Information:</w:t>
            </w:r>
          </w:p>
        </w:tc>
      </w:tr>
      <w:tr w:rsidR="00D526DF" w14:paraId="53621F0C" w14:textId="77777777" w:rsidTr="00A22F23">
        <w:tc>
          <w:tcPr>
            <w:tcW w:w="8522" w:type="dxa"/>
            <w:gridSpan w:val="5"/>
            <w:tcBorders>
              <w:top w:val="single" w:sz="4" w:space="0" w:color="auto"/>
            </w:tcBorders>
            <w:shd w:val="clear" w:color="auto" w:fill="auto"/>
          </w:tcPr>
          <w:p w14:paraId="5A323683" w14:textId="77777777" w:rsidR="00D526DF" w:rsidRDefault="00D526DF" w:rsidP="00A22F23">
            <w:r>
              <w:t>BP(seated): 128/74mmHg</w:t>
            </w:r>
          </w:p>
        </w:tc>
      </w:tr>
      <w:tr w:rsidR="00D526DF" w14:paraId="2853C00B" w14:textId="77777777" w:rsidTr="00A22F23">
        <w:tc>
          <w:tcPr>
            <w:tcW w:w="8522" w:type="dxa"/>
            <w:gridSpan w:val="5"/>
            <w:shd w:val="clear" w:color="auto" w:fill="auto"/>
          </w:tcPr>
          <w:p w14:paraId="764DF8EE" w14:textId="77777777" w:rsidR="00D526DF" w:rsidRDefault="00D526DF" w:rsidP="00A22F23">
            <w:r>
              <w:t>RHR: 74bpm</w:t>
            </w:r>
          </w:p>
        </w:tc>
      </w:tr>
      <w:tr w:rsidR="00D526DF" w14:paraId="51856C2D" w14:textId="77777777" w:rsidTr="00A22F23">
        <w:tc>
          <w:tcPr>
            <w:tcW w:w="8522" w:type="dxa"/>
            <w:gridSpan w:val="5"/>
            <w:shd w:val="clear" w:color="auto" w:fill="auto"/>
          </w:tcPr>
          <w:p w14:paraId="2FFB29F5" w14:textId="77777777" w:rsidR="00D526DF" w:rsidRDefault="00D526DF" w:rsidP="00A22F23">
            <w:r>
              <w:t>Predicted VO</w:t>
            </w:r>
            <w:r w:rsidRPr="007734AE">
              <w:rPr>
                <w:vertAlign w:val="subscript"/>
              </w:rPr>
              <w:t>2</w:t>
            </w:r>
            <w:r>
              <w:t>max: 27 ml/kg/min</w:t>
            </w:r>
          </w:p>
        </w:tc>
      </w:tr>
      <w:tr w:rsidR="00D526DF" w14:paraId="4DBFD6EA" w14:textId="77777777" w:rsidTr="00A22F23">
        <w:tc>
          <w:tcPr>
            <w:tcW w:w="2839" w:type="dxa"/>
            <w:gridSpan w:val="2"/>
            <w:shd w:val="clear" w:color="auto" w:fill="auto"/>
          </w:tcPr>
          <w:p w14:paraId="0693E1D4" w14:textId="77777777" w:rsidR="00D526DF" w:rsidRDefault="00D526DF" w:rsidP="00A22F23">
            <w:r>
              <w:t xml:space="preserve">Pre medication Respiratory values </w:t>
            </w:r>
          </w:p>
        </w:tc>
        <w:tc>
          <w:tcPr>
            <w:tcW w:w="1421" w:type="dxa"/>
            <w:shd w:val="clear" w:color="auto" w:fill="auto"/>
          </w:tcPr>
          <w:p w14:paraId="724B2F92" w14:textId="77777777" w:rsidR="00D526DF" w:rsidRDefault="00D526DF" w:rsidP="00A22F23">
            <w:r>
              <w:t>FVC: 3.87lts</w:t>
            </w:r>
          </w:p>
        </w:tc>
        <w:tc>
          <w:tcPr>
            <w:tcW w:w="1421" w:type="dxa"/>
            <w:shd w:val="clear" w:color="auto" w:fill="auto"/>
          </w:tcPr>
          <w:p w14:paraId="496CDEA9" w14:textId="77777777" w:rsidR="00D526DF" w:rsidRDefault="00D526DF" w:rsidP="00A22F23">
            <w:r>
              <w:t>FEV(1): 2.69lts</w:t>
            </w:r>
          </w:p>
        </w:tc>
        <w:tc>
          <w:tcPr>
            <w:tcW w:w="2841" w:type="dxa"/>
            <w:shd w:val="clear" w:color="auto" w:fill="auto"/>
          </w:tcPr>
          <w:p w14:paraId="70A6E583" w14:textId="77777777" w:rsidR="00D526DF" w:rsidRDefault="00D526DF" w:rsidP="00A22F23">
            <w:r>
              <w:t>PF: 380lt/s</w:t>
            </w:r>
          </w:p>
        </w:tc>
      </w:tr>
      <w:tr w:rsidR="00D526DF" w:rsidRPr="00B1157A" w14:paraId="01C5F935" w14:textId="77777777" w:rsidTr="00A22F23">
        <w:tc>
          <w:tcPr>
            <w:tcW w:w="2129" w:type="dxa"/>
            <w:shd w:val="clear" w:color="auto" w:fill="auto"/>
          </w:tcPr>
          <w:p w14:paraId="53A4A074" w14:textId="77777777" w:rsidR="00D526DF" w:rsidRPr="00B1157A" w:rsidRDefault="00D526DF" w:rsidP="00A22F23">
            <w:pPr>
              <w:rPr>
                <w:vertAlign w:val="superscript"/>
              </w:rPr>
            </w:pPr>
            <w:r>
              <w:t>Ht:1.66m</w:t>
            </w:r>
          </w:p>
        </w:tc>
        <w:tc>
          <w:tcPr>
            <w:tcW w:w="2131" w:type="dxa"/>
            <w:gridSpan w:val="2"/>
            <w:shd w:val="clear" w:color="auto" w:fill="auto"/>
          </w:tcPr>
          <w:p w14:paraId="6DAC6CFC" w14:textId="77777777" w:rsidR="00D526DF" w:rsidRPr="00806955" w:rsidRDefault="00D526DF" w:rsidP="00A22F23">
            <w:proofErr w:type="spellStart"/>
            <w:r w:rsidRPr="00806955">
              <w:t>Wt</w:t>
            </w:r>
            <w:proofErr w:type="spellEnd"/>
            <w:r>
              <w:t>: 86 kg</w:t>
            </w:r>
          </w:p>
        </w:tc>
        <w:tc>
          <w:tcPr>
            <w:tcW w:w="4262" w:type="dxa"/>
            <w:gridSpan w:val="2"/>
            <w:shd w:val="clear" w:color="auto" w:fill="auto"/>
          </w:tcPr>
          <w:p w14:paraId="0ADE0081" w14:textId="77777777" w:rsidR="00D526DF" w:rsidRPr="00B1157A" w:rsidRDefault="00D526DF" w:rsidP="00A22F23">
            <w:pPr>
              <w:rPr>
                <w:vertAlign w:val="superscript"/>
              </w:rPr>
            </w:pPr>
          </w:p>
        </w:tc>
      </w:tr>
    </w:tbl>
    <w:p w14:paraId="22F61D67" w14:textId="77777777" w:rsidR="00D526DF" w:rsidRDefault="00D526DF" w:rsidP="00D526D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D526DF" w14:paraId="6F0D2B57" w14:textId="77777777" w:rsidTr="00A22F23">
        <w:tc>
          <w:tcPr>
            <w:tcW w:w="8522" w:type="dxa"/>
            <w:tcBorders>
              <w:top w:val="nil"/>
              <w:left w:val="nil"/>
              <w:bottom w:val="single" w:sz="4" w:space="0" w:color="auto"/>
              <w:right w:val="nil"/>
            </w:tcBorders>
            <w:shd w:val="clear" w:color="auto" w:fill="auto"/>
          </w:tcPr>
          <w:p w14:paraId="56D2C645" w14:textId="77777777" w:rsidR="00D526DF" w:rsidRPr="007734AE" w:rsidRDefault="00D526DF" w:rsidP="00A22F23">
            <w:pPr>
              <w:rPr>
                <w:b/>
              </w:rPr>
            </w:pPr>
            <w:r w:rsidRPr="007734AE">
              <w:rPr>
                <w:b/>
              </w:rPr>
              <w:t>Additional Lifestyle information:</w:t>
            </w:r>
          </w:p>
        </w:tc>
      </w:tr>
      <w:tr w:rsidR="00D526DF" w14:paraId="4FB3C2E1" w14:textId="77777777" w:rsidTr="00A22F23">
        <w:tc>
          <w:tcPr>
            <w:tcW w:w="8522" w:type="dxa"/>
            <w:shd w:val="clear" w:color="auto" w:fill="auto"/>
          </w:tcPr>
          <w:p w14:paraId="6744A67C" w14:textId="77777777" w:rsidR="00D526DF" w:rsidRDefault="00D526DF" w:rsidP="00A22F23">
            <w:r>
              <w:t>Ex-Smoker</w:t>
            </w:r>
          </w:p>
        </w:tc>
      </w:tr>
      <w:tr w:rsidR="00D526DF" w14:paraId="6EC5895B" w14:textId="77777777" w:rsidTr="00A22F23">
        <w:trPr>
          <w:trHeight w:val="199"/>
        </w:trPr>
        <w:tc>
          <w:tcPr>
            <w:tcW w:w="8522" w:type="dxa"/>
            <w:shd w:val="clear" w:color="auto" w:fill="auto"/>
          </w:tcPr>
          <w:p w14:paraId="3E4817CB" w14:textId="77777777" w:rsidR="00D526DF" w:rsidRDefault="00D526DF" w:rsidP="00A22F23">
            <w:r>
              <w:t xml:space="preserve">Often wakes during the night. </w:t>
            </w:r>
          </w:p>
        </w:tc>
      </w:tr>
      <w:tr w:rsidR="00D526DF" w14:paraId="6B34268A" w14:textId="77777777" w:rsidTr="00A22F23">
        <w:trPr>
          <w:trHeight w:val="199"/>
        </w:trPr>
        <w:tc>
          <w:tcPr>
            <w:tcW w:w="8522" w:type="dxa"/>
            <w:shd w:val="clear" w:color="auto" w:fill="auto"/>
          </w:tcPr>
          <w:p w14:paraId="2B335442" w14:textId="77777777" w:rsidR="00D526DF" w:rsidRDefault="00D526DF" w:rsidP="00A22F23">
            <w:r>
              <w:t xml:space="preserve">Low carbohydrate diet with the aim to lose weight </w:t>
            </w:r>
          </w:p>
        </w:tc>
      </w:tr>
      <w:tr w:rsidR="00D526DF" w14:paraId="7A43F6EB" w14:textId="77777777" w:rsidTr="00A22F23">
        <w:tc>
          <w:tcPr>
            <w:tcW w:w="8522" w:type="dxa"/>
            <w:shd w:val="clear" w:color="auto" w:fill="auto"/>
          </w:tcPr>
          <w:p w14:paraId="4AB76FAC" w14:textId="77777777" w:rsidR="00D526DF" w:rsidRDefault="00D526DF" w:rsidP="00A22F23">
            <w:r>
              <w:t>Consumes occasional 14 units of alcohol per week</w:t>
            </w:r>
          </w:p>
        </w:tc>
      </w:tr>
    </w:tbl>
    <w:p w14:paraId="1C64829E" w14:textId="77777777" w:rsidR="00D526DF" w:rsidRDefault="00D526DF" w:rsidP="00D526DF">
      <w:pPr>
        <w:jc w:val="center"/>
      </w:pPr>
    </w:p>
    <w:p w14:paraId="56F3BAF1" w14:textId="77777777" w:rsidR="00D526DF" w:rsidRDefault="00D526DF" w:rsidP="00D526DF">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20"/>
      </w:tblGrid>
      <w:tr w:rsidR="00D526DF" w14:paraId="3F498FF4" w14:textId="77777777" w:rsidTr="00A22F23">
        <w:tc>
          <w:tcPr>
            <w:tcW w:w="9286" w:type="dxa"/>
            <w:tcBorders>
              <w:top w:val="nil"/>
              <w:left w:val="nil"/>
              <w:bottom w:val="single" w:sz="4" w:space="0" w:color="auto"/>
              <w:right w:val="nil"/>
            </w:tcBorders>
            <w:shd w:val="clear" w:color="auto" w:fill="auto"/>
          </w:tcPr>
          <w:p w14:paraId="5F579DB2" w14:textId="77777777" w:rsidR="00D526DF" w:rsidRPr="007734AE" w:rsidRDefault="00D526DF" w:rsidP="00A22F23">
            <w:pPr>
              <w:rPr>
                <w:b/>
              </w:rPr>
            </w:pPr>
            <w:r w:rsidRPr="007734AE">
              <w:rPr>
                <w:b/>
              </w:rPr>
              <w:t>Patient’s Statement regarding stage of change:</w:t>
            </w:r>
          </w:p>
        </w:tc>
      </w:tr>
      <w:tr w:rsidR="00D526DF" w14:paraId="71D6B255" w14:textId="77777777" w:rsidTr="00A22F23">
        <w:tc>
          <w:tcPr>
            <w:tcW w:w="9286" w:type="dxa"/>
            <w:tcBorders>
              <w:top w:val="single" w:sz="4" w:space="0" w:color="auto"/>
            </w:tcBorders>
            <w:shd w:val="clear" w:color="auto" w:fill="auto"/>
          </w:tcPr>
          <w:p w14:paraId="042458C3" w14:textId="77777777" w:rsidR="00D526DF" w:rsidRDefault="00D526DF" w:rsidP="00A22F23">
            <w:r>
              <w:t>“I train on a regular basis but want to try and get under 4 hours for a marathon”.</w:t>
            </w:r>
          </w:p>
          <w:p w14:paraId="016DF182" w14:textId="77777777" w:rsidR="00D526DF" w:rsidRDefault="00D526DF" w:rsidP="00A22F23">
            <w:r>
              <w:t>Generally get worse on the evening after exercise (2-3 hours)</w:t>
            </w:r>
          </w:p>
        </w:tc>
      </w:tr>
    </w:tbl>
    <w:p w14:paraId="54846A3A" w14:textId="77777777" w:rsidR="00D526DF" w:rsidRDefault="00D526DF" w:rsidP="00D526DF">
      <w:pPr>
        <w:jc w:val="center"/>
      </w:pPr>
    </w:p>
    <w:p w14:paraId="76EC287B" w14:textId="77777777" w:rsidR="00D526DF" w:rsidRDefault="00D526DF" w:rsidP="00D526DF">
      <w:r>
        <w:lastRenderedPageBreak/>
        <w:t xml:space="preserve">Self-Referring </w:t>
      </w:r>
    </w:p>
    <w:p w14:paraId="5CD9E8B9" w14:textId="77777777" w:rsidR="00D526DF" w:rsidRDefault="00D526DF" w:rsidP="00D526DF"/>
    <w:p w14:paraId="2EC1ECBB" w14:textId="77777777" w:rsidR="00D526DF" w:rsidRDefault="00D526DF" w:rsidP="00D526DF">
      <w:r>
        <w:t>Signature:</w:t>
      </w:r>
      <w:r w:rsidRPr="00022810">
        <w:t xml:space="preserve"> </w:t>
      </w:r>
      <w:r>
        <w:tab/>
      </w:r>
      <w:r>
        <w:tab/>
        <w:t>Mrs Monk</w:t>
      </w:r>
      <w:r>
        <w:tab/>
      </w:r>
      <w:r>
        <w:tab/>
      </w:r>
      <w:r>
        <w:tab/>
        <w:t xml:space="preserve">             Date: 10/04/2021</w:t>
      </w:r>
    </w:p>
    <w:p w14:paraId="60A38E82" w14:textId="77777777" w:rsidR="00D526DF" w:rsidRDefault="00D526DF" w:rsidP="00D526DF"/>
    <w:p w14:paraId="7D9F037D" w14:textId="77777777" w:rsidR="00D526DF" w:rsidRDefault="00D526DF" w:rsidP="00D526DF"/>
    <w:p w14:paraId="5855D2B0" w14:textId="77777777" w:rsidR="00D526DF" w:rsidRDefault="00D526DF" w:rsidP="00D526DF"/>
    <w:p w14:paraId="6F808293" w14:textId="77777777" w:rsidR="00D526DF" w:rsidRDefault="00D526DF" w:rsidP="00D526DF"/>
    <w:p w14:paraId="301E3D09" w14:textId="77777777" w:rsidR="00D526DF" w:rsidRDefault="00D526DF" w:rsidP="00D526DF"/>
    <w:p w14:paraId="1C4FDD22" w14:textId="77777777" w:rsidR="0033290C" w:rsidRPr="0033290C" w:rsidRDefault="0033290C" w:rsidP="009A77DA">
      <w:pPr>
        <w:spacing w:line="360" w:lineRule="auto"/>
        <w:rPr>
          <w:rFonts w:ascii="Arial" w:hAnsi="Arial" w:cs="Arial"/>
        </w:rPr>
      </w:pPr>
    </w:p>
    <w:sectPr w:rsidR="0033290C" w:rsidRPr="0033290C" w:rsidSect="005D7DA6">
      <w:headerReference w:type="default" r:id="rId8"/>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2EE294" w14:textId="77777777" w:rsidR="00D526DF" w:rsidRDefault="00D526DF" w:rsidP="00D526DF">
      <w:r>
        <w:separator/>
      </w:r>
    </w:p>
  </w:endnote>
  <w:endnote w:type="continuationSeparator" w:id="0">
    <w:p w14:paraId="36EB1595" w14:textId="77777777" w:rsidR="00D526DF" w:rsidRDefault="00D526DF" w:rsidP="00D526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40297633"/>
      <w:docPartObj>
        <w:docPartGallery w:val="Page Numbers (Bottom of Page)"/>
        <w:docPartUnique/>
      </w:docPartObj>
    </w:sdtPr>
    <w:sdtContent>
      <w:p w14:paraId="22B0FA05" w14:textId="5EEB625B" w:rsidR="00D526DF" w:rsidRDefault="00D526DF" w:rsidP="00C914A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EA544D" w14:textId="77777777" w:rsidR="00D526DF" w:rsidRDefault="00D526DF" w:rsidP="00D526D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27608407"/>
      <w:docPartObj>
        <w:docPartGallery w:val="Page Numbers (Bottom of Page)"/>
        <w:docPartUnique/>
      </w:docPartObj>
    </w:sdtPr>
    <w:sdtContent>
      <w:p w14:paraId="4548B4D4" w14:textId="300AFBE0" w:rsidR="00D526DF" w:rsidRDefault="00D526DF" w:rsidP="00C914A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69A374F" w14:textId="77777777" w:rsidR="00D526DF" w:rsidRDefault="00D526DF" w:rsidP="00D526D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003169" w14:textId="77777777" w:rsidR="00D526DF" w:rsidRDefault="00D526DF" w:rsidP="00D526DF">
      <w:r>
        <w:separator/>
      </w:r>
    </w:p>
  </w:footnote>
  <w:footnote w:type="continuationSeparator" w:id="0">
    <w:p w14:paraId="30620634" w14:textId="77777777" w:rsidR="00D526DF" w:rsidRDefault="00D526DF" w:rsidP="00D526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0537D4" w14:textId="2A408310" w:rsidR="0024234F" w:rsidRDefault="0024234F">
    <w:pPr>
      <w:pStyle w:val="Header"/>
    </w:pPr>
    <w:proofErr w:type="spellStart"/>
    <w:r>
      <w:t>Lewys</w:t>
    </w:r>
    <w:proofErr w:type="spellEnd"/>
    <w:r>
      <w:t xml:space="preserve"> Wilkes 1805108 </w:t>
    </w:r>
  </w:p>
  <w:p w14:paraId="1C2F2753" w14:textId="77777777" w:rsidR="0024234F" w:rsidRDefault="002423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D91833"/>
    <w:multiLevelType w:val="hybridMultilevel"/>
    <w:tmpl w:val="3A7052D8"/>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800"/>
    <w:rsid w:val="00052E60"/>
    <w:rsid w:val="00111800"/>
    <w:rsid w:val="001D6D49"/>
    <w:rsid w:val="00202FAA"/>
    <w:rsid w:val="0024234F"/>
    <w:rsid w:val="00305238"/>
    <w:rsid w:val="00310AF2"/>
    <w:rsid w:val="0033290C"/>
    <w:rsid w:val="00397AAB"/>
    <w:rsid w:val="003C047D"/>
    <w:rsid w:val="005D7DA6"/>
    <w:rsid w:val="005E1C81"/>
    <w:rsid w:val="00921DB4"/>
    <w:rsid w:val="009A77DA"/>
    <w:rsid w:val="00A06842"/>
    <w:rsid w:val="00BB7D7D"/>
    <w:rsid w:val="00D526DF"/>
    <w:rsid w:val="00DA14F9"/>
    <w:rsid w:val="00DA52B5"/>
    <w:rsid w:val="00DC6750"/>
    <w:rsid w:val="00DF3001"/>
    <w:rsid w:val="00EB7861"/>
    <w:rsid w:val="00F840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09E86A8"/>
  <w15:chartTrackingRefBased/>
  <w15:docId w15:val="{78B96509-E601-3C45-AD56-50D80687F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basedOn w:val="Normal"/>
    <w:rsid w:val="00111800"/>
    <w:pPr>
      <w:tabs>
        <w:tab w:val="left" w:pos="720"/>
        <w:tab w:val="left" w:pos="1440"/>
      </w:tabs>
    </w:pPr>
    <w:rPr>
      <w:rFonts w:ascii="CG Times (WN)" w:eastAsia="Times New Roman" w:hAnsi="CG Times (WN)" w:cs="Times New Roman"/>
      <w:szCs w:val="20"/>
    </w:rPr>
  </w:style>
  <w:style w:type="paragraph" w:styleId="ListParagraph">
    <w:name w:val="List Paragraph"/>
    <w:basedOn w:val="Normal"/>
    <w:uiPriority w:val="34"/>
    <w:qFormat/>
    <w:rsid w:val="00397AAB"/>
    <w:pPr>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397AAB"/>
    <w:rPr>
      <w:color w:val="0563C1" w:themeColor="hyperlink"/>
      <w:u w:val="single"/>
    </w:rPr>
  </w:style>
  <w:style w:type="character" w:styleId="UnresolvedMention">
    <w:name w:val="Unresolved Mention"/>
    <w:basedOn w:val="DefaultParagraphFont"/>
    <w:uiPriority w:val="99"/>
    <w:semiHidden/>
    <w:unhideWhenUsed/>
    <w:rsid w:val="00397AAB"/>
    <w:rPr>
      <w:color w:val="605E5C"/>
      <w:shd w:val="clear" w:color="auto" w:fill="E1DFDD"/>
    </w:rPr>
  </w:style>
  <w:style w:type="character" w:styleId="FollowedHyperlink">
    <w:name w:val="FollowedHyperlink"/>
    <w:basedOn w:val="DefaultParagraphFont"/>
    <w:uiPriority w:val="99"/>
    <w:semiHidden/>
    <w:unhideWhenUsed/>
    <w:rsid w:val="00397AAB"/>
    <w:rPr>
      <w:color w:val="954F72" w:themeColor="followedHyperlink"/>
      <w:u w:val="single"/>
    </w:rPr>
  </w:style>
  <w:style w:type="character" w:customStyle="1" w:styleId="apple-style-span">
    <w:name w:val="apple-style-span"/>
    <w:basedOn w:val="DefaultParagraphFont"/>
    <w:rsid w:val="00397AAB"/>
  </w:style>
  <w:style w:type="paragraph" w:styleId="Footer">
    <w:name w:val="footer"/>
    <w:basedOn w:val="Normal"/>
    <w:link w:val="FooterChar"/>
    <w:uiPriority w:val="99"/>
    <w:unhideWhenUsed/>
    <w:rsid w:val="00D526DF"/>
    <w:pPr>
      <w:tabs>
        <w:tab w:val="center" w:pos="4680"/>
        <w:tab w:val="right" w:pos="9360"/>
      </w:tabs>
    </w:pPr>
  </w:style>
  <w:style w:type="character" w:customStyle="1" w:styleId="FooterChar">
    <w:name w:val="Footer Char"/>
    <w:basedOn w:val="DefaultParagraphFont"/>
    <w:link w:val="Footer"/>
    <w:uiPriority w:val="99"/>
    <w:rsid w:val="00D526DF"/>
  </w:style>
  <w:style w:type="character" w:styleId="PageNumber">
    <w:name w:val="page number"/>
    <w:basedOn w:val="DefaultParagraphFont"/>
    <w:uiPriority w:val="99"/>
    <w:semiHidden/>
    <w:unhideWhenUsed/>
    <w:rsid w:val="00D526DF"/>
  </w:style>
  <w:style w:type="paragraph" w:styleId="Header">
    <w:name w:val="header"/>
    <w:basedOn w:val="Normal"/>
    <w:link w:val="HeaderChar"/>
    <w:uiPriority w:val="99"/>
    <w:unhideWhenUsed/>
    <w:rsid w:val="0024234F"/>
    <w:pPr>
      <w:tabs>
        <w:tab w:val="center" w:pos="4680"/>
        <w:tab w:val="right" w:pos="9360"/>
      </w:tabs>
    </w:pPr>
  </w:style>
  <w:style w:type="character" w:customStyle="1" w:styleId="HeaderChar">
    <w:name w:val="Header Char"/>
    <w:basedOn w:val="DefaultParagraphFont"/>
    <w:link w:val="Header"/>
    <w:uiPriority w:val="99"/>
    <w:rsid w:val="002423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file:///Users/wilkesfamily/Documents/(NICE,%202021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24419</Words>
  <Characters>139191</Characters>
  <Application>Microsoft Office Word</Application>
  <DocSecurity>0</DocSecurity>
  <Lines>1159</Lines>
  <Paragraphs>326</Paragraphs>
  <ScaleCrop>false</ScaleCrop>
  <Company/>
  <LinksUpToDate>false</LinksUpToDate>
  <CharactersWithSpaces>163284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 wilkes</dc:creator>
  <cp:keywords/>
  <dc:description/>
  <cp:lastModifiedBy>don wilkes</cp:lastModifiedBy>
  <cp:revision>2</cp:revision>
  <dcterms:created xsi:type="dcterms:W3CDTF">2021-05-07T10:09:00Z</dcterms:created>
  <dcterms:modified xsi:type="dcterms:W3CDTF">2021-05-07T10:09:00Z</dcterms:modified>
</cp:coreProperties>
</file>