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EA83BE" w14:textId="396662CF" w:rsidR="00C04599" w:rsidRDefault="004D79DE" w:rsidP="00DB73F3">
      <w:r>
        <w:t xml:space="preserve">Critical engagement with Benjamin Ives Gillman’s </w:t>
      </w:r>
      <w:r w:rsidR="00DB73F3">
        <w:t>‘</w:t>
      </w:r>
      <w:r>
        <w:t>The Design Argument Survives Darwinism</w:t>
      </w:r>
      <w:r w:rsidR="00DB73F3">
        <w:t>’</w:t>
      </w:r>
    </w:p>
    <w:p w14:paraId="707D853B" w14:textId="1A6D1D06" w:rsidR="004D79DE" w:rsidRDefault="004D79DE" w:rsidP="004D79DE">
      <w:pPr>
        <w:jc w:val="center"/>
      </w:pPr>
    </w:p>
    <w:p w14:paraId="66FF3AEE" w14:textId="1BDD306F" w:rsidR="004D79DE" w:rsidRDefault="003A6FB8" w:rsidP="004D79DE">
      <w:r>
        <w:t xml:space="preserve">When it comes to the discussion of the design argument there are many </w:t>
      </w:r>
      <w:r w:rsidR="00D77E5D">
        <w:t>viewpoints</w:t>
      </w:r>
      <w:r>
        <w:t xml:space="preserve"> such as Charles Darwin’s theory of </w:t>
      </w:r>
      <w:r w:rsidR="00D77E5D" w:rsidRPr="00D77E5D">
        <w:rPr>
          <w:i/>
          <w:iCs/>
        </w:rPr>
        <w:t>O</w:t>
      </w:r>
      <w:r w:rsidRPr="00D77E5D">
        <w:rPr>
          <w:i/>
          <w:iCs/>
        </w:rPr>
        <w:t xml:space="preserve">rigin </w:t>
      </w:r>
      <w:r w:rsidR="00D77E5D" w:rsidRPr="00D77E5D">
        <w:rPr>
          <w:i/>
          <w:iCs/>
        </w:rPr>
        <w:t>o</w:t>
      </w:r>
      <w:r w:rsidRPr="00D77E5D">
        <w:rPr>
          <w:i/>
          <w:iCs/>
        </w:rPr>
        <w:t>f Species</w:t>
      </w:r>
      <w:r w:rsidR="00D77E5D">
        <w:rPr>
          <w:i/>
          <w:iCs/>
        </w:rPr>
        <w:t xml:space="preserve"> </w:t>
      </w:r>
      <w:r w:rsidR="00D77E5D" w:rsidRPr="00D77E5D">
        <w:t>(1859</w:t>
      </w:r>
      <w:r w:rsidR="00D77E5D">
        <w:rPr>
          <w:i/>
          <w:iCs/>
        </w:rPr>
        <w:t>)</w:t>
      </w:r>
      <w:r w:rsidRPr="00D77E5D">
        <w:rPr>
          <w:i/>
          <w:iCs/>
        </w:rPr>
        <w:t xml:space="preserve"> </w:t>
      </w:r>
      <w:r>
        <w:t>which provides alternative reasoning on creation and evolution</w:t>
      </w:r>
      <w:r w:rsidR="00D77E5D">
        <w:t xml:space="preserve"> without the use of religion nor faith. Benjamin Ives Gilman engages with the Darwinian way of thought with his paper ‘The Design Argument Survives Darwinism’. </w:t>
      </w:r>
    </w:p>
    <w:p w14:paraId="0F97CAAC" w14:textId="09E766BB" w:rsidR="00D77E5D" w:rsidRDefault="000372C8" w:rsidP="004D79DE">
      <w:r>
        <w:t xml:space="preserve">Gillman </w:t>
      </w:r>
      <w:r w:rsidR="002D59EA">
        <w:t>argues that ‘science is our name for inquiries subject to test by observation, and the belief in another mind can not be tested by observation, since another mind is not observable.’</w:t>
      </w:r>
      <w:r w:rsidR="00DB73F3">
        <w:rPr>
          <w:rStyle w:val="FootnoteReference"/>
        </w:rPr>
        <w:footnoteReference w:id="1"/>
      </w:r>
      <w:r w:rsidR="00171F3A">
        <w:t xml:space="preserve"> T</w:t>
      </w:r>
      <w:r w:rsidR="002D59EA">
        <w:t>here</w:t>
      </w:r>
      <w:r w:rsidR="00171F3A">
        <w:t xml:space="preserve">fore, biology and science are not able to observe the mind appropriately whereas faith stems from the mind. </w:t>
      </w:r>
      <w:proofErr w:type="gramStart"/>
      <w:r w:rsidR="00171F3A">
        <w:t>Thus</w:t>
      </w:r>
      <w:proofErr w:type="gramEnd"/>
      <w:r w:rsidR="00171F3A">
        <w:t xml:space="preserve"> I believe that while science is separate, it can coexist with faith as equal approaches to life. </w:t>
      </w:r>
    </w:p>
    <w:p w14:paraId="5A57D6CA" w14:textId="32BAA3B1" w:rsidR="00176D59" w:rsidRDefault="00171F3A" w:rsidP="004D79DE">
      <w:r>
        <w:t>This is further reinforced by Gilman’s claim that ‘the course of variation in the history in life bears marks of the conduct of a mind on a planetary scale,’ which goes ‘beyond science.’</w:t>
      </w:r>
      <w:r w:rsidR="00DB73F3">
        <w:t xml:space="preserve"> (Gilman, pp. 32-33)</w:t>
      </w:r>
      <w:r>
        <w:t xml:space="preserve"> From the information gathered I now believe that science has its limits when it comes to the life while faith transcends those limits. Therefore, faith and science do not share the same boundaries. </w:t>
      </w:r>
    </w:p>
    <w:p w14:paraId="6D9658C9" w14:textId="27E96EDA" w:rsidR="00176D59" w:rsidRDefault="00171F3A" w:rsidP="004D79DE">
      <w:r>
        <w:t xml:space="preserve">While science may stop at the observation of the mind, faith </w:t>
      </w:r>
      <w:r w:rsidR="00176D59">
        <w:t xml:space="preserve">has its roots in the mind and cannot be judged on the same scale - ‘If faith is a type of evidence, it serves as a basis for beliefs. It is a ground of conviction, assurance, or certainty,’ which I believe every person should have. </w:t>
      </w:r>
      <w:r w:rsidR="00DB73F3">
        <w:t>(Gilman, p. 36)</w:t>
      </w:r>
    </w:p>
    <w:p w14:paraId="414E57E5" w14:textId="758EB698" w:rsidR="00DB73F3" w:rsidRDefault="00DB73F3">
      <w:r>
        <w:br w:type="page"/>
      </w:r>
    </w:p>
    <w:p w14:paraId="7EFFCD37" w14:textId="50272F89" w:rsidR="00DB73F3" w:rsidRPr="00DB73F3" w:rsidRDefault="00DB73F3" w:rsidP="00DB73F3">
      <w:pPr>
        <w:jc w:val="center"/>
        <w:rPr>
          <w:b/>
          <w:bCs/>
        </w:rPr>
      </w:pPr>
      <w:r w:rsidRPr="00DB73F3">
        <w:rPr>
          <w:b/>
          <w:bCs/>
        </w:rPr>
        <w:lastRenderedPageBreak/>
        <w:t>Bibliography</w:t>
      </w:r>
    </w:p>
    <w:p w14:paraId="2C02A3E1" w14:textId="77777777" w:rsidR="00DB73F3" w:rsidRDefault="00DB73F3" w:rsidP="004D79DE"/>
    <w:p w14:paraId="0A577ECD" w14:textId="4C6DD148" w:rsidR="00DB73F3" w:rsidRDefault="00DB73F3" w:rsidP="004D79DE">
      <w:r>
        <w:t xml:space="preserve">Gilman, </w:t>
      </w:r>
      <w:r>
        <w:t xml:space="preserve">Benjamin Ives, ‘The Design Argument Survives Darwinism’, </w:t>
      </w:r>
      <w:r>
        <w:rPr>
          <w:i/>
          <w:iCs/>
        </w:rPr>
        <w:t>The Journal of Philosophy</w:t>
      </w:r>
      <w:r>
        <w:t xml:space="preserve">, 21.2 (1924), pp.29-36 </w:t>
      </w:r>
    </w:p>
    <w:p w14:paraId="709006F0" w14:textId="77777777" w:rsidR="00176D59" w:rsidRDefault="00176D59" w:rsidP="004D79DE"/>
    <w:p w14:paraId="13AA6096" w14:textId="77777777" w:rsidR="004D79DE" w:rsidRDefault="004D79DE"/>
    <w:sectPr w:rsidR="004D79D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033B40" w14:textId="77777777" w:rsidR="007B305C" w:rsidRDefault="007B305C" w:rsidP="00DB73F3">
      <w:pPr>
        <w:spacing w:after="0" w:line="240" w:lineRule="auto"/>
      </w:pPr>
      <w:r>
        <w:separator/>
      </w:r>
    </w:p>
  </w:endnote>
  <w:endnote w:type="continuationSeparator" w:id="0">
    <w:p w14:paraId="28B46AF5" w14:textId="77777777" w:rsidR="007B305C" w:rsidRDefault="007B305C" w:rsidP="00DB73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C02399" w14:textId="77777777" w:rsidR="007B305C" w:rsidRDefault="007B305C" w:rsidP="00DB73F3">
      <w:pPr>
        <w:spacing w:after="0" w:line="240" w:lineRule="auto"/>
      </w:pPr>
      <w:r>
        <w:separator/>
      </w:r>
    </w:p>
  </w:footnote>
  <w:footnote w:type="continuationSeparator" w:id="0">
    <w:p w14:paraId="70CA3DF1" w14:textId="77777777" w:rsidR="007B305C" w:rsidRDefault="007B305C" w:rsidP="00DB73F3">
      <w:pPr>
        <w:spacing w:after="0" w:line="240" w:lineRule="auto"/>
      </w:pPr>
      <w:r>
        <w:continuationSeparator/>
      </w:r>
    </w:p>
  </w:footnote>
  <w:footnote w:id="1">
    <w:p w14:paraId="1F33F59F" w14:textId="6D3E31CE" w:rsidR="00DB73F3" w:rsidRPr="00DB73F3" w:rsidRDefault="00DB73F3">
      <w:pPr>
        <w:pStyle w:val="FootnoteText"/>
      </w:pPr>
      <w:r>
        <w:rPr>
          <w:rStyle w:val="FootnoteReference"/>
        </w:rPr>
        <w:footnoteRef/>
      </w:r>
      <w:r>
        <w:t xml:space="preserve">Benjamin Ives Gilman, ‘The Design Argument Survives Darwinism’, </w:t>
      </w:r>
      <w:r>
        <w:rPr>
          <w:i/>
          <w:iCs/>
        </w:rPr>
        <w:t>The Journal of Philosophy</w:t>
      </w:r>
      <w:r>
        <w:t>, 21.2 (1924), pp.29-36 (p. 32). Subsequent references to this source are given in the text as ‘Gilman’ followed by the page number.</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79DE"/>
    <w:rsid w:val="000372C8"/>
    <w:rsid w:val="00171F3A"/>
    <w:rsid w:val="00176D59"/>
    <w:rsid w:val="002D59EA"/>
    <w:rsid w:val="003A6FB8"/>
    <w:rsid w:val="004D79DE"/>
    <w:rsid w:val="007B305C"/>
    <w:rsid w:val="00C04599"/>
    <w:rsid w:val="00C0508A"/>
    <w:rsid w:val="00D77E5D"/>
    <w:rsid w:val="00DB73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68D528"/>
  <w15:chartTrackingRefBased/>
  <w15:docId w15:val="{C0BCC569-83A7-4B0B-830E-9401E092CC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DB73F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B73F3"/>
    <w:rPr>
      <w:sz w:val="20"/>
      <w:szCs w:val="20"/>
    </w:rPr>
  </w:style>
  <w:style w:type="character" w:styleId="FootnoteReference">
    <w:name w:val="footnote reference"/>
    <w:basedOn w:val="DefaultParagraphFont"/>
    <w:uiPriority w:val="99"/>
    <w:semiHidden/>
    <w:unhideWhenUsed/>
    <w:rsid w:val="00DB73F3"/>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CECC45-5429-4D57-AEB2-358A32975C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92</TotalTime>
  <Pages>2</Pages>
  <Words>255</Words>
  <Characters>1456</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Natalia Baloghova [nab49]</dc:creator>
  <cp:keywords/>
  <dc:description/>
  <cp:lastModifiedBy>Natalia Baloghova [nab49]</cp:lastModifiedBy>
  <cp:revision>1</cp:revision>
  <dcterms:created xsi:type="dcterms:W3CDTF">2022-11-08T22:02:00Z</dcterms:created>
  <dcterms:modified xsi:type="dcterms:W3CDTF">2022-11-08T23:34:00Z</dcterms:modified>
</cp:coreProperties>
</file>