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F3509" w:rsidRPr="00EF2319" w:rsidRDefault="00CC6A8A">
      <w:r w:rsidRPr="00EF2319">
        <w:rPr>
          <w:noProof/>
          <w:lang w:val="en-US" w:eastAsia="en-US"/>
        </w:rPr>
        <w:drawing>
          <wp:inline distT="114300" distB="114300" distL="114300" distR="114300">
            <wp:extent cx="1964055" cy="837877"/>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
                    <a:srcRect/>
                    <a:stretch>
                      <a:fillRect/>
                    </a:stretch>
                  </pic:blipFill>
                  <pic:spPr>
                    <a:xfrm>
                      <a:off x="0" y="0"/>
                      <a:ext cx="1964055" cy="837877"/>
                    </a:xfrm>
                    <a:prstGeom prst="rect">
                      <a:avLst/>
                    </a:prstGeom>
                    <a:ln/>
                  </pic:spPr>
                </pic:pic>
              </a:graphicData>
            </a:graphic>
          </wp:inline>
        </w:drawing>
      </w:r>
    </w:p>
    <w:p w:rsidR="002F3509" w:rsidRPr="00EF2319" w:rsidRDefault="002F3509">
      <w:pPr>
        <w:rPr>
          <w:b/>
          <w:bCs/>
          <w:sz w:val="28"/>
          <w:szCs w:val="28"/>
        </w:rPr>
      </w:pPr>
    </w:p>
    <w:p w:rsidR="002F3509" w:rsidRDefault="00CC6A8A">
      <w:pPr>
        <w:jc w:val="center"/>
        <w:rPr>
          <w:b/>
          <w:bCs/>
          <w:sz w:val="28"/>
          <w:szCs w:val="28"/>
        </w:rPr>
      </w:pPr>
      <w:r w:rsidRPr="00EF2319">
        <w:rPr>
          <w:b/>
          <w:bCs/>
          <w:sz w:val="28"/>
          <w:szCs w:val="28"/>
        </w:rPr>
        <w:t>BA (Hons) Developing Leadership and Management</w:t>
      </w:r>
    </w:p>
    <w:p w:rsidR="00320AB7" w:rsidRPr="00EF2319" w:rsidRDefault="00320AB7">
      <w:pPr>
        <w:jc w:val="center"/>
        <w:rPr>
          <w:b/>
          <w:bCs/>
          <w:sz w:val="28"/>
          <w:szCs w:val="28"/>
        </w:rPr>
      </w:pPr>
      <w:r>
        <w:rPr>
          <w:b/>
          <w:bCs/>
          <w:sz w:val="28"/>
          <w:szCs w:val="28"/>
        </w:rPr>
        <w:t>Level 5</w:t>
      </w:r>
    </w:p>
    <w:p w:rsidR="00320AB7" w:rsidRDefault="00320AB7" w:rsidP="00320AB7">
      <w:pPr>
        <w:rPr>
          <w:b/>
          <w:bCs/>
          <w:sz w:val="28"/>
          <w:szCs w:val="28"/>
        </w:rPr>
      </w:pPr>
      <w:r>
        <w:rPr>
          <w:b/>
          <w:bCs/>
          <w:sz w:val="28"/>
          <w:szCs w:val="28"/>
        </w:rPr>
        <w:t xml:space="preserve">                                BMSW 5013    </w:t>
      </w:r>
      <w:r w:rsidR="00CC6A8A" w:rsidRPr="00EF2319">
        <w:rPr>
          <w:b/>
          <w:bCs/>
          <w:sz w:val="28"/>
          <w:szCs w:val="28"/>
        </w:rPr>
        <w:t xml:space="preserve">Creativity and </w:t>
      </w:r>
      <w:r>
        <w:rPr>
          <w:b/>
          <w:bCs/>
          <w:sz w:val="28"/>
          <w:szCs w:val="28"/>
        </w:rPr>
        <w:t>innovation</w:t>
      </w:r>
    </w:p>
    <w:p w:rsidR="00320AB7" w:rsidRPr="00320AB7" w:rsidRDefault="00320AB7" w:rsidP="00320AB7">
      <w:pPr>
        <w:rPr>
          <w:b/>
          <w:bCs/>
          <w:sz w:val="28"/>
          <w:szCs w:val="28"/>
        </w:rPr>
      </w:pPr>
      <w:r>
        <w:rPr>
          <w:b/>
          <w:bCs/>
          <w:sz w:val="28"/>
          <w:szCs w:val="28"/>
        </w:rPr>
        <w:t xml:space="preserve">                                           </w:t>
      </w:r>
      <w:r>
        <w:rPr>
          <w:b/>
          <w:bCs/>
          <w:sz w:val="28"/>
          <w:szCs w:val="28"/>
          <w:u w:val="single"/>
        </w:rPr>
        <w:t>Dan Timircan 2118870</w:t>
      </w:r>
    </w:p>
    <w:p w:rsidR="002F3509" w:rsidRPr="00EF2319" w:rsidRDefault="002F3509">
      <w:pPr>
        <w:jc w:val="center"/>
        <w:rPr>
          <w:b/>
          <w:bCs/>
          <w:sz w:val="28"/>
          <w:szCs w:val="28"/>
        </w:rPr>
      </w:pPr>
    </w:p>
    <w:p w:rsidR="002F3509" w:rsidRPr="00EF2319" w:rsidRDefault="00CC6A8A">
      <w:pPr>
        <w:jc w:val="center"/>
        <w:rPr>
          <w:b/>
          <w:bCs/>
          <w:sz w:val="32"/>
          <w:szCs w:val="32"/>
        </w:rPr>
      </w:pPr>
      <w:r w:rsidRPr="00EF2319">
        <w:rPr>
          <w:b/>
          <w:bCs/>
          <w:sz w:val="32"/>
          <w:szCs w:val="32"/>
        </w:rPr>
        <w:t>Critically detailing and discussing an innovative/creative solution to an operational problem</w:t>
      </w:r>
    </w:p>
    <w:p w:rsidR="002F3509" w:rsidRPr="00EF2319" w:rsidRDefault="002F3509">
      <w:pPr>
        <w:rPr>
          <w:b/>
          <w:bCs/>
          <w:sz w:val="28"/>
          <w:szCs w:val="28"/>
        </w:rPr>
      </w:pPr>
    </w:p>
    <w:p w:rsidR="002F3509" w:rsidRPr="00EF2319" w:rsidRDefault="00CC6A8A">
      <w:r w:rsidRPr="00EF2319">
        <w:br w:type="page"/>
      </w:r>
    </w:p>
    <w:p w:rsidR="002F3509" w:rsidRPr="00EF2319" w:rsidRDefault="00CC6A8A">
      <w:pPr>
        <w:jc w:val="center"/>
        <w:rPr>
          <w:b/>
          <w:bCs/>
          <w:sz w:val="26"/>
          <w:szCs w:val="26"/>
        </w:rPr>
      </w:pPr>
      <w:r w:rsidRPr="00EF2319">
        <w:rPr>
          <w:b/>
          <w:bCs/>
          <w:sz w:val="26"/>
          <w:szCs w:val="26"/>
        </w:rPr>
        <w:lastRenderedPageBreak/>
        <w:t>Table of Contents</w:t>
      </w:r>
    </w:p>
    <w:sdt>
      <w:sdtPr>
        <w:id w:val="1627600570"/>
        <w:docPartObj>
          <w:docPartGallery w:val="Table of Contents"/>
          <w:docPartUnique/>
        </w:docPartObj>
      </w:sdtPr>
      <w:sdtContent>
        <w:p w:rsidR="002F3509" w:rsidRPr="00EF2319" w:rsidRDefault="004A05E8">
          <w:pPr>
            <w:widowControl w:val="0"/>
            <w:tabs>
              <w:tab w:val="right" w:leader="dot" w:pos="12000"/>
            </w:tabs>
            <w:spacing w:before="60" w:after="0" w:line="240" w:lineRule="auto"/>
            <w:jc w:val="left"/>
            <w:rPr>
              <w:b/>
              <w:bCs/>
              <w:color w:val="000000"/>
            </w:rPr>
          </w:pPr>
          <w:r w:rsidRPr="00EF2319">
            <w:fldChar w:fldCharType="begin"/>
          </w:r>
          <w:r w:rsidR="00CC6A8A" w:rsidRPr="00EF2319">
            <w:instrText xml:space="preserve"> TOC \h \u \z \t "Heading 1,1,Heading 2,2,Heading 4,4,Heading 5,5,Heading 6,6,"</w:instrText>
          </w:r>
          <w:r w:rsidRPr="00EF2319">
            <w:fldChar w:fldCharType="separate"/>
          </w:r>
          <w:hyperlink w:anchor="_j4m3zb6n5sa2">
            <w:r w:rsidR="002F3509" w:rsidRPr="00EF2319">
              <w:rPr>
                <w:b/>
                <w:bCs/>
                <w:color w:val="000000"/>
              </w:rPr>
              <w:t>PART 1</w:t>
            </w:r>
            <w:r w:rsidR="002F3509" w:rsidRPr="00EF2319">
              <w:rPr>
                <w:b/>
                <w:bCs/>
                <w:color w:val="000000"/>
              </w:rPr>
              <w:tab/>
              <w:t>3</w:t>
            </w:r>
          </w:hyperlink>
        </w:p>
        <w:p w:rsidR="002F3509" w:rsidRPr="00EF2319" w:rsidRDefault="004A05E8">
          <w:pPr>
            <w:widowControl w:val="0"/>
            <w:tabs>
              <w:tab w:val="right" w:leader="dot" w:pos="12000"/>
            </w:tabs>
            <w:spacing w:before="60" w:after="0" w:line="240" w:lineRule="auto"/>
            <w:ind w:left="360"/>
            <w:jc w:val="left"/>
            <w:rPr>
              <w:color w:val="000000"/>
            </w:rPr>
          </w:pPr>
          <w:hyperlink w:anchor="_k7yopegjsgx7">
            <w:r w:rsidR="002F3509" w:rsidRPr="00EF2319">
              <w:rPr>
                <w:color w:val="000000"/>
              </w:rPr>
              <w:t>1. Introduction to the Organisation and Operational Problem</w:t>
            </w:r>
            <w:r w:rsidR="002F3509" w:rsidRPr="00EF2319">
              <w:rPr>
                <w:color w:val="000000"/>
              </w:rPr>
              <w:tab/>
              <w:t>3</w:t>
            </w:r>
          </w:hyperlink>
        </w:p>
        <w:p w:rsidR="002F3509" w:rsidRPr="00EF2319" w:rsidRDefault="004A05E8">
          <w:pPr>
            <w:widowControl w:val="0"/>
            <w:tabs>
              <w:tab w:val="right" w:leader="dot" w:pos="12000"/>
            </w:tabs>
            <w:spacing w:before="60" w:after="0" w:line="240" w:lineRule="auto"/>
            <w:ind w:left="360"/>
            <w:jc w:val="left"/>
            <w:rPr>
              <w:color w:val="000000"/>
            </w:rPr>
          </w:pPr>
          <w:hyperlink w:anchor="_hhfa13s5ytsz">
            <w:r w:rsidR="002F3509" w:rsidRPr="00EF2319">
              <w:rPr>
                <w:color w:val="000000"/>
              </w:rPr>
              <w:t>2. Critical Analysis of Creativity &amp; Innovation in a Capitalist Growth Context</w:t>
            </w:r>
            <w:r w:rsidR="002F3509" w:rsidRPr="00EF2319">
              <w:rPr>
                <w:color w:val="000000"/>
              </w:rPr>
              <w:tab/>
              <w:t>3</w:t>
            </w:r>
          </w:hyperlink>
        </w:p>
        <w:p w:rsidR="002F3509" w:rsidRPr="00EF2319" w:rsidRDefault="004A05E8">
          <w:pPr>
            <w:widowControl w:val="0"/>
            <w:tabs>
              <w:tab w:val="right" w:leader="dot" w:pos="12000"/>
            </w:tabs>
            <w:spacing w:before="60" w:after="0" w:line="240" w:lineRule="auto"/>
            <w:ind w:left="360"/>
            <w:jc w:val="left"/>
            <w:rPr>
              <w:color w:val="000000"/>
            </w:rPr>
          </w:pPr>
          <w:hyperlink w:anchor="_w15pbz3nte2m">
            <w:r w:rsidR="002F3509" w:rsidRPr="00EF2319">
              <w:rPr>
                <w:color w:val="000000"/>
              </w:rPr>
              <w:t>3. Explanation of the Proposed Innovation &amp; 4Ps Classification</w:t>
            </w:r>
            <w:r w:rsidR="002F3509" w:rsidRPr="00EF2319">
              <w:rPr>
                <w:color w:val="000000"/>
              </w:rPr>
              <w:tab/>
              <w:t>5</w:t>
            </w:r>
          </w:hyperlink>
        </w:p>
        <w:p w:rsidR="002F3509" w:rsidRPr="00EF2319" w:rsidRDefault="004A05E8">
          <w:pPr>
            <w:widowControl w:val="0"/>
            <w:tabs>
              <w:tab w:val="right" w:leader="dot" w:pos="12000"/>
            </w:tabs>
            <w:spacing w:before="60" w:after="0" w:line="240" w:lineRule="auto"/>
            <w:ind w:left="360"/>
            <w:jc w:val="left"/>
            <w:rPr>
              <w:color w:val="000000"/>
            </w:rPr>
          </w:pPr>
          <w:hyperlink w:anchor="_e9xo6a94rap1">
            <w:r w:rsidR="002F3509" w:rsidRPr="00EF2319">
              <w:rPr>
                <w:color w:val="000000"/>
              </w:rPr>
              <w:t>4. Creativity Process &amp; Development of the Idea</w:t>
            </w:r>
            <w:r w:rsidR="002F3509" w:rsidRPr="00EF2319">
              <w:rPr>
                <w:color w:val="000000"/>
              </w:rPr>
              <w:tab/>
              <w:t>6</w:t>
            </w:r>
          </w:hyperlink>
        </w:p>
        <w:p w:rsidR="002F3509" w:rsidRPr="00EF2319" w:rsidRDefault="004A05E8">
          <w:pPr>
            <w:widowControl w:val="0"/>
            <w:tabs>
              <w:tab w:val="right" w:leader="dot" w:pos="12000"/>
            </w:tabs>
            <w:spacing w:before="60" w:after="0" w:line="240" w:lineRule="auto"/>
            <w:ind w:left="360"/>
            <w:jc w:val="left"/>
            <w:rPr>
              <w:color w:val="000000"/>
            </w:rPr>
          </w:pPr>
          <w:hyperlink w:anchor="_u0uihr3amqoe">
            <w:r w:rsidR="002F3509" w:rsidRPr="00EF2319">
              <w:rPr>
                <w:color w:val="000000"/>
              </w:rPr>
              <w:t>5. Viability Evaluation Using Lewin’s Force Field Analysis</w:t>
            </w:r>
            <w:r w:rsidR="002F3509" w:rsidRPr="00EF2319">
              <w:rPr>
                <w:color w:val="000000"/>
              </w:rPr>
              <w:tab/>
              <w:t>7</w:t>
            </w:r>
          </w:hyperlink>
        </w:p>
        <w:p w:rsidR="002F3509" w:rsidRPr="00EF2319" w:rsidRDefault="004A05E8">
          <w:pPr>
            <w:widowControl w:val="0"/>
            <w:tabs>
              <w:tab w:val="right" w:leader="dot" w:pos="12000"/>
            </w:tabs>
            <w:spacing w:before="60" w:after="0" w:line="240" w:lineRule="auto"/>
            <w:ind w:left="360"/>
            <w:jc w:val="left"/>
            <w:rPr>
              <w:color w:val="000000"/>
            </w:rPr>
          </w:pPr>
          <w:hyperlink w:anchor="_hwd60ucpxq5w">
            <w:r w:rsidR="002F3509" w:rsidRPr="00EF2319">
              <w:rPr>
                <w:color w:val="000000"/>
              </w:rPr>
              <w:t>6. Organisational Climate for Innovation</w:t>
            </w:r>
            <w:r w:rsidR="002F3509" w:rsidRPr="00EF2319">
              <w:rPr>
                <w:color w:val="000000"/>
              </w:rPr>
              <w:tab/>
              <w:t>9</w:t>
            </w:r>
          </w:hyperlink>
        </w:p>
        <w:p w:rsidR="002F3509" w:rsidRPr="00EF2319" w:rsidRDefault="004A05E8">
          <w:pPr>
            <w:widowControl w:val="0"/>
            <w:tabs>
              <w:tab w:val="right" w:leader="dot" w:pos="12000"/>
            </w:tabs>
            <w:spacing w:before="60" w:after="0" w:line="240" w:lineRule="auto"/>
            <w:ind w:left="360"/>
            <w:jc w:val="left"/>
            <w:rPr>
              <w:color w:val="000000"/>
            </w:rPr>
          </w:pPr>
          <w:hyperlink w:anchor="_lexw8gcqns35">
            <w:r w:rsidR="002F3509" w:rsidRPr="00EF2319">
              <w:rPr>
                <w:color w:val="000000"/>
              </w:rPr>
              <w:t>7. Conclusion</w:t>
            </w:r>
            <w:r w:rsidR="002F3509" w:rsidRPr="00EF2319">
              <w:rPr>
                <w:color w:val="000000"/>
              </w:rPr>
              <w:tab/>
              <w:t>9</w:t>
            </w:r>
          </w:hyperlink>
        </w:p>
        <w:p w:rsidR="002F3509" w:rsidRPr="00EF2319" w:rsidRDefault="004A05E8">
          <w:pPr>
            <w:widowControl w:val="0"/>
            <w:tabs>
              <w:tab w:val="right" w:leader="dot" w:pos="12000"/>
            </w:tabs>
            <w:spacing w:before="60" w:after="0" w:line="240" w:lineRule="auto"/>
            <w:jc w:val="left"/>
            <w:rPr>
              <w:b/>
              <w:bCs/>
              <w:color w:val="000000"/>
            </w:rPr>
          </w:pPr>
          <w:hyperlink w:anchor="_q78u6yj58306">
            <w:r w:rsidR="002F3509" w:rsidRPr="00EF2319">
              <w:rPr>
                <w:b/>
                <w:bCs/>
                <w:color w:val="000000"/>
              </w:rPr>
              <w:t>PART 2 – AI SUPPLEMENT</w:t>
            </w:r>
            <w:r w:rsidR="002F3509" w:rsidRPr="00EF2319">
              <w:rPr>
                <w:b/>
                <w:bCs/>
                <w:color w:val="000000"/>
              </w:rPr>
              <w:tab/>
              <w:t>11</w:t>
            </w:r>
          </w:hyperlink>
        </w:p>
        <w:p w:rsidR="002F3509" w:rsidRPr="00EF2319" w:rsidRDefault="004A05E8">
          <w:pPr>
            <w:widowControl w:val="0"/>
            <w:tabs>
              <w:tab w:val="right" w:leader="dot" w:pos="12000"/>
            </w:tabs>
            <w:spacing w:before="60" w:after="0" w:line="240" w:lineRule="auto"/>
            <w:ind w:left="360"/>
            <w:jc w:val="left"/>
            <w:rPr>
              <w:color w:val="000000"/>
            </w:rPr>
          </w:pPr>
          <w:hyperlink w:anchor="_ozgb1lunmk2j">
            <w:r w:rsidR="002F3509" w:rsidRPr="00EF2319">
              <w:rPr>
                <w:color w:val="000000"/>
              </w:rPr>
              <w:t>1. Introduction to AI Use and Rationale</w:t>
            </w:r>
            <w:r w:rsidR="002F3509" w:rsidRPr="00EF2319">
              <w:rPr>
                <w:color w:val="000000"/>
              </w:rPr>
              <w:tab/>
              <w:t>11</w:t>
            </w:r>
          </w:hyperlink>
        </w:p>
        <w:p w:rsidR="002F3509" w:rsidRPr="00EF2319" w:rsidRDefault="004A05E8">
          <w:pPr>
            <w:widowControl w:val="0"/>
            <w:tabs>
              <w:tab w:val="right" w:leader="dot" w:pos="12000"/>
            </w:tabs>
            <w:spacing w:before="60" w:after="0" w:line="240" w:lineRule="auto"/>
            <w:ind w:left="360"/>
            <w:jc w:val="left"/>
            <w:rPr>
              <w:color w:val="000000"/>
            </w:rPr>
          </w:pPr>
          <w:hyperlink w:anchor="_xrjfpz6pxsh8">
            <w:r w:rsidR="002F3509" w:rsidRPr="00EF2319">
              <w:rPr>
                <w:color w:val="000000"/>
              </w:rPr>
              <w:t>2. AI as Analytical Evaluator</w:t>
            </w:r>
            <w:r w:rsidR="002F3509" w:rsidRPr="00EF2319">
              <w:rPr>
                <w:color w:val="000000"/>
              </w:rPr>
              <w:tab/>
              <w:t>11</w:t>
            </w:r>
          </w:hyperlink>
        </w:p>
        <w:p w:rsidR="002F3509" w:rsidRPr="00EF2319" w:rsidRDefault="004A05E8">
          <w:pPr>
            <w:widowControl w:val="0"/>
            <w:tabs>
              <w:tab w:val="right" w:leader="dot" w:pos="12000"/>
            </w:tabs>
            <w:spacing w:before="60" w:after="0" w:line="240" w:lineRule="auto"/>
            <w:ind w:left="360"/>
            <w:jc w:val="left"/>
            <w:rPr>
              <w:color w:val="000000"/>
            </w:rPr>
          </w:pPr>
          <w:hyperlink w:anchor="_x00tsvd5d2d8">
            <w:r w:rsidR="002F3509" w:rsidRPr="00EF2319">
              <w:rPr>
                <w:color w:val="000000"/>
              </w:rPr>
              <w:t>3. AI and Operational Risk Modelling</w:t>
            </w:r>
            <w:r w:rsidR="002F3509" w:rsidRPr="00EF2319">
              <w:rPr>
                <w:color w:val="000000"/>
              </w:rPr>
              <w:tab/>
              <w:t>12</w:t>
            </w:r>
          </w:hyperlink>
        </w:p>
        <w:p w:rsidR="002F3509" w:rsidRPr="00EF2319" w:rsidRDefault="004A05E8">
          <w:pPr>
            <w:widowControl w:val="0"/>
            <w:tabs>
              <w:tab w:val="right" w:leader="dot" w:pos="12000"/>
            </w:tabs>
            <w:spacing w:before="60" w:after="0" w:line="240" w:lineRule="auto"/>
            <w:ind w:left="360"/>
            <w:jc w:val="left"/>
            <w:rPr>
              <w:color w:val="000000"/>
            </w:rPr>
          </w:pPr>
          <w:hyperlink w:anchor="_tfs8vcbky3qy">
            <w:r w:rsidR="002F3509" w:rsidRPr="00EF2319">
              <w:rPr>
                <w:color w:val="000000"/>
              </w:rPr>
              <w:t>4. AI and Organisational Identity Tension</w:t>
            </w:r>
            <w:r w:rsidR="002F3509" w:rsidRPr="00EF2319">
              <w:rPr>
                <w:color w:val="000000"/>
              </w:rPr>
              <w:tab/>
              <w:t>12</w:t>
            </w:r>
          </w:hyperlink>
        </w:p>
        <w:p w:rsidR="002F3509" w:rsidRPr="00EF2319" w:rsidRDefault="004A05E8">
          <w:pPr>
            <w:widowControl w:val="0"/>
            <w:tabs>
              <w:tab w:val="right" w:leader="dot" w:pos="12000"/>
            </w:tabs>
            <w:spacing w:before="60" w:after="0" w:line="240" w:lineRule="auto"/>
            <w:ind w:left="360"/>
            <w:jc w:val="left"/>
            <w:rPr>
              <w:color w:val="000000"/>
            </w:rPr>
          </w:pPr>
          <w:hyperlink w:anchor="_y8ejic45q29u">
            <w:r w:rsidR="002F3509" w:rsidRPr="00EF2319">
              <w:rPr>
                <w:color w:val="000000"/>
              </w:rPr>
              <w:t>5. Hidden Assumptions and AI Bias</w:t>
            </w:r>
            <w:r w:rsidR="002F3509" w:rsidRPr="00EF2319">
              <w:rPr>
                <w:color w:val="000000"/>
              </w:rPr>
              <w:tab/>
              <w:t>13</w:t>
            </w:r>
          </w:hyperlink>
        </w:p>
        <w:p w:rsidR="002F3509" w:rsidRPr="00EF2319" w:rsidRDefault="004A05E8">
          <w:pPr>
            <w:widowControl w:val="0"/>
            <w:tabs>
              <w:tab w:val="right" w:leader="dot" w:pos="12000"/>
            </w:tabs>
            <w:spacing w:before="60" w:after="0" w:line="240" w:lineRule="auto"/>
            <w:ind w:left="360"/>
            <w:jc w:val="left"/>
            <w:rPr>
              <w:color w:val="000000"/>
            </w:rPr>
          </w:pPr>
          <w:hyperlink w:anchor="_2fji5f16kadp">
            <w:r w:rsidR="002F3509" w:rsidRPr="00EF2319">
              <w:rPr>
                <w:color w:val="000000"/>
              </w:rPr>
              <w:t>6. Successes of AI Use</w:t>
            </w:r>
            <w:r w:rsidR="002F3509" w:rsidRPr="00EF2319">
              <w:rPr>
                <w:color w:val="000000"/>
              </w:rPr>
              <w:tab/>
              <w:t>14</w:t>
            </w:r>
          </w:hyperlink>
        </w:p>
        <w:p w:rsidR="002F3509" w:rsidRPr="00EF2319" w:rsidRDefault="004A05E8">
          <w:pPr>
            <w:widowControl w:val="0"/>
            <w:tabs>
              <w:tab w:val="right" w:leader="dot" w:pos="12000"/>
            </w:tabs>
            <w:spacing w:before="60" w:after="0" w:line="240" w:lineRule="auto"/>
            <w:ind w:left="360"/>
            <w:jc w:val="left"/>
            <w:rPr>
              <w:color w:val="000000"/>
            </w:rPr>
          </w:pPr>
          <w:hyperlink w:anchor="_pyov62lu64ld">
            <w:r w:rsidR="002F3509" w:rsidRPr="00EF2319">
              <w:rPr>
                <w:color w:val="000000"/>
              </w:rPr>
              <w:t>7. Limitations and Practical Concerns</w:t>
            </w:r>
            <w:r w:rsidR="002F3509" w:rsidRPr="00EF2319">
              <w:rPr>
                <w:color w:val="000000"/>
              </w:rPr>
              <w:tab/>
              <w:t>14</w:t>
            </w:r>
          </w:hyperlink>
        </w:p>
        <w:p w:rsidR="002F3509" w:rsidRPr="00EF2319" w:rsidRDefault="004A05E8">
          <w:pPr>
            <w:widowControl w:val="0"/>
            <w:tabs>
              <w:tab w:val="right" w:leader="dot" w:pos="12000"/>
            </w:tabs>
            <w:spacing w:before="60" w:after="0" w:line="240" w:lineRule="auto"/>
            <w:ind w:left="360"/>
            <w:jc w:val="left"/>
            <w:rPr>
              <w:color w:val="000000"/>
            </w:rPr>
          </w:pPr>
          <w:hyperlink w:anchor="_tmgknhyxzs7d">
            <w:r w:rsidR="002F3509" w:rsidRPr="00EF2319">
              <w:rPr>
                <w:color w:val="000000"/>
              </w:rPr>
              <w:t>8. Overall Critical Appraisal and Learning</w:t>
            </w:r>
            <w:r w:rsidR="002F3509" w:rsidRPr="00EF2319">
              <w:rPr>
                <w:color w:val="000000"/>
              </w:rPr>
              <w:tab/>
              <w:t>14</w:t>
            </w:r>
          </w:hyperlink>
        </w:p>
        <w:p w:rsidR="002F3509" w:rsidRPr="00EF2319" w:rsidRDefault="004A05E8">
          <w:pPr>
            <w:widowControl w:val="0"/>
            <w:tabs>
              <w:tab w:val="right" w:leader="dot" w:pos="12000"/>
            </w:tabs>
            <w:spacing w:before="60" w:after="0" w:line="240" w:lineRule="auto"/>
            <w:jc w:val="left"/>
            <w:rPr>
              <w:b/>
              <w:bCs/>
              <w:color w:val="000000"/>
            </w:rPr>
          </w:pPr>
          <w:hyperlink w:anchor="_ohg1ixxqbwj6">
            <w:r w:rsidR="002F3509" w:rsidRPr="00EF2319">
              <w:rPr>
                <w:b/>
                <w:bCs/>
                <w:color w:val="000000"/>
              </w:rPr>
              <w:t>References</w:t>
            </w:r>
            <w:r w:rsidR="002F3509" w:rsidRPr="00EF2319">
              <w:rPr>
                <w:b/>
                <w:bCs/>
                <w:color w:val="000000"/>
              </w:rPr>
              <w:tab/>
              <w:t>15</w:t>
            </w:r>
          </w:hyperlink>
        </w:p>
        <w:p w:rsidR="002F3509" w:rsidRPr="00EF2319" w:rsidRDefault="004A05E8">
          <w:pPr>
            <w:widowControl w:val="0"/>
            <w:tabs>
              <w:tab w:val="right" w:leader="dot" w:pos="12000"/>
            </w:tabs>
            <w:spacing w:before="60" w:after="0" w:line="240" w:lineRule="auto"/>
            <w:jc w:val="left"/>
            <w:rPr>
              <w:b/>
              <w:bCs/>
              <w:color w:val="000000"/>
            </w:rPr>
          </w:pPr>
          <w:hyperlink w:anchor="_52s8e4fm71b">
            <w:r w:rsidR="002F3509" w:rsidRPr="00EF2319">
              <w:rPr>
                <w:b/>
                <w:bCs/>
                <w:color w:val="000000"/>
              </w:rPr>
              <w:t>Appendix</w:t>
            </w:r>
            <w:r w:rsidR="002F3509" w:rsidRPr="00EF2319">
              <w:rPr>
                <w:b/>
                <w:bCs/>
                <w:color w:val="000000"/>
              </w:rPr>
              <w:tab/>
              <w:t>18</w:t>
            </w:r>
          </w:hyperlink>
          <w:r w:rsidRPr="00EF2319">
            <w:fldChar w:fldCharType="end"/>
          </w:r>
        </w:p>
      </w:sdtContent>
    </w:sdt>
    <w:p w:rsidR="002F3509" w:rsidRPr="00EF2319" w:rsidRDefault="002F3509"/>
    <w:p w:rsidR="002F3509" w:rsidRPr="00EF2319" w:rsidRDefault="002F3509"/>
    <w:p w:rsidR="002F3509" w:rsidRPr="00EF2319" w:rsidRDefault="002F3509"/>
    <w:p w:rsidR="002F3509" w:rsidRPr="00EF2319" w:rsidRDefault="002F3509"/>
    <w:p w:rsidR="002F3509" w:rsidRPr="00EF2319" w:rsidRDefault="002F3509"/>
    <w:p w:rsidR="002F3509" w:rsidRPr="00EF2319" w:rsidRDefault="00CC6A8A">
      <w:r w:rsidRPr="00EF2319">
        <w:br w:type="page"/>
      </w:r>
    </w:p>
    <w:p w:rsidR="002F3509" w:rsidRPr="00EF2319" w:rsidRDefault="00CC6A8A">
      <w:pPr>
        <w:pStyle w:val="Heading1"/>
      </w:pPr>
      <w:bookmarkStart w:id="0" w:name="_j4m3zb6n5sa2" w:colFirst="0" w:colLast="0"/>
      <w:bookmarkEnd w:id="0"/>
      <w:r w:rsidRPr="00EF2319">
        <w:lastRenderedPageBreak/>
        <w:t>PART 1</w:t>
      </w:r>
    </w:p>
    <w:p w:rsidR="002F3509" w:rsidRPr="00EF2319" w:rsidRDefault="00CC6A8A">
      <w:pPr>
        <w:pStyle w:val="Heading2"/>
      </w:pPr>
      <w:bookmarkStart w:id="1" w:name="_k7yopegjsgx7" w:colFirst="0" w:colLast="0"/>
      <w:bookmarkEnd w:id="1"/>
      <w:r w:rsidRPr="00EF2319">
        <w:t>1. Introduction to the Organisation and Operational Problem</w:t>
      </w:r>
    </w:p>
    <w:p w:rsidR="002F3509" w:rsidRPr="00EF2319" w:rsidRDefault="00CC6A8A">
      <w:pPr>
        <w:spacing w:before="240" w:after="240"/>
      </w:pPr>
      <w:r w:rsidRPr="00EF2319">
        <w:t>Seren Coffi is a community-based, values-based, ethical sourcing, and transparency and cultural identity based</w:t>
      </w:r>
      <w:r w:rsidRPr="00EF2319">
        <w:t xml:space="preserve"> cafe. It is not the price or scale that can position it competitively but relational capital, social responsibility and trust. Its product is still in demand; the cafe is appreciated in the local area, and it is a socially responsible business. Neverthele</w:t>
      </w:r>
      <w:r w:rsidRPr="00EF2319">
        <w:t>ss, regardless of this requirement, the organisation is experiencing growing operational vulnerability. The increasing input costs, the volatility and wear and tear of the equipment have revealed the flaws of the cash-flow stability and decision-making abi</w:t>
      </w:r>
      <w:r w:rsidRPr="00EF2319">
        <w:t>lity. The collective deliberation/ethical scrutiny governance model enhances legitimacy but is slow in execution. As a result, the business is not collapsing because it is not being rejected by the market but because of structural tension between its ideal</w:t>
      </w:r>
      <w:r w:rsidRPr="00EF2319">
        <w:t xml:space="preserve"> image and its ability to sustain its operations. The key conflict is how to strike a balance between the community-based values and the economic discipline that is needed to survive in the cost-intensive environment. This report critically examines the co</w:t>
      </w:r>
      <w:r w:rsidRPr="00EF2319">
        <w:t>ncept of creativity and innovation in this framework and this paper offers an operationally oriented innovation that aims at stabilising revenue without losing identity. The theoretical frameworks and viability tools will be used to evaluate the proposed s</w:t>
      </w:r>
      <w:r w:rsidRPr="00EF2319">
        <w:t>olution on whether it is possible to achieve resilience in the absence of mission erosion.</w:t>
      </w:r>
    </w:p>
    <w:p w:rsidR="002F3509" w:rsidRPr="00EF2319" w:rsidRDefault="00CC6A8A">
      <w:pPr>
        <w:pStyle w:val="Heading2"/>
      </w:pPr>
      <w:bookmarkStart w:id="2" w:name="_hhfa13s5ytsz" w:colFirst="0" w:colLast="0"/>
      <w:bookmarkEnd w:id="2"/>
      <w:r w:rsidRPr="00EF2319">
        <w:t>2. Critical Analysis of Creativity &amp; Innovation in a Capitalist Growth Context</w:t>
      </w:r>
    </w:p>
    <w:p w:rsidR="002F3509" w:rsidRPr="00EF2319" w:rsidRDefault="00CC6A8A">
      <w:pPr>
        <w:pStyle w:val="Heading3"/>
      </w:pPr>
      <w:bookmarkStart w:id="3" w:name="_q93uier6acj3" w:colFirst="0" w:colLast="0"/>
      <w:bookmarkEnd w:id="3"/>
      <w:r w:rsidRPr="00EF2319">
        <w:t>A. Distinguishing Creativity and Innovation</w:t>
      </w:r>
    </w:p>
    <w:p w:rsidR="002F3509" w:rsidRPr="00EF2319" w:rsidRDefault="00CC6A8A">
      <w:pPr>
        <w:spacing w:before="240" w:after="240"/>
      </w:pPr>
      <w:r w:rsidRPr="00EF2319">
        <w:t>Creativity is the creation of new and usef</w:t>
      </w:r>
      <w:r w:rsidRPr="00EF2319">
        <w:t xml:space="preserve">ul ideas, and innovation is about effective implementation and commercialisation of those ideas and the creation of value (Trott, 2016; Tidd, 2018). Creativity is hence cognitive and exploratory whereas innovation is organisational and execution-oriented. </w:t>
      </w:r>
      <w:r w:rsidRPr="00EF2319">
        <w:t>Innovation, in terms of operations, is not limited to product development, it also includes process, logistics, positioning and business model redesign (Francis and Bessant, 2005). This difference is vital to Seren Coffi. The organisation lacks no source o</w:t>
      </w:r>
      <w:r w:rsidRPr="00EF2319">
        <w:t>f innovative ideas but it is having problems with converting values-led creativity into sustainable operational innovation. Innovation needs to be structured, which means allocation of resources and development of capabilities, as Tidd (2018) argues. In th</w:t>
      </w:r>
      <w:r w:rsidRPr="00EF2319">
        <w:t xml:space="preserve">e </w:t>
      </w:r>
      <w:r w:rsidRPr="00EF2319">
        <w:lastRenderedPageBreak/>
        <w:t>same vein, Manners-Bell and Lyo (2022) point out that operational and supply chain innovation is a key element of resilience in cost pressures. Hence, the main problem is not the lack of ideas, but the ability to implement them in the working systems.</w:t>
      </w:r>
    </w:p>
    <w:p w:rsidR="002F3509" w:rsidRPr="00EF2319" w:rsidRDefault="00CC6A8A">
      <w:pPr>
        <w:pStyle w:val="Heading3"/>
      </w:pPr>
      <w:bookmarkStart w:id="4" w:name="_mypjy8k4xmuv" w:colFirst="0" w:colLast="0"/>
      <w:bookmarkEnd w:id="4"/>
      <w:r w:rsidRPr="00EF2319">
        <w:t>B.</w:t>
      </w:r>
      <w:r w:rsidRPr="00EF2319">
        <w:t xml:space="preserve"> Theoretical Framing</w:t>
      </w:r>
    </w:p>
    <w:p w:rsidR="002F3509" w:rsidRPr="00EF2319" w:rsidRDefault="00CC6A8A">
      <w:pPr>
        <w:spacing w:before="240" w:after="240"/>
      </w:pPr>
      <w:r w:rsidRPr="00EF2319">
        <w:t>The 4Ps model (product, process, position, paradigm) offers an organised approach of classifying innovation (Francis and Bessant, 2005; Tidd, 2018). Although capitalist companies usually focus on product innovation to differentiate, pr</w:t>
      </w:r>
      <w:r w:rsidRPr="00EF2319">
        <w:t>ocess and paradigm innovation are more important to sustainability of the operation. Radical transformation can be quite risky and resource-intensive, whereas incremental innovation, which improves the systems that already exist, is usually less problemati</w:t>
      </w:r>
      <w:r w:rsidRPr="00EF2319">
        <w:t>c and resource-efficient (Trott, 2016). Incremental operational innovation can be strategically better than radical expansion with a small business. This landscape is further complicated by the open innovation theory. According to Chesbrough, (2006), firms</w:t>
      </w:r>
      <w:r w:rsidRPr="00EF2319">
        <w:t xml:space="preserve"> can use external ideas and alliances in order to compete better. But, Dahlander, Gann and Wallin (2021) warn that openness has a degree of cost and has a cost of coordination. In the case of Seren Coffi, partial openness to the community comes at the cost</w:t>
      </w:r>
      <w:r w:rsidRPr="00EF2319">
        <w:t xml:space="preserve"> of collaboration, but the inability to scale because of the lack of formalized innovation processes. The traditional models of capitalistic growth focus on efficiency, standardisation and cost minimisation in order to achieve maximum profit (Tidd, 2018). </w:t>
      </w:r>
      <w:r w:rsidRPr="00EF2319">
        <w:t>Margin improvement is frequently implemented by deploying supply chain optimisation and logistics innovation (Manners-Bell and Lyon, 2022). By contrast, the social value is more important in ethical sourcing and consensus governance of Seren Coffi. This is</w:t>
      </w:r>
      <w:r w:rsidRPr="00EF2319">
        <w:t xml:space="preserve"> a point of divergence that points to a structural tension between capitalist imperatives and the logics of community based organisations.</w:t>
      </w:r>
    </w:p>
    <w:p w:rsidR="002F3509" w:rsidRPr="00EF2319" w:rsidRDefault="00CC6A8A">
      <w:pPr>
        <w:pStyle w:val="Heading3"/>
      </w:pPr>
      <w:bookmarkStart w:id="5" w:name="_tnt8srtv0ezi" w:colFirst="0" w:colLast="0"/>
      <w:bookmarkEnd w:id="5"/>
      <w:r w:rsidRPr="00EF2319">
        <w:t>C. Critical Tension</w:t>
      </w:r>
    </w:p>
    <w:p w:rsidR="002F3509" w:rsidRPr="00EF2319" w:rsidRDefault="00CC6A8A">
      <w:pPr>
        <w:spacing w:before="240" w:after="240"/>
      </w:pPr>
      <w:r w:rsidRPr="00EF2319">
        <w:t>The vulnerability of value-led organisations to cost shock is a common problem occurring with the</w:t>
      </w:r>
      <w:r w:rsidRPr="00EF2319">
        <w:t xml:space="preserve"> model as it is not easily standardised and driven by cost-cutting. Firms that are integrated within ethical sourcing systems have reduced margins of flexibility when the prices of energy and the costs of supply increase. According to Trott (2016), innovat</w:t>
      </w:r>
      <w:r w:rsidRPr="00EF2319">
        <w:t xml:space="preserve">ion should be based on organisational capability and market reality; otherwise, it will fail. Seren Coffi is at risk of mission drift, which is the betrayal of ethical obligations to achieve </w:t>
      </w:r>
      <w:r w:rsidRPr="00EF2319">
        <w:lastRenderedPageBreak/>
        <w:t>financial survival. Nevertheless, innovation does not necessarily</w:t>
      </w:r>
      <w:r w:rsidRPr="00EF2319">
        <w:t xml:space="preserve"> mean capitalistic growth. Tidd (2018) points out that value creation may be multi-dimensional, including social and relational capital. Instead of seeking scale, innovation can be viewed as a reworking of operational processes in order to make them more r</w:t>
      </w:r>
      <w:r w:rsidRPr="00EF2319">
        <w:t>esilient without sacrificing identity. According to Dahlander et al. (2021), integrity and sustainability can be equalised through selective openness and capability development. The problem therefore does not lie in the rejection of values but in the integ</w:t>
      </w:r>
      <w:r w:rsidRPr="00EF2319">
        <w:t>ration of the same into the feasible operational innovation.</w:t>
      </w:r>
    </w:p>
    <w:p w:rsidR="002F3509" w:rsidRPr="00EF2319" w:rsidRDefault="00CC6A8A">
      <w:pPr>
        <w:pStyle w:val="Heading2"/>
      </w:pPr>
      <w:bookmarkStart w:id="6" w:name="_w15pbz3nte2m" w:colFirst="0" w:colLast="0"/>
      <w:bookmarkEnd w:id="6"/>
      <w:r w:rsidRPr="00EF2319">
        <w:t>3. Explanation of the Proposed Innovation &amp; 4Ps Classification</w:t>
      </w:r>
    </w:p>
    <w:p w:rsidR="002F3509" w:rsidRPr="00EF2319" w:rsidRDefault="00CC6A8A">
      <w:pPr>
        <w:spacing w:before="280" w:after="80"/>
        <w:rPr>
          <w:b/>
          <w:bCs/>
        </w:rPr>
      </w:pPr>
      <w:r w:rsidRPr="00EF2319">
        <w:rPr>
          <w:b/>
          <w:bCs/>
        </w:rPr>
        <w:t xml:space="preserve">A. Proposed Innovation: Community Subscription &amp; Operational Stabilisation Model </w:t>
      </w:r>
    </w:p>
    <w:p w:rsidR="002F3509" w:rsidRPr="00EF2319" w:rsidRDefault="00CC6A8A">
      <w:pPr>
        <w:spacing w:before="240" w:after="240"/>
      </w:pPr>
      <w:r w:rsidRPr="00EF2319">
        <w:t>The suggested innovation will involve a tiered community subscription and pre-payment service combined with supplier partnerships that are meant to stabilise the cash flow, minimise the exposure of fluctuating input costs, and streamline decision-making in</w:t>
      </w:r>
      <w:r w:rsidRPr="00EF2319">
        <w:t xml:space="preserve"> the operations. Instead of only focusing on daily transactions sales, Seren Coffi would also introduce a monthly subscription that will provide prepaid coffee credit, priority booking of events, and clear reporting of how the revenue of the subscriptions </w:t>
      </w:r>
      <w:r w:rsidRPr="00EF2319">
        <w:t>will help it to source things ethically and maintain their equipment. This innovation will deal with three areas of operation weakness. First, it removes the instability in cash flows due to increase in energy and supply prices. Anthropogenic predictable m</w:t>
      </w:r>
      <w:r w:rsidRPr="00EF2319">
        <w:t>onthly revenue enhances the working capital management and facilitates proactive maintenance investment. Second, it mitigates the decision paralysis by ring-fencing an amount of funds to resilience of operations, limiting the governance impasse around expe</w:t>
      </w:r>
      <w:r w:rsidRPr="00EF2319">
        <w:t xml:space="preserve">nditure. Third, it enhances cooperation with suppliers by making purchasing agreements over a longer period of time, which may ensure some price stability or lower prices. In practice, it needs a low-cost digital payment system, effective communication of </w:t>
      </w:r>
      <w:r w:rsidRPr="00EF2319">
        <w:t>value to members, and redistribution of administrative tasks. It does not involve structural growth, new facilities or the drastic technological shift. Rather it reinvents the revenue logic without losing the ethical sourcing and community identity. This r</w:t>
      </w:r>
      <w:r w:rsidRPr="00EF2319">
        <w:t>enders it financially feasible in the current resource limitation of the organisation.</w:t>
      </w:r>
    </w:p>
    <w:p w:rsidR="002F3509" w:rsidRPr="00EF2319" w:rsidRDefault="00CC6A8A">
      <w:pPr>
        <w:spacing w:before="280" w:after="80"/>
        <w:rPr>
          <w:b/>
          <w:bCs/>
        </w:rPr>
      </w:pPr>
      <w:r w:rsidRPr="00EF2319">
        <w:rPr>
          <w:b/>
          <w:bCs/>
        </w:rPr>
        <w:t>B. 4Ps Classification and Theoretical Justification</w:t>
      </w:r>
    </w:p>
    <w:p w:rsidR="002F3509" w:rsidRPr="00EF2319" w:rsidRDefault="00CC6A8A">
      <w:pPr>
        <w:spacing w:before="240" w:after="40"/>
        <w:rPr>
          <w:b/>
          <w:bCs/>
        </w:rPr>
      </w:pPr>
      <w:r w:rsidRPr="00EF2319">
        <w:rPr>
          <w:b/>
          <w:bCs/>
        </w:rPr>
        <w:t>Process Innovation</w:t>
      </w:r>
    </w:p>
    <w:p w:rsidR="002F3509" w:rsidRPr="00EF2319" w:rsidRDefault="00CC6A8A">
      <w:pPr>
        <w:spacing w:before="240" w:after="240"/>
      </w:pPr>
      <w:r w:rsidRPr="00EF2319">
        <w:lastRenderedPageBreak/>
        <w:t>The suggested subscription model is a process innovation, in the first place, according to the 4Ps</w:t>
      </w:r>
      <w:r w:rsidRPr="00EF2319">
        <w:t xml:space="preserve"> framework (Tidd, 2018; Tidd and Bessant, 2014). Process innovation is the innovation in the way products and services are designed, produced and distributed in value dimensions. The model redesigns the revenue streams by means of prepaid membership, stabi</w:t>
      </w:r>
      <w:r w:rsidRPr="00EF2319">
        <w:t xml:space="preserve">lises the procurement planning, and enhances financial predictability. It thus changes the working structure and not the coffee commodity itself. Supply chain and logistics innovations, as Manners-Bell and Lyo (2022) contend, tend to be decisive in a cost </w:t>
      </w:r>
      <w:r w:rsidRPr="00EF2319">
        <w:t>volatility situation. This is in line with incremental innovation logic which according to Trott (2016) is less risky and more achievable by resource-constrained SMEs.</w:t>
      </w:r>
    </w:p>
    <w:p w:rsidR="002F3509" w:rsidRPr="00EF2319" w:rsidRDefault="00CC6A8A">
      <w:pPr>
        <w:spacing w:before="240" w:after="40"/>
        <w:rPr>
          <w:b/>
          <w:bCs/>
        </w:rPr>
      </w:pPr>
      <w:r w:rsidRPr="00EF2319">
        <w:rPr>
          <w:b/>
          <w:bCs/>
        </w:rPr>
        <w:t>Position Innovation</w:t>
      </w:r>
    </w:p>
    <w:p w:rsidR="002F3509" w:rsidRPr="00EF2319" w:rsidRDefault="00CC6A8A">
      <w:r w:rsidRPr="00EF2319">
        <w:t xml:space="preserve">One of the secondary dimensions is position innovation. As Wang and </w:t>
      </w:r>
      <w:r w:rsidRPr="00EF2319">
        <w:t>Karia (2024) illustrate, the marketing innovation has the ability to rebrand a firm without necessarily changing its essence. The concept of a subscription model can change the perceived value of the community, as by repositioning Seren Coffi as a communit</w:t>
      </w:r>
      <w:r w:rsidRPr="00EF2319">
        <w:t>y-supported business as opposed to a strictly transactional coffee shop, the perceived value of consumption will change to one of participation. It is not paradigm innovation, since it does not reestablish the philosophy of the organisation (Tidd and Bessa</w:t>
      </w:r>
      <w:r w:rsidRPr="00EF2319">
        <w:t>nt, 2014). Rather, it operationalises the current values and increases resilience.</w:t>
      </w:r>
    </w:p>
    <w:p w:rsidR="002F3509" w:rsidRPr="00EF2319" w:rsidRDefault="00CC6A8A">
      <w:pPr>
        <w:pStyle w:val="Heading2"/>
        <w:keepNext w:val="0"/>
        <w:keepLines w:val="0"/>
        <w:spacing w:before="360" w:after="80"/>
      </w:pPr>
      <w:bookmarkStart w:id="7" w:name="_e9xo6a94rap1" w:colFirst="0" w:colLast="0"/>
      <w:bookmarkEnd w:id="7"/>
      <w:r w:rsidRPr="00EF2319">
        <w:t>4. Creativity Process &amp; Development of the Idea</w:t>
      </w:r>
    </w:p>
    <w:p w:rsidR="002F3509" w:rsidRPr="00EF2319" w:rsidRDefault="00CC6A8A">
      <w:pPr>
        <w:spacing w:before="240" w:after="240"/>
      </w:pPr>
      <w:r w:rsidRPr="00EF2319">
        <w:t>The evolution of the subscription-based model of operation came as a result of re-conceptualising the central issue around th</w:t>
      </w:r>
      <w:r w:rsidRPr="00EF2319">
        <w:t>e “declining profitability” into “structural cash-flow instability.” Instead of perceiving the challenge of Seren Coffi as demand failure- the problem was re-equipped in the form of volatility in revenue in relation to fixed and increasing costs. This hori</w:t>
      </w:r>
      <w:r w:rsidRPr="00EF2319">
        <w:t xml:space="preserve">zontal renegotiating altered the emphasis on expansion or price-raising to the stabilisation systems within the current community set-up. The innovation was thus not based on product diversification but on the challenge of temporal capturing of value. The </w:t>
      </w:r>
      <w:r w:rsidRPr="00EF2319">
        <w:t>ideation process was influenced by a number of constraints. Centralisation of governance was impossible at the expense of the democratic ethos of the organisation. Reputational damage could not be avoided in the case of ethical supplier relationships. Ther</w:t>
      </w:r>
      <w:r w:rsidRPr="00EF2319">
        <w:t xml:space="preserve">e was a lack of leadership ability and little capital investment choices. Such organisational demarcations left out alternatives like franchising, brutal cost-reduction, outsourcing buying or radical </w:t>
      </w:r>
      <w:r w:rsidRPr="00EF2319">
        <w:lastRenderedPageBreak/>
        <w:t xml:space="preserve">automation. There was also a need to engage in critical </w:t>
      </w:r>
      <w:r w:rsidRPr="00EF2319">
        <w:t xml:space="preserve">self-reflection. The original prejudice was in favour of traditional efficiency measures standardisation, lean cost management, labour optimisation based on standard models of capitalist strategy. Nevertheless, the implementation of these strategies was a </w:t>
      </w:r>
      <w:r w:rsidRPr="00EF2319">
        <w:t xml:space="preserve">threat to the identity and trust of the community in the cafe. In addition, price-based competition would put the business in competition with bigger chains that have the advantage of scale. In turn, the conventional capitalist solutions were not accepted </w:t>
      </w:r>
      <w:r w:rsidRPr="00EF2319">
        <w:t>since they focused on symptomatic margin instead of systemic strength. The resultant concept is innovation that is incremental, capability consistent and which enhances financial predictability without compromising moral commitments. The procedure is analy</w:t>
      </w:r>
      <w:r w:rsidRPr="00EF2319">
        <w:t>tical synthesis: the balancing of theoretical models of operational efficiency and contextual sensitivity to organisational identity.</w:t>
      </w:r>
    </w:p>
    <w:p w:rsidR="002F3509" w:rsidRPr="00EF2319" w:rsidRDefault="00CC6A8A">
      <w:pPr>
        <w:pStyle w:val="Heading2"/>
      </w:pPr>
      <w:bookmarkStart w:id="8" w:name="_u0uihr3amqoe" w:colFirst="0" w:colLast="0"/>
      <w:bookmarkEnd w:id="8"/>
      <w:r w:rsidRPr="00EF2319">
        <w:t>5. Viability Evaluation Using Lewin’s Force Field Analysis</w:t>
      </w:r>
    </w:p>
    <w:p w:rsidR="002F3509" w:rsidRPr="00EF2319" w:rsidRDefault="00CC6A8A">
      <w:pPr>
        <w:spacing w:before="240" w:after="240"/>
      </w:pPr>
      <w:r w:rsidRPr="00EF2319">
        <w:t>The concept of Force Field Analysis by Lewin (1951) conceptuali</w:t>
      </w:r>
      <w:r w:rsidRPr="00EF2319">
        <w:t>ses the organisational change as a balance of driving and restraining forces in the dynamic system. Instead of presuming that change can be achieved by pressure alone, Lewin holds that the equilibrium has to be changed by building enabling forces or by dec</w:t>
      </w:r>
      <w:r w:rsidRPr="00EF2319">
        <w:t>reasing constraints. Using this lens makes it possible to have an organised assessment of whether the suggested operational model, which involves subscription, can be actually implemented (Thomas, 1985).</w:t>
      </w:r>
    </w:p>
    <w:p w:rsidR="002F3509" w:rsidRPr="00EF2319" w:rsidRDefault="00CC6A8A">
      <w:pPr>
        <w:spacing w:before="240" w:after="240"/>
      </w:pPr>
      <w:r w:rsidRPr="00EF2319">
        <w:rPr>
          <w:noProof/>
          <w:lang w:val="en-US" w:eastAsia="en-US"/>
        </w:rPr>
        <w:drawing>
          <wp:inline distT="114300" distB="114300" distL="114300" distR="114300">
            <wp:extent cx="5734050" cy="234176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b="14929"/>
                    <a:stretch>
                      <a:fillRect/>
                    </a:stretch>
                  </pic:blipFill>
                  <pic:spPr>
                    <a:xfrm>
                      <a:off x="0" y="0"/>
                      <a:ext cx="5734050" cy="2341765"/>
                    </a:xfrm>
                    <a:prstGeom prst="rect">
                      <a:avLst/>
                    </a:prstGeom>
                    <a:ln/>
                  </pic:spPr>
                </pic:pic>
              </a:graphicData>
            </a:graphic>
          </wp:inline>
        </w:drawing>
      </w:r>
    </w:p>
    <w:p w:rsidR="002F3509" w:rsidRPr="00EF2319" w:rsidRDefault="00CC6A8A">
      <w:pPr>
        <w:spacing w:before="240" w:after="240"/>
        <w:jc w:val="center"/>
        <w:rPr>
          <w:b/>
          <w:bCs/>
        </w:rPr>
      </w:pPr>
      <w:r w:rsidRPr="00EF2319">
        <w:rPr>
          <w:b/>
          <w:bCs/>
        </w:rPr>
        <w:t>Figure 1: Lewin’s Force Field Analysis of the Comm</w:t>
      </w:r>
      <w:r w:rsidRPr="00EF2319">
        <w:rPr>
          <w:b/>
          <w:bCs/>
        </w:rPr>
        <w:t>unity Subscription Model at Seren Coffi</w:t>
      </w:r>
    </w:p>
    <w:p w:rsidR="002F3509" w:rsidRPr="00EF2319" w:rsidRDefault="00CC6A8A">
      <w:pPr>
        <w:spacing w:before="240" w:after="240"/>
        <w:jc w:val="center"/>
        <w:rPr>
          <w:b/>
          <w:bCs/>
        </w:rPr>
      </w:pPr>
      <w:r w:rsidRPr="00EF2319">
        <w:rPr>
          <w:b/>
          <w:bCs/>
        </w:rPr>
        <w:t>(Created by Author)</w:t>
      </w:r>
    </w:p>
    <w:p w:rsidR="002F3509" w:rsidRPr="00EF2319" w:rsidRDefault="00CC6A8A">
      <w:pPr>
        <w:spacing w:before="280" w:after="80"/>
        <w:rPr>
          <w:b/>
          <w:bCs/>
        </w:rPr>
      </w:pPr>
      <w:r w:rsidRPr="00EF2319">
        <w:rPr>
          <w:b/>
          <w:bCs/>
        </w:rPr>
        <w:lastRenderedPageBreak/>
        <w:t>A. Driving Forces</w:t>
      </w:r>
    </w:p>
    <w:p w:rsidR="002F3509" w:rsidRPr="00EF2319" w:rsidRDefault="00CC6A8A">
      <w:pPr>
        <w:spacing w:before="240" w:after="240"/>
      </w:pPr>
      <w:r w:rsidRPr="00EF2319">
        <w:t>One of the major driving forces is community loyalty. Seren Coffi is not just a shopping location, it is a social place that is a part of local identity. The community-based coff</w:t>
      </w:r>
      <w:r w:rsidRPr="00EF2319">
        <w:t>ee shop studies emphasise that it promotes belonging and relational capital (Ferreira, Ferreira and Bos, 2021). This social attachment enhances the chances of customers investing in subscription-based assistance. The need for ethical companies is also long</w:t>
      </w:r>
      <w:r w:rsidRPr="00EF2319">
        <w:t>-lasting, especially in conscious consumer groups (Wright et al., 2024). The subscription model does not change values but enhances the brand coherence by working in tandem with the values. Moreover, brand identity, which is based on openness and equality,</w:t>
      </w:r>
      <w:r w:rsidRPr="00EF2319">
        <w:t xml:space="preserve"> facilitates the validity of prepaid partaking. Lastly, enabling ecosystems are offered by local partnerships and collaboration with stakeholders (Priyono, Moin and Piper, 2024). Such networks may encourage the adoption of membership and co-establish commu</w:t>
      </w:r>
      <w:r w:rsidRPr="00EF2319">
        <w:t>nity legitimacy, reinforcing the change momentum.</w:t>
      </w:r>
    </w:p>
    <w:p w:rsidR="002F3509" w:rsidRPr="00EF2319" w:rsidRDefault="00CC6A8A">
      <w:pPr>
        <w:spacing w:before="280" w:after="80"/>
        <w:rPr>
          <w:b/>
          <w:bCs/>
        </w:rPr>
      </w:pPr>
      <w:r w:rsidRPr="00EF2319">
        <w:rPr>
          <w:b/>
          <w:bCs/>
        </w:rPr>
        <w:t>B. Restraining Forces</w:t>
      </w:r>
    </w:p>
    <w:p w:rsidR="002F3509" w:rsidRPr="00EF2319" w:rsidRDefault="00CC6A8A">
      <w:r w:rsidRPr="00EF2319">
        <w:t>Opposing forces are great. Inflation of expenses, especially on energy and supply chains, is still squeezing margins (Office for National Statistics, 2025). Structural exposure to macr</w:t>
      </w:r>
      <w:r w:rsidRPr="00EF2319">
        <w:t>oeconomic volatility is not removed by even predictable revenue. The internal capacity constraints are represented by volunteer fatigue and governance overload. The implementation of a subscription system will need administrative control, the management of</w:t>
      </w:r>
      <w:r w:rsidRPr="00EF2319">
        <w:t xml:space="preserve"> digital coordination and communication. Lack of clarity in roles would increase decision fatigue on implementation. The degradation of equipment and delayed maintenance are indicators of underinvestment. Without infrastructure in place when subscription r</w:t>
      </w:r>
      <w:r w:rsidRPr="00EF2319">
        <w:t>evenue comes to stabilise funds, the initiative will be too late. Lastly, governance through consensus, which is known to have decision-making inertia, can slow the execution. According to Lewin (1951), restraining forces inherent in organisational culture</w:t>
      </w:r>
      <w:r w:rsidRPr="00EF2319">
        <w:t xml:space="preserve"> can neutralise the influence of financial incentives when organisational cultures do not change the behavioural norms.</w:t>
      </w:r>
    </w:p>
    <w:p w:rsidR="002F3509" w:rsidRPr="00EF2319" w:rsidRDefault="00CC6A8A">
      <w:pPr>
        <w:spacing w:before="280" w:after="80"/>
        <w:rPr>
          <w:b/>
          <w:bCs/>
        </w:rPr>
      </w:pPr>
      <w:r w:rsidRPr="00EF2319">
        <w:rPr>
          <w:b/>
          <w:bCs/>
        </w:rPr>
        <w:t xml:space="preserve">C. Critical Evaluation </w:t>
      </w:r>
    </w:p>
    <w:p w:rsidR="002F3509" w:rsidRPr="00EF2319" w:rsidRDefault="00CC6A8A">
      <w:pPr>
        <w:spacing w:before="240" w:after="240"/>
      </w:pPr>
      <w:r w:rsidRPr="00EF2319">
        <w:t>The scope of the innovation is realistic since it is not a transformational one but an incremental one. Nonethel</w:t>
      </w:r>
      <w:r w:rsidRPr="00EF2319">
        <w:t xml:space="preserve">ess, its success is conditional upon moderation of behaviour change, to be precise, the acceptance of the structured revenue mechanisms within the traditionally informal system. The main threat is the lack of uptake or bureaucratic overload. </w:t>
      </w:r>
      <w:r w:rsidRPr="00EF2319">
        <w:lastRenderedPageBreak/>
        <w:t>The convention</w:t>
      </w:r>
      <w:r w:rsidRPr="00EF2319">
        <w:t>al capitalistic reasoning might seem that the model can be limited in terms of scaling. However, its support is based on value creation by resilience, rather than growth. The innovation creates a sense of balance in organisations without undermining identi</w:t>
      </w:r>
      <w:r w:rsidRPr="00EF2319">
        <w:t>ty by stabilising cash flow through maintaining ethical positioning.</w:t>
      </w:r>
    </w:p>
    <w:p w:rsidR="002F3509" w:rsidRPr="00EF2319" w:rsidRDefault="00CC6A8A">
      <w:pPr>
        <w:pStyle w:val="Heading2"/>
      </w:pPr>
      <w:bookmarkStart w:id="9" w:name="_hwd60ucpxq5w" w:colFirst="0" w:colLast="0"/>
      <w:bookmarkEnd w:id="9"/>
      <w:r w:rsidRPr="00EF2319">
        <w:t>6. Organisational Climate for Innovation</w:t>
      </w:r>
    </w:p>
    <w:p w:rsidR="002F3509" w:rsidRPr="00EF2319" w:rsidRDefault="00CC6A8A">
      <w:pPr>
        <w:spacing w:before="240" w:after="240"/>
      </w:pPr>
      <w:r w:rsidRPr="00EF2319">
        <w:t>The internal climate of Seren Coffi has both facilitating and inhibiting conditions of innovation. Its democratic system of governance promotes gr</w:t>
      </w:r>
      <w:r w:rsidRPr="00EF2319">
        <w:t xml:space="preserve">oup consultation and social property, both of which can increase the legitimacy and buy-in to change. Research on innovation climate indicates that participatory decision-making may reinforce the engagement and group learning processes through the support </w:t>
      </w:r>
      <w:r w:rsidRPr="00EF2319">
        <w:t>of trust (Edmondson, 1999). The culture of psychological safety, which is a collective perception that the team is safe to take interpersonal risks, is present in the culture of Seren Coffi since open debate and ethical discussion are normalised. These typ</w:t>
      </w:r>
      <w:r w:rsidRPr="00EF2319">
        <w:t>es of environments are usually conducive to the idea generation and reflective practice (Edmondson, 1999; Mogård, Rørstad and Bang, 2022). Nevertheless, the very democratic system leads to decision fatigue and delays in implementation. Lack of role differe</w:t>
      </w:r>
      <w:r w:rsidRPr="00EF2319">
        <w:t>ntiation can lead to behavioural integration undermining the effectiveness of management (Mogård, Rørstad and Bang, 2022). Though principled, ethical scrutiny can raise the time of evaluation and enhance restraining forces in times of urgency. The field th</w:t>
      </w:r>
      <w:r w:rsidRPr="00EF2319">
        <w:t xml:space="preserve">eory as proposed by Lewin (1951), emphasises the idea that the cultural norms serve as stabilising forces, in which case deliberative consensus becomes an agent of structural inertia. Scaling also has implicit resistance, fear of mission drift. Relational </w:t>
      </w:r>
      <w:r w:rsidRPr="00EF2319">
        <w:t>value is usually prioritised by small community enterprises over growth optimisation (Ferreira, Ferreira and Bos, 2021). On the whole, it is possible to state that Seren Coffi has a positive climate of innovation on both cognitive and relational levels, an</w:t>
      </w:r>
      <w:r w:rsidRPr="00EF2319">
        <w:t>d operational inertia on the structural level. Radical transformation can probably be imposed at the cost of identity loss unless incremental process innovation is introduced, which can be implemented without the need to discard values of participation.</w:t>
      </w:r>
    </w:p>
    <w:p w:rsidR="002F3509" w:rsidRPr="00EF2319" w:rsidRDefault="00CC6A8A">
      <w:pPr>
        <w:pStyle w:val="Heading2"/>
      </w:pPr>
      <w:bookmarkStart w:id="10" w:name="_lexw8gcqns35" w:colFirst="0" w:colLast="0"/>
      <w:bookmarkEnd w:id="10"/>
      <w:r w:rsidRPr="00EF2319">
        <w:t>7.</w:t>
      </w:r>
      <w:r w:rsidRPr="00EF2319">
        <w:t xml:space="preserve"> Conclusion</w:t>
      </w:r>
    </w:p>
    <w:p w:rsidR="002F3509" w:rsidRPr="00EF2319" w:rsidRDefault="00CC6A8A">
      <w:pPr>
        <w:spacing w:before="240" w:after="240"/>
      </w:pPr>
      <w:r w:rsidRPr="00EF2319">
        <w:t xml:space="preserve">This report has critically analysed the vulnerability in the operations of Seren Coffi to the larger opposition between values-driven operations and economic sustainability. Although </w:t>
      </w:r>
      <w:r w:rsidRPr="00EF2319">
        <w:lastRenderedPageBreak/>
        <w:t xml:space="preserve">the need for the cafe is clear, its structural vulnerability </w:t>
      </w:r>
      <w:r w:rsidRPr="00EF2319">
        <w:t>in the stability of cash-flow, the speed of decision making and distribution of resources endangered its long-term survival. The proposed subscription-based business model was presented as an incremental process innovation that would stabilise the revenues</w:t>
      </w:r>
      <w:r w:rsidRPr="00EF2319">
        <w:t xml:space="preserve"> without undermining the ethical sourcing or democratic governance. The innovation was tested as viable and socially sensitive through the help of the 4Ps framework and the Force Field Analysis proposed by Lewin. Its success is not so much reliant on how i</w:t>
      </w:r>
      <w:r w:rsidRPr="00EF2319">
        <w:t>t is uptaken financially but on cautious implementations that do not erode the identity of the community but rather reduce internal inertia. After all, the resilience of Seren Coffi may not be based on expansionist development, but streamlining its operati</w:t>
      </w:r>
      <w:r w:rsidRPr="00EF2319">
        <w:t>ons in accordance with its original philosophy. In that regard, sustainable innovation should enhance, as opposed to weakening, relational and ethical pillars on which the legitimacy of the organisation rests.</w:t>
      </w:r>
    </w:p>
    <w:p w:rsidR="002F3509" w:rsidRPr="00EF2319" w:rsidRDefault="002F3509">
      <w:pPr>
        <w:spacing w:before="240" w:after="240"/>
      </w:pPr>
    </w:p>
    <w:p w:rsidR="002F3509" w:rsidRPr="00EF2319" w:rsidRDefault="002F3509">
      <w:pPr>
        <w:spacing w:before="240" w:after="240"/>
      </w:pPr>
    </w:p>
    <w:p w:rsidR="002F3509" w:rsidRPr="00EF2319" w:rsidRDefault="002F3509">
      <w:pPr>
        <w:spacing w:before="240" w:after="240"/>
      </w:pPr>
    </w:p>
    <w:p w:rsidR="002F3509" w:rsidRPr="00EF2319" w:rsidRDefault="002F3509">
      <w:pPr>
        <w:spacing w:before="240" w:after="240"/>
      </w:pPr>
    </w:p>
    <w:p w:rsidR="002F3509" w:rsidRPr="00EF2319" w:rsidRDefault="00CC6A8A">
      <w:r w:rsidRPr="00EF2319">
        <w:br w:type="page"/>
      </w:r>
    </w:p>
    <w:p w:rsidR="002F3509" w:rsidRPr="00EF2319" w:rsidRDefault="00CC6A8A">
      <w:pPr>
        <w:pStyle w:val="Heading1"/>
      </w:pPr>
      <w:bookmarkStart w:id="11" w:name="_q78u6yj58306" w:colFirst="0" w:colLast="0"/>
      <w:bookmarkEnd w:id="11"/>
      <w:r w:rsidRPr="00EF2319">
        <w:lastRenderedPageBreak/>
        <w:t xml:space="preserve">PART 2 – AI SUPPLEMENT </w:t>
      </w:r>
    </w:p>
    <w:p w:rsidR="002F3509" w:rsidRPr="00EF2319" w:rsidRDefault="00CC6A8A">
      <w:pPr>
        <w:pStyle w:val="Heading2"/>
      </w:pPr>
      <w:bookmarkStart w:id="12" w:name="_ozgb1lunmk2j" w:colFirst="0" w:colLast="0"/>
      <w:bookmarkEnd w:id="12"/>
      <w:r w:rsidRPr="00EF2319">
        <w:t xml:space="preserve">1. Introduction </w:t>
      </w:r>
      <w:r w:rsidRPr="00EF2319">
        <w:t>to AI Use and Rationale</w:t>
      </w:r>
    </w:p>
    <w:p w:rsidR="002F3509" w:rsidRPr="00EF2319" w:rsidRDefault="00CC6A8A">
      <w:pPr>
        <w:spacing w:before="240" w:after="240"/>
      </w:pPr>
      <w:r w:rsidRPr="00EF2319">
        <w:t>Microsoft Copilot was chosen in this exercise because it is professionally relevant and is available in the modern organisational setting. Copilot is an assistant to productivity in the workplace, which is unlike experimental AI sys</w:t>
      </w:r>
      <w:r w:rsidRPr="00EF2319">
        <w:t>tems, and the system is suited to assessing the potential of AI to assist in decision-making of small businesses. By the time a point of engagement was reached, the Seren Coffi operational model founded on subscriptions was already conceptualised and theor</w:t>
      </w:r>
      <w:r w:rsidRPr="00EF2319">
        <w:t>etically grounded. This was not aimed at coming up with the idea using AI, but rather to test it. In particular, Copilot was employed in order to detect risks, question assumptions, reveal the flaws, and enhance the strength of the proposal. This methodolo</w:t>
      </w:r>
      <w:r w:rsidRPr="00EF2319">
        <w:t>gy is consistent with new studies that indicate that large language models (LLMs) can be best used as cognitive enhancers, but not as independent generators (Brynjolfsson, Li and Raymond, 2023). The objective of viewing AI as an assessment instrument and n</w:t>
      </w:r>
      <w:r w:rsidRPr="00EF2319">
        <w:t>ot an ideation generator was to evaluate its ability to provide structured criticism without taking away the human judgement of contextual and moral factors (Bubeck et al., 2023).</w:t>
      </w:r>
    </w:p>
    <w:p w:rsidR="002F3509" w:rsidRPr="00EF2319" w:rsidRDefault="00CC6A8A">
      <w:pPr>
        <w:pStyle w:val="Heading2"/>
        <w:keepNext w:val="0"/>
        <w:keepLines w:val="0"/>
        <w:spacing w:before="360" w:after="80"/>
        <w:rPr>
          <w:sz w:val="24"/>
          <w:szCs w:val="24"/>
        </w:rPr>
      </w:pPr>
      <w:bookmarkStart w:id="13" w:name="_xrjfpz6pxsh8" w:colFirst="0" w:colLast="0"/>
      <w:bookmarkEnd w:id="13"/>
      <w:r w:rsidRPr="00EF2319">
        <w:rPr>
          <w:sz w:val="24"/>
          <w:szCs w:val="24"/>
        </w:rPr>
        <w:t>2. AI as Analytical Evaluator</w:t>
      </w:r>
    </w:p>
    <w:p w:rsidR="002F3509" w:rsidRPr="00EF2319" w:rsidRDefault="00CC6A8A">
      <w:pPr>
        <w:spacing w:before="240" w:after="240"/>
      </w:pPr>
      <w:r w:rsidRPr="00EF2319">
        <w:t xml:space="preserve">When answering the first prompt, Copilot </w:t>
      </w:r>
      <w:r w:rsidRPr="00EF2319">
        <w:t>exhibited effective structuring in terms of analysis. It divided the implications of the subscription model into its strengths and weaknesses and implementation risks, therefore reflecting traditional strategic assessment models. This is a manifestation of</w:t>
      </w:r>
      <w:r w:rsidRPr="00EF2319">
        <w:t xml:space="preserve"> the larger ability of LLMs to apply known management heuristics into rational analytical outputs (Bommasani et al., 2021). The AI successfully identified the benefits of financial stabilisation (the predictable cash flow), operational (maintenance plannin</w:t>
      </w:r>
      <w:r w:rsidRPr="00EF2319">
        <w:t>g), and reputational considerations (community framing). Nevertheless, to a large extent, a lot of the analysis was foreseeable and thus structured. The risks identified, including uncertainty of adoption, administrative burden and redemption imbalance, ar</w:t>
      </w:r>
      <w:r w:rsidRPr="00EF2319">
        <w:t xml:space="preserve">e typical of subscription-business problems rather than specific understanding of the situation. The studies indicate that the results of LLM are inherently recombinatory and rely on probabilistic patterns and do not produce genuinely innovative reasoning </w:t>
      </w:r>
      <w:r w:rsidRPr="00EF2319">
        <w:t xml:space="preserve">(Bender et al., 2021). This was reflected in the comparatively generic way risk categories were framed. Furthermore, the assessment by Copilot was not thorough in terms of the democratic model </w:t>
      </w:r>
      <w:r w:rsidRPr="00EF2319">
        <w:lastRenderedPageBreak/>
        <w:t>of governance of the cafe. It did not seriously address the str</w:t>
      </w:r>
      <w:r w:rsidRPr="00EF2319">
        <w:t>uctural implications of consensus-based decision-making, even though it was sensitive to identity tensions. The AI considered the governance constraints to be variables instead of cultural dynamics. This weakness is consistent with the critique that the ge</w:t>
      </w:r>
      <w:r w:rsidRPr="00EF2319">
        <w:t>nerative AI systems are weak in socio-political subtlety and context-specific to organisations (Kshetri et al., 2023). However, Copilot is a very fast risk mapping and organised categorisation tool, thus qualifying as an effective preliminary evaluative in</w:t>
      </w:r>
      <w:r w:rsidRPr="00EF2319">
        <w:t>strument of operational proposals.</w:t>
      </w:r>
    </w:p>
    <w:p w:rsidR="002F3509" w:rsidRPr="00EF2319" w:rsidRDefault="00CC6A8A">
      <w:pPr>
        <w:pStyle w:val="Heading2"/>
        <w:keepNext w:val="0"/>
        <w:keepLines w:val="0"/>
        <w:spacing w:before="360" w:after="80"/>
        <w:rPr>
          <w:sz w:val="24"/>
          <w:szCs w:val="24"/>
        </w:rPr>
      </w:pPr>
      <w:bookmarkStart w:id="14" w:name="_x00tsvd5d2d8" w:colFirst="0" w:colLast="0"/>
      <w:bookmarkEnd w:id="14"/>
      <w:r w:rsidRPr="00EF2319">
        <w:rPr>
          <w:sz w:val="24"/>
          <w:szCs w:val="24"/>
        </w:rPr>
        <w:t>3. AI and Operational Risk Modelling</w:t>
      </w:r>
    </w:p>
    <w:p w:rsidR="002F3509" w:rsidRPr="00EF2319" w:rsidRDefault="00CC6A8A">
      <w:pPr>
        <w:spacing w:before="240" w:after="240"/>
      </w:pPr>
      <w:r w:rsidRPr="00EF2319">
        <w:t>Modelling operational risk at Copilot was mainly done in the basis of adoption risk, redemption imbalance, administrative burden and cash flow timing issues. These classes represent lo</w:t>
      </w:r>
      <w:r w:rsidRPr="00EF2319">
        <w:t>gical economic assumptions: the customers are predictable in their behaviour, the financial flows are affected in a proportional way, and the systems are optimised with the help of the regular organisation of the management. Although analytically consisten</w:t>
      </w:r>
      <w:r w:rsidRPr="00EF2319">
        <w:t xml:space="preserve">t, the model has not measured these risks and has not estimated the level of probability and severity. Rather it described them in a descriptive manner. This trend aligns with the results that data-driven modelling is not produced by LLM unless a specific </w:t>
      </w:r>
      <w:r w:rsidRPr="00EF2319">
        <w:t>request is made (Bubeck et al., 2023). It was based on rational consumer behaviour and constant participation patterns, ignoring the volatility of behaviour or emotional decision-making which can often define the community enterprises. Moreover, the risk f</w:t>
      </w:r>
      <w:r w:rsidRPr="00EF2319">
        <w:t xml:space="preserve">raming was based on the standard SME subscription logic but not on the specifics of governance and volunteer restrictions of Seren Coffi. Brynjolfsson, Li and Raymond (2023) observe that AI tools are more likely to enhance productivity in structured tasks </w:t>
      </w:r>
      <w:r w:rsidRPr="00EF2319">
        <w:t>but have no contextual judgement in complex organisation structure. In this way, Copilot was exercising combinational intelligence, which is the rearrangement of established business risk templates, and not creating contextually new insight.</w:t>
      </w:r>
    </w:p>
    <w:p w:rsidR="002F3509" w:rsidRPr="00EF2319" w:rsidRDefault="00CC6A8A">
      <w:pPr>
        <w:pStyle w:val="Heading2"/>
        <w:keepNext w:val="0"/>
        <w:keepLines w:val="0"/>
        <w:spacing w:before="360" w:after="80"/>
        <w:rPr>
          <w:sz w:val="24"/>
          <w:szCs w:val="24"/>
        </w:rPr>
      </w:pPr>
      <w:bookmarkStart w:id="15" w:name="_tfs8vcbky3qy" w:colFirst="0" w:colLast="0"/>
      <w:bookmarkEnd w:id="15"/>
      <w:r w:rsidRPr="00EF2319">
        <w:rPr>
          <w:sz w:val="24"/>
          <w:szCs w:val="24"/>
        </w:rPr>
        <w:t>4. AI and Orga</w:t>
      </w:r>
      <w:r w:rsidRPr="00EF2319">
        <w:rPr>
          <w:sz w:val="24"/>
          <w:szCs w:val="24"/>
        </w:rPr>
        <w:t>nisational Identity Tension</w:t>
      </w:r>
    </w:p>
    <w:p w:rsidR="002F3509" w:rsidRPr="00EF2319" w:rsidRDefault="00CC6A8A">
      <w:pPr>
        <w:spacing w:before="240" w:after="240"/>
      </w:pPr>
      <w:r w:rsidRPr="00EF2319">
        <w:t>Copilot recognised commercialisation dangers, community erosion and possible identity loss. It cautioned that the subscription model would repackage the cafe as a paid club as opposed to an open democratic environment. This show</w:t>
      </w:r>
      <w:r w:rsidRPr="00EF2319">
        <w:t xml:space="preserve">ed superficial consideration of reputational dynamics, but its consideration of identity was very instrumental. The AI conceptualised identity risk largely as a perception issue, one to be addressed by communicating and </w:t>
      </w:r>
      <w:r w:rsidRPr="00EF2319">
        <w:lastRenderedPageBreak/>
        <w:t>framing, but not a structural one, w</w:t>
      </w:r>
      <w:r w:rsidRPr="00EF2319">
        <w:t>hich is inherent in the governance processes. This is a considerable difference. The field theory by Lewin (1951) views the organisational culture as a stabilising force in a social system; the democratic consensus norms are not just a branding feature but</w:t>
      </w:r>
      <w:r w:rsidRPr="00EF2319">
        <w:t xml:space="preserve"> also a behavioural equilibrium. Equally, the psychological safety literature indicates that relational trust and joint ownership is more important to participatory settings rather than transactional rewards (Edmondson, 1999). Copilot failed to adequately </w:t>
      </w:r>
      <w:r w:rsidRPr="00EF2319">
        <w:t>describe how the process of subscription might increase decision fatigue or behavioural integration in a small governance team (Mogård, Rørstad and Bang, 2022). Instead, identity was considered reputational risk as opposed to structural inertia. In that wa</w:t>
      </w:r>
      <w:r w:rsidRPr="00EF2319">
        <w:t>y, the AI was able to identify the possible community tensions; however, it did not go deeper into the mechanism of values-led governance as a systemic limitation, but a symbolic feature.</w:t>
      </w:r>
    </w:p>
    <w:p w:rsidR="002F3509" w:rsidRPr="00EF2319" w:rsidRDefault="00CC6A8A">
      <w:pPr>
        <w:pStyle w:val="Heading2"/>
        <w:keepNext w:val="0"/>
        <w:keepLines w:val="0"/>
        <w:spacing w:before="360" w:after="80"/>
        <w:rPr>
          <w:sz w:val="24"/>
          <w:szCs w:val="24"/>
        </w:rPr>
      </w:pPr>
      <w:bookmarkStart w:id="16" w:name="_y8ejic45q29u" w:colFirst="0" w:colLast="0"/>
      <w:bookmarkEnd w:id="16"/>
      <w:r w:rsidRPr="00EF2319">
        <w:rPr>
          <w:sz w:val="24"/>
          <w:szCs w:val="24"/>
        </w:rPr>
        <w:t>5. Hidden Assumptions and AI Bias</w:t>
      </w:r>
    </w:p>
    <w:p w:rsidR="002F3509" w:rsidRPr="00EF2319" w:rsidRDefault="00CC6A8A">
      <w:pPr>
        <w:spacing w:before="240" w:after="240"/>
      </w:pPr>
      <w:r w:rsidRPr="00EF2319">
        <w:t>The reactions of Copilot demonstra</w:t>
      </w:r>
      <w:r w:rsidRPr="00EF2319">
        <w:t>te that there are minor and significant assumptions that align with the general critique of generative AI systems. To start with, there was an implicit growth and efficiency bias. The measure of success was the rate of uptake, margin protection and pilot e</w:t>
      </w:r>
      <w:r w:rsidRPr="00EF2319">
        <w:t>fficiency, which is consistent with the traditional capitalist optimisation logic (Brynjolfsson, Li and Raymond, 2023). The AI also considered risks based on their economic feasibility and not on their inherent community worth even in the context of ethics</w:t>
      </w:r>
      <w:r w:rsidRPr="00EF2319">
        <w:t>. Second, there were stability assumptions. The AI implicitly presupposed the predictable customer behaviour, administrative scaling, and economically reasonable decision-making. The same assumptions are a reflection of classical market-rational models but</w:t>
      </w:r>
      <w:r w:rsidRPr="00EF2319">
        <w:t xml:space="preserve"> do not necessarily apply in emotionally-based community enterprises (Dwivedi et al., 2023). The output of large language models is predetermined by probabilistic patterns according to the leading discourses of management (Bender et al., 2021), and such pa</w:t>
      </w:r>
      <w:r w:rsidRPr="00EF2319">
        <w:t>tterns are usually focused on efficiency, scalability and control of costs. Moreover, even its warning measure, to recommend a pilot, was in an optimisation framework. Mitigation strategies were taken as the way of dealing with the ethical issues instead o</w:t>
      </w:r>
      <w:r w:rsidRPr="00EF2319">
        <w:t>f doubting whether the economic logic of subscription itself redefines the idea of community relations. This is an example of how mainstream capitalist reasoning structures can be reproduced by AI even when it is encouraged to take into account other value</w:t>
      </w:r>
      <w:r w:rsidRPr="00EF2319">
        <w:t>s. It is crucial to identify this bias when implementing AI in values-based organisational settings.</w:t>
      </w:r>
    </w:p>
    <w:p w:rsidR="002F3509" w:rsidRPr="00EF2319" w:rsidRDefault="00CC6A8A">
      <w:pPr>
        <w:pStyle w:val="Heading2"/>
        <w:keepNext w:val="0"/>
        <w:keepLines w:val="0"/>
        <w:spacing w:before="360" w:after="80"/>
        <w:rPr>
          <w:sz w:val="24"/>
          <w:szCs w:val="24"/>
        </w:rPr>
      </w:pPr>
      <w:bookmarkStart w:id="17" w:name="_2fji5f16kadp" w:colFirst="0" w:colLast="0"/>
      <w:bookmarkEnd w:id="17"/>
      <w:r w:rsidRPr="00EF2319">
        <w:rPr>
          <w:sz w:val="24"/>
          <w:szCs w:val="24"/>
        </w:rPr>
        <w:lastRenderedPageBreak/>
        <w:t xml:space="preserve">6. Successes of AI Use </w:t>
      </w:r>
    </w:p>
    <w:p w:rsidR="002F3509" w:rsidRPr="00EF2319" w:rsidRDefault="00CC6A8A">
      <w:r w:rsidRPr="00EF2319">
        <w:t>In spite of its drawbacks, Copilot became a great improvement in analytical clarity. It categorised risks into financial, operation</w:t>
      </w:r>
      <w:r w:rsidRPr="00EF2319">
        <w:t xml:space="preserve">al and reputational risks and was able to evaluate them systematically. It also brought to light blind spots especially redemption imbalance and exit risks that had not been clearly spelt out in the original proposal. It has been indicated that generative </w:t>
      </w:r>
      <w:r w:rsidRPr="00EF2319">
        <w:t xml:space="preserve">AI can be useful in structuring tasks and organising ideas, although it does not necessarily result in the generation of something new (Brynjolfsson, Li and Raymond, 2023). In this instance, AI was used as the cognitive amplifier, which made the viability </w:t>
      </w:r>
      <w:r w:rsidRPr="00EF2319">
        <w:t>assessment more robust by compelling implementation vulnerabilities to be articulated.</w:t>
      </w:r>
    </w:p>
    <w:p w:rsidR="002F3509" w:rsidRPr="00EF2319" w:rsidRDefault="00CC6A8A">
      <w:pPr>
        <w:pStyle w:val="Heading2"/>
        <w:keepNext w:val="0"/>
        <w:keepLines w:val="0"/>
        <w:spacing w:before="360" w:after="80"/>
        <w:rPr>
          <w:sz w:val="24"/>
          <w:szCs w:val="24"/>
        </w:rPr>
      </w:pPr>
      <w:bookmarkStart w:id="18" w:name="_pyov62lu64ld" w:colFirst="0" w:colLast="0"/>
      <w:bookmarkEnd w:id="18"/>
      <w:r w:rsidRPr="00EF2319">
        <w:rPr>
          <w:sz w:val="24"/>
          <w:szCs w:val="24"/>
        </w:rPr>
        <w:t>7. Limitations and Practical Concerns</w:t>
      </w:r>
    </w:p>
    <w:p w:rsidR="002F3509" w:rsidRPr="00EF2319" w:rsidRDefault="00CC6A8A">
      <w:pPr>
        <w:spacing w:before="240" w:after="240"/>
      </w:pPr>
      <w:r w:rsidRPr="00EF2319">
        <w:t>Nonetheless, the products of Copilot were usually generic and did not have a contextual specificity. It showed no experienced conce</w:t>
      </w:r>
      <w:r w:rsidRPr="00EF2319">
        <w:t>pt of volunteer burnout, democratic rule strain or emotional labour inherent in community businesses. The reasoning of generative AI systems relies on prediction of patterns instead of their understanding (Bender et al., 2021). As a result, the AI was unab</w:t>
      </w:r>
      <w:r w:rsidRPr="00EF2319">
        <w:t xml:space="preserve">le to recognise political subtlety or relation strain that inform organisational change. Organisational culture is not just a variable but a phenomenon which is socially embedded (Lewin, 1951). AI is capable of analysing written depictions of culture, yet </w:t>
      </w:r>
      <w:r w:rsidRPr="00EF2319">
        <w:t>it has no ability to experience the culture in its dynamics. This limits its applicability in context intensive, identity intensive settings.</w:t>
      </w:r>
    </w:p>
    <w:p w:rsidR="002F3509" w:rsidRPr="00EF2319" w:rsidRDefault="00CC6A8A">
      <w:pPr>
        <w:pStyle w:val="Heading2"/>
        <w:keepNext w:val="0"/>
        <w:keepLines w:val="0"/>
        <w:spacing w:before="360" w:after="80"/>
        <w:rPr>
          <w:sz w:val="24"/>
          <w:szCs w:val="24"/>
        </w:rPr>
      </w:pPr>
      <w:bookmarkStart w:id="19" w:name="_tmgknhyxzs7d" w:colFirst="0" w:colLast="0"/>
      <w:bookmarkEnd w:id="19"/>
      <w:r w:rsidRPr="00EF2319">
        <w:rPr>
          <w:sz w:val="24"/>
          <w:szCs w:val="24"/>
        </w:rPr>
        <w:t>8. Overall Critical Appraisal and Learning</w:t>
      </w:r>
    </w:p>
    <w:p w:rsidR="002F3509" w:rsidRPr="00EF2319" w:rsidRDefault="00CC6A8A">
      <w:r w:rsidRPr="00EF2319">
        <w:t>The subscription model was not completely altered when working with Cop</w:t>
      </w:r>
      <w:r w:rsidRPr="00EF2319">
        <w:t>ilot, yet it enhanced the soundness of its viability analysis. The AI demystified the operational risks, revealed reputational vulnerability and illuminated unseen financial assumptions. But it failed to produce any transformative understanding and complet</w:t>
      </w:r>
      <w:r w:rsidRPr="00EF2319">
        <w:t>ely understand the complexity of the structure of democratic governance. Practically, I would use AI as a decision-support system and not as a decision-maker. This practice proposes that generative AI, in small ethical businesses, acts as a cognitive ampli</w:t>
      </w:r>
      <w:r w:rsidRPr="00EF2319">
        <w:t>fier, improving the structured analysis and risk visibility, but strategic judgement, sensitivity to context and value alignment are unquestionably human functions.</w:t>
      </w:r>
    </w:p>
    <w:p w:rsidR="002F3509" w:rsidRPr="00EF2319" w:rsidRDefault="00CC6A8A">
      <w:r w:rsidRPr="00EF2319">
        <w:br w:type="page"/>
      </w:r>
    </w:p>
    <w:p w:rsidR="002F3509" w:rsidRPr="00EF2319" w:rsidRDefault="00CC6A8A">
      <w:pPr>
        <w:pStyle w:val="Heading1"/>
      </w:pPr>
      <w:bookmarkStart w:id="20" w:name="_ohg1ixxqbwj6" w:colFirst="0" w:colLast="0"/>
      <w:bookmarkEnd w:id="20"/>
      <w:r w:rsidRPr="00EF2319">
        <w:lastRenderedPageBreak/>
        <w:t>References</w:t>
      </w:r>
    </w:p>
    <w:p w:rsidR="001B5A75" w:rsidRPr="00EF2319" w:rsidRDefault="001B5A75">
      <w:pPr>
        <w:spacing w:before="240"/>
      </w:pPr>
      <w:r w:rsidRPr="00EF2319">
        <w:rPr>
          <w:highlight w:val="white"/>
        </w:rPr>
        <w:t xml:space="preserve">Bender, E. M., Gebru, T., McMillan-Major, A., and Shmitchell, S. (2021, March). On the dangers of stochastic parrots: Can language models be too big?🦜. In </w:t>
      </w:r>
      <w:r w:rsidRPr="00EF2319">
        <w:rPr>
          <w:i/>
          <w:iCs/>
          <w:highlight w:val="white"/>
        </w:rPr>
        <w:t>Proceedings of the 2021 ACM conference on fairness, accountability, and transparency</w:t>
      </w:r>
      <w:r w:rsidRPr="00EF2319">
        <w:rPr>
          <w:highlight w:val="white"/>
        </w:rPr>
        <w:t xml:space="preserve"> (pp. 610-623).</w:t>
      </w:r>
      <w:r w:rsidRPr="00EF2319">
        <w:t>‌</w:t>
      </w:r>
    </w:p>
    <w:p w:rsidR="001B5A75" w:rsidRPr="00EF2319" w:rsidRDefault="001B5A75">
      <w:pPr>
        <w:spacing w:before="240"/>
        <w:rPr>
          <w:highlight w:val="white"/>
        </w:rPr>
      </w:pPr>
      <w:r w:rsidRPr="00EF2319">
        <w:rPr>
          <w:highlight w:val="white"/>
        </w:rPr>
        <w:t xml:space="preserve">Bommasani, R., Hudson, D. A., Adeli, E., Altman, R., Arora, S., von Arx, S., ... and Liang, P. (2021). On the opportunities and risks of foundation models. </w:t>
      </w:r>
      <w:r w:rsidRPr="00EF2319">
        <w:rPr>
          <w:i/>
          <w:iCs/>
          <w:highlight w:val="white"/>
        </w:rPr>
        <w:t>arXiv preprint arXiv:2108.07258</w:t>
      </w:r>
      <w:r w:rsidRPr="00EF2319">
        <w:rPr>
          <w:highlight w:val="white"/>
        </w:rPr>
        <w:t>.</w:t>
      </w:r>
    </w:p>
    <w:p w:rsidR="001B5A75" w:rsidRPr="00EF2319" w:rsidRDefault="001B5A75">
      <w:pPr>
        <w:spacing w:before="240"/>
        <w:rPr>
          <w:highlight w:val="white"/>
        </w:rPr>
      </w:pPr>
      <w:r w:rsidRPr="00EF2319">
        <w:rPr>
          <w:highlight w:val="white"/>
        </w:rPr>
        <w:t xml:space="preserve">Brynjolfsson, E., Li, D., and Raymond, L. R. (2023). Generative AI at work. national bureau of economic research. </w:t>
      </w:r>
      <w:r w:rsidRPr="00EF2319">
        <w:rPr>
          <w:i/>
          <w:iCs/>
          <w:highlight w:val="white"/>
        </w:rPr>
        <w:t>Working Papers</w:t>
      </w:r>
      <w:r w:rsidRPr="00EF2319">
        <w:rPr>
          <w:highlight w:val="white"/>
        </w:rPr>
        <w:t>, (31161).</w:t>
      </w:r>
    </w:p>
    <w:p w:rsidR="001B5A75" w:rsidRPr="00EF2319" w:rsidRDefault="001B5A75">
      <w:pPr>
        <w:spacing w:before="240"/>
        <w:rPr>
          <w:highlight w:val="white"/>
        </w:rPr>
      </w:pPr>
      <w:r w:rsidRPr="00EF2319">
        <w:rPr>
          <w:highlight w:val="white"/>
        </w:rPr>
        <w:t>Bubeck, S., Chandrasekaran, V., Eldan, R., Gehrke, J., Horvitz, E., Kamar, E., ... and Sharick, E. (2023). Paper Review:'Sparks of Artificial General Intelligence: Early experiments with GPT-4'.</w:t>
      </w:r>
    </w:p>
    <w:p w:rsidR="001B5A75" w:rsidRPr="00EF2319" w:rsidRDefault="001B5A75">
      <w:pPr>
        <w:spacing w:before="240"/>
      </w:pPr>
      <w:r w:rsidRPr="00EF2319">
        <w:rPr>
          <w:highlight w:val="white"/>
        </w:rPr>
        <w:t xml:space="preserve">Chesbrough, H. W. (2006). The era of open innovation. </w:t>
      </w:r>
      <w:r w:rsidRPr="00EF2319">
        <w:rPr>
          <w:i/>
          <w:iCs/>
          <w:highlight w:val="white"/>
        </w:rPr>
        <w:t>Managing innovation and change</w:t>
      </w:r>
      <w:r w:rsidRPr="00EF2319">
        <w:rPr>
          <w:highlight w:val="white"/>
        </w:rPr>
        <w:t xml:space="preserve">, </w:t>
      </w:r>
      <w:r w:rsidRPr="00EF2319">
        <w:rPr>
          <w:i/>
          <w:iCs/>
          <w:highlight w:val="white"/>
        </w:rPr>
        <w:t>127</w:t>
      </w:r>
      <w:r w:rsidRPr="00EF2319">
        <w:rPr>
          <w:highlight w:val="white"/>
        </w:rPr>
        <w:t>(3), 34-41.</w:t>
      </w:r>
    </w:p>
    <w:p w:rsidR="001B5A75" w:rsidRPr="00EF2319" w:rsidRDefault="001B5A75">
      <w:pPr>
        <w:spacing w:before="240"/>
      </w:pPr>
      <w:r w:rsidRPr="00EF2319">
        <w:rPr>
          <w:highlight w:val="white"/>
        </w:rPr>
        <w:t xml:space="preserve">Dahlander, L., Gann, D. M., and Wallin, M. W. (2021). How open is innovation? A retrospective and ideas forward. </w:t>
      </w:r>
      <w:r w:rsidRPr="00EF2319">
        <w:rPr>
          <w:i/>
          <w:iCs/>
          <w:highlight w:val="white"/>
        </w:rPr>
        <w:t>Research Policy</w:t>
      </w:r>
      <w:r w:rsidRPr="00EF2319">
        <w:rPr>
          <w:highlight w:val="white"/>
        </w:rPr>
        <w:t xml:space="preserve">, </w:t>
      </w:r>
      <w:r w:rsidRPr="00EF2319">
        <w:rPr>
          <w:i/>
          <w:iCs/>
          <w:highlight w:val="white"/>
        </w:rPr>
        <w:t>50</w:t>
      </w:r>
      <w:r w:rsidRPr="00EF2319">
        <w:rPr>
          <w:highlight w:val="white"/>
        </w:rPr>
        <w:t>(4), 104218.</w:t>
      </w:r>
    </w:p>
    <w:p w:rsidR="001B5A75" w:rsidRPr="00EF2319" w:rsidRDefault="001B5A75">
      <w:pPr>
        <w:spacing w:before="240"/>
      </w:pPr>
      <w:r w:rsidRPr="00EF2319">
        <w:rPr>
          <w:highlight w:val="white"/>
        </w:rPr>
        <w:t xml:space="preserve">Edmondson, A. (1999). Psychological safety and learning behavior in work teams. </w:t>
      </w:r>
      <w:r w:rsidRPr="00EF2319">
        <w:rPr>
          <w:i/>
          <w:iCs/>
          <w:highlight w:val="white"/>
        </w:rPr>
        <w:t>Administrative science quarterly</w:t>
      </w:r>
      <w:r w:rsidRPr="00EF2319">
        <w:rPr>
          <w:highlight w:val="white"/>
        </w:rPr>
        <w:t xml:space="preserve">, </w:t>
      </w:r>
      <w:r w:rsidRPr="00EF2319">
        <w:rPr>
          <w:i/>
          <w:iCs/>
          <w:highlight w:val="white"/>
        </w:rPr>
        <w:t>44</w:t>
      </w:r>
      <w:r w:rsidRPr="00EF2319">
        <w:rPr>
          <w:highlight w:val="white"/>
        </w:rPr>
        <w:t>(2), 350-383.</w:t>
      </w:r>
    </w:p>
    <w:p w:rsidR="001B5A75" w:rsidRPr="00EF2319" w:rsidRDefault="001B5A75">
      <w:pPr>
        <w:spacing w:before="240"/>
      </w:pPr>
      <w:r w:rsidRPr="00EF2319">
        <w:rPr>
          <w:highlight w:val="white"/>
        </w:rPr>
        <w:t xml:space="preserve">Ferreira, J., Ferreira, C., and Bos, E. (2021). Spaces of consumption, connection, and community: Exploring the role of the coffee shop in urban lives. </w:t>
      </w:r>
      <w:r w:rsidRPr="00EF2319">
        <w:rPr>
          <w:i/>
          <w:iCs/>
          <w:highlight w:val="white"/>
        </w:rPr>
        <w:t>Geoforum</w:t>
      </w:r>
      <w:r w:rsidRPr="00EF2319">
        <w:rPr>
          <w:highlight w:val="white"/>
        </w:rPr>
        <w:t xml:space="preserve">, </w:t>
      </w:r>
      <w:r w:rsidRPr="00EF2319">
        <w:rPr>
          <w:i/>
          <w:iCs/>
          <w:highlight w:val="white"/>
        </w:rPr>
        <w:t>119</w:t>
      </w:r>
      <w:r w:rsidRPr="00EF2319">
        <w:rPr>
          <w:highlight w:val="white"/>
        </w:rPr>
        <w:t>, 21-29.</w:t>
      </w:r>
    </w:p>
    <w:p w:rsidR="001B5A75" w:rsidRPr="00EF2319" w:rsidRDefault="001B5A75">
      <w:pPr>
        <w:spacing w:before="240"/>
      </w:pPr>
      <w:r w:rsidRPr="00EF2319">
        <w:rPr>
          <w:highlight w:val="white"/>
        </w:rPr>
        <w:t xml:space="preserve">Francis, D., and Bessant, J. (2005). Targeting innovation and implications for capability development. </w:t>
      </w:r>
      <w:r w:rsidRPr="00EF2319">
        <w:rPr>
          <w:i/>
          <w:iCs/>
          <w:highlight w:val="white"/>
        </w:rPr>
        <w:t>Technovation</w:t>
      </w:r>
      <w:r w:rsidRPr="00EF2319">
        <w:rPr>
          <w:highlight w:val="white"/>
        </w:rPr>
        <w:t xml:space="preserve">, </w:t>
      </w:r>
      <w:r w:rsidRPr="00EF2319">
        <w:rPr>
          <w:i/>
          <w:iCs/>
          <w:highlight w:val="white"/>
        </w:rPr>
        <w:t>25</w:t>
      </w:r>
      <w:r w:rsidRPr="00EF2319">
        <w:rPr>
          <w:highlight w:val="white"/>
        </w:rPr>
        <w:t>(3), 171-183.</w:t>
      </w:r>
    </w:p>
    <w:p w:rsidR="001B5A75" w:rsidRPr="00EF2319" w:rsidRDefault="001B5A75">
      <w:pPr>
        <w:spacing w:before="240"/>
        <w:rPr>
          <w:highlight w:val="white"/>
        </w:rPr>
      </w:pPr>
      <w:r w:rsidRPr="00EF2319">
        <w:rPr>
          <w:highlight w:val="white"/>
        </w:rPr>
        <w:t xml:space="preserve">Kshetri, N., Hughes, L., louise Slade, E., Jeyaraj, A., kumar Kar, A., Koohang, A., ... and Wright, R. (2023). “So what if ChatGPT wrote it?” Multidisciplinary perspectives on opportunities, challenges and implications of generative conversational AI for research, practice and policy. </w:t>
      </w:r>
      <w:r w:rsidRPr="00EF2319">
        <w:rPr>
          <w:i/>
          <w:iCs/>
          <w:highlight w:val="white"/>
        </w:rPr>
        <w:t>International Journal of Information Management</w:t>
      </w:r>
      <w:r w:rsidRPr="00EF2319">
        <w:rPr>
          <w:highlight w:val="white"/>
        </w:rPr>
        <w:t xml:space="preserve">, </w:t>
      </w:r>
      <w:r w:rsidRPr="00EF2319">
        <w:rPr>
          <w:i/>
          <w:iCs/>
          <w:highlight w:val="white"/>
        </w:rPr>
        <w:t>71</w:t>
      </w:r>
      <w:r w:rsidRPr="00EF2319">
        <w:rPr>
          <w:highlight w:val="white"/>
        </w:rPr>
        <w:t>, 102642.</w:t>
      </w:r>
    </w:p>
    <w:p w:rsidR="001B5A75" w:rsidRPr="00EF2319" w:rsidRDefault="001B5A75">
      <w:pPr>
        <w:spacing w:before="240"/>
      </w:pPr>
      <w:r w:rsidRPr="00EF2319">
        <w:rPr>
          <w:highlight w:val="white"/>
        </w:rPr>
        <w:lastRenderedPageBreak/>
        <w:t>Lewin, K. (1951). Field theory in social science: selected theoretical papers (Edited by Dorwin Cartwright.).</w:t>
      </w:r>
    </w:p>
    <w:p w:rsidR="001B5A75" w:rsidRPr="00EF2319" w:rsidRDefault="001B5A75">
      <w:r w:rsidRPr="00EF2319">
        <w:t xml:space="preserve">Manners-Bell, J. and Lyon, K. (2022) </w:t>
      </w:r>
      <w:r w:rsidRPr="00EF2319">
        <w:rPr>
          <w:i/>
          <w:iCs/>
        </w:rPr>
        <w:t>Logistics and Supply Chain Innovation: A practical guide to disruptive technologies and new business models</w:t>
      </w:r>
      <w:r w:rsidRPr="00EF2319">
        <w:t>. 2nd edn. London: Kogan Page</w:t>
      </w:r>
    </w:p>
    <w:p w:rsidR="001B5A75" w:rsidRPr="00EF2319" w:rsidRDefault="001B5A75">
      <w:r w:rsidRPr="00EF2319">
        <w:t xml:space="preserve">Microsoft Copilot (2025). </w:t>
      </w:r>
      <w:r w:rsidRPr="00EF2319">
        <w:rPr>
          <w:i/>
          <w:iCs/>
        </w:rPr>
        <w:t>Microsoft Copilot</w:t>
      </w:r>
      <w:r w:rsidRPr="00EF2319">
        <w:t>. Available at: https://copilot.microsoft.com/.</w:t>
      </w:r>
    </w:p>
    <w:p w:rsidR="001B5A75" w:rsidRPr="00EF2319" w:rsidRDefault="001B5A75">
      <w:pPr>
        <w:spacing w:before="240"/>
      </w:pPr>
      <w:r w:rsidRPr="00EF2319">
        <w:rPr>
          <w:highlight w:val="white"/>
        </w:rPr>
        <w:t xml:space="preserve">Mogård, E. V., Rørstad, O. B., and Bang, H. (2022). The relationship between psychological safety and management team effectiveness: the mediating role of behavioral integration. </w:t>
      </w:r>
      <w:r w:rsidRPr="00EF2319">
        <w:rPr>
          <w:i/>
          <w:iCs/>
          <w:highlight w:val="white"/>
        </w:rPr>
        <w:t>International journal of environmental research and public health</w:t>
      </w:r>
      <w:r w:rsidRPr="00EF2319">
        <w:rPr>
          <w:highlight w:val="white"/>
        </w:rPr>
        <w:t xml:space="preserve">, </w:t>
      </w:r>
      <w:r w:rsidRPr="00EF2319">
        <w:rPr>
          <w:i/>
          <w:iCs/>
          <w:highlight w:val="white"/>
        </w:rPr>
        <w:t>20</w:t>
      </w:r>
      <w:r w:rsidRPr="00EF2319">
        <w:rPr>
          <w:highlight w:val="white"/>
        </w:rPr>
        <w:t>(1), 406.</w:t>
      </w:r>
    </w:p>
    <w:p w:rsidR="001B5A75" w:rsidRPr="00EF2319" w:rsidRDefault="001B5A75">
      <w:pPr>
        <w:spacing w:before="240"/>
      </w:pPr>
      <w:r w:rsidRPr="00EF2319">
        <w:t xml:space="preserve">Office for National Statistics (2025) </w:t>
      </w:r>
      <w:r w:rsidRPr="00EF2319">
        <w:rPr>
          <w:i/>
          <w:iCs/>
        </w:rPr>
        <w:t>The impact of higher energy costs on UK businesses: 2021 to 2024</w:t>
      </w:r>
      <w:r w:rsidRPr="00EF2319">
        <w:t>. 19 May. Available at: https://www.ons.gov.uk/economy/economicoutputandproductivity/output/articles/theimpactofhigherenergycostsonukbusinesses/2021to2024 (Accessed: 24 February 2026).</w:t>
      </w:r>
    </w:p>
    <w:p w:rsidR="001B5A75" w:rsidRPr="00EF2319" w:rsidRDefault="001B5A75">
      <w:r w:rsidRPr="00EF2319">
        <w:t xml:space="preserve">Priyono, A., Moin, A. and Piper, I. (2024). Empowerment of a Community-Based Coffee Shop to Develop an Entrepreneurial Ecosystem through Collaboration with Stakeholders. </w:t>
      </w:r>
      <w:r w:rsidRPr="00EF2319">
        <w:rPr>
          <w:i/>
          <w:iCs/>
        </w:rPr>
        <w:t>Asian Journal of Community Services</w:t>
      </w:r>
      <w:r w:rsidRPr="00EF2319">
        <w:t>, 3(9), pp.845–858. doi:https://doi.org/10.55927/ajcs.v3i9.11197.</w:t>
      </w:r>
    </w:p>
    <w:p w:rsidR="001B5A75" w:rsidRPr="00EF2319" w:rsidRDefault="001B5A75">
      <w:bookmarkStart w:id="21" w:name="_24ikarc4bs7f" w:colFirst="0" w:colLast="0"/>
      <w:bookmarkEnd w:id="21"/>
      <w:r w:rsidRPr="00EF2319">
        <w:t xml:space="preserve">Thomas, J. (1985). Force field analysis: A new way to evaluate your strategy. </w:t>
      </w:r>
      <w:r w:rsidRPr="00EF2319">
        <w:rPr>
          <w:i/>
          <w:iCs/>
        </w:rPr>
        <w:t>Long Range Planning</w:t>
      </w:r>
      <w:r w:rsidRPr="00EF2319">
        <w:t>, 18(6), pp.54–59. doi:https://doi.org/10.1016/0024-6301(85)90064-0.</w:t>
      </w:r>
    </w:p>
    <w:p w:rsidR="001B5A75" w:rsidRPr="00EF2319" w:rsidRDefault="001B5A75">
      <w:r w:rsidRPr="00EF2319">
        <w:t xml:space="preserve">Tidd, J. (2018) </w:t>
      </w:r>
      <w:r w:rsidRPr="00EF2319">
        <w:rPr>
          <w:i/>
          <w:iCs/>
        </w:rPr>
        <w:t>Managing Innovation: integrating technological, market and organizational change</w:t>
      </w:r>
      <w:r w:rsidRPr="00EF2319">
        <w:t>. 6th edn. Hoboken: Wiley</w:t>
      </w:r>
    </w:p>
    <w:p w:rsidR="001B5A75" w:rsidRPr="00EF2319" w:rsidRDefault="001B5A75">
      <w:pPr>
        <w:spacing w:before="240"/>
      </w:pPr>
      <w:r w:rsidRPr="00EF2319">
        <w:rPr>
          <w:highlight w:val="white"/>
        </w:rPr>
        <w:t xml:space="preserve">Tidd, J., and Bessant, J. R. (2014). </w:t>
      </w:r>
      <w:r w:rsidRPr="00EF2319">
        <w:rPr>
          <w:i/>
          <w:iCs/>
          <w:highlight w:val="white"/>
        </w:rPr>
        <w:t>Strategic innovation management</w:t>
      </w:r>
      <w:r w:rsidRPr="00EF2319">
        <w:rPr>
          <w:highlight w:val="white"/>
        </w:rPr>
        <w:t>. John Wiley &amp; Sons.</w:t>
      </w:r>
    </w:p>
    <w:p w:rsidR="001B5A75" w:rsidRPr="00EF2319" w:rsidRDefault="001B5A75">
      <w:r w:rsidRPr="00EF2319">
        <w:t xml:space="preserve">Trott, P. (2016) </w:t>
      </w:r>
      <w:r w:rsidRPr="00EF2319">
        <w:rPr>
          <w:i/>
          <w:iCs/>
        </w:rPr>
        <w:t>Innovative management and new product development</w:t>
      </w:r>
      <w:r w:rsidRPr="00EF2319">
        <w:t>. 6th edn. Harlow: Pearson</w:t>
      </w:r>
    </w:p>
    <w:p w:rsidR="001B5A75" w:rsidRPr="00EF2319" w:rsidRDefault="001B5A75">
      <w:pPr>
        <w:spacing w:before="240"/>
        <w:rPr>
          <w:highlight w:val="white"/>
        </w:rPr>
      </w:pPr>
      <w:r w:rsidRPr="00EF2319">
        <w:rPr>
          <w:highlight w:val="white"/>
        </w:rPr>
        <w:t xml:space="preserve">Wang, G., and Karia, N. (2024). 4Ps marketing strategy innovation of fresh food e-commerce in the background of big data. </w:t>
      </w:r>
      <w:r w:rsidRPr="00EF2319">
        <w:rPr>
          <w:i/>
          <w:iCs/>
          <w:highlight w:val="white"/>
        </w:rPr>
        <w:t>Global Business &amp; Management Research</w:t>
      </w:r>
      <w:r w:rsidRPr="00EF2319">
        <w:rPr>
          <w:highlight w:val="white"/>
        </w:rPr>
        <w:t xml:space="preserve">, </w:t>
      </w:r>
      <w:r w:rsidRPr="00EF2319">
        <w:rPr>
          <w:i/>
          <w:iCs/>
          <w:highlight w:val="white"/>
        </w:rPr>
        <w:t>16</w:t>
      </w:r>
      <w:r w:rsidRPr="00EF2319">
        <w:rPr>
          <w:highlight w:val="white"/>
        </w:rPr>
        <w:t>.</w:t>
      </w:r>
    </w:p>
    <w:p w:rsidR="001B5A75" w:rsidRPr="00EF2319" w:rsidRDefault="001B5A75">
      <w:pPr>
        <w:spacing w:before="240"/>
      </w:pPr>
      <w:r w:rsidRPr="00EF2319">
        <w:rPr>
          <w:highlight w:val="white"/>
        </w:rPr>
        <w:t xml:space="preserve">Wright, D. R., Bekessy, S. A., Lentini, P. E., Garrard, G. E., Gordon, A., Rodewald, A. D., ... and Selinske, M. J. (2024). Sustainable coffee: A review of the diverse initiatives and governance dimensions of global coffee supply chains. </w:t>
      </w:r>
      <w:r w:rsidRPr="00EF2319">
        <w:rPr>
          <w:i/>
          <w:iCs/>
          <w:highlight w:val="white"/>
        </w:rPr>
        <w:t>Ambio</w:t>
      </w:r>
      <w:r w:rsidRPr="00EF2319">
        <w:rPr>
          <w:highlight w:val="white"/>
        </w:rPr>
        <w:t xml:space="preserve">, </w:t>
      </w:r>
      <w:r w:rsidRPr="00EF2319">
        <w:rPr>
          <w:i/>
          <w:iCs/>
          <w:highlight w:val="white"/>
        </w:rPr>
        <w:t>53</w:t>
      </w:r>
      <w:r w:rsidRPr="00EF2319">
        <w:rPr>
          <w:highlight w:val="white"/>
        </w:rPr>
        <w:t>(7), 984-1001.</w:t>
      </w:r>
    </w:p>
    <w:p w:rsidR="002F3509" w:rsidRPr="00EF2319" w:rsidRDefault="002F3509"/>
    <w:p w:rsidR="002F3509" w:rsidRPr="00EF2319" w:rsidRDefault="00CC6A8A">
      <w:r w:rsidRPr="00EF2319">
        <w:br w:type="page"/>
      </w:r>
    </w:p>
    <w:p w:rsidR="002F3509" w:rsidRPr="00EF2319" w:rsidRDefault="00CC6A8A">
      <w:pPr>
        <w:pStyle w:val="Heading1"/>
      </w:pPr>
      <w:bookmarkStart w:id="22" w:name="_52s8e4fm71b" w:colFirst="0" w:colLast="0"/>
      <w:bookmarkEnd w:id="22"/>
      <w:r w:rsidRPr="00EF2319">
        <w:lastRenderedPageBreak/>
        <w:t>Appendix</w:t>
      </w:r>
    </w:p>
    <w:p w:rsidR="002F3509" w:rsidRPr="00EF2319" w:rsidRDefault="00CC6A8A">
      <w:r w:rsidRPr="00EF2319">
        <w:rPr>
          <w:b/>
          <w:bCs/>
        </w:rPr>
        <w:t>Ch</w:t>
      </w:r>
      <w:r w:rsidRPr="00EF2319">
        <w:rPr>
          <w:b/>
          <w:bCs/>
        </w:rPr>
        <w:t xml:space="preserve">at Link: </w:t>
      </w:r>
      <w:hyperlink r:id="rId8">
        <w:r w:rsidR="002F3509" w:rsidRPr="00EF2319">
          <w:rPr>
            <w:color w:val="1155CC"/>
            <w:u w:val="single"/>
          </w:rPr>
          <w:t>https://copilot.microsoft.com/shares/EDkWtjFDbagKDLkTqQMpx</w:t>
        </w:r>
      </w:hyperlink>
    </w:p>
    <w:p w:rsidR="002F3509" w:rsidRPr="00EF2319" w:rsidRDefault="00CC6A8A">
      <w:r w:rsidRPr="00EF2319">
        <w:rPr>
          <w:noProof/>
          <w:lang w:val="en-US" w:eastAsia="en-US"/>
        </w:rPr>
        <w:drawing>
          <wp:inline distT="114300" distB="114300" distL="114300" distR="114300">
            <wp:extent cx="4433911" cy="4994936"/>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433911" cy="4994936"/>
                    </a:xfrm>
                    <a:prstGeom prst="rect">
                      <a:avLst/>
                    </a:prstGeom>
                    <a:ln/>
                  </pic:spPr>
                </pic:pic>
              </a:graphicData>
            </a:graphic>
          </wp:inline>
        </w:drawing>
      </w:r>
    </w:p>
    <w:p w:rsidR="002F3509" w:rsidRPr="00EF2319" w:rsidRDefault="00CC6A8A">
      <w:r w:rsidRPr="00EF2319">
        <w:rPr>
          <w:noProof/>
          <w:lang w:val="en-US" w:eastAsia="en-US"/>
        </w:rPr>
        <w:lastRenderedPageBreak/>
        <w:drawing>
          <wp:inline distT="114300" distB="114300" distL="114300" distR="114300">
            <wp:extent cx="3846195" cy="3892092"/>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3846195" cy="3892092"/>
                    </a:xfrm>
                    <a:prstGeom prst="rect">
                      <a:avLst/>
                    </a:prstGeom>
                    <a:ln/>
                  </pic:spPr>
                </pic:pic>
              </a:graphicData>
            </a:graphic>
          </wp:inline>
        </w:drawing>
      </w:r>
    </w:p>
    <w:p w:rsidR="002F3509" w:rsidRPr="00EF2319" w:rsidRDefault="00CC6A8A">
      <w:r w:rsidRPr="00EF2319">
        <w:rPr>
          <w:noProof/>
          <w:lang w:val="en-US" w:eastAsia="en-US"/>
        </w:rPr>
        <w:drawing>
          <wp:inline distT="114300" distB="114300" distL="114300" distR="114300">
            <wp:extent cx="3739515" cy="4430512"/>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739515" cy="4430512"/>
                    </a:xfrm>
                    <a:prstGeom prst="rect">
                      <a:avLst/>
                    </a:prstGeom>
                    <a:ln/>
                  </pic:spPr>
                </pic:pic>
              </a:graphicData>
            </a:graphic>
          </wp:inline>
        </w:drawing>
      </w:r>
    </w:p>
    <w:p w:rsidR="002F3509" w:rsidRPr="00EF2319" w:rsidRDefault="00CC6A8A">
      <w:r w:rsidRPr="00EF2319">
        <w:rPr>
          <w:noProof/>
          <w:lang w:val="en-US" w:eastAsia="en-US"/>
        </w:rPr>
        <w:lastRenderedPageBreak/>
        <w:drawing>
          <wp:inline distT="114300" distB="114300" distL="114300" distR="114300">
            <wp:extent cx="3937635" cy="4390952"/>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3937635" cy="4390952"/>
                    </a:xfrm>
                    <a:prstGeom prst="rect">
                      <a:avLst/>
                    </a:prstGeom>
                    <a:ln/>
                  </pic:spPr>
                </pic:pic>
              </a:graphicData>
            </a:graphic>
          </wp:inline>
        </w:drawing>
      </w:r>
    </w:p>
    <w:p w:rsidR="002F3509" w:rsidRPr="00EF2319" w:rsidRDefault="00CC6A8A">
      <w:r w:rsidRPr="00EF2319">
        <w:rPr>
          <w:noProof/>
          <w:lang w:val="en-US" w:eastAsia="en-US"/>
        </w:rPr>
        <w:lastRenderedPageBreak/>
        <w:drawing>
          <wp:inline distT="114300" distB="114300" distL="114300" distR="114300">
            <wp:extent cx="5141049" cy="5747385"/>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141049" cy="5747385"/>
                    </a:xfrm>
                    <a:prstGeom prst="rect">
                      <a:avLst/>
                    </a:prstGeom>
                    <a:ln/>
                  </pic:spPr>
                </pic:pic>
              </a:graphicData>
            </a:graphic>
          </wp:inline>
        </w:drawing>
      </w:r>
    </w:p>
    <w:p w:rsidR="002F3509" w:rsidRPr="00EF2319" w:rsidRDefault="00CC6A8A">
      <w:r w:rsidRPr="00EF2319">
        <w:rPr>
          <w:noProof/>
          <w:lang w:val="en-US" w:eastAsia="en-US"/>
        </w:rPr>
        <w:lastRenderedPageBreak/>
        <w:drawing>
          <wp:inline distT="114300" distB="114300" distL="114300" distR="114300">
            <wp:extent cx="4806315" cy="5299013"/>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4806315" cy="5299013"/>
                    </a:xfrm>
                    <a:prstGeom prst="rect">
                      <a:avLst/>
                    </a:prstGeom>
                    <a:ln/>
                  </pic:spPr>
                </pic:pic>
              </a:graphicData>
            </a:graphic>
          </wp:inline>
        </w:drawing>
      </w:r>
      <w:r w:rsidRPr="00EF2319">
        <w:rPr>
          <w:noProof/>
          <w:lang w:val="en-US" w:eastAsia="en-US"/>
        </w:rPr>
        <w:drawing>
          <wp:inline distT="114300" distB="114300" distL="114300" distR="114300">
            <wp:extent cx="5141595" cy="2434144"/>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141595" cy="2434144"/>
                    </a:xfrm>
                    <a:prstGeom prst="rect">
                      <a:avLst/>
                    </a:prstGeom>
                    <a:ln/>
                  </pic:spPr>
                </pic:pic>
              </a:graphicData>
            </a:graphic>
          </wp:inline>
        </w:drawing>
      </w:r>
    </w:p>
    <w:p w:rsidR="002F3509" w:rsidRPr="00EF2319" w:rsidRDefault="002F3509"/>
    <w:p w:rsidR="002F3509" w:rsidRPr="00EF2319" w:rsidRDefault="002F3509"/>
    <w:p w:rsidR="002F3509" w:rsidRDefault="002F3509"/>
    <w:sectPr w:rsidR="002F3509" w:rsidSect="004A05E8">
      <w:footerReference w:type="default" r:id="rId16"/>
      <w:footerReference w:type="first" r:id="rId17"/>
      <w:pgSz w:w="11906" w:h="16838"/>
      <w:pgMar w:top="1440" w:right="1440" w:bottom="1440" w:left="1440"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6A8A" w:rsidRPr="00EF2319" w:rsidRDefault="00CC6A8A">
      <w:pPr>
        <w:spacing w:after="0" w:line="240" w:lineRule="auto"/>
      </w:pPr>
      <w:r w:rsidRPr="00EF2319">
        <w:separator/>
      </w:r>
    </w:p>
  </w:endnote>
  <w:endnote w:type="continuationSeparator" w:id="1">
    <w:p w:rsidR="00CC6A8A" w:rsidRPr="00EF2319" w:rsidRDefault="00CC6A8A">
      <w:pPr>
        <w:spacing w:after="0" w:line="240" w:lineRule="auto"/>
      </w:pPr>
      <w:r w:rsidRPr="00EF2319">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A242FD1-0228-47BF-AE80-66DDCB2FA4F8}"/>
  </w:font>
  <w:font w:name="Calibri">
    <w:panose1 w:val="020F0502020204030204"/>
    <w:charset w:val="00"/>
    <w:family w:val="swiss"/>
    <w:pitch w:val="variable"/>
    <w:sig w:usb0="E4002EFF" w:usb1="C000247B" w:usb2="00000009" w:usb3="00000000" w:csb0="000001FF" w:csb1="00000000"/>
    <w:embedRegular r:id="rId2" w:fontKey="{E0C48EE5-A660-4048-9676-9E3AB0F1DCF1}"/>
  </w:font>
  <w:font w:name="Cambria">
    <w:panose1 w:val="02040503050406030204"/>
    <w:charset w:val="00"/>
    <w:family w:val="roman"/>
    <w:pitch w:val="variable"/>
    <w:sig w:usb0="E00006FF" w:usb1="420024FF" w:usb2="02000000" w:usb3="00000000" w:csb0="0000019F" w:csb1="00000000"/>
    <w:embedRegular r:id="rId3" w:fontKey="{6EA6D888-3AFB-4DBB-9C9B-7110D49E07A2}"/>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509" w:rsidRPr="00EF2319" w:rsidRDefault="004A05E8">
    <w:pPr>
      <w:jc w:val="right"/>
    </w:pPr>
    <w:r w:rsidRPr="00EF2319">
      <w:fldChar w:fldCharType="begin"/>
    </w:r>
    <w:r w:rsidR="00CC6A8A" w:rsidRPr="00EF2319">
      <w:instrText>PAGE</w:instrText>
    </w:r>
    <w:r w:rsidRPr="00EF2319">
      <w:fldChar w:fldCharType="separate"/>
    </w:r>
    <w:r w:rsidR="00320AB7">
      <w:rPr>
        <w:noProof/>
      </w:rPr>
      <w:t>6</w:t>
    </w:r>
    <w:r w:rsidRPr="00EF2319">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509" w:rsidRPr="00EF2319" w:rsidRDefault="002F350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6A8A" w:rsidRPr="00EF2319" w:rsidRDefault="00CC6A8A">
      <w:pPr>
        <w:spacing w:after="0" w:line="240" w:lineRule="auto"/>
      </w:pPr>
      <w:r w:rsidRPr="00EF2319">
        <w:separator/>
      </w:r>
    </w:p>
  </w:footnote>
  <w:footnote w:type="continuationSeparator" w:id="1">
    <w:p w:rsidR="00CC6A8A" w:rsidRPr="00EF2319" w:rsidRDefault="00CC6A8A">
      <w:pPr>
        <w:spacing w:after="0" w:line="240" w:lineRule="auto"/>
      </w:pPr>
      <w:r w:rsidRPr="00EF2319">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TrueTypeFonts/>
  <w:defaultTabStop w:val="720"/>
  <w:characterSpacingControl w:val="doNotCompress"/>
  <w:footnotePr>
    <w:footnote w:id="0"/>
    <w:footnote w:id="1"/>
  </w:footnotePr>
  <w:endnotePr>
    <w:endnote w:id="0"/>
    <w:endnote w:id="1"/>
  </w:endnotePr>
  <w:compat/>
  <w:rsids>
    <w:rsidRoot w:val="002F3509"/>
    <w:rsid w:val="000C0EDD"/>
    <w:rsid w:val="001B5A75"/>
    <w:rsid w:val="002F3509"/>
    <w:rsid w:val="00320AB7"/>
    <w:rsid w:val="004A05E8"/>
    <w:rsid w:val="0095256B"/>
    <w:rsid w:val="00CC6A8A"/>
    <w:rsid w:val="00D55571"/>
    <w:rsid w:val="00EF2319"/>
    <w:rsid w:val="00F4199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eastAsia="en-GB"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05E8"/>
    <w:rPr>
      <w:lang w:val="en-GB"/>
    </w:rPr>
  </w:style>
  <w:style w:type="paragraph" w:styleId="Heading1">
    <w:name w:val="heading 1"/>
    <w:basedOn w:val="Normal"/>
    <w:next w:val="Normal"/>
    <w:uiPriority w:val="9"/>
    <w:qFormat/>
    <w:rsid w:val="004A05E8"/>
    <w:pPr>
      <w:keepNext/>
      <w:keepLines/>
      <w:spacing w:before="400" w:after="120"/>
      <w:outlineLvl w:val="0"/>
    </w:pPr>
    <w:rPr>
      <w:b/>
      <w:bCs/>
      <w:sz w:val="28"/>
      <w:szCs w:val="28"/>
    </w:rPr>
  </w:style>
  <w:style w:type="paragraph" w:styleId="Heading2">
    <w:name w:val="heading 2"/>
    <w:basedOn w:val="Normal"/>
    <w:next w:val="Normal"/>
    <w:uiPriority w:val="9"/>
    <w:unhideWhenUsed/>
    <w:qFormat/>
    <w:rsid w:val="004A05E8"/>
    <w:pPr>
      <w:keepNext/>
      <w:keepLines/>
      <w:spacing w:before="400" w:after="120"/>
      <w:outlineLvl w:val="1"/>
    </w:pPr>
    <w:rPr>
      <w:b/>
      <w:bCs/>
      <w:sz w:val="26"/>
      <w:szCs w:val="26"/>
    </w:rPr>
  </w:style>
  <w:style w:type="paragraph" w:styleId="Heading3">
    <w:name w:val="heading 3"/>
    <w:basedOn w:val="Normal"/>
    <w:next w:val="Normal"/>
    <w:uiPriority w:val="9"/>
    <w:unhideWhenUsed/>
    <w:qFormat/>
    <w:rsid w:val="004A05E8"/>
    <w:pPr>
      <w:keepNext/>
      <w:keepLines/>
      <w:spacing w:before="400" w:after="120"/>
      <w:outlineLvl w:val="2"/>
    </w:pPr>
    <w:rPr>
      <w:b/>
      <w:bCs/>
    </w:rPr>
  </w:style>
  <w:style w:type="paragraph" w:styleId="Heading4">
    <w:name w:val="heading 4"/>
    <w:basedOn w:val="Normal"/>
    <w:next w:val="Normal"/>
    <w:uiPriority w:val="9"/>
    <w:semiHidden/>
    <w:unhideWhenUsed/>
    <w:qFormat/>
    <w:rsid w:val="004A05E8"/>
    <w:pPr>
      <w:keepNext/>
      <w:keepLines/>
      <w:spacing w:before="400" w:after="120"/>
      <w:outlineLvl w:val="3"/>
    </w:pPr>
    <w:rPr>
      <w:b/>
      <w:bCs/>
    </w:rPr>
  </w:style>
  <w:style w:type="paragraph" w:styleId="Heading5">
    <w:name w:val="heading 5"/>
    <w:basedOn w:val="Normal"/>
    <w:next w:val="Normal"/>
    <w:uiPriority w:val="9"/>
    <w:semiHidden/>
    <w:unhideWhenUsed/>
    <w:qFormat/>
    <w:rsid w:val="004A05E8"/>
    <w:pPr>
      <w:keepNext/>
      <w:keepLines/>
      <w:spacing w:before="400" w:after="120"/>
      <w:outlineLvl w:val="4"/>
    </w:pPr>
    <w:rPr>
      <w:b/>
      <w:bCs/>
    </w:rPr>
  </w:style>
  <w:style w:type="paragraph" w:styleId="Heading6">
    <w:name w:val="heading 6"/>
    <w:basedOn w:val="Normal"/>
    <w:next w:val="Normal"/>
    <w:uiPriority w:val="9"/>
    <w:semiHidden/>
    <w:unhideWhenUsed/>
    <w:qFormat/>
    <w:rsid w:val="004A05E8"/>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4A05E8"/>
    <w:tblPr>
      <w:tblCellMar>
        <w:top w:w="100" w:type="dxa"/>
        <w:left w:w="100" w:type="dxa"/>
        <w:bottom w:w="100" w:type="dxa"/>
        <w:right w:w="100" w:type="dxa"/>
      </w:tblCellMar>
    </w:tblPr>
  </w:style>
  <w:style w:type="paragraph" w:styleId="Title">
    <w:name w:val="Title"/>
    <w:basedOn w:val="Normal"/>
    <w:next w:val="Normal"/>
    <w:uiPriority w:val="10"/>
    <w:qFormat/>
    <w:rsid w:val="004A05E8"/>
    <w:pPr>
      <w:keepNext/>
      <w:keepLines/>
      <w:spacing w:after="60"/>
    </w:pPr>
    <w:rPr>
      <w:b/>
      <w:bCs/>
      <w:sz w:val="36"/>
      <w:szCs w:val="36"/>
    </w:rPr>
  </w:style>
  <w:style w:type="paragraph" w:styleId="Subtitle">
    <w:name w:val="Subtitle"/>
    <w:basedOn w:val="Normal"/>
    <w:next w:val="Normal"/>
    <w:uiPriority w:val="11"/>
    <w:qFormat/>
    <w:rsid w:val="004A05E8"/>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320A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AB7"/>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pilot.microsoft.com/shares/EDkWtjFDbagKDLkTqQMpx" TargetMode="External"/><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5047</Words>
  <Characters>28768</Characters>
  <Application>Microsoft Office Word</Application>
  <DocSecurity>0</DocSecurity>
  <Lines>239</Lines>
  <Paragraphs>67</Paragraphs>
  <ScaleCrop>false</ScaleCrop>
  <Company/>
  <LinksUpToDate>false</LinksUpToDate>
  <CharactersWithSpaces>33748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AutoMoto2</cp:lastModifiedBy>
  <cp:revision>3</cp:revision>
  <dcterms:created xsi:type="dcterms:W3CDTF">2026-02-24T11:47:00Z</dcterms:created>
  <dcterms:modified xsi:type="dcterms:W3CDTF">2026-02-24T20:55:00Z</dcterms:modified>
</cp:coreProperties>
</file>