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11D02" w14:textId="77777777" w:rsidR="004D1154" w:rsidRDefault="004D1154" w:rsidP="004D1154">
      <w:pPr>
        <w:ind w:left="720"/>
        <w:rPr>
          <w:rFonts w:ascii="Arial" w:hAnsi="Arial" w:cs="Arial"/>
          <w:sz w:val="24"/>
          <w:szCs w:val="24"/>
        </w:rPr>
      </w:pPr>
    </w:p>
    <w:p w14:paraId="5F1A31CA" w14:textId="77777777" w:rsidR="00746A7A" w:rsidRDefault="00746A7A" w:rsidP="004D1154">
      <w:pPr>
        <w:ind w:left="720"/>
        <w:rPr>
          <w:rFonts w:ascii="Arial" w:hAnsi="Arial" w:cs="Arial"/>
          <w:sz w:val="24"/>
          <w:szCs w:val="24"/>
        </w:rPr>
      </w:pPr>
    </w:p>
    <w:p w14:paraId="7164B4E2" w14:textId="77777777" w:rsidR="00746A7A" w:rsidRDefault="00746A7A" w:rsidP="004D1154">
      <w:pPr>
        <w:ind w:left="720"/>
        <w:rPr>
          <w:rFonts w:ascii="Arial" w:hAnsi="Arial" w:cs="Arial"/>
          <w:sz w:val="24"/>
          <w:szCs w:val="24"/>
        </w:rPr>
      </w:pPr>
    </w:p>
    <w:p w14:paraId="1D89D631" w14:textId="77777777" w:rsidR="00746A7A" w:rsidRDefault="00746A7A" w:rsidP="004D1154">
      <w:pPr>
        <w:ind w:left="720"/>
        <w:rPr>
          <w:rFonts w:ascii="Arial" w:hAnsi="Arial" w:cs="Arial"/>
          <w:sz w:val="24"/>
          <w:szCs w:val="24"/>
        </w:rPr>
      </w:pPr>
    </w:p>
    <w:p w14:paraId="585284EE" w14:textId="0A1B9040" w:rsidR="004D1154" w:rsidRDefault="004D1154" w:rsidP="004D1154">
      <w:pPr>
        <w:ind w:left="720"/>
        <w:rPr>
          <w:rFonts w:ascii="Arial" w:hAnsi="Arial" w:cs="Arial"/>
          <w:sz w:val="24"/>
          <w:szCs w:val="24"/>
        </w:rPr>
      </w:pPr>
      <w:r w:rsidRPr="000C6DD6">
        <w:rPr>
          <w:rFonts w:ascii="Arial" w:hAnsi="Arial" w:cs="Arial"/>
          <w:sz w:val="24"/>
          <w:szCs w:val="24"/>
        </w:rPr>
        <w:t>Critically evaluate the increase of hate crime</w:t>
      </w:r>
      <w:r>
        <w:rPr>
          <w:rFonts w:ascii="Arial" w:hAnsi="Arial" w:cs="Arial"/>
          <w:sz w:val="24"/>
          <w:szCs w:val="24"/>
        </w:rPr>
        <w:t xml:space="preserve"> within the UK</w:t>
      </w:r>
      <w:r w:rsidRPr="000C6DD6">
        <w:rPr>
          <w:rFonts w:ascii="Arial" w:hAnsi="Arial" w:cs="Arial"/>
          <w:sz w:val="24"/>
          <w:szCs w:val="24"/>
        </w:rPr>
        <w:t>. Using a case study of your choice</w:t>
      </w:r>
      <w:r w:rsidR="00746A7A">
        <w:rPr>
          <w:rFonts w:ascii="Arial" w:hAnsi="Arial" w:cs="Arial"/>
          <w:sz w:val="24"/>
          <w:szCs w:val="24"/>
        </w:rPr>
        <w:t>:</w:t>
      </w:r>
    </w:p>
    <w:p w14:paraId="463A7ED0" w14:textId="77777777" w:rsidR="00BC7C92" w:rsidRDefault="00BC7C92" w:rsidP="00BC7C92">
      <w:pPr>
        <w:rPr>
          <w:sz w:val="24"/>
          <w:szCs w:val="24"/>
        </w:rPr>
      </w:pPr>
    </w:p>
    <w:p w14:paraId="11596EB7" w14:textId="0A86AA47" w:rsidR="00BC7C92" w:rsidRDefault="00BC7C92" w:rsidP="00BC7C92">
      <w:pPr>
        <w:rPr>
          <w:sz w:val="24"/>
          <w:szCs w:val="24"/>
        </w:rPr>
      </w:pPr>
    </w:p>
    <w:p w14:paraId="0C62E1DD" w14:textId="1360A724" w:rsidR="00275087" w:rsidRPr="00FD3A78" w:rsidRDefault="00BC7C92" w:rsidP="00FD3A78">
      <w:pPr>
        <w:spacing w:line="360" w:lineRule="auto"/>
        <w:contextualSpacing/>
        <w:rPr>
          <w:rFonts w:asciiTheme="minorHAnsi" w:hAnsiTheme="minorHAnsi" w:cstheme="minorHAnsi"/>
          <w:sz w:val="24"/>
          <w:szCs w:val="24"/>
        </w:rPr>
      </w:pPr>
      <w:r w:rsidRPr="00FD3A78">
        <w:rPr>
          <w:rFonts w:asciiTheme="minorHAnsi" w:eastAsiaTheme="minorHAnsi" w:hAnsiTheme="minorHAnsi" w:cstheme="minorHAnsi"/>
          <w:sz w:val="24"/>
          <w:szCs w:val="24"/>
          <w:lang w:val="en-US" w:eastAsia="en-US"/>
        </w:rPr>
        <w:t>Academic Syal (2021), communicates the surge in hate crime within the UK has become a pressing concern, with reported incidents escalating by 9% since the onset of the COVID-19 pandemic. Compared to post COVID-19 levels, 103,379 hate crimes were recorded in England and Wales in 2018 (Home Office, 2018</w:t>
      </w:r>
      <w:r w:rsidR="00F82354" w:rsidRPr="00FD3A78">
        <w:rPr>
          <w:rFonts w:asciiTheme="minorHAnsi" w:eastAsiaTheme="minorHAnsi" w:hAnsiTheme="minorHAnsi" w:cstheme="minorHAnsi"/>
          <w:sz w:val="24"/>
          <w:szCs w:val="24"/>
          <w:lang w:val="en-US" w:eastAsia="en-US"/>
        </w:rPr>
        <w:t>).</w:t>
      </w:r>
      <w:r w:rsidR="00F82354" w:rsidRPr="00FD3A78">
        <w:rPr>
          <w:rFonts w:asciiTheme="minorHAnsi" w:hAnsiTheme="minorHAnsi" w:cstheme="minorHAnsi"/>
          <w:sz w:val="24"/>
          <w:szCs w:val="24"/>
        </w:rPr>
        <w:t xml:space="preserve"> </w:t>
      </w:r>
      <w:r w:rsidR="00275087" w:rsidRPr="00FD3A78">
        <w:rPr>
          <w:rFonts w:asciiTheme="minorHAnsi" w:eastAsiaTheme="minorHAnsi" w:hAnsiTheme="minorHAnsi" w:cstheme="minorHAnsi"/>
          <w:sz w:val="24"/>
          <w:szCs w:val="24"/>
          <w:lang w:val="en-US" w:eastAsia="en-US"/>
        </w:rPr>
        <w:t>Th</w:t>
      </w:r>
      <w:r w:rsidR="00CF5884" w:rsidRPr="00FD3A78">
        <w:rPr>
          <w:rFonts w:asciiTheme="minorHAnsi" w:eastAsiaTheme="minorHAnsi" w:hAnsiTheme="minorHAnsi" w:cstheme="minorHAnsi"/>
          <w:sz w:val="24"/>
          <w:szCs w:val="24"/>
          <w:lang w:val="en-US" w:eastAsia="en-US"/>
        </w:rPr>
        <w:t>i</w:t>
      </w:r>
      <w:r w:rsidR="00AE5582" w:rsidRPr="00FD3A78">
        <w:rPr>
          <w:rFonts w:asciiTheme="minorHAnsi" w:eastAsiaTheme="minorHAnsi" w:hAnsiTheme="minorHAnsi" w:cstheme="minorHAnsi"/>
          <w:sz w:val="24"/>
          <w:szCs w:val="24"/>
          <w:lang w:val="en-US" w:eastAsia="en-US"/>
        </w:rPr>
        <w:t>s</w:t>
      </w:r>
      <w:r w:rsidR="00275087" w:rsidRPr="00FD3A78">
        <w:rPr>
          <w:rFonts w:asciiTheme="minorHAnsi" w:eastAsiaTheme="minorHAnsi" w:hAnsiTheme="minorHAnsi" w:cstheme="minorHAnsi"/>
          <w:sz w:val="24"/>
          <w:szCs w:val="24"/>
          <w:lang w:val="en-US" w:eastAsia="en-US"/>
        </w:rPr>
        <w:t xml:space="preserve"> essay focuses on a case study involving the prosecution of a disability hate crime to emphasise the lack of intersectionality in the justice system</w:t>
      </w:r>
      <w:r w:rsidR="000C174B" w:rsidRPr="00FD3A78">
        <w:rPr>
          <w:rFonts w:asciiTheme="minorHAnsi" w:eastAsiaTheme="minorHAnsi" w:hAnsiTheme="minorHAnsi" w:cstheme="minorHAnsi"/>
          <w:sz w:val="24"/>
          <w:szCs w:val="24"/>
          <w:lang w:val="en-US" w:eastAsia="en-US"/>
        </w:rPr>
        <w:t xml:space="preserve"> and the effect this has on encouraging </w:t>
      </w:r>
      <w:r w:rsidR="00B47D6B" w:rsidRPr="00FD3A78">
        <w:rPr>
          <w:rFonts w:asciiTheme="minorHAnsi" w:eastAsiaTheme="minorHAnsi" w:hAnsiTheme="minorHAnsi" w:cstheme="minorHAnsi"/>
          <w:sz w:val="24"/>
          <w:szCs w:val="24"/>
          <w:lang w:val="en-US" w:eastAsia="en-US"/>
        </w:rPr>
        <w:t xml:space="preserve">the </w:t>
      </w:r>
      <w:r w:rsidR="000C174B" w:rsidRPr="00FD3A78">
        <w:rPr>
          <w:rFonts w:asciiTheme="minorHAnsi" w:eastAsiaTheme="minorHAnsi" w:hAnsiTheme="minorHAnsi" w:cstheme="minorHAnsi"/>
          <w:sz w:val="24"/>
          <w:szCs w:val="24"/>
          <w:lang w:val="en-US" w:eastAsia="en-US"/>
        </w:rPr>
        <w:t xml:space="preserve">reporting of hate crimes. </w:t>
      </w:r>
    </w:p>
    <w:p w14:paraId="64E7F10C" w14:textId="12AEE9FB" w:rsidR="00BC7C92" w:rsidRPr="00FD3A78" w:rsidRDefault="00B47D6B" w:rsidP="00FD3A78">
      <w:pPr>
        <w:spacing w:line="360" w:lineRule="auto"/>
        <w:contextualSpacing/>
        <w:rPr>
          <w:rFonts w:asciiTheme="minorHAnsi" w:eastAsiaTheme="minorHAnsi" w:hAnsiTheme="minorHAnsi" w:cstheme="minorHAnsi"/>
          <w:sz w:val="24"/>
          <w:szCs w:val="24"/>
          <w:lang w:val="en-US" w:eastAsia="en-US"/>
        </w:rPr>
      </w:pPr>
      <w:r w:rsidRPr="00FD3A78">
        <w:rPr>
          <w:rFonts w:asciiTheme="minorHAnsi" w:hAnsiTheme="minorHAnsi" w:cstheme="minorHAnsi"/>
          <w:sz w:val="24"/>
          <w:szCs w:val="24"/>
        </w:rPr>
        <w:t>Moreover, t</w:t>
      </w:r>
      <w:r w:rsidR="00F82354" w:rsidRPr="00FD3A78">
        <w:rPr>
          <w:rFonts w:asciiTheme="minorHAnsi" w:hAnsiTheme="minorHAnsi" w:cstheme="minorHAnsi"/>
          <w:sz w:val="24"/>
          <w:szCs w:val="24"/>
        </w:rPr>
        <w:t>he</w:t>
      </w:r>
      <w:r w:rsidR="00BC7C92" w:rsidRPr="00FD3A78">
        <w:rPr>
          <w:rFonts w:asciiTheme="minorHAnsi" w:hAnsiTheme="minorHAnsi" w:cstheme="minorHAnsi"/>
          <w:sz w:val="24"/>
          <w:szCs w:val="24"/>
        </w:rPr>
        <w:t xml:space="preserve"> underlying factors contributing to the surge in hate crime statistics and the effectiveness of policing responses </w:t>
      </w:r>
      <w:r w:rsidR="0035594A" w:rsidRPr="00FD3A78">
        <w:rPr>
          <w:rFonts w:asciiTheme="minorHAnsi" w:hAnsiTheme="minorHAnsi" w:cstheme="minorHAnsi"/>
          <w:sz w:val="24"/>
          <w:szCs w:val="24"/>
        </w:rPr>
        <w:t xml:space="preserve">to the offence, </w:t>
      </w:r>
      <w:r w:rsidR="00BC7C92" w:rsidRPr="00FD3A78">
        <w:rPr>
          <w:rFonts w:asciiTheme="minorHAnsi" w:hAnsiTheme="minorHAnsi" w:cstheme="minorHAnsi"/>
          <w:sz w:val="24"/>
          <w:szCs w:val="24"/>
        </w:rPr>
        <w:t>highlights a significant gap in research that should be addressed.</w:t>
      </w:r>
      <w:r w:rsidR="006124D6" w:rsidRPr="00FD3A78">
        <w:rPr>
          <w:rFonts w:asciiTheme="minorHAnsi" w:eastAsiaTheme="minorHAnsi" w:hAnsiTheme="minorHAnsi" w:cstheme="minorHAnsi"/>
          <w:sz w:val="24"/>
          <w:szCs w:val="24"/>
          <w:lang w:val="en-US" w:eastAsia="en-US"/>
        </w:rPr>
        <w:t xml:space="preserve"> </w:t>
      </w:r>
    </w:p>
    <w:p w14:paraId="64687DF8" w14:textId="77777777" w:rsidR="00DE15D1" w:rsidRPr="00FD3A78" w:rsidRDefault="00DE15D1" w:rsidP="00FD3A78">
      <w:pPr>
        <w:spacing w:line="360" w:lineRule="auto"/>
        <w:rPr>
          <w:rFonts w:asciiTheme="minorHAnsi" w:hAnsiTheme="minorHAnsi" w:cstheme="minorHAnsi"/>
          <w:sz w:val="24"/>
          <w:szCs w:val="24"/>
        </w:rPr>
      </w:pPr>
    </w:p>
    <w:p w14:paraId="63F1A8D1" w14:textId="5A509719" w:rsidR="006E1DC2" w:rsidRPr="00FD3A78" w:rsidRDefault="00B636E9" w:rsidP="00FD3A78">
      <w:pPr>
        <w:spacing w:line="360" w:lineRule="auto"/>
        <w:contextualSpacing/>
        <w:rPr>
          <w:rFonts w:asciiTheme="minorHAnsi" w:hAnsiTheme="minorHAnsi" w:cstheme="minorHAnsi"/>
          <w:sz w:val="24"/>
          <w:szCs w:val="24"/>
        </w:rPr>
      </w:pPr>
      <w:r w:rsidRPr="00FD3A78">
        <w:rPr>
          <w:rFonts w:asciiTheme="minorHAnsi" w:hAnsiTheme="minorHAnsi" w:cstheme="minorHAnsi"/>
          <w:sz w:val="24"/>
          <w:szCs w:val="24"/>
        </w:rPr>
        <w:t>Arguably hate crime undermines diversity</w:t>
      </w:r>
      <w:r w:rsidR="004B506E" w:rsidRPr="00FD3A78">
        <w:rPr>
          <w:rFonts w:asciiTheme="minorHAnsi" w:hAnsiTheme="minorHAnsi" w:cstheme="minorHAnsi"/>
          <w:sz w:val="24"/>
          <w:szCs w:val="24"/>
        </w:rPr>
        <w:t xml:space="preserve"> within society.</w:t>
      </w:r>
      <w:r w:rsidR="00DE15D1" w:rsidRPr="00FD3A78">
        <w:rPr>
          <w:rFonts w:asciiTheme="minorHAnsi" w:hAnsiTheme="minorHAnsi" w:cstheme="minorHAnsi"/>
          <w:sz w:val="24"/>
          <w:szCs w:val="24"/>
        </w:rPr>
        <w:t xml:space="preserve"> </w:t>
      </w:r>
      <w:r w:rsidR="008A3AFC" w:rsidRPr="00FD3A78">
        <w:rPr>
          <w:rFonts w:asciiTheme="minorHAnsi" w:hAnsiTheme="minorHAnsi" w:cstheme="minorHAnsi"/>
          <w:sz w:val="24"/>
          <w:szCs w:val="24"/>
        </w:rPr>
        <w:t>The UK</w:t>
      </w:r>
      <w:r w:rsidR="00CC3D1C" w:rsidRPr="00FD3A78">
        <w:rPr>
          <w:rFonts w:asciiTheme="minorHAnsi" w:hAnsiTheme="minorHAnsi" w:cstheme="minorHAnsi"/>
          <w:sz w:val="24"/>
          <w:szCs w:val="24"/>
        </w:rPr>
        <w:t xml:space="preserve"> is </w:t>
      </w:r>
      <w:r w:rsidR="003E3198" w:rsidRPr="00FD3A78">
        <w:rPr>
          <w:rFonts w:asciiTheme="minorHAnsi" w:hAnsiTheme="minorHAnsi" w:cstheme="minorHAnsi"/>
          <w:sz w:val="24"/>
          <w:szCs w:val="24"/>
        </w:rPr>
        <w:t xml:space="preserve">composed </w:t>
      </w:r>
      <w:r w:rsidR="008A3AFC" w:rsidRPr="00FD3A78">
        <w:rPr>
          <w:rFonts w:asciiTheme="minorHAnsi" w:hAnsiTheme="minorHAnsi" w:cstheme="minorHAnsi"/>
          <w:sz w:val="24"/>
          <w:szCs w:val="24"/>
        </w:rPr>
        <w:t>of a multicultural society</w:t>
      </w:r>
      <w:r w:rsidR="003E3198" w:rsidRPr="00FD3A78">
        <w:rPr>
          <w:rFonts w:asciiTheme="minorHAnsi" w:hAnsiTheme="minorHAnsi" w:cstheme="minorHAnsi"/>
          <w:sz w:val="24"/>
          <w:szCs w:val="24"/>
        </w:rPr>
        <w:t>.</w:t>
      </w:r>
      <w:r w:rsidR="008A3AFC" w:rsidRPr="00FD3A78">
        <w:rPr>
          <w:rFonts w:asciiTheme="minorHAnsi" w:hAnsiTheme="minorHAnsi" w:cstheme="minorHAnsi"/>
          <w:sz w:val="24"/>
          <w:szCs w:val="24"/>
        </w:rPr>
        <w:t xml:space="preserve"> </w:t>
      </w:r>
      <w:r w:rsidR="003E3198" w:rsidRPr="00FD3A78">
        <w:rPr>
          <w:rFonts w:asciiTheme="minorHAnsi" w:hAnsiTheme="minorHAnsi" w:cstheme="minorHAnsi"/>
          <w:sz w:val="24"/>
          <w:szCs w:val="24"/>
        </w:rPr>
        <w:t>U</w:t>
      </w:r>
      <w:r w:rsidR="008A3AFC" w:rsidRPr="00FD3A78">
        <w:rPr>
          <w:rFonts w:asciiTheme="minorHAnsi" w:hAnsiTheme="minorHAnsi" w:cstheme="minorHAnsi"/>
          <w:sz w:val="24"/>
          <w:szCs w:val="24"/>
        </w:rPr>
        <w:t xml:space="preserve">nder </w:t>
      </w:r>
      <w:r w:rsidR="0093188F" w:rsidRPr="00FD3A78">
        <w:rPr>
          <w:rFonts w:asciiTheme="minorHAnsi" w:hAnsiTheme="minorHAnsi" w:cstheme="minorHAnsi"/>
          <w:sz w:val="24"/>
          <w:szCs w:val="24"/>
        </w:rPr>
        <w:t>Article 14 of the Human Rights Convention</w:t>
      </w:r>
      <w:r w:rsidR="00C55979" w:rsidRPr="00FD3A78">
        <w:rPr>
          <w:rFonts w:asciiTheme="minorHAnsi" w:hAnsiTheme="minorHAnsi" w:cstheme="minorHAnsi"/>
          <w:sz w:val="24"/>
          <w:szCs w:val="24"/>
        </w:rPr>
        <w:t xml:space="preserve">, </w:t>
      </w:r>
      <w:r w:rsidR="00BD2469" w:rsidRPr="00FD3A78">
        <w:rPr>
          <w:rFonts w:asciiTheme="minorHAnsi" w:hAnsiTheme="minorHAnsi" w:cstheme="minorHAnsi"/>
          <w:sz w:val="24"/>
          <w:szCs w:val="24"/>
        </w:rPr>
        <w:t xml:space="preserve">it </w:t>
      </w:r>
      <w:r w:rsidR="00C55979" w:rsidRPr="00FD3A78">
        <w:rPr>
          <w:rFonts w:asciiTheme="minorHAnsi" w:hAnsiTheme="minorHAnsi" w:cstheme="minorHAnsi"/>
          <w:sz w:val="24"/>
          <w:szCs w:val="24"/>
        </w:rPr>
        <w:t>states the fundamental principle of equality and non-discrimination</w:t>
      </w:r>
      <w:r w:rsidR="00BD2469" w:rsidRPr="00FD3A78">
        <w:rPr>
          <w:rFonts w:asciiTheme="minorHAnsi" w:hAnsiTheme="minorHAnsi" w:cstheme="minorHAnsi"/>
          <w:sz w:val="24"/>
          <w:szCs w:val="24"/>
        </w:rPr>
        <w:t xml:space="preserve"> allowing for people to </w:t>
      </w:r>
      <w:r w:rsidR="00CA4DC8" w:rsidRPr="00FD3A78">
        <w:rPr>
          <w:rFonts w:asciiTheme="minorHAnsi" w:hAnsiTheme="minorHAnsi" w:cstheme="minorHAnsi"/>
          <w:sz w:val="24"/>
          <w:szCs w:val="24"/>
        </w:rPr>
        <w:t>challenge any breaches through the courts</w:t>
      </w:r>
      <w:r w:rsidR="00C55979" w:rsidRPr="00FD3A78">
        <w:rPr>
          <w:rFonts w:asciiTheme="minorHAnsi" w:hAnsiTheme="minorHAnsi" w:cstheme="minorHAnsi"/>
          <w:sz w:val="24"/>
          <w:szCs w:val="24"/>
        </w:rPr>
        <w:t xml:space="preserve"> (</w:t>
      </w:r>
      <w:r w:rsidR="001C3422" w:rsidRPr="00FD3A78">
        <w:rPr>
          <w:rFonts w:asciiTheme="minorHAnsi" w:hAnsiTheme="minorHAnsi" w:cstheme="minorHAnsi"/>
          <w:sz w:val="24"/>
          <w:szCs w:val="24"/>
        </w:rPr>
        <w:t>Farouq, 2018)</w:t>
      </w:r>
      <w:r w:rsidR="00CA4DC8" w:rsidRPr="00FD3A78">
        <w:rPr>
          <w:rFonts w:asciiTheme="minorHAnsi" w:hAnsiTheme="minorHAnsi" w:cstheme="minorHAnsi"/>
          <w:sz w:val="24"/>
          <w:szCs w:val="24"/>
        </w:rPr>
        <w:t>.</w:t>
      </w:r>
      <w:r w:rsidR="006F37A8" w:rsidRPr="00FD3A78">
        <w:rPr>
          <w:rFonts w:asciiTheme="minorHAnsi" w:hAnsiTheme="minorHAnsi" w:cstheme="minorHAnsi"/>
          <w:sz w:val="24"/>
          <w:szCs w:val="24"/>
        </w:rPr>
        <w:t xml:space="preserve"> Hate </w:t>
      </w:r>
      <w:r w:rsidR="00C17635" w:rsidRPr="00FD3A78">
        <w:rPr>
          <w:rFonts w:asciiTheme="minorHAnsi" w:hAnsiTheme="minorHAnsi" w:cstheme="minorHAnsi"/>
          <w:sz w:val="24"/>
          <w:szCs w:val="24"/>
        </w:rPr>
        <w:t>crime,</w:t>
      </w:r>
      <w:r w:rsidR="006F37A8" w:rsidRPr="00FD3A78">
        <w:rPr>
          <w:rFonts w:asciiTheme="minorHAnsi" w:hAnsiTheme="minorHAnsi" w:cstheme="minorHAnsi"/>
          <w:sz w:val="24"/>
          <w:szCs w:val="24"/>
        </w:rPr>
        <w:t xml:space="preserve"> </w:t>
      </w:r>
      <w:r w:rsidR="00FB1787" w:rsidRPr="00FD3A78">
        <w:rPr>
          <w:rFonts w:asciiTheme="minorHAnsi" w:hAnsiTheme="minorHAnsi" w:cstheme="minorHAnsi"/>
          <w:sz w:val="24"/>
          <w:szCs w:val="24"/>
        </w:rPr>
        <w:t>therefore, undermines</w:t>
      </w:r>
      <w:r w:rsidR="00CF3031" w:rsidRPr="00FD3A78">
        <w:rPr>
          <w:rFonts w:asciiTheme="minorHAnsi" w:hAnsiTheme="minorHAnsi" w:cstheme="minorHAnsi"/>
          <w:sz w:val="24"/>
          <w:szCs w:val="24"/>
        </w:rPr>
        <w:t xml:space="preserve"> these principles and creates divisions within society.</w:t>
      </w:r>
      <w:r w:rsidR="006E1DC2" w:rsidRPr="00FD3A78">
        <w:rPr>
          <w:rFonts w:asciiTheme="minorHAnsi" w:hAnsiTheme="minorHAnsi" w:cstheme="minorHAnsi"/>
          <w:sz w:val="24"/>
          <w:szCs w:val="24"/>
        </w:rPr>
        <w:t xml:space="preserve"> Furthermore, diversity encompasses individuals from a variety of different ethnic backgrounds and social groups and of different genders, religions, socioeconomic </w:t>
      </w:r>
      <w:r w:rsidR="00A00DEB" w:rsidRPr="00FD3A78">
        <w:rPr>
          <w:rFonts w:asciiTheme="minorHAnsi" w:hAnsiTheme="minorHAnsi" w:cstheme="minorHAnsi"/>
          <w:sz w:val="24"/>
          <w:szCs w:val="24"/>
        </w:rPr>
        <w:t>status</w:t>
      </w:r>
      <w:r w:rsidR="006E1DC2" w:rsidRPr="00FD3A78">
        <w:rPr>
          <w:rFonts w:asciiTheme="minorHAnsi" w:hAnsiTheme="minorHAnsi" w:cstheme="minorHAnsi"/>
          <w:sz w:val="24"/>
          <w:szCs w:val="24"/>
        </w:rPr>
        <w:t xml:space="preserve"> and other personal differing qualities or elements (Toke, 2023). Academic Samanani (2019) supports Toke’s (2023) argument regarding diversity as a complex term beyond race and religion to include various personal characteristics and identities. Diversity </w:t>
      </w:r>
      <w:r w:rsidR="005E1FF7" w:rsidRPr="00FD3A78">
        <w:rPr>
          <w:rFonts w:asciiTheme="minorHAnsi" w:hAnsiTheme="minorHAnsi" w:cstheme="minorHAnsi"/>
          <w:sz w:val="24"/>
          <w:szCs w:val="24"/>
        </w:rPr>
        <w:t>encompasses</w:t>
      </w:r>
      <w:r w:rsidR="006E1DC2" w:rsidRPr="00FD3A78">
        <w:rPr>
          <w:rFonts w:asciiTheme="minorHAnsi" w:hAnsiTheme="minorHAnsi" w:cstheme="minorHAnsi"/>
          <w:sz w:val="24"/>
          <w:szCs w:val="24"/>
        </w:rPr>
        <w:t xml:space="preserve"> every </w:t>
      </w:r>
      <w:r w:rsidR="002118B7" w:rsidRPr="00FD3A78">
        <w:rPr>
          <w:rFonts w:asciiTheme="minorHAnsi" w:hAnsiTheme="minorHAnsi" w:cstheme="minorHAnsi"/>
          <w:sz w:val="24"/>
          <w:szCs w:val="24"/>
        </w:rPr>
        <w:t>individual’s</w:t>
      </w:r>
      <w:r w:rsidR="006E1DC2" w:rsidRPr="00FD3A78">
        <w:rPr>
          <w:rFonts w:asciiTheme="minorHAnsi" w:hAnsiTheme="minorHAnsi" w:cstheme="minorHAnsi"/>
          <w:sz w:val="24"/>
          <w:szCs w:val="24"/>
        </w:rPr>
        <w:t xml:space="preserve"> </w:t>
      </w:r>
      <w:r w:rsidR="005E1FF7" w:rsidRPr="00FD3A78">
        <w:rPr>
          <w:rFonts w:asciiTheme="minorHAnsi" w:hAnsiTheme="minorHAnsi" w:cstheme="minorHAnsi"/>
          <w:sz w:val="24"/>
          <w:szCs w:val="24"/>
        </w:rPr>
        <w:t>u</w:t>
      </w:r>
      <w:r w:rsidR="006E1DC2" w:rsidRPr="00FD3A78">
        <w:rPr>
          <w:rFonts w:asciiTheme="minorHAnsi" w:hAnsiTheme="minorHAnsi" w:cstheme="minorHAnsi"/>
          <w:sz w:val="24"/>
          <w:szCs w:val="24"/>
        </w:rPr>
        <w:t>nique</w:t>
      </w:r>
      <w:r w:rsidR="005E1FF7" w:rsidRPr="00FD3A78">
        <w:rPr>
          <w:rFonts w:asciiTheme="minorHAnsi" w:hAnsiTheme="minorHAnsi" w:cstheme="minorHAnsi"/>
          <w:sz w:val="24"/>
          <w:szCs w:val="24"/>
        </w:rPr>
        <w:t xml:space="preserve"> </w:t>
      </w:r>
      <w:r w:rsidR="008A7B8A" w:rsidRPr="00FD3A78">
        <w:rPr>
          <w:rFonts w:asciiTheme="minorHAnsi" w:hAnsiTheme="minorHAnsi" w:cstheme="minorHAnsi"/>
          <w:sz w:val="24"/>
          <w:szCs w:val="24"/>
        </w:rPr>
        <w:t xml:space="preserve">identity </w:t>
      </w:r>
      <w:r w:rsidR="006E1DC2" w:rsidRPr="00FD3A78">
        <w:rPr>
          <w:rFonts w:asciiTheme="minorHAnsi" w:hAnsiTheme="minorHAnsi" w:cstheme="minorHAnsi"/>
          <w:sz w:val="24"/>
          <w:szCs w:val="24"/>
        </w:rPr>
        <w:t xml:space="preserve">based on ethnicity, gender, sexual orientation, and disability status (Khan et al., 2019). To understand diversity, it is necessary to recognise the complex interactions of these characteristics in society. To illustrate, race refers to people categorising other people based on shared physical characteristics, whereas religion encompasses values and behaviours that define how someone views life (Shaw, 2020).  </w:t>
      </w:r>
    </w:p>
    <w:p w14:paraId="708BD389" w14:textId="77777777" w:rsidR="003059AF" w:rsidRPr="00FD3A78" w:rsidRDefault="003059AF" w:rsidP="00FD3A78">
      <w:pPr>
        <w:spacing w:line="360" w:lineRule="auto"/>
        <w:rPr>
          <w:rFonts w:asciiTheme="minorHAnsi" w:eastAsiaTheme="minorHAnsi" w:hAnsiTheme="minorHAnsi" w:cstheme="minorHAnsi"/>
          <w:sz w:val="24"/>
          <w:szCs w:val="24"/>
          <w:lang w:val="en-US" w:eastAsia="en-US"/>
        </w:rPr>
      </w:pPr>
    </w:p>
    <w:p w14:paraId="5F8858DE" w14:textId="5D802F36" w:rsidR="00D15336" w:rsidRPr="00FD3A78" w:rsidRDefault="00C553AF" w:rsidP="00FD3A78">
      <w:pPr>
        <w:spacing w:line="360" w:lineRule="auto"/>
        <w:rPr>
          <w:rFonts w:asciiTheme="minorHAnsi" w:hAnsiTheme="minorHAnsi" w:cstheme="minorHAnsi"/>
          <w:sz w:val="24"/>
          <w:szCs w:val="24"/>
        </w:rPr>
      </w:pPr>
      <w:r w:rsidRPr="00FD3A78">
        <w:rPr>
          <w:rFonts w:asciiTheme="minorHAnsi" w:eastAsiaTheme="minorHAnsi" w:hAnsiTheme="minorHAnsi" w:cstheme="minorHAnsi"/>
          <w:sz w:val="24"/>
          <w:szCs w:val="24"/>
          <w:lang w:val="en-US" w:eastAsia="en-US"/>
        </w:rPr>
        <w:lastRenderedPageBreak/>
        <w:t xml:space="preserve">Historically, </w:t>
      </w:r>
      <w:r w:rsidRPr="00FD3A78">
        <w:rPr>
          <w:rFonts w:asciiTheme="minorHAnsi" w:hAnsiTheme="minorHAnsi" w:cstheme="minorHAnsi"/>
          <w:sz w:val="24"/>
          <w:szCs w:val="24"/>
        </w:rPr>
        <w:t>the understanding and awareness of hate crime was limited due to the ambiguity of the legal definition of the offence. In the past five years hate crime offences have increased due to the reform and development of legal provisions</w:t>
      </w:r>
      <w:r w:rsidR="00FC1816" w:rsidRPr="00FD3A78">
        <w:rPr>
          <w:rFonts w:asciiTheme="minorHAnsi" w:hAnsiTheme="minorHAnsi" w:cstheme="minorHAnsi"/>
          <w:sz w:val="24"/>
          <w:szCs w:val="24"/>
        </w:rPr>
        <w:t xml:space="preserve">, </w:t>
      </w:r>
      <w:r w:rsidR="00E8695C" w:rsidRPr="00FD3A78">
        <w:rPr>
          <w:rFonts w:asciiTheme="minorHAnsi" w:hAnsiTheme="minorHAnsi" w:cstheme="minorHAnsi"/>
          <w:sz w:val="24"/>
          <w:szCs w:val="24"/>
        </w:rPr>
        <w:t xml:space="preserve">educational training on the offence for </w:t>
      </w:r>
      <w:r w:rsidR="003059AF" w:rsidRPr="00FD3A78">
        <w:rPr>
          <w:rFonts w:asciiTheme="minorHAnsi" w:hAnsiTheme="minorHAnsi" w:cstheme="minorHAnsi"/>
          <w:sz w:val="24"/>
          <w:szCs w:val="24"/>
        </w:rPr>
        <w:t>officers</w:t>
      </w:r>
      <w:r w:rsidR="00E8695C" w:rsidRPr="00FD3A78">
        <w:rPr>
          <w:rFonts w:asciiTheme="minorHAnsi" w:hAnsiTheme="minorHAnsi" w:cstheme="minorHAnsi"/>
          <w:sz w:val="24"/>
          <w:szCs w:val="24"/>
        </w:rPr>
        <w:t>,</w:t>
      </w:r>
      <w:r w:rsidR="00CA0578" w:rsidRPr="00FD3A78">
        <w:rPr>
          <w:rFonts w:asciiTheme="minorHAnsi" w:hAnsiTheme="minorHAnsi" w:cstheme="minorHAnsi"/>
          <w:sz w:val="24"/>
          <w:szCs w:val="24"/>
        </w:rPr>
        <w:t xml:space="preserve"> improved collaboration</w:t>
      </w:r>
      <w:r w:rsidR="00253F90" w:rsidRPr="00FD3A78">
        <w:rPr>
          <w:rFonts w:asciiTheme="minorHAnsi" w:hAnsiTheme="minorHAnsi" w:cstheme="minorHAnsi"/>
          <w:sz w:val="24"/>
          <w:szCs w:val="24"/>
        </w:rPr>
        <w:t xml:space="preserve"> between minority communities and police</w:t>
      </w:r>
      <w:r w:rsidRPr="00FD3A78">
        <w:rPr>
          <w:rFonts w:asciiTheme="minorHAnsi" w:hAnsiTheme="minorHAnsi" w:cstheme="minorHAnsi"/>
          <w:sz w:val="24"/>
          <w:szCs w:val="24"/>
        </w:rPr>
        <w:t xml:space="preserve"> and societies awareness of the offence</w:t>
      </w:r>
      <w:r w:rsidR="00CC2687" w:rsidRPr="00FD3A78">
        <w:rPr>
          <w:rFonts w:asciiTheme="minorHAnsi" w:hAnsiTheme="minorHAnsi" w:cstheme="minorHAnsi"/>
          <w:sz w:val="24"/>
          <w:szCs w:val="24"/>
        </w:rPr>
        <w:t xml:space="preserve"> (Chakraborti, 2018)</w:t>
      </w:r>
      <w:r w:rsidR="00253F90" w:rsidRPr="00FD3A78">
        <w:rPr>
          <w:rFonts w:asciiTheme="minorHAnsi" w:hAnsiTheme="minorHAnsi" w:cstheme="minorHAnsi"/>
          <w:sz w:val="24"/>
          <w:szCs w:val="24"/>
        </w:rPr>
        <w:t xml:space="preserve">. </w:t>
      </w:r>
      <w:r w:rsidR="00551B4C" w:rsidRPr="00FD3A78">
        <w:rPr>
          <w:rFonts w:asciiTheme="minorHAnsi" w:hAnsiTheme="minorHAnsi" w:cstheme="minorHAnsi"/>
          <w:sz w:val="24"/>
          <w:szCs w:val="24"/>
        </w:rPr>
        <w:t xml:space="preserve">For </w:t>
      </w:r>
      <w:r w:rsidR="003059AF" w:rsidRPr="00FD3A78">
        <w:rPr>
          <w:rFonts w:asciiTheme="minorHAnsi" w:hAnsiTheme="minorHAnsi" w:cstheme="minorHAnsi"/>
          <w:sz w:val="24"/>
          <w:szCs w:val="24"/>
        </w:rPr>
        <w:t>example,</w:t>
      </w:r>
      <w:r w:rsidR="00551B4C" w:rsidRPr="00FD3A78">
        <w:rPr>
          <w:rFonts w:asciiTheme="minorHAnsi" w:hAnsiTheme="minorHAnsi" w:cstheme="minorHAnsi"/>
          <w:sz w:val="24"/>
          <w:szCs w:val="24"/>
        </w:rPr>
        <w:t xml:space="preserve"> hate crime laws regarding freedom of speech </w:t>
      </w:r>
      <w:r w:rsidR="007F3FEF" w:rsidRPr="00FD3A78">
        <w:rPr>
          <w:rFonts w:asciiTheme="minorHAnsi" w:hAnsiTheme="minorHAnsi" w:cstheme="minorHAnsi"/>
          <w:sz w:val="24"/>
          <w:szCs w:val="24"/>
        </w:rPr>
        <w:t>have been enacted to protect freedom of expression</w:t>
      </w:r>
      <w:r w:rsidR="00CF3E94" w:rsidRPr="00FD3A78">
        <w:rPr>
          <w:rFonts w:asciiTheme="minorHAnsi" w:hAnsiTheme="minorHAnsi" w:cstheme="minorHAnsi"/>
          <w:sz w:val="24"/>
          <w:szCs w:val="24"/>
        </w:rPr>
        <w:t xml:space="preserve">. The categorisation </w:t>
      </w:r>
      <w:r w:rsidR="00181F3A" w:rsidRPr="00FD3A78">
        <w:rPr>
          <w:rFonts w:asciiTheme="minorHAnsi" w:hAnsiTheme="minorHAnsi" w:cstheme="minorHAnsi"/>
          <w:sz w:val="24"/>
          <w:szCs w:val="24"/>
        </w:rPr>
        <w:t>and enforcement of legislation that was not previously enacted contributes to the rise in hate crime</w:t>
      </w:r>
      <w:r w:rsidR="00CC2687" w:rsidRPr="00FD3A78">
        <w:rPr>
          <w:rFonts w:asciiTheme="minorHAnsi" w:hAnsiTheme="minorHAnsi" w:cstheme="minorHAnsi"/>
          <w:sz w:val="24"/>
          <w:szCs w:val="24"/>
        </w:rPr>
        <w:t xml:space="preserve"> (</w:t>
      </w:r>
      <w:r w:rsidR="003D4DCA" w:rsidRPr="00FD3A78">
        <w:rPr>
          <w:rFonts w:asciiTheme="minorHAnsi" w:hAnsiTheme="minorHAnsi" w:cstheme="minorHAnsi"/>
          <w:sz w:val="24"/>
          <w:szCs w:val="24"/>
        </w:rPr>
        <w:t>Law Commission, 2021).</w:t>
      </w:r>
    </w:p>
    <w:p w14:paraId="2A7B5B7E" w14:textId="77777777" w:rsidR="00D15336" w:rsidRPr="00FD3A78" w:rsidRDefault="00D15336" w:rsidP="00FD3A78">
      <w:pPr>
        <w:spacing w:line="360" w:lineRule="auto"/>
        <w:rPr>
          <w:rFonts w:asciiTheme="minorHAnsi" w:hAnsiTheme="minorHAnsi" w:cstheme="minorHAnsi"/>
          <w:sz w:val="24"/>
          <w:szCs w:val="24"/>
        </w:rPr>
      </w:pPr>
    </w:p>
    <w:p w14:paraId="1C4AC797" w14:textId="11910975" w:rsidR="00B54635" w:rsidRPr="00FD3A78" w:rsidRDefault="00A439C0" w:rsidP="00FD3A78">
      <w:pPr>
        <w:spacing w:line="360" w:lineRule="auto"/>
        <w:rPr>
          <w:rFonts w:asciiTheme="minorHAnsi" w:hAnsiTheme="minorHAnsi" w:cstheme="minorHAnsi"/>
          <w:sz w:val="24"/>
          <w:szCs w:val="24"/>
        </w:rPr>
      </w:pPr>
      <w:r w:rsidRPr="00FD3A78">
        <w:rPr>
          <w:rFonts w:asciiTheme="minorHAnsi" w:hAnsiTheme="minorHAnsi" w:cstheme="minorHAnsi"/>
          <w:sz w:val="24"/>
          <w:szCs w:val="24"/>
        </w:rPr>
        <w:t xml:space="preserve"> </w:t>
      </w:r>
      <w:r w:rsidR="00C553AF" w:rsidRPr="00FD3A78">
        <w:rPr>
          <w:rFonts w:asciiTheme="minorHAnsi" w:hAnsiTheme="minorHAnsi" w:cstheme="minorHAnsi"/>
          <w:sz w:val="24"/>
          <w:szCs w:val="24"/>
        </w:rPr>
        <w:t>Currently the Law Commission’s (2023) definition of a hate crime offence consists of five characteristics that include: race, religion, sexual orientation, disability, and transgender identity</w:t>
      </w:r>
      <w:r w:rsidR="002133A0" w:rsidRPr="00FD3A78">
        <w:rPr>
          <w:rFonts w:asciiTheme="minorHAnsi" w:hAnsiTheme="minorHAnsi" w:cstheme="minorHAnsi"/>
          <w:sz w:val="24"/>
          <w:szCs w:val="24"/>
        </w:rPr>
        <w:t>.</w:t>
      </w:r>
      <w:r w:rsidR="00376B66" w:rsidRPr="00FD3A78">
        <w:rPr>
          <w:rFonts w:asciiTheme="minorHAnsi" w:hAnsiTheme="minorHAnsi" w:cstheme="minorHAnsi"/>
          <w:sz w:val="24"/>
          <w:szCs w:val="24"/>
        </w:rPr>
        <w:t xml:space="preserve"> </w:t>
      </w:r>
      <w:r w:rsidR="00B54635" w:rsidRPr="00FD3A78">
        <w:rPr>
          <w:rFonts w:asciiTheme="minorHAnsi" w:hAnsiTheme="minorHAnsi" w:cstheme="minorHAnsi"/>
          <w:sz w:val="24"/>
          <w:szCs w:val="24"/>
        </w:rPr>
        <w:t xml:space="preserve">Emphasising that a person who commits a hate crime need not be motivated by hatred for the victim to commit the offence but rather driven by hostility, prejudice, or bias towards members of alternative subcultures (Greater Manchester Police, 2017). </w:t>
      </w:r>
      <w:r w:rsidR="007C3BDC" w:rsidRPr="00FD3A78">
        <w:rPr>
          <w:rFonts w:asciiTheme="minorHAnsi" w:hAnsiTheme="minorHAnsi" w:cstheme="minorHAnsi"/>
          <w:sz w:val="24"/>
          <w:szCs w:val="24"/>
        </w:rPr>
        <w:t>Furthermore,</w:t>
      </w:r>
      <w:r w:rsidR="00FF75CD" w:rsidRPr="00FD3A78">
        <w:rPr>
          <w:rFonts w:asciiTheme="minorHAnsi" w:hAnsiTheme="minorHAnsi" w:cstheme="minorHAnsi"/>
          <w:sz w:val="24"/>
          <w:szCs w:val="24"/>
        </w:rPr>
        <w:t xml:space="preserve"> </w:t>
      </w:r>
      <w:r w:rsidR="006D36D1" w:rsidRPr="00FD3A78">
        <w:rPr>
          <w:rFonts w:asciiTheme="minorHAnsi" w:hAnsiTheme="minorHAnsi" w:cstheme="minorHAnsi"/>
          <w:sz w:val="24"/>
          <w:szCs w:val="24"/>
        </w:rPr>
        <w:t xml:space="preserve">the </w:t>
      </w:r>
      <w:r w:rsidR="00155E5A" w:rsidRPr="00FD3A78">
        <w:rPr>
          <w:rFonts w:asciiTheme="minorHAnsi" w:hAnsiTheme="minorHAnsi" w:cstheme="minorHAnsi"/>
          <w:sz w:val="24"/>
          <w:szCs w:val="24"/>
        </w:rPr>
        <w:t>Schweppe (</w:t>
      </w:r>
      <w:r w:rsidR="00665A81" w:rsidRPr="00FD3A78">
        <w:rPr>
          <w:rFonts w:asciiTheme="minorHAnsi" w:hAnsiTheme="minorHAnsi" w:cstheme="minorHAnsi"/>
          <w:sz w:val="24"/>
          <w:szCs w:val="24"/>
        </w:rPr>
        <w:t>2021)</w:t>
      </w:r>
      <w:r w:rsidR="000D0CF9" w:rsidRPr="00FD3A78">
        <w:rPr>
          <w:rFonts w:asciiTheme="minorHAnsi" w:hAnsiTheme="minorHAnsi" w:cstheme="minorHAnsi"/>
          <w:sz w:val="24"/>
          <w:szCs w:val="24"/>
        </w:rPr>
        <w:t xml:space="preserve"> </w:t>
      </w:r>
      <w:r w:rsidR="00FF75CD" w:rsidRPr="00FD3A78">
        <w:rPr>
          <w:rFonts w:asciiTheme="minorHAnsi" w:hAnsiTheme="minorHAnsi" w:cstheme="minorHAnsi"/>
          <w:sz w:val="24"/>
          <w:szCs w:val="24"/>
        </w:rPr>
        <w:t>t</w:t>
      </w:r>
      <w:r w:rsidR="00C4261B" w:rsidRPr="00FD3A78">
        <w:rPr>
          <w:rFonts w:asciiTheme="minorHAnsi" w:hAnsiTheme="minorHAnsi" w:cstheme="minorHAnsi"/>
          <w:sz w:val="24"/>
          <w:szCs w:val="24"/>
        </w:rPr>
        <w:t xml:space="preserve">ypes of </w:t>
      </w:r>
      <w:r w:rsidR="007E3A81" w:rsidRPr="00FD3A78">
        <w:rPr>
          <w:rFonts w:asciiTheme="minorHAnsi" w:hAnsiTheme="minorHAnsi" w:cstheme="minorHAnsi"/>
          <w:sz w:val="24"/>
          <w:szCs w:val="24"/>
        </w:rPr>
        <w:t xml:space="preserve">hate crime </w:t>
      </w:r>
      <w:r w:rsidR="007A0457" w:rsidRPr="00FD3A78">
        <w:rPr>
          <w:rFonts w:asciiTheme="minorHAnsi" w:hAnsiTheme="minorHAnsi" w:cstheme="minorHAnsi"/>
          <w:sz w:val="24"/>
          <w:szCs w:val="24"/>
        </w:rPr>
        <w:t>include</w:t>
      </w:r>
      <w:r w:rsidR="007E3A81" w:rsidRPr="00FD3A78">
        <w:rPr>
          <w:rFonts w:asciiTheme="minorHAnsi" w:hAnsiTheme="minorHAnsi" w:cstheme="minorHAnsi"/>
          <w:sz w:val="24"/>
          <w:szCs w:val="24"/>
        </w:rPr>
        <w:t xml:space="preserve"> physical assault, verbal abuse,</w:t>
      </w:r>
      <w:r w:rsidR="00217CCE" w:rsidRPr="00FD3A78">
        <w:rPr>
          <w:rFonts w:asciiTheme="minorHAnsi" w:hAnsiTheme="minorHAnsi" w:cstheme="minorHAnsi"/>
          <w:sz w:val="24"/>
          <w:szCs w:val="24"/>
        </w:rPr>
        <w:t xml:space="preserve"> or</w:t>
      </w:r>
      <w:r w:rsidR="007E3A81" w:rsidRPr="00FD3A78">
        <w:rPr>
          <w:rFonts w:asciiTheme="minorHAnsi" w:hAnsiTheme="minorHAnsi" w:cstheme="minorHAnsi"/>
          <w:sz w:val="24"/>
          <w:szCs w:val="24"/>
        </w:rPr>
        <w:t xml:space="preserve"> </w:t>
      </w:r>
      <w:r w:rsidR="00AE5582" w:rsidRPr="00FD3A78">
        <w:rPr>
          <w:rFonts w:asciiTheme="minorHAnsi" w:hAnsiTheme="minorHAnsi" w:cstheme="minorHAnsi"/>
          <w:sz w:val="24"/>
          <w:szCs w:val="24"/>
        </w:rPr>
        <w:t>incitement.</w:t>
      </w:r>
      <w:r w:rsidR="00293142" w:rsidRPr="00FD3A78">
        <w:rPr>
          <w:rFonts w:asciiTheme="minorHAnsi" w:hAnsiTheme="minorHAnsi" w:cstheme="minorHAnsi"/>
          <w:sz w:val="24"/>
          <w:szCs w:val="24"/>
        </w:rPr>
        <w:t xml:space="preserve"> </w:t>
      </w:r>
    </w:p>
    <w:p w14:paraId="404668F5" w14:textId="77777777" w:rsidR="00D45535" w:rsidRPr="00FD3A78" w:rsidRDefault="00D45535" w:rsidP="00FD3A78">
      <w:pPr>
        <w:spacing w:line="360" w:lineRule="auto"/>
        <w:rPr>
          <w:rFonts w:asciiTheme="minorHAnsi" w:hAnsiTheme="minorHAnsi" w:cstheme="minorHAnsi"/>
          <w:sz w:val="24"/>
          <w:szCs w:val="24"/>
        </w:rPr>
      </w:pPr>
    </w:p>
    <w:p w14:paraId="5A600EDB" w14:textId="501CEB8F" w:rsidR="004C0526" w:rsidRPr="00FD3A78" w:rsidRDefault="004C0526" w:rsidP="00FD3A78">
      <w:pPr>
        <w:spacing w:line="360" w:lineRule="auto"/>
        <w:rPr>
          <w:rFonts w:asciiTheme="minorHAnsi" w:hAnsiTheme="minorHAnsi" w:cstheme="minorHAnsi"/>
          <w:sz w:val="24"/>
          <w:szCs w:val="24"/>
        </w:rPr>
      </w:pPr>
      <w:r w:rsidRPr="00FD3A78">
        <w:rPr>
          <w:rFonts w:asciiTheme="minorHAnsi" w:hAnsiTheme="minorHAnsi" w:cstheme="minorHAnsi"/>
          <w:sz w:val="24"/>
          <w:szCs w:val="24"/>
        </w:rPr>
        <w:t>Although there is no single piece of legislation in the UK for Hate Crime, the implementation of</w:t>
      </w:r>
      <w:r w:rsidR="00D54505" w:rsidRPr="00FD3A78">
        <w:rPr>
          <w:rFonts w:asciiTheme="minorHAnsi" w:hAnsiTheme="minorHAnsi" w:cstheme="minorHAnsi"/>
          <w:sz w:val="24"/>
          <w:szCs w:val="24"/>
        </w:rPr>
        <w:t xml:space="preserve"> Acts including </w:t>
      </w:r>
      <w:r w:rsidR="00B45ECE" w:rsidRPr="00FD3A78">
        <w:rPr>
          <w:rFonts w:asciiTheme="minorHAnsi" w:hAnsiTheme="minorHAnsi" w:cstheme="minorHAnsi"/>
          <w:sz w:val="24"/>
          <w:szCs w:val="24"/>
        </w:rPr>
        <w:t xml:space="preserve">the Public Order Act 1986 and </w:t>
      </w:r>
      <w:r w:rsidRPr="00FD3A78">
        <w:rPr>
          <w:rFonts w:asciiTheme="minorHAnsi" w:hAnsiTheme="minorHAnsi" w:cstheme="minorHAnsi"/>
          <w:sz w:val="24"/>
          <w:szCs w:val="24"/>
        </w:rPr>
        <w:t>the Crime and Disorder Act 1998 (CDA), outlined racially aggravated offences to categorically address offences motivated by racial or religious hostility</w:t>
      </w:r>
      <w:r w:rsidR="008C2850" w:rsidRPr="00FD3A78">
        <w:rPr>
          <w:rFonts w:asciiTheme="minorHAnsi" w:hAnsiTheme="minorHAnsi" w:cstheme="minorHAnsi"/>
          <w:sz w:val="24"/>
          <w:szCs w:val="24"/>
        </w:rPr>
        <w:t xml:space="preserve"> </w:t>
      </w:r>
      <w:r w:rsidR="00B45ECE" w:rsidRPr="00FD3A78">
        <w:rPr>
          <w:rFonts w:asciiTheme="minorHAnsi" w:eastAsiaTheme="minorHAnsi" w:hAnsiTheme="minorHAnsi" w:cstheme="minorHAnsi"/>
          <w:sz w:val="24"/>
          <w:szCs w:val="24"/>
          <w:lang w:val="en-US" w:eastAsia="en-US"/>
        </w:rPr>
        <w:t>(Downes and Newburn, 2022; Mazerolle and Ransley, 2019)</w:t>
      </w:r>
      <w:r w:rsidRPr="00FD3A78">
        <w:rPr>
          <w:rFonts w:asciiTheme="minorHAnsi" w:hAnsiTheme="minorHAnsi" w:cstheme="minorHAnsi"/>
          <w:sz w:val="24"/>
          <w:szCs w:val="24"/>
        </w:rPr>
        <w:t>. According to the Home Office (2018), three quarters of all recorded offences consist of race related hate crime</w:t>
      </w:r>
      <w:r w:rsidR="00B45ECE" w:rsidRPr="00FD3A78">
        <w:rPr>
          <w:rFonts w:asciiTheme="minorHAnsi" w:hAnsiTheme="minorHAnsi" w:cstheme="minorHAnsi"/>
          <w:sz w:val="24"/>
          <w:szCs w:val="24"/>
        </w:rPr>
        <w:t xml:space="preserve">. </w:t>
      </w:r>
      <w:r w:rsidR="00B85B1F" w:rsidRPr="00FD3A78">
        <w:rPr>
          <w:rFonts w:asciiTheme="minorHAnsi" w:eastAsiaTheme="minorHAnsi" w:hAnsiTheme="minorHAnsi" w:cstheme="minorHAnsi"/>
          <w:sz w:val="24"/>
          <w:szCs w:val="24"/>
          <w:lang w:val="en-US" w:eastAsia="en-US"/>
        </w:rPr>
        <w:t xml:space="preserve">Moreover, </w:t>
      </w:r>
      <w:r w:rsidR="00B85B1F" w:rsidRPr="00FD3A78">
        <w:rPr>
          <w:rFonts w:asciiTheme="minorHAnsi" w:hAnsiTheme="minorHAnsi" w:cstheme="minorHAnsi"/>
          <w:sz w:val="24"/>
          <w:szCs w:val="24"/>
        </w:rPr>
        <w:t xml:space="preserve">racial violence increased in the 1970s and 1980s, including the murder of Stephen Lawrence in 1993, which led to the development of the current legal framework. In 2001, the CDA was extended to cover religiously aggravated offences. The Criminal Justice Act 2003 </w:t>
      </w:r>
      <w:r w:rsidR="00EB4CE7" w:rsidRPr="00FD3A78">
        <w:rPr>
          <w:rFonts w:asciiTheme="minorHAnsi" w:hAnsiTheme="minorHAnsi" w:cstheme="minorHAnsi"/>
          <w:sz w:val="24"/>
          <w:szCs w:val="24"/>
        </w:rPr>
        <w:t>set out the principles of</w:t>
      </w:r>
      <w:r w:rsidR="00B85B1F" w:rsidRPr="00FD3A78">
        <w:rPr>
          <w:rFonts w:asciiTheme="minorHAnsi" w:hAnsiTheme="minorHAnsi" w:cstheme="minorHAnsi"/>
          <w:sz w:val="24"/>
          <w:szCs w:val="24"/>
        </w:rPr>
        <w:t xml:space="preserve"> law </w:t>
      </w:r>
      <w:r w:rsidR="00470AEA" w:rsidRPr="00FD3A78">
        <w:rPr>
          <w:rFonts w:asciiTheme="minorHAnsi" w:hAnsiTheme="minorHAnsi" w:cstheme="minorHAnsi"/>
          <w:sz w:val="24"/>
          <w:szCs w:val="24"/>
        </w:rPr>
        <w:t>regarding sentencing</w:t>
      </w:r>
      <w:r w:rsidR="00C51469" w:rsidRPr="00FD3A78">
        <w:rPr>
          <w:rFonts w:asciiTheme="minorHAnsi" w:hAnsiTheme="minorHAnsi" w:cstheme="minorHAnsi"/>
          <w:sz w:val="24"/>
          <w:szCs w:val="24"/>
        </w:rPr>
        <w:t xml:space="preserve"> for public protection</w:t>
      </w:r>
      <w:r w:rsidR="00EB4CE7" w:rsidRPr="00FD3A78">
        <w:rPr>
          <w:rFonts w:asciiTheme="minorHAnsi" w:hAnsiTheme="minorHAnsi" w:cstheme="minorHAnsi"/>
          <w:sz w:val="24"/>
          <w:szCs w:val="24"/>
        </w:rPr>
        <w:t xml:space="preserve">, </w:t>
      </w:r>
      <w:r w:rsidR="00B85B1F" w:rsidRPr="00FD3A78">
        <w:rPr>
          <w:rFonts w:asciiTheme="minorHAnsi" w:hAnsiTheme="minorHAnsi" w:cstheme="minorHAnsi"/>
          <w:sz w:val="24"/>
          <w:szCs w:val="24"/>
        </w:rPr>
        <w:t>requiring the courts to treat sexual orientation and disability</w:t>
      </w:r>
      <w:r w:rsidR="00736DEE" w:rsidRPr="00FD3A78">
        <w:rPr>
          <w:rFonts w:asciiTheme="minorHAnsi" w:hAnsiTheme="minorHAnsi" w:cstheme="minorHAnsi"/>
          <w:sz w:val="24"/>
          <w:szCs w:val="24"/>
        </w:rPr>
        <w:t>,</w:t>
      </w:r>
      <w:r w:rsidR="00EB4CE7" w:rsidRPr="00FD3A78">
        <w:rPr>
          <w:rFonts w:asciiTheme="minorHAnsi" w:hAnsiTheme="minorHAnsi" w:cstheme="minorHAnsi"/>
          <w:sz w:val="24"/>
          <w:szCs w:val="24"/>
        </w:rPr>
        <w:t xml:space="preserve"> </w:t>
      </w:r>
      <w:r w:rsidR="00B85B1F" w:rsidRPr="00FD3A78">
        <w:rPr>
          <w:rFonts w:asciiTheme="minorHAnsi" w:hAnsiTheme="minorHAnsi" w:cstheme="minorHAnsi"/>
          <w:sz w:val="24"/>
          <w:szCs w:val="24"/>
        </w:rPr>
        <w:t>in accordance with transgender hostility in 2012, as aggravated factors in sentencing for any offences motivated by hostility based on said factors</w:t>
      </w:r>
      <w:r w:rsidR="00253657" w:rsidRPr="00FD3A78">
        <w:rPr>
          <w:rFonts w:asciiTheme="minorHAnsi" w:hAnsiTheme="minorHAnsi" w:cstheme="minorHAnsi"/>
          <w:sz w:val="24"/>
          <w:szCs w:val="24"/>
        </w:rPr>
        <w:t xml:space="preserve"> (</w:t>
      </w:r>
      <w:r w:rsidR="005F3A87" w:rsidRPr="00FD3A78">
        <w:rPr>
          <w:rFonts w:asciiTheme="minorHAnsi" w:hAnsiTheme="minorHAnsi" w:cstheme="minorHAnsi"/>
          <w:sz w:val="24"/>
          <w:szCs w:val="24"/>
        </w:rPr>
        <w:t>Crown Prosecution Service, 2022</w:t>
      </w:r>
      <w:r w:rsidR="00253657" w:rsidRPr="00FD3A78">
        <w:rPr>
          <w:rFonts w:asciiTheme="minorHAnsi" w:hAnsiTheme="minorHAnsi" w:cstheme="minorHAnsi"/>
          <w:sz w:val="24"/>
          <w:szCs w:val="24"/>
        </w:rPr>
        <w:t>)</w:t>
      </w:r>
      <w:r w:rsidR="00B85B1F" w:rsidRPr="00FD3A78">
        <w:rPr>
          <w:rFonts w:asciiTheme="minorHAnsi" w:hAnsiTheme="minorHAnsi" w:cstheme="minorHAnsi"/>
          <w:sz w:val="24"/>
          <w:szCs w:val="24"/>
        </w:rPr>
        <w:t>.</w:t>
      </w:r>
      <w:r w:rsidR="00410AC3" w:rsidRPr="00FD3A78">
        <w:rPr>
          <w:rFonts w:asciiTheme="minorHAnsi" w:hAnsiTheme="minorHAnsi" w:cstheme="minorHAnsi"/>
          <w:sz w:val="24"/>
          <w:szCs w:val="24"/>
        </w:rPr>
        <w:t xml:space="preserve"> </w:t>
      </w:r>
    </w:p>
    <w:p w14:paraId="3F6A2066" w14:textId="77777777" w:rsidR="004C0526" w:rsidRPr="00FD3A78" w:rsidRDefault="004C0526" w:rsidP="00FD3A78">
      <w:pPr>
        <w:spacing w:line="360" w:lineRule="auto"/>
        <w:rPr>
          <w:rFonts w:asciiTheme="minorHAnsi" w:hAnsiTheme="minorHAnsi" w:cstheme="minorHAnsi"/>
          <w:sz w:val="24"/>
          <w:szCs w:val="24"/>
        </w:rPr>
      </w:pPr>
    </w:p>
    <w:p w14:paraId="0828E181" w14:textId="42601DA1" w:rsidR="00851651" w:rsidRPr="00FD3A78" w:rsidRDefault="00D45535" w:rsidP="00FD3A78">
      <w:pPr>
        <w:spacing w:line="360" w:lineRule="auto"/>
        <w:rPr>
          <w:rFonts w:asciiTheme="minorHAnsi" w:hAnsiTheme="minorHAnsi" w:cstheme="minorHAnsi"/>
          <w:sz w:val="24"/>
          <w:szCs w:val="24"/>
        </w:rPr>
      </w:pPr>
      <w:r w:rsidRPr="00FD3A78">
        <w:rPr>
          <w:rFonts w:asciiTheme="minorHAnsi" w:hAnsiTheme="minorHAnsi" w:cstheme="minorHAnsi"/>
          <w:sz w:val="24"/>
          <w:szCs w:val="24"/>
        </w:rPr>
        <w:t xml:space="preserve">Due to the categorisation of hate motivated victimisation, practitioners must decide whether a hate incident constitutes a hate crime. Hate incidents are defined as non-criminal acts that are motivated by prejudice or hostility towards race, religion, sexual orientation, disability, or transgender identity. For example, dirty stares at a person based on prejudice towards their race </w:t>
      </w:r>
      <w:r w:rsidR="00147E67" w:rsidRPr="00FD3A78">
        <w:rPr>
          <w:rFonts w:asciiTheme="minorHAnsi" w:hAnsiTheme="minorHAnsi" w:cstheme="minorHAnsi"/>
          <w:sz w:val="24"/>
          <w:szCs w:val="24"/>
        </w:rPr>
        <w:t>(</w:t>
      </w:r>
      <w:r w:rsidR="00A66D78" w:rsidRPr="00FD3A78">
        <w:rPr>
          <w:rFonts w:asciiTheme="minorHAnsi" w:hAnsiTheme="minorHAnsi" w:cstheme="minorHAnsi"/>
          <w:sz w:val="24"/>
          <w:szCs w:val="24"/>
        </w:rPr>
        <w:t>Perry, 2021</w:t>
      </w:r>
      <w:r w:rsidR="00147E67" w:rsidRPr="00FD3A78">
        <w:rPr>
          <w:rFonts w:asciiTheme="minorHAnsi" w:hAnsiTheme="minorHAnsi" w:cstheme="minorHAnsi"/>
          <w:sz w:val="24"/>
          <w:szCs w:val="24"/>
        </w:rPr>
        <w:t>). Despite</w:t>
      </w:r>
      <w:r w:rsidR="00376B66" w:rsidRPr="00FD3A78">
        <w:rPr>
          <w:rFonts w:asciiTheme="minorHAnsi" w:hAnsiTheme="minorHAnsi" w:cstheme="minorHAnsi"/>
          <w:sz w:val="24"/>
          <w:szCs w:val="24"/>
        </w:rPr>
        <w:t xml:space="preserve"> reforms to</w:t>
      </w:r>
      <w:r w:rsidR="00AF4FD8" w:rsidRPr="00FD3A78">
        <w:rPr>
          <w:rFonts w:asciiTheme="minorHAnsi" w:hAnsiTheme="minorHAnsi" w:cstheme="minorHAnsi"/>
          <w:sz w:val="24"/>
          <w:szCs w:val="24"/>
        </w:rPr>
        <w:t xml:space="preserve"> the language of</w:t>
      </w:r>
      <w:r w:rsidR="00376B66" w:rsidRPr="00FD3A78">
        <w:rPr>
          <w:rFonts w:asciiTheme="minorHAnsi" w:hAnsiTheme="minorHAnsi" w:cstheme="minorHAnsi"/>
          <w:sz w:val="24"/>
          <w:szCs w:val="24"/>
        </w:rPr>
        <w:t xml:space="preserve"> </w:t>
      </w:r>
      <w:r w:rsidR="00F36296" w:rsidRPr="00FD3A78">
        <w:rPr>
          <w:rFonts w:asciiTheme="minorHAnsi" w:hAnsiTheme="minorHAnsi" w:cstheme="minorHAnsi"/>
          <w:sz w:val="24"/>
          <w:szCs w:val="24"/>
        </w:rPr>
        <w:t>what constitutes a hate crime</w:t>
      </w:r>
      <w:r w:rsidR="00376B66" w:rsidRPr="00FD3A78">
        <w:rPr>
          <w:rFonts w:asciiTheme="minorHAnsi" w:hAnsiTheme="minorHAnsi" w:cstheme="minorHAnsi"/>
          <w:sz w:val="24"/>
          <w:szCs w:val="24"/>
        </w:rPr>
        <w:t xml:space="preserve">, ambiguity </w:t>
      </w:r>
      <w:r w:rsidR="00AF4FD8" w:rsidRPr="00FD3A78">
        <w:rPr>
          <w:rFonts w:asciiTheme="minorHAnsi" w:hAnsiTheme="minorHAnsi" w:cstheme="minorHAnsi"/>
          <w:sz w:val="24"/>
          <w:szCs w:val="24"/>
        </w:rPr>
        <w:t xml:space="preserve">in legal terminology </w:t>
      </w:r>
      <w:r w:rsidR="00330FEC" w:rsidRPr="00FD3A78">
        <w:rPr>
          <w:rFonts w:asciiTheme="minorHAnsi" w:hAnsiTheme="minorHAnsi" w:cstheme="minorHAnsi"/>
          <w:sz w:val="24"/>
          <w:szCs w:val="24"/>
        </w:rPr>
        <w:t>remains</w:t>
      </w:r>
      <w:r w:rsidR="00376B66" w:rsidRPr="00FD3A78">
        <w:rPr>
          <w:rFonts w:asciiTheme="minorHAnsi" w:hAnsiTheme="minorHAnsi" w:cstheme="minorHAnsi"/>
          <w:sz w:val="24"/>
          <w:szCs w:val="24"/>
        </w:rPr>
        <w:t xml:space="preserve"> a contemporary barrier for practitioners</w:t>
      </w:r>
      <w:r w:rsidR="00386119" w:rsidRPr="00FD3A78">
        <w:rPr>
          <w:rFonts w:asciiTheme="minorHAnsi" w:hAnsiTheme="minorHAnsi" w:cstheme="minorHAnsi"/>
          <w:sz w:val="24"/>
          <w:szCs w:val="24"/>
        </w:rPr>
        <w:t>,</w:t>
      </w:r>
      <w:r w:rsidR="00376B66" w:rsidRPr="00FD3A78">
        <w:rPr>
          <w:rFonts w:asciiTheme="minorHAnsi" w:hAnsiTheme="minorHAnsi" w:cstheme="minorHAnsi"/>
          <w:sz w:val="24"/>
          <w:szCs w:val="24"/>
        </w:rPr>
        <w:t xml:space="preserve"> including</w:t>
      </w:r>
      <w:r w:rsidR="00FB345D" w:rsidRPr="00FD3A78">
        <w:rPr>
          <w:rFonts w:asciiTheme="minorHAnsi" w:hAnsiTheme="minorHAnsi" w:cstheme="minorHAnsi"/>
          <w:sz w:val="24"/>
          <w:szCs w:val="24"/>
        </w:rPr>
        <w:t xml:space="preserve"> the</w:t>
      </w:r>
      <w:r w:rsidR="00376B66" w:rsidRPr="00FD3A78">
        <w:rPr>
          <w:rFonts w:asciiTheme="minorHAnsi" w:hAnsiTheme="minorHAnsi" w:cstheme="minorHAnsi"/>
          <w:sz w:val="24"/>
          <w:szCs w:val="24"/>
        </w:rPr>
        <w:t xml:space="preserve"> </w:t>
      </w:r>
      <w:r w:rsidR="00065105" w:rsidRPr="00FD3A78">
        <w:rPr>
          <w:rFonts w:asciiTheme="minorHAnsi" w:hAnsiTheme="minorHAnsi" w:cstheme="minorHAnsi"/>
          <w:sz w:val="24"/>
          <w:szCs w:val="24"/>
        </w:rPr>
        <w:t>police. For</w:t>
      </w:r>
      <w:r w:rsidR="003B0C0E" w:rsidRPr="00FD3A78">
        <w:rPr>
          <w:rFonts w:asciiTheme="minorHAnsi" w:hAnsiTheme="minorHAnsi" w:cstheme="minorHAnsi"/>
          <w:sz w:val="24"/>
          <w:szCs w:val="24"/>
        </w:rPr>
        <w:t xml:space="preserve"> </w:t>
      </w:r>
      <w:r w:rsidR="00264CAD" w:rsidRPr="00FD3A78">
        <w:rPr>
          <w:rFonts w:asciiTheme="minorHAnsi" w:hAnsiTheme="minorHAnsi" w:cstheme="minorHAnsi"/>
          <w:sz w:val="24"/>
          <w:szCs w:val="24"/>
        </w:rPr>
        <w:t>example,</w:t>
      </w:r>
      <w:r w:rsidR="003B0C0E" w:rsidRPr="00FD3A78">
        <w:rPr>
          <w:rFonts w:asciiTheme="minorHAnsi" w:hAnsiTheme="minorHAnsi" w:cstheme="minorHAnsi"/>
          <w:sz w:val="24"/>
          <w:szCs w:val="24"/>
        </w:rPr>
        <w:t xml:space="preserve"> hostility is not clearly defined by the C</w:t>
      </w:r>
      <w:r w:rsidR="002567E6" w:rsidRPr="00FD3A78">
        <w:rPr>
          <w:rFonts w:asciiTheme="minorHAnsi" w:hAnsiTheme="minorHAnsi" w:cstheme="minorHAnsi"/>
          <w:sz w:val="24"/>
          <w:szCs w:val="24"/>
        </w:rPr>
        <w:t>rown Prosecution Service (CPS)</w:t>
      </w:r>
      <w:r w:rsidR="003B0C0E" w:rsidRPr="00FD3A78">
        <w:rPr>
          <w:rFonts w:asciiTheme="minorHAnsi" w:hAnsiTheme="minorHAnsi" w:cstheme="minorHAnsi"/>
          <w:sz w:val="24"/>
          <w:szCs w:val="24"/>
        </w:rPr>
        <w:t xml:space="preserve"> and covers a broad spectrum of behaviour</w:t>
      </w:r>
      <w:r w:rsidR="000921B0" w:rsidRPr="00FD3A78">
        <w:rPr>
          <w:rFonts w:asciiTheme="minorHAnsi" w:hAnsiTheme="minorHAnsi" w:cstheme="minorHAnsi"/>
          <w:sz w:val="24"/>
          <w:szCs w:val="24"/>
        </w:rPr>
        <w:t xml:space="preserve">. </w:t>
      </w:r>
      <w:r w:rsidR="00293142" w:rsidRPr="00FD3A78">
        <w:rPr>
          <w:rFonts w:asciiTheme="minorHAnsi" w:hAnsiTheme="minorHAnsi" w:cstheme="minorHAnsi"/>
          <w:sz w:val="24"/>
          <w:szCs w:val="24"/>
        </w:rPr>
        <w:t>According to Walters (2014), t</w:t>
      </w:r>
      <w:r w:rsidR="00946C1C" w:rsidRPr="00FD3A78">
        <w:rPr>
          <w:rFonts w:asciiTheme="minorHAnsi" w:hAnsiTheme="minorHAnsi" w:cstheme="minorHAnsi"/>
          <w:sz w:val="24"/>
          <w:szCs w:val="24"/>
        </w:rPr>
        <w:t xml:space="preserve">he lack of </w:t>
      </w:r>
      <w:r w:rsidR="007E0EA5" w:rsidRPr="00FD3A78">
        <w:rPr>
          <w:rFonts w:asciiTheme="minorHAnsi" w:hAnsiTheme="minorHAnsi" w:cstheme="minorHAnsi"/>
          <w:sz w:val="24"/>
          <w:szCs w:val="24"/>
        </w:rPr>
        <w:t>a statutory definition for hos</w:t>
      </w:r>
      <w:r w:rsidR="008B43F4" w:rsidRPr="00FD3A78">
        <w:rPr>
          <w:rFonts w:asciiTheme="minorHAnsi" w:hAnsiTheme="minorHAnsi" w:cstheme="minorHAnsi"/>
          <w:sz w:val="24"/>
          <w:szCs w:val="24"/>
        </w:rPr>
        <w:t xml:space="preserve">tility </w:t>
      </w:r>
      <w:r w:rsidR="00502043" w:rsidRPr="00FD3A78">
        <w:rPr>
          <w:rFonts w:asciiTheme="minorHAnsi" w:hAnsiTheme="minorHAnsi" w:cstheme="minorHAnsi"/>
          <w:sz w:val="24"/>
          <w:szCs w:val="24"/>
        </w:rPr>
        <w:t xml:space="preserve">allows for </w:t>
      </w:r>
      <w:r w:rsidR="008F14B4" w:rsidRPr="00FD3A78">
        <w:rPr>
          <w:rFonts w:asciiTheme="minorHAnsi" w:hAnsiTheme="minorHAnsi" w:cstheme="minorHAnsi"/>
          <w:sz w:val="24"/>
          <w:szCs w:val="24"/>
        </w:rPr>
        <w:t>practitioners</w:t>
      </w:r>
      <w:r w:rsidR="009541BA" w:rsidRPr="00FD3A78">
        <w:rPr>
          <w:rFonts w:asciiTheme="minorHAnsi" w:hAnsiTheme="minorHAnsi" w:cstheme="minorHAnsi"/>
          <w:sz w:val="24"/>
          <w:szCs w:val="24"/>
        </w:rPr>
        <w:t xml:space="preserve"> to use the </w:t>
      </w:r>
      <w:r w:rsidR="008F14B4" w:rsidRPr="00FD3A78">
        <w:rPr>
          <w:rFonts w:asciiTheme="minorHAnsi" w:hAnsiTheme="minorHAnsi" w:cstheme="minorHAnsi"/>
          <w:sz w:val="24"/>
          <w:szCs w:val="24"/>
        </w:rPr>
        <w:t>dictionary</w:t>
      </w:r>
      <w:r w:rsidR="009541BA" w:rsidRPr="00FD3A78">
        <w:rPr>
          <w:rFonts w:asciiTheme="minorHAnsi" w:hAnsiTheme="minorHAnsi" w:cstheme="minorHAnsi"/>
          <w:sz w:val="24"/>
          <w:szCs w:val="24"/>
        </w:rPr>
        <w:t xml:space="preserve"> </w:t>
      </w:r>
      <w:r w:rsidR="00DE0B2A" w:rsidRPr="00FD3A78">
        <w:rPr>
          <w:rFonts w:asciiTheme="minorHAnsi" w:hAnsiTheme="minorHAnsi" w:cstheme="minorHAnsi"/>
          <w:sz w:val="24"/>
          <w:szCs w:val="24"/>
        </w:rPr>
        <w:t>definitions</w:t>
      </w:r>
      <w:r w:rsidR="008D5A3A" w:rsidRPr="00FD3A78">
        <w:rPr>
          <w:rFonts w:asciiTheme="minorHAnsi" w:hAnsiTheme="minorHAnsi" w:cstheme="minorHAnsi"/>
          <w:sz w:val="24"/>
          <w:szCs w:val="24"/>
        </w:rPr>
        <w:t xml:space="preserve"> that leaves the judges and jury to decide on </w:t>
      </w:r>
      <w:r w:rsidR="008F14B4" w:rsidRPr="00FD3A78">
        <w:rPr>
          <w:rFonts w:asciiTheme="minorHAnsi" w:hAnsiTheme="minorHAnsi" w:cstheme="minorHAnsi"/>
          <w:sz w:val="24"/>
          <w:szCs w:val="24"/>
        </w:rPr>
        <w:t>the meaning of hostility</w:t>
      </w:r>
      <w:r w:rsidR="00FE1FC8" w:rsidRPr="00FD3A78">
        <w:rPr>
          <w:rFonts w:asciiTheme="minorHAnsi" w:hAnsiTheme="minorHAnsi" w:cstheme="minorHAnsi"/>
          <w:sz w:val="24"/>
          <w:szCs w:val="24"/>
        </w:rPr>
        <w:t xml:space="preserve">. </w:t>
      </w:r>
      <w:r w:rsidR="00A80676" w:rsidRPr="00FD3A78">
        <w:rPr>
          <w:rFonts w:asciiTheme="minorHAnsi" w:hAnsiTheme="minorHAnsi" w:cstheme="minorHAnsi"/>
          <w:sz w:val="24"/>
          <w:szCs w:val="24"/>
        </w:rPr>
        <w:t>Therefore,</w:t>
      </w:r>
      <w:r w:rsidR="008E4C25" w:rsidRPr="00FD3A78">
        <w:rPr>
          <w:rFonts w:asciiTheme="minorHAnsi" w:hAnsiTheme="minorHAnsi" w:cstheme="minorHAnsi"/>
          <w:sz w:val="24"/>
          <w:szCs w:val="24"/>
        </w:rPr>
        <w:t xml:space="preserve"> police and </w:t>
      </w:r>
      <w:r w:rsidR="00A80676" w:rsidRPr="00FD3A78">
        <w:rPr>
          <w:rFonts w:asciiTheme="minorHAnsi" w:hAnsiTheme="minorHAnsi" w:cstheme="minorHAnsi"/>
          <w:sz w:val="24"/>
          <w:szCs w:val="24"/>
        </w:rPr>
        <w:t>practitioners</w:t>
      </w:r>
      <w:r w:rsidR="008E4C25" w:rsidRPr="00FD3A78">
        <w:rPr>
          <w:rFonts w:asciiTheme="minorHAnsi" w:hAnsiTheme="minorHAnsi" w:cstheme="minorHAnsi"/>
          <w:sz w:val="24"/>
          <w:szCs w:val="24"/>
        </w:rPr>
        <w:t xml:space="preserve"> may not record some offences that could </w:t>
      </w:r>
      <w:r w:rsidR="00A80676" w:rsidRPr="00FD3A78">
        <w:rPr>
          <w:rFonts w:asciiTheme="minorHAnsi" w:hAnsiTheme="minorHAnsi" w:cstheme="minorHAnsi"/>
          <w:sz w:val="24"/>
          <w:szCs w:val="24"/>
        </w:rPr>
        <w:t>constitute</w:t>
      </w:r>
      <w:r w:rsidR="00976298" w:rsidRPr="00FD3A78">
        <w:rPr>
          <w:rFonts w:asciiTheme="minorHAnsi" w:hAnsiTheme="minorHAnsi" w:cstheme="minorHAnsi"/>
          <w:sz w:val="24"/>
          <w:szCs w:val="24"/>
        </w:rPr>
        <w:t xml:space="preserve"> a hate crime due to the</w:t>
      </w:r>
      <w:r w:rsidR="00C351AF" w:rsidRPr="00FD3A78">
        <w:rPr>
          <w:rFonts w:asciiTheme="minorHAnsi" w:hAnsiTheme="minorHAnsi" w:cstheme="minorHAnsi"/>
          <w:sz w:val="24"/>
          <w:szCs w:val="24"/>
        </w:rPr>
        <w:t xml:space="preserve"> subjective</w:t>
      </w:r>
      <w:r w:rsidR="00976298" w:rsidRPr="00FD3A78">
        <w:rPr>
          <w:rFonts w:asciiTheme="minorHAnsi" w:hAnsiTheme="minorHAnsi" w:cstheme="minorHAnsi"/>
          <w:sz w:val="24"/>
          <w:szCs w:val="24"/>
        </w:rPr>
        <w:t xml:space="preserve"> legal terminology</w:t>
      </w:r>
      <w:r w:rsidR="000D2216" w:rsidRPr="00FD3A78">
        <w:rPr>
          <w:rFonts w:asciiTheme="minorHAnsi" w:hAnsiTheme="minorHAnsi" w:cstheme="minorHAnsi"/>
          <w:sz w:val="24"/>
          <w:szCs w:val="24"/>
        </w:rPr>
        <w:t xml:space="preserve"> and difficulty categorising the offence</w:t>
      </w:r>
      <w:r w:rsidR="00976298" w:rsidRPr="00FD3A78">
        <w:rPr>
          <w:rFonts w:asciiTheme="minorHAnsi" w:hAnsiTheme="minorHAnsi" w:cstheme="minorHAnsi"/>
          <w:sz w:val="24"/>
          <w:szCs w:val="24"/>
        </w:rPr>
        <w:t xml:space="preserve">, accounting for misrepresentation </w:t>
      </w:r>
      <w:r w:rsidR="00630580" w:rsidRPr="00FD3A78">
        <w:rPr>
          <w:rFonts w:asciiTheme="minorHAnsi" w:hAnsiTheme="minorHAnsi" w:cstheme="minorHAnsi"/>
          <w:sz w:val="24"/>
          <w:szCs w:val="24"/>
        </w:rPr>
        <w:t>of underreporting</w:t>
      </w:r>
      <w:r w:rsidR="00503C74" w:rsidRPr="00FD3A78">
        <w:rPr>
          <w:rFonts w:asciiTheme="minorHAnsi" w:hAnsiTheme="minorHAnsi" w:cstheme="minorHAnsi"/>
          <w:sz w:val="24"/>
          <w:szCs w:val="24"/>
        </w:rPr>
        <w:t xml:space="preserve"> </w:t>
      </w:r>
      <w:r w:rsidR="00976298" w:rsidRPr="00FD3A78">
        <w:rPr>
          <w:rFonts w:asciiTheme="minorHAnsi" w:hAnsiTheme="minorHAnsi" w:cstheme="minorHAnsi"/>
          <w:sz w:val="24"/>
          <w:szCs w:val="24"/>
        </w:rPr>
        <w:t>hate crime statistics</w:t>
      </w:r>
      <w:r w:rsidR="00624CDE" w:rsidRPr="00FD3A78">
        <w:rPr>
          <w:rFonts w:asciiTheme="minorHAnsi" w:hAnsiTheme="minorHAnsi" w:cstheme="minorHAnsi"/>
          <w:sz w:val="24"/>
          <w:szCs w:val="24"/>
        </w:rPr>
        <w:t xml:space="preserve">. </w:t>
      </w:r>
      <w:r w:rsidR="00A11BEF" w:rsidRPr="00FD3A78">
        <w:rPr>
          <w:rFonts w:asciiTheme="minorHAnsi" w:hAnsiTheme="minorHAnsi" w:cstheme="minorHAnsi"/>
          <w:sz w:val="24"/>
          <w:szCs w:val="24"/>
        </w:rPr>
        <w:t xml:space="preserve">Arguably </w:t>
      </w:r>
      <w:r w:rsidR="00AF5704" w:rsidRPr="00FD3A78">
        <w:rPr>
          <w:rFonts w:asciiTheme="minorHAnsi" w:hAnsiTheme="minorHAnsi" w:cstheme="minorHAnsi"/>
          <w:sz w:val="24"/>
          <w:szCs w:val="24"/>
        </w:rPr>
        <w:t xml:space="preserve">hate crime statistics are higher than </w:t>
      </w:r>
      <w:r w:rsidR="002D306D" w:rsidRPr="00FD3A78">
        <w:rPr>
          <w:rFonts w:asciiTheme="minorHAnsi" w:hAnsiTheme="minorHAnsi" w:cstheme="minorHAnsi"/>
          <w:sz w:val="24"/>
          <w:szCs w:val="24"/>
        </w:rPr>
        <w:t>what statistics currently represent</w:t>
      </w:r>
      <w:r w:rsidR="00736A4A" w:rsidRPr="00FD3A78">
        <w:rPr>
          <w:rFonts w:asciiTheme="minorHAnsi" w:hAnsiTheme="minorHAnsi" w:cstheme="minorHAnsi"/>
          <w:sz w:val="24"/>
          <w:szCs w:val="24"/>
        </w:rPr>
        <w:t xml:space="preserve">. </w:t>
      </w:r>
      <w:r w:rsidR="000643B1" w:rsidRPr="00FD3A78">
        <w:rPr>
          <w:rFonts w:asciiTheme="minorHAnsi" w:hAnsiTheme="minorHAnsi" w:cstheme="minorHAnsi"/>
          <w:sz w:val="24"/>
          <w:szCs w:val="24"/>
        </w:rPr>
        <w:t>Exemplified</w:t>
      </w:r>
      <w:r w:rsidR="00736A4A" w:rsidRPr="00FD3A78">
        <w:rPr>
          <w:rFonts w:asciiTheme="minorHAnsi" w:hAnsiTheme="minorHAnsi" w:cstheme="minorHAnsi"/>
          <w:sz w:val="24"/>
          <w:szCs w:val="24"/>
        </w:rPr>
        <w:t xml:space="preserve"> </w:t>
      </w:r>
      <w:r w:rsidR="000643B1" w:rsidRPr="00FD3A78">
        <w:rPr>
          <w:rFonts w:asciiTheme="minorHAnsi" w:hAnsiTheme="minorHAnsi" w:cstheme="minorHAnsi"/>
          <w:sz w:val="24"/>
          <w:szCs w:val="24"/>
        </w:rPr>
        <w:t xml:space="preserve">by the EU referendum in 2016 and </w:t>
      </w:r>
      <w:r w:rsidR="009110E1" w:rsidRPr="00FD3A78">
        <w:rPr>
          <w:rFonts w:asciiTheme="minorHAnsi" w:hAnsiTheme="minorHAnsi" w:cstheme="minorHAnsi"/>
          <w:sz w:val="24"/>
          <w:szCs w:val="24"/>
        </w:rPr>
        <w:t xml:space="preserve">the 2017 </w:t>
      </w:r>
      <w:r w:rsidR="000643B1" w:rsidRPr="00FD3A78">
        <w:rPr>
          <w:rFonts w:asciiTheme="minorHAnsi" w:hAnsiTheme="minorHAnsi" w:cstheme="minorHAnsi"/>
          <w:sz w:val="24"/>
          <w:szCs w:val="24"/>
        </w:rPr>
        <w:t>terrorist</w:t>
      </w:r>
      <w:r w:rsidR="009110E1" w:rsidRPr="00FD3A78">
        <w:rPr>
          <w:rFonts w:asciiTheme="minorHAnsi" w:hAnsiTheme="minorHAnsi" w:cstheme="minorHAnsi"/>
          <w:sz w:val="24"/>
          <w:szCs w:val="24"/>
        </w:rPr>
        <w:t xml:space="preserve"> attacks</w:t>
      </w:r>
      <w:r w:rsidR="000643B1" w:rsidRPr="00FD3A78">
        <w:rPr>
          <w:rFonts w:asciiTheme="minorHAnsi" w:hAnsiTheme="minorHAnsi" w:cstheme="minorHAnsi"/>
          <w:sz w:val="24"/>
          <w:szCs w:val="24"/>
        </w:rPr>
        <w:t xml:space="preserve"> (Home Office, 2018). Religious hate crime increased by 15-20% in England and Wales due to polarising political viewpoints and conflicting identities associated with political parties (SPRIGG, 2021). Communities negatively impacted by the political disturbance would hold opposing identities in contempt and increase the likely hood of hate crime offences. Correspondingly</w:t>
      </w:r>
      <w:r w:rsidR="00227F00" w:rsidRPr="00FD3A78">
        <w:rPr>
          <w:rFonts w:asciiTheme="minorHAnsi" w:hAnsiTheme="minorHAnsi" w:cstheme="minorHAnsi"/>
          <w:sz w:val="24"/>
          <w:szCs w:val="24"/>
        </w:rPr>
        <w:t>,</w:t>
      </w:r>
      <w:r w:rsidR="000643B1" w:rsidRPr="00FD3A78">
        <w:rPr>
          <w:rFonts w:asciiTheme="minorHAnsi" w:hAnsiTheme="minorHAnsi" w:cstheme="minorHAnsi"/>
          <w:sz w:val="24"/>
          <w:szCs w:val="24"/>
        </w:rPr>
        <w:t xml:space="preserve"> the Home Office (2020) communicates that the EU referendum would have had a larger impact than recorded, offences that could </w:t>
      </w:r>
      <w:r w:rsidR="00EB7D29" w:rsidRPr="00FD3A78">
        <w:rPr>
          <w:rFonts w:asciiTheme="minorHAnsi" w:hAnsiTheme="minorHAnsi" w:cstheme="minorHAnsi"/>
          <w:sz w:val="24"/>
          <w:szCs w:val="24"/>
        </w:rPr>
        <w:t>have</w:t>
      </w:r>
      <w:r w:rsidR="000643B1" w:rsidRPr="00FD3A78">
        <w:rPr>
          <w:rFonts w:asciiTheme="minorHAnsi" w:hAnsiTheme="minorHAnsi" w:cstheme="minorHAnsi"/>
          <w:sz w:val="24"/>
          <w:szCs w:val="24"/>
        </w:rPr>
        <w:t xml:space="preserve"> constituted a hate crime may have gone unrecorded. </w:t>
      </w:r>
      <w:r w:rsidR="00EE6E2D" w:rsidRPr="00FD3A78">
        <w:rPr>
          <w:rFonts w:asciiTheme="minorHAnsi" w:hAnsiTheme="minorHAnsi" w:cstheme="minorHAnsi"/>
          <w:sz w:val="24"/>
          <w:szCs w:val="24"/>
        </w:rPr>
        <w:t xml:space="preserve">Opposingly </w:t>
      </w:r>
      <w:r w:rsidR="00630580" w:rsidRPr="00FD3A78">
        <w:rPr>
          <w:rFonts w:asciiTheme="minorHAnsi" w:hAnsiTheme="minorHAnsi" w:cstheme="minorHAnsi"/>
          <w:sz w:val="24"/>
          <w:szCs w:val="24"/>
        </w:rPr>
        <w:t xml:space="preserve">the rise in hate crime statistics over the last five years </w:t>
      </w:r>
      <w:r w:rsidR="00BD3978" w:rsidRPr="00FD3A78">
        <w:rPr>
          <w:rFonts w:asciiTheme="minorHAnsi" w:hAnsiTheme="minorHAnsi" w:cstheme="minorHAnsi"/>
          <w:sz w:val="24"/>
          <w:szCs w:val="24"/>
        </w:rPr>
        <w:t>can be attributed</w:t>
      </w:r>
      <w:r w:rsidR="000C77E3" w:rsidRPr="00FD3A78">
        <w:rPr>
          <w:rFonts w:asciiTheme="minorHAnsi" w:hAnsiTheme="minorHAnsi" w:cstheme="minorHAnsi"/>
          <w:sz w:val="24"/>
          <w:szCs w:val="24"/>
        </w:rPr>
        <w:t xml:space="preserve"> to the improvement in understanding </w:t>
      </w:r>
      <w:r w:rsidR="00EB2E26" w:rsidRPr="00FD3A78">
        <w:rPr>
          <w:rFonts w:asciiTheme="minorHAnsi" w:hAnsiTheme="minorHAnsi" w:cstheme="minorHAnsi"/>
          <w:sz w:val="24"/>
          <w:szCs w:val="24"/>
        </w:rPr>
        <w:t xml:space="preserve">of </w:t>
      </w:r>
      <w:r w:rsidR="000C77E3" w:rsidRPr="00FD3A78">
        <w:rPr>
          <w:rFonts w:asciiTheme="minorHAnsi" w:hAnsiTheme="minorHAnsi" w:cstheme="minorHAnsi"/>
          <w:sz w:val="24"/>
          <w:szCs w:val="24"/>
        </w:rPr>
        <w:t xml:space="preserve">what defines an offence as a hate </w:t>
      </w:r>
      <w:r w:rsidR="00851651" w:rsidRPr="00FD3A78">
        <w:rPr>
          <w:rFonts w:asciiTheme="minorHAnsi" w:hAnsiTheme="minorHAnsi" w:cstheme="minorHAnsi"/>
          <w:sz w:val="24"/>
          <w:szCs w:val="24"/>
        </w:rPr>
        <w:t>crime.</w:t>
      </w:r>
      <w:r w:rsidR="00FB2B37" w:rsidRPr="00FD3A78">
        <w:rPr>
          <w:rFonts w:asciiTheme="minorHAnsi" w:hAnsiTheme="minorHAnsi" w:cstheme="minorHAnsi"/>
          <w:sz w:val="24"/>
          <w:szCs w:val="24"/>
        </w:rPr>
        <w:t xml:space="preserve"> </w:t>
      </w:r>
      <w:r w:rsidR="00F502F6" w:rsidRPr="00FD3A78">
        <w:rPr>
          <w:rFonts w:asciiTheme="minorHAnsi" w:hAnsiTheme="minorHAnsi" w:cstheme="minorHAnsi"/>
          <w:sz w:val="24"/>
          <w:szCs w:val="24"/>
        </w:rPr>
        <w:t xml:space="preserve">According to </w:t>
      </w:r>
      <w:r w:rsidR="008F4E71" w:rsidRPr="00FD3A78">
        <w:rPr>
          <w:rFonts w:asciiTheme="minorHAnsi" w:hAnsiTheme="minorHAnsi" w:cstheme="minorHAnsi"/>
          <w:sz w:val="24"/>
          <w:szCs w:val="24"/>
        </w:rPr>
        <w:t>Zayed (</w:t>
      </w:r>
      <w:r w:rsidR="00840F59" w:rsidRPr="00FD3A78">
        <w:rPr>
          <w:rFonts w:asciiTheme="minorHAnsi" w:hAnsiTheme="minorHAnsi" w:cstheme="minorHAnsi"/>
          <w:sz w:val="24"/>
          <w:szCs w:val="24"/>
        </w:rPr>
        <w:t xml:space="preserve">2022), police records display an improvement in recording hate crime statistics due to improved recording methods and </w:t>
      </w:r>
      <w:r w:rsidR="00207DDF" w:rsidRPr="00FD3A78">
        <w:rPr>
          <w:rFonts w:asciiTheme="minorHAnsi" w:hAnsiTheme="minorHAnsi" w:cstheme="minorHAnsi"/>
          <w:sz w:val="24"/>
          <w:szCs w:val="24"/>
        </w:rPr>
        <w:t xml:space="preserve">awareness of the crime. </w:t>
      </w:r>
      <w:r w:rsidR="00C859A0" w:rsidRPr="00FD3A78">
        <w:rPr>
          <w:rFonts w:asciiTheme="minorHAnsi" w:hAnsiTheme="minorHAnsi" w:cstheme="minorHAnsi"/>
          <w:sz w:val="24"/>
          <w:szCs w:val="24"/>
        </w:rPr>
        <w:t>Statistics</w:t>
      </w:r>
      <w:r w:rsidR="00207DDF" w:rsidRPr="00FD3A78">
        <w:rPr>
          <w:rFonts w:asciiTheme="minorHAnsi" w:hAnsiTheme="minorHAnsi" w:cstheme="minorHAnsi"/>
          <w:sz w:val="24"/>
          <w:szCs w:val="24"/>
        </w:rPr>
        <w:t xml:space="preserve"> </w:t>
      </w:r>
      <w:r w:rsidR="00D76497" w:rsidRPr="00FD3A78">
        <w:rPr>
          <w:rFonts w:asciiTheme="minorHAnsi" w:hAnsiTheme="minorHAnsi" w:cstheme="minorHAnsi"/>
          <w:sz w:val="24"/>
          <w:szCs w:val="24"/>
        </w:rPr>
        <w:t>of hate crime</w:t>
      </w:r>
      <w:r w:rsidR="00207DDF" w:rsidRPr="00FD3A78">
        <w:rPr>
          <w:rFonts w:asciiTheme="minorHAnsi" w:hAnsiTheme="minorHAnsi" w:cstheme="minorHAnsi"/>
          <w:sz w:val="24"/>
          <w:szCs w:val="24"/>
        </w:rPr>
        <w:t xml:space="preserve"> in 2022</w:t>
      </w:r>
      <w:r w:rsidR="005319AF" w:rsidRPr="00FD3A78">
        <w:rPr>
          <w:rFonts w:asciiTheme="minorHAnsi" w:hAnsiTheme="minorHAnsi" w:cstheme="minorHAnsi"/>
          <w:sz w:val="24"/>
          <w:szCs w:val="24"/>
        </w:rPr>
        <w:t xml:space="preserve"> display that 155,841 </w:t>
      </w:r>
      <w:r w:rsidR="0031410A" w:rsidRPr="00FD3A78">
        <w:rPr>
          <w:rFonts w:asciiTheme="minorHAnsi" w:hAnsiTheme="minorHAnsi" w:cstheme="minorHAnsi"/>
          <w:sz w:val="24"/>
          <w:szCs w:val="24"/>
        </w:rPr>
        <w:t xml:space="preserve">recorded </w:t>
      </w:r>
      <w:r w:rsidR="005319AF" w:rsidRPr="00FD3A78">
        <w:rPr>
          <w:rFonts w:asciiTheme="minorHAnsi" w:hAnsiTheme="minorHAnsi" w:cstheme="minorHAnsi"/>
          <w:sz w:val="24"/>
          <w:szCs w:val="24"/>
        </w:rPr>
        <w:t xml:space="preserve">offences </w:t>
      </w:r>
      <w:r w:rsidR="00D76497" w:rsidRPr="00FD3A78">
        <w:rPr>
          <w:rFonts w:asciiTheme="minorHAnsi" w:hAnsiTheme="minorHAnsi" w:cstheme="minorHAnsi"/>
          <w:sz w:val="24"/>
          <w:szCs w:val="24"/>
        </w:rPr>
        <w:t>highlight a 26% increase in figures compared to 2020 (</w:t>
      </w:r>
      <w:r w:rsidR="00C859A0" w:rsidRPr="00FD3A78">
        <w:rPr>
          <w:rFonts w:asciiTheme="minorHAnsi" w:hAnsiTheme="minorHAnsi" w:cstheme="minorHAnsi"/>
          <w:sz w:val="24"/>
          <w:szCs w:val="24"/>
        </w:rPr>
        <w:t xml:space="preserve">Zayed, 2022). </w:t>
      </w:r>
    </w:p>
    <w:p w14:paraId="41C9D8A7" w14:textId="77777777" w:rsidR="00FE7C92" w:rsidRPr="00FD3A78" w:rsidRDefault="00FE7C92" w:rsidP="00FD3A78">
      <w:pPr>
        <w:spacing w:line="360" w:lineRule="auto"/>
        <w:rPr>
          <w:rFonts w:asciiTheme="minorHAnsi" w:hAnsiTheme="minorHAnsi" w:cstheme="minorHAnsi"/>
          <w:sz w:val="24"/>
          <w:szCs w:val="24"/>
        </w:rPr>
      </w:pPr>
    </w:p>
    <w:p w14:paraId="31F880E8" w14:textId="4AB896AB" w:rsidR="00FE7C92" w:rsidRPr="00FD3A78" w:rsidRDefault="00FE7C92" w:rsidP="00FD3A78">
      <w:pPr>
        <w:spacing w:line="360" w:lineRule="auto"/>
        <w:rPr>
          <w:rFonts w:asciiTheme="minorHAnsi" w:hAnsiTheme="minorHAnsi" w:cstheme="minorHAnsi"/>
          <w:sz w:val="24"/>
          <w:szCs w:val="24"/>
        </w:rPr>
      </w:pPr>
      <w:r w:rsidRPr="00FD3A78">
        <w:rPr>
          <w:rFonts w:asciiTheme="minorHAnsi" w:hAnsiTheme="minorHAnsi" w:cstheme="minorHAnsi"/>
          <w:sz w:val="24"/>
          <w:szCs w:val="24"/>
        </w:rPr>
        <w:t xml:space="preserve">Additionally, improved policing responses and resources could have contributed to the rise in hate crime in the UK. The National Hate Crime strategy ensure </w:t>
      </w:r>
      <w:r w:rsidRPr="00FD3A78">
        <w:rPr>
          <w:rStyle w:val="issue-underline"/>
          <w:rFonts w:asciiTheme="minorHAnsi" w:hAnsiTheme="minorHAnsi" w:cstheme="minorHAnsi"/>
          <w:sz w:val="24"/>
          <w:szCs w:val="24"/>
        </w:rPr>
        <w:t xml:space="preserve">police forces in England and Wales are devoted to reducing the harm caused by hate crime (Crown Prosecution Service, 2020). Crime commissioners set out strategic plans to combat hate crime in line with their force’s priorities. For example, Gwent Police take a positive practice through a structured approach to hate crime (College of Policing, 2014). </w:t>
      </w:r>
      <w:r w:rsidRPr="00FD3A78">
        <w:rPr>
          <w:rFonts w:asciiTheme="minorHAnsi" w:hAnsiTheme="minorHAnsi" w:cstheme="minorHAnsi"/>
          <w:sz w:val="24"/>
          <w:szCs w:val="24"/>
        </w:rPr>
        <w:t>Dynamics between different communities and police are crucial in the reporting of hate crimes.</w:t>
      </w:r>
    </w:p>
    <w:p w14:paraId="2C3C4B1D" w14:textId="77777777" w:rsidR="00851651" w:rsidRPr="00FD3A78" w:rsidRDefault="00851651" w:rsidP="00FD3A78">
      <w:pPr>
        <w:spacing w:line="360" w:lineRule="auto"/>
        <w:rPr>
          <w:rFonts w:asciiTheme="minorHAnsi" w:hAnsiTheme="minorHAnsi" w:cstheme="minorHAnsi"/>
          <w:sz w:val="24"/>
          <w:szCs w:val="24"/>
        </w:rPr>
      </w:pPr>
    </w:p>
    <w:p w14:paraId="67093484" w14:textId="77777777" w:rsidR="00DF0986" w:rsidRDefault="000A1EFB" w:rsidP="00FD3A78">
      <w:pPr>
        <w:spacing w:line="360" w:lineRule="auto"/>
        <w:rPr>
          <w:rFonts w:asciiTheme="minorHAnsi" w:hAnsiTheme="minorHAnsi" w:cstheme="minorHAnsi"/>
          <w:sz w:val="24"/>
          <w:szCs w:val="24"/>
        </w:rPr>
      </w:pPr>
      <w:r w:rsidRPr="00FD3A78">
        <w:rPr>
          <w:rFonts w:asciiTheme="minorHAnsi" w:hAnsiTheme="minorHAnsi" w:cstheme="minorHAnsi"/>
          <w:sz w:val="24"/>
          <w:szCs w:val="24"/>
        </w:rPr>
        <w:t>Despite the reform in law regarding hate crime for a more inclusive society and justice for victims, the Law Commission (2023) is pursuing case reform to address current disparities</w:t>
      </w:r>
      <w:r w:rsidR="0055047E" w:rsidRPr="00FD3A78">
        <w:rPr>
          <w:rFonts w:asciiTheme="minorHAnsi" w:hAnsiTheme="minorHAnsi" w:cstheme="minorHAnsi"/>
          <w:sz w:val="24"/>
          <w:szCs w:val="24"/>
        </w:rPr>
        <w:t>.</w:t>
      </w:r>
      <w:r w:rsidRPr="00FD3A78">
        <w:rPr>
          <w:rFonts w:asciiTheme="minorHAnsi" w:hAnsiTheme="minorHAnsi" w:cstheme="minorHAnsi"/>
          <w:sz w:val="24"/>
          <w:szCs w:val="24"/>
        </w:rPr>
        <w:t xml:space="preserve"> </w:t>
      </w:r>
      <w:r w:rsidR="005E1971" w:rsidRPr="00FD3A78">
        <w:rPr>
          <w:rFonts w:asciiTheme="minorHAnsi" w:hAnsiTheme="minorHAnsi" w:cstheme="minorHAnsi"/>
          <w:sz w:val="24"/>
          <w:szCs w:val="24"/>
        </w:rPr>
        <w:t>T</w:t>
      </w:r>
      <w:r w:rsidRPr="00FD3A78">
        <w:rPr>
          <w:rFonts w:asciiTheme="minorHAnsi" w:hAnsiTheme="minorHAnsi" w:cstheme="minorHAnsi"/>
          <w:sz w:val="24"/>
          <w:szCs w:val="24"/>
        </w:rPr>
        <w:t>he</w:t>
      </w:r>
      <w:r w:rsidR="005E1971" w:rsidRPr="00FD3A78">
        <w:rPr>
          <w:rFonts w:asciiTheme="minorHAnsi" w:hAnsiTheme="minorHAnsi" w:cstheme="minorHAnsi"/>
          <w:sz w:val="24"/>
          <w:szCs w:val="24"/>
        </w:rPr>
        <w:t xml:space="preserve"> gap in the</w:t>
      </w:r>
      <w:r w:rsidRPr="00FD3A78">
        <w:rPr>
          <w:rFonts w:asciiTheme="minorHAnsi" w:hAnsiTheme="minorHAnsi" w:cstheme="minorHAnsi"/>
          <w:sz w:val="24"/>
          <w:szCs w:val="24"/>
        </w:rPr>
        <w:t xml:space="preserve"> law for clarity and equality in equitable treatment and protection of diverse groups. Currently, the criminal offences that address hate crime fails to cover all five protected characteristics and leads to unfair sentencing outcomes. For instance, an individual who is assaulted based on disability is not awarded the same protection as someone who is assaulted for racial hostility. Similarly, sexual orientation, gender identity and disability acts of crime that are motivated by prejudice are not sentenced as aggravated offences, contrary to the sentencing of race and disability hate crimes as aggravated offences (House of Commons, 2021). Under equality law, offences categorised by age, sex and homelessness is not categorised at all (Crown Prosecution Service, 2022). </w:t>
      </w:r>
    </w:p>
    <w:p w14:paraId="510A0F0C" w14:textId="77777777" w:rsidR="00DF0986" w:rsidRDefault="00DF0986" w:rsidP="00FD3A78">
      <w:pPr>
        <w:spacing w:line="360" w:lineRule="auto"/>
        <w:rPr>
          <w:rFonts w:asciiTheme="minorHAnsi" w:hAnsiTheme="minorHAnsi" w:cstheme="minorHAnsi"/>
          <w:sz w:val="24"/>
          <w:szCs w:val="24"/>
        </w:rPr>
      </w:pPr>
    </w:p>
    <w:p w14:paraId="79418111" w14:textId="6730AA81" w:rsidR="000A1EFB" w:rsidRPr="00FD3A78" w:rsidRDefault="0053607C" w:rsidP="00FD3A78">
      <w:pPr>
        <w:spacing w:line="360" w:lineRule="auto"/>
        <w:rPr>
          <w:rFonts w:asciiTheme="minorHAnsi" w:hAnsiTheme="minorHAnsi" w:cstheme="minorHAnsi"/>
          <w:sz w:val="24"/>
          <w:szCs w:val="24"/>
        </w:rPr>
      </w:pPr>
      <w:r w:rsidRPr="00FD3A78">
        <w:rPr>
          <w:rFonts w:asciiTheme="minorHAnsi" w:hAnsiTheme="minorHAnsi" w:cstheme="minorHAnsi"/>
          <w:sz w:val="24"/>
          <w:szCs w:val="24"/>
        </w:rPr>
        <w:t>Moreover,</w:t>
      </w:r>
      <w:r w:rsidR="00DF6954" w:rsidRPr="00FD3A78">
        <w:rPr>
          <w:rFonts w:asciiTheme="minorHAnsi" w:hAnsiTheme="minorHAnsi" w:cstheme="minorHAnsi"/>
          <w:sz w:val="24"/>
          <w:szCs w:val="24"/>
        </w:rPr>
        <w:t xml:space="preserve"> </w:t>
      </w:r>
      <w:r w:rsidR="006A3833" w:rsidRPr="00FD3A78">
        <w:rPr>
          <w:rFonts w:asciiTheme="minorHAnsi" w:hAnsiTheme="minorHAnsi" w:cstheme="minorHAnsi"/>
          <w:sz w:val="24"/>
          <w:szCs w:val="24"/>
        </w:rPr>
        <w:t>f</w:t>
      </w:r>
      <w:r w:rsidR="007E72E2" w:rsidRPr="00FD3A78">
        <w:rPr>
          <w:rFonts w:asciiTheme="minorHAnsi" w:hAnsiTheme="minorHAnsi" w:cstheme="minorHAnsi"/>
          <w:sz w:val="24"/>
          <w:szCs w:val="24"/>
        </w:rPr>
        <w:t xml:space="preserve">ailure to provide protection to these </w:t>
      </w:r>
      <w:r w:rsidR="00741C4E" w:rsidRPr="00FD3A78">
        <w:rPr>
          <w:rFonts w:asciiTheme="minorHAnsi" w:hAnsiTheme="minorHAnsi" w:cstheme="minorHAnsi"/>
          <w:sz w:val="24"/>
          <w:szCs w:val="24"/>
        </w:rPr>
        <w:t>minorities undermines the fundamental basis</w:t>
      </w:r>
      <w:r w:rsidR="00A127E9" w:rsidRPr="00FD3A78">
        <w:rPr>
          <w:rFonts w:asciiTheme="minorHAnsi" w:hAnsiTheme="minorHAnsi" w:cstheme="minorHAnsi"/>
          <w:sz w:val="24"/>
          <w:szCs w:val="24"/>
        </w:rPr>
        <w:t xml:space="preserve"> and enactment</w:t>
      </w:r>
      <w:r w:rsidR="00741C4E" w:rsidRPr="00FD3A78">
        <w:rPr>
          <w:rFonts w:asciiTheme="minorHAnsi" w:hAnsiTheme="minorHAnsi" w:cstheme="minorHAnsi"/>
          <w:sz w:val="24"/>
          <w:szCs w:val="24"/>
        </w:rPr>
        <w:t xml:space="preserve"> of hate crime legislation that </w:t>
      </w:r>
      <w:r w:rsidR="00A0617B" w:rsidRPr="00FD3A78">
        <w:rPr>
          <w:rFonts w:asciiTheme="minorHAnsi" w:hAnsiTheme="minorHAnsi" w:cstheme="minorHAnsi"/>
          <w:sz w:val="24"/>
          <w:szCs w:val="24"/>
        </w:rPr>
        <w:t>was set out to create a more inclusive society</w:t>
      </w:r>
      <w:r w:rsidR="007B285C" w:rsidRPr="00FD3A78">
        <w:rPr>
          <w:rFonts w:asciiTheme="minorHAnsi" w:hAnsiTheme="minorHAnsi" w:cstheme="minorHAnsi"/>
          <w:sz w:val="24"/>
          <w:szCs w:val="24"/>
        </w:rPr>
        <w:t xml:space="preserve"> (</w:t>
      </w:r>
      <w:r w:rsidR="0027048B" w:rsidRPr="00FD3A78">
        <w:rPr>
          <w:rFonts w:asciiTheme="minorHAnsi" w:hAnsiTheme="minorHAnsi" w:cstheme="minorHAnsi"/>
          <w:sz w:val="24"/>
          <w:szCs w:val="24"/>
        </w:rPr>
        <w:t>Chakraborti, 2018</w:t>
      </w:r>
      <w:r w:rsidR="007B285C" w:rsidRPr="00FD3A78">
        <w:rPr>
          <w:rFonts w:asciiTheme="minorHAnsi" w:hAnsiTheme="minorHAnsi" w:cstheme="minorHAnsi"/>
          <w:sz w:val="24"/>
          <w:szCs w:val="24"/>
        </w:rPr>
        <w:t>)</w:t>
      </w:r>
      <w:r w:rsidR="00A0617B" w:rsidRPr="00FD3A78">
        <w:rPr>
          <w:rFonts w:asciiTheme="minorHAnsi" w:hAnsiTheme="minorHAnsi" w:cstheme="minorHAnsi"/>
          <w:sz w:val="24"/>
          <w:szCs w:val="24"/>
        </w:rPr>
        <w:t>.</w:t>
      </w:r>
      <w:r w:rsidR="00D228D3" w:rsidRPr="00FD3A78">
        <w:rPr>
          <w:rFonts w:asciiTheme="minorHAnsi" w:hAnsiTheme="minorHAnsi" w:cstheme="minorHAnsi"/>
          <w:sz w:val="24"/>
          <w:szCs w:val="24"/>
        </w:rPr>
        <w:t xml:space="preserve"> For example, the legislative approach to hate crime theref</w:t>
      </w:r>
      <w:r w:rsidR="00592D90" w:rsidRPr="00FD3A78">
        <w:rPr>
          <w:rFonts w:asciiTheme="minorHAnsi" w:hAnsiTheme="minorHAnsi" w:cstheme="minorHAnsi"/>
          <w:sz w:val="24"/>
          <w:szCs w:val="24"/>
        </w:rPr>
        <w:t xml:space="preserve">ore insinuates that those </w:t>
      </w:r>
      <w:r w:rsidR="00D060CD" w:rsidRPr="00FD3A78">
        <w:rPr>
          <w:rFonts w:asciiTheme="minorHAnsi" w:hAnsiTheme="minorHAnsi" w:cstheme="minorHAnsi"/>
          <w:sz w:val="24"/>
          <w:szCs w:val="24"/>
        </w:rPr>
        <w:t>minority communities</w:t>
      </w:r>
      <w:r w:rsidR="00592D90" w:rsidRPr="00FD3A78">
        <w:rPr>
          <w:rFonts w:asciiTheme="minorHAnsi" w:hAnsiTheme="minorHAnsi" w:cstheme="minorHAnsi"/>
          <w:sz w:val="24"/>
          <w:szCs w:val="24"/>
        </w:rPr>
        <w:t xml:space="preserve"> are less deserving of justice.</w:t>
      </w:r>
      <w:r w:rsidR="00306152" w:rsidRPr="00FD3A78">
        <w:rPr>
          <w:rFonts w:asciiTheme="minorHAnsi" w:eastAsiaTheme="minorHAnsi" w:hAnsiTheme="minorHAnsi" w:cstheme="minorHAnsi"/>
          <w:sz w:val="24"/>
          <w:szCs w:val="24"/>
          <w:lang w:val="en-US" w:eastAsia="en-US"/>
        </w:rPr>
        <w:t xml:space="preserve"> When considering</w:t>
      </w:r>
      <w:r w:rsidR="003308D5" w:rsidRPr="00FD3A78">
        <w:rPr>
          <w:rFonts w:asciiTheme="minorHAnsi" w:eastAsiaTheme="minorHAnsi" w:hAnsiTheme="minorHAnsi" w:cstheme="minorHAnsi"/>
          <w:sz w:val="24"/>
          <w:szCs w:val="24"/>
          <w:lang w:val="en-US" w:eastAsia="en-US"/>
        </w:rPr>
        <w:t xml:space="preserve"> the</w:t>
      </w:r>
      <w:r w:rsidR="00306152" w:rsidRPr="00FD3A78">
        <w:rPr>
          <w:rFonts w:asciiTheme="minorHAnsi" w:eastAsiaTheme="minorHAnsi" w:hAnsiTheme="minorHAnsi" w:cstheme="minorHAnsi"/>
          <w:sz w:val="24"/>
          <w:szCs w:val="24"/>
          <w:lang w:val="en-US" w:eastAsia="en-US"/>
        </w:rPr>
        <w:t xml:space="preserve"> intersectionality of prejudice, these factors have even more extensive implications to vicitmisation. Intersectionality can be described as the comprehension that inequalities are interdependent and indivisible from one another</w:t>
      </w:r>
      <w:r w:rsidR="00855E8A" w:rsidRPr="00FD3A78">
        <w:rPr>
          <w:rFonts w:asciiTheme="minorHAnsi" w:eastAsiaTheme="minorHAnsi" w:hAnsiTheme="minorHAnsi" w:cstheme="minorHAnsi"/>
          <w:sz w:val="24"/>
          <w:szCs w:val="24"/>
          <w:lang w:val="en-US" w:eastAsia="en-US"/>
        </w:rPr>
        <w:t>:</w:t>
      </w:r>
      <w:r w:rsidR="00306152" w:rsidRPr="00FD3A78">
        <w:rPr>
          <w:rFonts w:asciiTheme="minorHAnsi" w:eastAsiaTheme="minorHAnsi" w:hAnsiTheme="minorHAnsi" w:cstheme="minorHAnsi"/>
          <w:sz w:val="24"/>
          <w:szCs w:val="24"/>
          <w:lang w:val="en-US" w:eastAsia="en-US"/>
        </w:rPr>
        <w:t xml:space="preserve"> race, class, sexuality, gende</w:t>
      </w:r>
      <w:r w:rsidR="00CB1C10" w:rsidRPr="00FD3A78">
        <w:rPr>
          <w:rFonts w:asciiTheme="minorHAnsi" w:eastAsiaTheme="minorHAnsi" w:hAnsiTheme="minorHAnsi" w:cstheme="minorHAnsi"/>
          <w:sz w:val="24"/>
          <w:szCs w:val="24"/>
          <w:lang w:val="en-US" w:eastAsia="en-US"/>
        </w:rPr>
        <w:t xml:space="preserve">r and so forth </w:t>
      </w:r>
      <w:r w:rsidR="00306152" w:rsidRPr="00FD3A78">
        <w:rPr>
          <w:rFonts w:asciiTheme="minorHAnsi" w:eastAsiaTheme="minorHAnsi" w:hAnsiTheme="minorHAnsi" w:cstheme="minorHAnsi"/>
          <w:sz w:val="24"/>
          <w:szCs w:val="24"/>
          <w:lang w:val="en-US" w:eastAsia="en-US"/>
        </w:rPr>
        <w:t>(</w:t>
      </w:r>
      <w:r w:rsidR="00CE037C" w:rsidRPr="00FD3A78">
        <w:rPr>
          <w:rFonts w:asciiTheme="minorHAnsi" w:eastAsiaTheme="minorHAnsi" w:hAnsiTheme="minorHAnsi" w:cstheme="minorHAnsi"/>
          <w:sz w:val="24"/>
          <w:szCs w:val="24"/>
          <w:lang w:val="en-US" w:eastAsia="en-US"/>
        </w:rPr>
        <w:t>Christoffersen</w:t>
      </w:r>
      <w:r w:rsidR="00306152" w:rsidRPr="00FD3A78">
        <w:rPr>
          <w:rFonts w:asciiTheme="minorHAnsi" w:eastAsiaTheme="minorHAnsi" w:hAnsiTheme="minorHAnsi" w:cstheme="minorHAnsi"/>
          <w:sz w:val="24"/>
          <w:szCs w:val="24"/>
          <w:lang w:val="en-US" w:eastAsia="en-US"/>
        </w:rPr>
        <w:t xml:space="preserve">, 2021). </w:t>
      </w:r>
      <w:r w:rsidR="00CE037C" w:rsidRPr="00FD3A78">
        <w:rPr>
          <w:rFonts w:asciiTheme="minorHAnsi" w:eastAsiaTheme="minorHAnsi" w:hAnsiTheme="minorHAnsi" w:cstheme="minorHAnsi"/>
          <w:sz w:val="24"/>
          <w:szCs w:val="24"/>
          <w:lang w:val="en-US" w:eastAsia="en-US"/>
        </w:rPr>
        <w:t>Christoffersen (2021) states that i</w:t>
      </w:r>
      <w:r w:rsidR="00CF58E9" w:rsidRPr="00FD3A78">
        <w:rPr>
          <w:rFonts w:asciiTheme="minorHAnsi" w:eastAsiaTheme="minorHAnsi" w:hAnsiTheme="minorHAnsi" w:cstheme="minorHAnsi"/>
          <w:sz w:val="24"/>
          <w:szCs w:val="24"/>
          <w:lang w:val="en-US" w:eastAsia="en-US"/>
        </w:rPr>
        <w:t>ntersectionality</w:t>
      </w:r>
      <w:r w:rsidR="00220A61" w:rsidRPr="00FD3A78">
        <w:rPr>
          <w:rFonts w:asciiTheme="minorHAnsi" w:eastAsiaTheme="minorHAnsi" w:hAnsiTheme="minorHAnsi" w:cstheme="minorHAnsi"/>
          <w:sz w:val="24"/>
          <w:szCs w:val="24"/>
          <w:lang w:val="en-US" w:eastAsia="en-US"/>
        </w:rPr>
        <w:t xml:space="preserve"> </w:t>
      </w:r>
      <w:r w:rsidR="0088477B" w:rsidRPr="00FD3A78">
        <w:rPr>
          <w:rFonts w:asciiTheme="minorHAnsi" w:eastAsiaTheme="minorHAnsi" w:hAnsiTheme="minorHAnsi" w:cstheme="minorHAnsi"/>
          <w:sz w:val="24"/>
          <w:szCs w:val="24"/>
          <w:lang w:val="en-US" w:eastAsia="en-US"/>
        </w:rPr>
        <w:t>was derived by Kimberle C</w:t>
      </w:r>
      <w:r w:rsidR="002C1574" w:rsidRPr="00FD3A78">
        <w:rPr>
          <w:rFonts w:asciiTheme="minorHAnsi" w:eastAsiaTheme="minorHAnsi" w:hAnsiTheme="minorHAnsi" w:cstheme="minorHAnsi"/>
          <w:sz w:val="24"/>
          <w:szCs w:val="24"/>
          <w:lang w:val="en-US" w:eastAsia="en-US"/>
        </w:rPr>
        <w:t xml:space="preserve">renshaws research on various forms of oppression that </w:t>
      </w:r>
      <w:r w:rsidR="00B35242" w:rsidRPr="00FD3A78">
        <w:rPr>
          <w:rFonts w:asciiTheme="minorHAnsi" w:eastAsiaTheme="minorHAnsi" w:hAnsiTheme="minorHAnsi" w:cstheme="minorHAnsi"/>
          <w:sz w:val="24"/>
          <w:szCs w:val="24"/>
          <w:lang w:val="en-US" w:eastAsia="en-US"/>
        </w:rPr>
        <w:t>African American</w:t>
      </w:r>
      <w:r w:rsidR="002C1574" w:rsidRPr="00FD3A78">
        <w:rPr>
          <w:rFonts w:asciiTheme="minorHAnsi" w:eastAsiaTheme="minorHAnsi" w:hAnsiTheme="minorHAnsi" w:cstheme="minorHAnsi"/>
          <w:sz w:val="24"/>
          <w:szCs w:val="24"/>
          <w:lang w:val="en-US" w:eastAsia="en-US"/>
        </w:rPr>
        <w:t xml:space="preserve"> women face</w:t>
      </w:r>
      <w:r w:rsidR="00857C02" w:rsidRPr="00FD3A78">
        <w:rPr>
          <w:rFonts w:asciiTheme="minorHAnsi" w:eastAsiaTheme="minorHAnsi" w:hAnsiTheme="minorHAnsi" w:cstheme="minorHAnsi"/>
          <w:sz w:val="24"/>
          <w:szCs w:val="24"/>
          <w:lang w:val="en-US" w:eastAsia="en-US"/>
        </w:rPr>
        <w:t>.</w:t>
      </w:r>
      <w:r w:rsidR="00B26546" w:rsidRPr="00FD3A78">
        <w:rPr>
          <w:rFonts w:asciiTheme="minorHAnsi" w:eastAsiaTheme="minorHAnsi" w:hAnsiTheme="minorHAnsi" w:cstheme="minorHAnsi"/>
          <w:sz w:val="24"/>
          <w:szCs w:val="24"/>
          <w:lang w:val="en-US" w:eastAsia="en-US"/>
        </w:rPr>
        <w:t xml:space="preserve"> </w:t>
      </w:r>
      <w:r w:rsidR="003C1632" w:rsidRPr="00FD3A78">
        <w:rPr>
          <w:rFonts w:asciiTheme="minorHAnsi" w:eastAsiaTheme="minorHAnsi" w:hAnsiTheme="minorHAnsi" w:cstheme="minorHAnsi"/>
          <w:sz w:val="24"/>
          <w:szCs w:val="24"/>
          <w:lang w:val="en-US" w:eastAsia="en-US"/>
        </w:rPr>
        <w:t xml:space="preserve">In application of intersectionality to hate crime legislation, </w:t>
      </w:r>
      <w:r w:rsidR="009C7783" w:rsidRPr="00FD3A78">
        <w:rPr>
          <w:rFonts w:asciiTheme="minorHAnsi" w:eastAsiaTheme="minorHAnsi" w:hAnsiTheme="minorHAnsi" w:cstheme="minorHAnsi"/>
          <w:sz w:val="24"/>
          <w:szCs w:val="24"/>
          <w:lang w:val="en-US" w:eastAsia="en-US"/>
        </w:rPr>
        <w:t xml:space="preserve">current legislation does not </w:t>
      </w:r>
      <w:r w:rsidR="005D50D3" w:rsidRPr="00FD3A78">
        <w:rPr>
          <w:rFonts w:asciiTheme="minorHAnsi" w:eastAsiaTheme="minorHAnsi" w:hAnsiTheme="minorHAnsi" w:cstheme="minorHAnsi"/>
          <w:sz w:val="24"/>
          <w:szCs w:val="24"/>
          <w:lang w:val="en-US" w:eastAsia="en-US"/>
        </w:rPr>
        <w:t xml:space="preserve">account for intersectionality and the overlapping elements of identity. </w:t>
      </w:r>
      <w:r w:rsidR="003F41B8" w:rsidRPr="00FD3A78">
        <w:rPr>
          <w:rFonts w:asciiTheme="minorHAnsi" w:eastAsiaTheme="minorHAnsi" w:hAnsiTheme="minorHAnsi" w:cstheme="minorHAnsi"/>
          <w:sz w:val="24"/>
          <w:szCs w:val="24"/>
          <w:lang w:val="en-US" w:eastAsia="en-US"/>
        </w:rPr>
        <w:t>T</w:t>
      </w:r>
      <w:r w:rsidR="004C08BE" w:rsidRPr="00FD3A78">
        <w:rPr>
          <w:rFonts w:asciiTheme="minorHAnsi" w:eastAsiaTheme="minorHAnsi" w:hAnsiTheme="minorHAnsi" w:cstheme="minorHAnsi"/>
          <w:sz w:val="24"/>
          <w:szCs w:val="24"/>
          <w:lang w:val="en-US" w:eastAsia="en-US"/>
        </w:rPr>
        <w:t xml:space="preserve">he </w:t>
      </w:r>
      <w:r w:rsidR="006D6FBB" w:rsidRPr="00FD3A78">
        <w:rPr>
          <w:rFonts w:asciiTheme="minorHAnsi" w:eastAsiaTheme="minorHAnsi" w:hAnsiTheme="minorHAnsi" w:cstheme="minorHAnsi"/>
          <w:sz w:val="24"/>
          <w:szCs w:val="24"/>
          <w:lang w:val="en-US" w:eastAsia="en-US"/>
        </w:rPr>
        <w:t xml:space="preserve">failure to </w:t>
      </w:r>
      <w:r w:rsidR="004C08BE" w:rsidRPr="00FD3A78">
        <w:rPr>
          <w:rFonts w:asciiTheme="minorHAnsi" w:eastAsiaTheme="minorHAnsi" w:hAnsiTheme="minorHAnsi" w:cstheme="minorHAnsi"/>
          <w:sz w:val="24"/>
          <w:szCs w:val="24"/>
          <w:lang w:val="en-US" w:eastAsia="en-US"/>
        </w:rPr>
        <w:t>applicat</w:t>
      </w:r>
      <w:r w:rsidR="006D6FBB" w:rsidRPr="00FD3A78">
        <w:rPr>
          <w:rFonts w:asciiTheme="minorHAnsi" w:eastAsiaTheme="minorHAnsi" w:hAnsiTheme="minorHAnsi" w:cstheme="minorHAnsi"/>
          <w:sz w:val="24"/>
          <w:szCs w:val="24"/>
          <w:lang w:val="en-US" w:eastAsia="en-US"/>
        </w:rPr>
        <w:t>e</w:t>
      </w:r>
      <w:r w:rsidR="004C08BE" w:rsidRPr="00FD3A78">
        <w:rPr>
          <w:rFonts w:asciiTheme="minorHAnsi" w:eastAsiaTheme="minorHAnsi" w:hAnsiTheme="minorHAnsi" w:cstheme="minorHAnsi"/>
          <w:sz w:val="24"/>
          <w:szCs w:val="24"/>
          <w:lang w:val="en-US" w:eastAsia="en-US"/>
        </w:rPr>
        <w:t xml:space="preserve"> </w:t>
      </w:r>
      <w:r w:rsidR="006D6FBB" w:rsidRPr="00FD3A78">
        <w:rPr>
          <w:rFonts w:asciiTheme="minorHAnsi" w:eastAsiaTheme="minorHAnsi" w:hAnsiTheme="minorHAnsi" w:cstheme="minorHAnsi"/>
          <w:sz w:val="24"/>
          <w:szCs w:val="24"/>
          <w:lang w:val="en-US" w:eastAsia="en-US"/>
        </w:rPr>
        <w:t xml:space="preserve">an </w:t>
      </w:r>
      <w:r w:rsidR="006D2C3A" w:rsidRPr="00FD3A78">
        <w:rPr>
          <w:rFonts w:asciiTheme="minorHAnsi" w:eastAsiaTheme="minorHAnsi" w:hAnsiTheme="minorHAnsi" w:cstheme="minorHAnsi"/>
          <w:sz w:val="24"/>
          <w:szCs w:val="24"/>
          <w:lang w:val="en-US" w:eastAsia="en-US"/>
        </w:rPr>
        <w:t>intersectional</w:t>
      </w:r>
      <w:r w:rsidR="004C08BE" w:rsidRPr="00FD3A78">
        <w:rPr>
          <w:rFonts w:asciiTheme="minorHAnsi" w:eastAsiaTheme="minorHAnsi" w:hAnsiTheme="minorHAnsi" w:cstheme="minorHAnsi"/>
          <w:sz w:val="24"/>
          <w:szCs w:val="24"/>
          <w:lang w:val="en-US" w:eastAsia="en-US"/>
        </w:rPr>
        <w:t xml:space="preserve"> </w:t>
      </w:r>
      <w:r w:rsidR="00061C5F" w:rsidRPr="00FD3A78">
        <w:rPr>
          <w:rFonts w:asciiTheme="minorHAnsi" w:eastAsiaTheme="minorHAnsi" w:hAnsiTheme="minorHAnsi" w:cstheme="minorHAnsi"/>
          <w:sz w:val="24"/>
          <w:szCs w:val="24"/>
          <w:lang w:val="en-US" w:eastAsia="en-US"/>
        </w:rPr>
        <w:t xml:space="preserve">approach </w:t>
      </w:r>
      <w:r w:rsidR="004C08BE" w:rsidRPr="00FD3A78">
        <w:rPr>
          <w:rFonts w:asciiTheme="minorHAnsi" w:eastAsiaTheme="minorHAnsi" w:hAnsiTheme="minorHAnsi" w:cstheme="minorHAnsi"/>
          <w:sz w:val="24"/>
          <w:szCs w:val="24"/>
          <w:lang w:val="en-US" w:eastAsia="en-US"/>
        </w:rPr>
        <w:t>to hate cr</w:t>
      </w:r>
      <w:r w:rsidR="00061C5F" w:rsidRPr="00FD3A78">
        <w:rPr>
          <w:rFonts w:asciiTheme="minorHAnsi" w:eastAsiaTheme="minorHAnsi" w:hAnsiTheme="minorHAnsi" w:cstheme="minorHAnsi"/>
          <w:sz w:val="24"/>
          <w:szCs w:val="24"/>
          <w:lang w:val="en-US" w:eastAsia="en-US"/>
        </w:rPr>
        <w:t>ime</w:t>
      </w:r>
      <w:r w:rsidR="00AB6B3D" w:rsidRPr="00FD3A78">
        <w:rPr>
          <w:rFonts w:asciiTheme="minorHAnsi" w:eastAsiaTheme="minorHAnsi" w:hAnsiTheme="minorHAnsi" w:cstheme="minorHAnsi"/>
          <w:sz w:val="24"/>
          <w:szCs w:val="24"/>
          <w:lang w:val="en-US" w:eastAsia="en-US"/>
        </w:rPr>
        <w:t xml:space="preserve"> means</w:t>
      </w:r>
      <w:r w:rsidR="00061C5F" w:rsidRPr="00FD3A78">
        <w:rPr>
          <w:rFonts w:asciiTheme="minorHAnsi" w:eastAsiaTheme="minorHAnsi" w:hAnsiTheme="minorHAnsi" w:cstheme="minorHAnsi"/>
          <w:sz w:val="24"/>
          <w:szCs w:val="24"/>
          <w:lang w:val="en-US" w:eastAsia="en-US"/>
        </w:rPr>
        <w:t xml:space="preserve"> minority</w:t>
      </w:r>
      <w:r w:rsidR="000F54A9" w:rsidRPr="00FD3A78">
        <w:rPr>
          <w:rFonts w:asciiTheme="minorHAnsi" w:eastAsiaTheme="minorHAnsi" w:hAnsiTheme="minorHAnsi" w:cstheme="minorHAnsi"/>
          <w:sz w:val="24"/>
          <w:szCs w:val="24"/>
          <w:lang w:val="en-US" w:eastAsia="en-US"/>
        </w:rPr>
        <w:t xml:space="preserve"> communities can</w:t>
      </w:r>
      <w:r w:rsidR="006D6FBB" w:rsidRPr="00FD3A78">
        <w:rPr>
          <w:rFonts w:asciiTheme="minorHAnsi" w:eastAsiaTheme="minorHAnsi" w:hAnsiTheme="minorHAnsi" w:cstheme="minorHAnsi"/>
          <w:sz w:val="24"/>
          <w:szCs w:val="24"/>
          <w:lang w:val="en-US" w:eastAsia="en-US"/>
        </w:rPr>
        <w:t>not</w:t>
      </w:r>
      <w:r w:rsidR="000F54A9" w:rsidRPr="00FD3A78">
        <w:rPr>
          <w:rFonts w:asciiTheme="minorHAnsi" w:eastAsiaTheme="minorHAnsi" w:hAnsiTheme="minorHAnsi" w:cstheme="minorHAnsi"/>
          <w:sz w:val="24"/>
          <w:szCs w:val="24"/>
          <w:lang w:val="en-US" w:eastAsia="en-US"/>
        </w:rPr>
        <w:t xml:space="preserve"> receive justice </w:t>
      </w:r>
      <w:r w:rsidR="006D6FBB" w:rsidRPr="00FD3A78">
        <w:rPr>
          <w:rFonts w:asciiTheme="minorHAnsi" w:eastAsiaTheme="minorHAnsi" w:hAnsiTheme="minorHAnsi" w:cstheme="minorHAnsi"/>
          <w:sz w:val="24"/>
          <w:szCs w:val="24"/>
          <w:lang w:val="en-US" w:eastAsia="en-US"/>
        </w:rPr>
        <w:t xml:space="preserve">and are </w:t>
      </w:r>
      <w:r w:rsidR="00E7180F" w:rsidRPr="00FD3A78">
        <w:rPr>
          <w:rFonts w:asciiTheme="minorHAnsi" w:eastAsiaTheme="minorHAnsi" w:hAnsiTheme="minorHAnsi" w:cstheme="minorHAnsi"/>
          <w:sz w:val="24"/>
          <w:szCs w:val="24"/>
          <w:lang w:val="en-US" w:eastAsia="en-US"/>
        </w:rPr>
        <w:t>oppressed.</w:t>
      </w:r>
      <w:r w:rsidR="0070549E" w:rsidRPr="00FD3A78">
        <w:rPr>
          <w:rFonts w:asciiTheme="minorHAnsi" w:eastAsiaTheme="minorHAnsi" w:hAnsiTheme="minorHAnsi" w:cstheme="minorHAnsi"/>
          <w:sz w:val="24"/>
          <w:szCs w:val="24"/>
          <w:lang w:val="en-US" w:eastAsia="en-US"/>
        </w:rPr>
        <w:t xml:space="preserve"> According to Liasidou</w:t>
      </w:r>
      <w:r w:rsidR="00A601B2" w:rsidRPr="00FD3A78">
        <w:rPr>
          <w:rFonts w:asciiTheme="minorHAnsi" w:eastAsiaTheme="minorHAnsi" w:hAnsiTheme="minorHAnsi" w:cstheme="minorHAnsi"/>
          <w:sz w:val="24"/>
          <w:szCs w:val="24"/>
          <w:lang w:val="en-US" w:eastAsia="en-US"/>
        </w:rPr>
        <w:t xml:space="preserve"> and Balderston (2013), a more inclusive approach to hate crime</w:t>
      </w:r>
      <w:r w:rsidR="00436BFC" w:rsidRPr="00FD3A78">
        <w:rPr>
          <w:rFonts w:asciiTheme="minorHAnsi" w:eastAsiaTheme="minorHAnsi" w:hAnsiTheme="minorHAnsi" w:cstheme="minorHAnsi"/>
          <w:sz w:val="24"/>
          <w:szCs w:val="24"/>
          <w:lang w:val="en-US" w:eastAsia="en-US"/>
        </w:rPr>
        <w:t xml:space="preserve"> would be a positive step towards </w:t>
      </w:r>
      <w:r w:rsidR="001B38C9" w:rsidRPr="00FD3A78">
        <w:rPr>
          <w:rFonts w:asciiTheme="minorHAnsi" w:eastAsiaTheme="minorHAnsi" w:hAnsiTheme="minorHAnsi" w:cstheme="minorHAnsi"/>
          <w:sz w:val="24"/>
          <w:szCs w:val="24"/>
          <w:lang w:val="en-US" w:eastAsia="en-US"/>
        </w:rPr>
        <w:t xml:space="preserve">being able to explore </w:t>
      </w:r>
      <w:r w:rsidR="001A4B99" w:rsidRPr="00FD3A78">
        <w:rPr>
          <w:rFonts w:asciiTheme="minorHAnsi" w:eastAsiaTheme="minorHAnsi" w:hAnsiTheme="minorHAnsi" w:cstheme="minorHAnsi"/>
          <w:sz w:val="24"/>
          <w:szCs w:val="24"/>
          <w:lang w:val="en-US" w:eastAsia="en-US"/>
        </w:rPr>
        <w:t>oppressio</w:t>
      </w:r>
      <w:r w:rsidR="00645154" w:rsidRPr="00FD3A78">
        <w:rPr>
          <w:rFonts w:asciiTheme="minorHAnsi" w:eastAsiaTheme="minorHAnsi" w:hAnsiTheme="minorHAnsi" w:cstheme="minorHAnsi"/>
          <w:sz w:val="24"/>
          <w:szCs w:val="24"/>
          <w:lang w:val="en-US" w:eastAsia="en-US"/>
        </w:rPr>
        <w:t>n b</w:t>
      </w:r>
      <w:r w:rsidR="003C599C" w:rsidRPr="00FD3A78">
        <w:rPr>
          <w:rFonts w:asciiTheme="minorHAnsi" w:eastAsiaTheme="minorHAnsi" w:hAnsiTheme="minorHAnsi" w:cstheme="minorHAnsi"/>
          <w:sz w:val="24"/>
          <w:szCs w:val="24"/>
          <w:lang w:val="en-US" w:eastAsia="en-US"/>
        </w:rPr>
        <w:t>y interpreting experiences</w:t>
      </w:r>
      <w:r w:rsidR="00A40FC2" w:rsidRPr="00FD3A78">
        <w:rPr>
          <w:rFonts w:asciiTheme="minorHAnsi" w:eastAsiaTheme="minorHAnsi" w:hAnsiTheme="minorHAnsi" w:cstheme="minorHAnsi"/>
          <w:sz w:val="24"/>
          <w:szCs w:val="24"/>
          <w:lang w:val="en-US" w:eastAsia="en-US"/>
        </w:rPr>
        <w:t xml:space="preserve"> through social categories and </w:t>
      </w:r>
      <w:r w:rsidR="008F1A4F" w:rsidRPr="00FD3A78">
        <w:rPr>
          <w:rFonts w:asciiTheme="minorHAnsi" w:eastAsiaTheme="minorHAnsi" w:hAnsiTheme="minorHAnsi" w:cstheme="minorHAnsi"/>
          <w:sz w:val="24"/>
          <w:szCs w:val="24"/>
          <w:lang w:val="en-US" w:eastAsia="en-US"/>
        </w:rPr>
        <w:t xml:space="preserve">how </w:t>
      </w:r>
      <w:r w:rsidR="00A40FC2" w:rsidRPr="00FD3A78">
        <w:rPr>
          <w:rFonts w:asciiTheme="minorHAnsi" w:eastAsiaTheme="minorHAnsi" w:hAnsiTheme="minorHAnsi" w:cstheme="minorHAnsi"/>
          <w:sz w:val="24"/>
          <w:szCs w:val="24"/>
          <w:lang w:val="en-US" w:eastAsia="en-US"/>
        </w:rPr>
        <w:t>cultu</w:t>
      </w:r>
      <w:r w:rsidR="00C977A5" w:rsidRPr="00FD3A78">
        <w:rPr>
          <w:rFonts w:asciiTheme="minorHAnsi" w:eastAsiaTheme="minorHAnsi" w:hAnsiTheme="minorHAnsi" w:cstheme="minorHAnsi"/>
          <w:sz w:val="24"/>
          <w:szCs w:val="24"/>
          <w:lang w:val="en-US" w:eastAsia="en-US"/>
        </w:rPr>
        <w:t>ral categories interconnec</w:t>
      </w:r>
      <w:r w:rsidR="00950B9E" w:rsidRPr="00FD3A78">
        <w:rPr>
          <w:rFonts w:asciiTheme="minorHAnsi" w:eastAsiaTheme="minorHAnsi" w:hAnsiTheme="minorHAnsi" w:cstheme="minorHAnsi"/>
          <w:sz w:val="24"/>
          <w:szCs w:val="24"/>
          <w:lang w:val="en-US" w:eastAsia="en-US"/>
        </w:rPr>
        <w:t xml:space="preserve">t. </w:t>
      </w:r>
      <w:r w:rsidR="00D341C3" w:rsidRPr="00FD3A78">
        <w:rPr>
          <w:rFonts w:asciiTheme="minorHAnsi" w:eastAsiaTheme="minorHAnsi" w:hAnsiTheme="minorHAnsi" w:cstheme="minorHAnsi"/>
          <w:sz w:val="24"/>
          <w:szCs w:val="24"/>
          <w:lang w:val="en-US" w:eastAsia="en-US"/>
        </w:rPr>
        <w:t xml:space="preserve">For </w:t>
      </w:r>
      <w:r w:rsidR="006F1D62" w:rsidRPr="00FD3A78">
        <w:rPr>
          <w:rFonts w:asciiTheme="minorHAnsi" w:eastAsiaTheme="minorHAnsi" w:hAnsiTheme="minorHAnsi" w:cstheme="minorHAnsi"/>
          <w:sz w:val="24"/>
          <w:szCs w:val="24"/>
          <w:lang w:val="en-US" w:eastAsia="en-US"/>
        </w:rPr>
        <w:t>example,</w:t>
      </w:r>
      <w:r w:rsidR="00D341C3" w:rsidRPr="00FD3A78">
        <w:rPr>
          <w:rFonts w:asciiTheme="minorHAnsi" w:eastAsiaTheme="minorHAnsi" w:hAnsiTheme="minorHAnsi" w:cstheme="minorHAnsi"/>
          <w:sz w:val="24"/>
          <w:szCs w:val="24"/>
          <w:lang w:val="en-US" w:eastAsia="en-US"/>
        </w:rPr>
        <w:t xml:space="preserve"> </w:t>
      </w:r>
      <w:r w:rsidR="00ED3DFD" w:rsidRPr="00FD3A78">
        <w:rPr>
          <w:rFonts w:asciiTheme="minorHAnsi" w:eastAsiaTheme="minorHAnsi" w:hAnsiTheme="minorHAnsi" w:cstheme="minorHAnsi"/>
          <w:sz w:val="24"/>
          <w:szCs w:val="24"/>
          <w:lang w:val="en-US" w:eastAsia="en-US"/>
        </w:rPr>
        <w:t xml:space="preserve">exploring </w:t>
      </w:r>
      <w:r w:rsidR="00D341C3" w:rsidRPr="00FD3A78">
        <w:rPr>
          <w:rFonts w:asciiTheme="minorHAnsi" w:eastAsiaTheme="minorHAnsi" w:hAnsiTheme="minorHAnsi" w:cstheme="minorHAnsi"/>
          <w:sz w:val="24"/>
          <w:szCs w:val="24"/>
          <w:lang w:val="en-US" w:eastAsia="en-US"/>
        </w:rPr>
        <w:t xml:space="preserve">race and gender </w:t>
      </w:r>
      <w:r w:rsidR="004A715C" w:rsidRPr="00FD3A78">
        <w:rPr>
          <w:rFonts w:asciiTheme="minorHAnsi" w:eastAsiaTheme="minorHAnsi" w:hAnsiTheme="minorHAnsi" w:cstheme="minorHAnsi"/>
          <w:sz w:val="24"/>
          <w:szCs w:val="24"/>
          <w:lang w:val="en-US" w:eastAsia="en-US"/>
        </w:rPr>
        <w:t xml:space="preserve">as an exclusive concept in oppression instead of </w:t>
      </w:r>
      <w:r w:rsidR="00CC27C1" w:rsidRPr="00FD3A78">
        <w:rPr>
          <w:rFonts w:asciiTheme="minorHAnsi" w:eastAsiaTheme="minorHAnsi" w:hAnsiTheme="minorHAnsi" w:cstheme="minorHAnsi"/>
          <w:sz w:val="24"/>
          <w:szCs w:val="24"/>
          <w:lang w:val="en-US" w:eastAsia="en-US"/>
        </w:rPr>
        <w:t xml:space="preserve">only exploring one </w:t>
      </w:r>
      <w:r w:rsidR="006F1D62" w:rsidRPr="00FD3A78">
        <w:rPr>
          <w:rFonts w:asciiTheme="minorHAnsi" w:eastAsiaTheme="minorHAnsi" w:hAnsiTheme="minorHAnsi" w:cstheme="minorHAnsi"/>
          <w:sz w:val="24"/>
          <w:szCs w:val="24"/>
          <w:lang w:val="en-US" w:eastAsia="en-US"/>
        </w:rPr>
        <w:t>element</w:t>
      </w:r>
      <w:r w:rsidR="00CC27C1" w:rsidRPr="00FD3A78">
        <w:rPr>
          <w:rFonts w:asciiTheme="minorHAnsi" w:eastAsiaTheme="minorHAnsi" w:hAnsiTheme="minorHAnsi" w:cstheme="minorHAnsi"/>
          <w:sz w:val="24"/>
          <w:szCs w:val="24"/>
          <w:lang w:val="en-US" w:eastAsia="en-US"/>
        </w:rPr>
        <w:t xml:space="preserve"> of the </w:t>
      </w:r>
      <w:r w:rsidR="006F1D62" w:rsidRPr="00FD3A78">
        <w:rPr>
          <w:rFonts w:asciiTheme="minorHAnsi" w:eastAsiaTheme="minorHAnsi" w:hAnsiTheme="minorHAnsi" w:cstheme="minorHAnsi"/>
          <w:sz w:val="24"/>
          <w:szCs w:val="24"/>
          <w:lang w:val="en-US" w:eastAsia="en-US"/>
        </w:rPr>
        <w:t>victim’s</w:t>
      </w:r>
      <w:r w:rsidR="00CC27C1" w:rsidRPr="00FD3A78">
        <w:rPr>
          <w:rFonts w:asciiTheme="minorHAnsi" w:eastAsiaTheme="minorHAnsi" w:hAnsiTheme="minorHAnsi" w:cstheme="minorHAnsi"/>
          <w:sz w:val="24"/>
          <w:szCs w:val="24"/>
          <w:lang w:val="en-US" w:eastAsia="en-US"/>
        </w:rPr>
        <w:t xml:space="preserve"> identity. </w:t>
      </w:r>
      <w:r w:rsidR="0063740D" w:rsidRPr="00FD3A78">
        <w:rPr>
          <w:rFonts w:asciiTheme="minorHAnsi" w:eastAsiaTheme="minorHAnsi" w:hAnsiTheme="minorHAnsi" w:cstheme="minorHAnsi"/>
          <w:sz w:val="24"/>
          <w:szCs w:val="24"/>
          <w:lang w:val="en-US" w:eastAsia="en-US"/>
        </w:rPr>
        <w:t xml:space="preserve">The law does not currently reflect this </w:t>
      </w:r>
      <w:r w:rsidR="00111993" w:rsidRPr="00FD3A78">
        <w:rPr>
          <w:rFonts w:asciiTheme="minorHAnsi" w:eastAsiaTheme="minorHAnsi" w:hAnsiTheme="minorHAnsi" w:cstheme="minorHAnsi"/>
          <w:sz w:val="24"/>
          <w:szCs w:val="24"/>
          <w:lang w:val="en-US" w:eastAsia="en-US"/>
        </w:rPr>
        <w:t xml:space="preserve">and diminishes </w:t>
      </w:r>
      <w:r w:rsidR="006D2C3A" w:rsidRPr="00FD3A78">
        <w:rPr>
          <w:rFonts w:asciiTheme="minorHAnsi" w:eastAsiaTheme="minorHAnsi" w:hAnsiTheme="minorHAnsi" w:cstheme="minorHAnsi"/>
          <w:sz w:val="24"/>
          <w:szCs w:val="24"/>
          <w:lang w:val="en-US" w:eastAsia="en-US"/>
        </w:rPr>
        <w:t>victims’</w:t>
      </w:r>
      <w:r w:rsidR="00111993" w:rsidRPr="00FD3A78">
        <w:rPr>
          <w:rFonts w:asciiTheme="minorHAnsi" w:eastAsiaTheme="minorHAnsi" w:hAnsiTheme="minorHAnsi" w:cstheme="minorHAnsi"/>
          <w:sz w:val="24"/>
          <w:szCs w:val="24"/>
          <w:lang w:val="en-US" w:eastAsia="en-US"/>
        </w:rPr>
        <w:t xml:space="preserve"> confidence in the justice system</w:t>
      </w:r>
      <w:r w:rsidR="00B16474" w:rsidRPr="00FD3A78">
        <w:rPr>
          <w:rFonts w:asciiTheme="minorHAnsi" w:eastAsiaTheme="minorHAnsi" w:hAnsiTheme="minorHAnsi" w:cstheme="minorHAnsi"/>
          <w:sz w:val="24"/>
          <w:szCs w:val="24"/>
          <w:lang w:val="en-US" w:eastAsia="en-US"/>
        </w:rPr>
        <w:t xml:space="preserve">, </w:t>
      </w:r>
      <w:r w:rsidR="00747ED9" w:rsidRPr="00FD3A78">
        <w:rPr>
          <w:rFonts w:asciiTheme="minorHAnsi" w:eastAsiaTheme="minorHAnsi" w:hAnsiTheme="minorHAnsi" w:cstheme="minorHAnsi"/>
          <w:sz w:val="24"/>
          <w:szCs w:val="24"/>
          <w:lang w:val="en-US" w:eastAsia="en-US"/>
        </w:rPr>
        <w:t xml:space="preserve">which </w:t>
      </w:r>
      <w:r w:rsidR="00F35BC7" w:rsidRPr="00FD3A78">
        <w:rPr>
          <w:rFonts w:asciiTheme="minorHAnsi" w:eastAsiaTheme="minorHAnsi" w:hAnsiTheme="minorHAnsi" w:cstheme="minorHAnsi"/>
          <w:sz w:val="24"/>
          <w:szCs w:val="24"/>
          <w:lang w:val="en-US" w:eastAsia="en-US"/>
        </w:rPr>
        <w:t xml:space="preserve">contributes to ineffective policing responses and </w:t>
      </w:r>
      <w:r w:rsidR="00EF3EEE" w:rsidRPr="00FD3A78">
        <w:rPr>
          <w:rFonts w:asciiTheme="minorHAnsi" w:eastAsiaTheme="minorHAnsi" w:hAnsiTheme="minorHAnsi" w:cstheme="minorHAnsi"/>
          <w:sz w:val="24"/>
          <w:szCs w:val="24"/>
          <w:lang w:val="en-US" w:eastAsia="en-US"/>
        </w:rPr>
        <w:t>inadequate crime prevention</w:t>
      </w:r>
      <w:r w:rsidR="00DF1FB9" w:rsidRPr="00FD3A78">
        <w:rPr>
          <w:rFonts w:asciiTheme="minorHAnsi" w:eastAsiaTheme="minorHAnsi" w:hAnsiTheme="minorHAnsi" w:cstheme="minorHAnsi"/>
          <w:sz w:val="24"/>
          <w:szCs w:val="24"/>
          <w:lang w:val="en-US" w:eastAsia="en-US"/>
        </w:rPr>
        <w:t xml:space="preserve"> </w:t>
      </w:r>
      <w:r w:rsidR="00AC3F65" w:rsidRPr="00FD3A78">
        <w:rPr>
          <w:rFonts w:asciiTheme="minorHAnsi" w:eastAsiaTheme="minorHAnsi" w:hAnsiTheme="minorHAnsi" w:cstheme="minorHAnsi"/>
          <w:sz w:val="24"/>
          <w:szCs w:val="24"/>
          <w:lang w:val="en-US" w:eastAsia="en-US"/>
        </w:rPr>
        <w:t>(</w:t>
      </w:r>
      <w:r w:rsidR="009B2E02" w:rsidRPr="00FD3A78">
        <w:rPr>
          <w:rFonts w:asciiTheme="minorHAnsi" w:eastAsiaTheme="minorHAnsi" w:hAnsiTheme="minorHAnsi" w:cstheme="minorHAnsi"/>
          <w:sz w:val="24"/>
          <w:szCs w:val="24"/>
          <w:lang w:val="en-US" w:eastAsia="en-US"/>
        </w:rPr>
        <w:t>Corporate</w:t>
      </w:r>
      <w:r w:rsidR="00AC3F65" w:rsidRPr="00FD3A78">
        <w:rPr>
          <w:rFonts w:asciiTheme="minorHAnsi" w:eastAsiaTheme="minorHAnsi" w:hAnsiTheme="minorHAnsi" w:cstheme="minorHAnsi"/>
          <w:sz w:val="24"/>
          <w:szCs w:val="24"/>
          <w:lang w:val="en-US" w:eastAsia="en-US"/>
        </w:rPr>
        <w:t xml:space="preserve"> report, 202</w:t>
      </w:r>
      <w:r w:rsidR="009B2E02" w:rsidRPr="00FD3A78">
        <w:rPr>
          <w:rFonts w:asciiTheme="minorHAnsi" w:eastAsiaTheme="minorHAnsi" w:hAnsiTheme="minorHAnsi" w:cstheme="minorHAnsi"/>
          <w:sz w:val="24"/>
          <w:szCs w:val="24"/>
          <w:lang w:val="en-US" w:eastAsia="en-US"/>
        </w:rPr>
        <w:t>3)</w:t>
      </w:r>
      <w:r w:rsidR="00EF3EEE" w:rsidRPr="00FD3A78">
        <w:rPr>
          <w:rFonts w:asciiTheme="minorHAnsi" w:eastAsiaTheme="minorHAnsi" w:hAnsiTheme="minorHAnsi" w:cstheme="minorHAnsi"/>
          <w:sz w:val="24"/>
          <w:szCs w:val="24"/>
          <w:lang w:val="en-US" w:eastAsia="en-US"/>
        </w:rPr>
        <w:t xml:space="preserve">. </w:t>
      </w:r>
      <w:r w:rsidR="007028DC" w:rsidRPr="00FD3A78">
        <w:rPr>
          <w:rFonts w:asciiTheme="minorHAnsi" w:hAnsiTheme="minorHAnsi" w:cstheme="minorHAnsi"/>
          <w:sz w:val="24"/>
          <w:szCs w:val="24"/>
        </w:rPr>
        <w:t xml:space="preserve"> </w:t>
      </w:r>
      <w:r w:rsidR="000A1EFB" w:rsidRPr="00FD3A78">
        <w:rPr>
          <w:rFonts w:asciiTheme="minorHAnsi" w:hAnsiTheme="minorHAnsi" w:cstheme="minorHAnsi"/>
          <w:sz w:val="24"/>
          <w:szCs w:val="24"/>
        </w:rPr>
        <w:t>Additionally,</w:t>
      </w:r>
      <w:r w:rsidR="0003701D" w:rsidRPr="00FD3A78">
        <w:rPr>
          <w:rFonts w:asciiTheme="minorHAnsi" w:hAnsiTheme="minorHAnsi" w:cstheme="minorHAnsi"/>
          <w:sz w:val="24"/>
          <w:szCs w:val="24"/>
        </w:rPr>
        <w:t xml:space="preserve"> Laverick (2020) </w:t>
      </w:r>
      <w:r w:rsidR="00F754BB" w:rsidRPr="00FD3A78">
        <w:rPr>
          <w:rFonts w:asciiTheme="minorHAnsi" w:hAnsiTheme="minorHAnsi" w:cstheme="minorHAnsi"/>
          <w:sz w:val="24"/>
          <w:szCs w:val="24"/>
        </w:rPr>
        <w:t>states</w:t>
      </w:r>
      <w:r w:rsidR="000A1EFB" w:rsidRPr="00FD3A78">
        <w:rPr>
          <w:rFonts w:asciiTheme="minorHAnsi" w:hAnsiTheme="minorHAnsi" w:cstheme="minorHAnsi"/>
          <w:sz w:val="24"/>
          <w:szCs w:val="24"/>
        </w:rPr>
        <w:t xml:space="preserve"> there is a significant need to address the gap in the law regarding disability related hate crimes</w:t>
      </w:r>
      <w:r w:rsidR="00A34B4D" w:rsidRPr="00FD3A78">
        <w:rPr>
          <w:rFonts w:asciiTheme="minorHAnsi" w:hAnsiTheme="minorHAnsi" w:cstheme="minorHAnsi"/>
          <w:sz w:val="24"/>
          <w:szCs w:val="24"/>
        </w:rPr>
        <w:t xml:space="preserve"> and the application of a hate crime model founded by intersectionality</w:t>
      </w:r>
      <w:r w:rsidR="00427877" w:rsidRPr="00FD3A78">
        <w:rPr>
          <w:rFonts w:asciiTheme="minorHAnsi" w:hAnsiTheme="minorHAnsi" w:cstheme="minorHAnsi"/>
          <w:sz w:val="24"/>
          <w:szCs w:val="24"/>
        </w:rPr>
        <w:t>.</w:t>
      </w:r>
      <w:r w:rsidR="00A34B4D" w:rsidRPr="00FD3A78">
        <w:rPr>
          <w:rFonts w:asciiTheme="minorHAnsi" w:hAnsiTheme="minorHAnsi" w:cstheme="minorHAnsi"/>
          <w:sz w:val="24"/>
          <w:szCs w:val="24"/>
        </w:rPr>
        <w:t xml:space="preserve"> </w:t>
      </w:r>
      <w:r w:rsidR="003C4C8A" w:rsidRPr="00FD3A78">
        <w:rPr>
          <w:rFonts w:asciiTheme="minorHAnsi" w:hAnsiTheme="minorHAnsi" w:cstheme="minorHAnsi"/>
          <w:sz w:val="24"/>
          <w:szCs w:val="24"/>
        </w:rPr>
        <w:t>T</w:t>
      </w:r>
      <w:r w:rsidR="003F651D" w:rsidRPr="00FD3A78">
        <w:rPr>
          <w:rFonts w:asciiTheme="minorHAnsi" w:hAnsiTheme="minorHAnsi" w:cstheme="minorHAnsi"/>
          <w:sz w:val="24"/>
          <w:szCs w:val="24"/>
        </w:rPr>
        <w:t xml:space="preserve">he model would allow for </w:t>
      </w:r>
      <w:r w:rsidR="000264E8" w:rsidRPr="00FD3A78">
        <w:rPr>
          <w:rFonts w:asciiTheme="minorHAnsi" w:hAnsiTheme="minorHAnsi" w:cstheme="minorHAnsi"/>
          <w:sz w:val="24"/>
          <w:szCs w:val="24"/>
        </w:rPr>
        <w:t xml:space="preserve">experiences of </w:t>
      </w:r>
      <w:r w:rsidR="003F651D" w:rsidRPr="00FD3A78">
        <w:rPr>
          <w:rFonts w:asciiTheme="minorHAnsi" w:hAnsiTheme="minorHAnsi" w:cstheme="minorHAnsi"/>
          <w:sz w:val="24"/>
          <w:szCs w:val="24"/>
        </w:rPr>
        <w:t xml:space="preserve">other aspects of identity to be </w:t>
      </w:r>
      <w:r w:rsidR="000264E8" w:rsidRPr="00FD3A78">
        <w:rPr>
          <w:rFonts w:asciiTheme="minorHAnsi" w:hAnsiTheme="minorHAnsi" w:cstheme="minorHAnsi"/>
          <w:sz w:val="24"/>
          <w:szCs w:val="24"/>
        </w:rPr>
        <w:t xml:space="preserve">explored and lessen the </w:t>
      </w:r>
      <w:r w:rsidR="00AA4991" w:rsidRPr="00FD3A78">
        <w:rPr>
          <w:rFonts w:asciiTheme="minorHAnsi" w:hAnsiTheme="minorHAnsi" w:cstheme="minorHAnsi"/>
          <w:sz w:val="24"/>
          <w:szCs w:val="24"/>
        </w:rPr>
        <w:t>oversimplifying of the victim</w:t>
      </w:r>
      <w:r w:rsidR="00427877" w:rsidRPr="00FD3A78">
        <w:rPr>
          <w:rFonts w:asciiTheme="minorHAnsi" w:hAnsiTheme="minorHAnsi" w:cstheme="minorHAnsi"/>
          <w:sz w:val="24"/>
          <w:szCs w:val="24"/>
        </w:rPr>
        <w:t>’s</w:t>
      </w:r>
      <w:r w:rsidR="00AA4991" w:rsidRPr="00FD3A78">
        <w:rPr>
          <w:rFonts w:asciiTheme="minorHAnsi" w:hAnsiTheme="minorHAnsi" w:cstheme="minorHAnsi"/>
          <w:sz w:val="24"/>
          <w:szCs w:val="24"/>
        </w:rPr>
        <w:t xml:space="preserve"> experience. </w:t>
      </w:r>
    </w:p>
    <w:p w14:paraId="61016F98" w14:textId="77777777" w:rsidR="000A1EFB" w:rsidRPr="00FD3A78" w:rsidRDefault="000A1EFB" w:rsidP="00FD3A78">
      <w:pPr>
        <w:spacing w:line="360" w:lineRule="auto"/>
        <w:contextualSpacing/>
        <w:rPr>
          <w:rFonts w:asciiTheme="minorHAnsi" w:hAnsiTheme="minorHAnsi" w:cstheme="minorHAnsi"/>
          <w:sz w:val="24"/>
          <w:szCs w:val="24"/>
        </w:rPr>
      </w:pPr>
    </w:p>
    <w:p w14:paraId="0F231554" w14:textId="39148FFE" w:rsidR="000A1EFB" w:rsidRPr="00FD3A78" w:rsidRDefault="000A1EFB" w:rsidP="00FD3A78">
      <w:pPr>
        <w:pStyle w:val="NormalWeb"/>
        <w:spacing w:before="0" w:beforeAutospacing="0" w:after="0" w:afterAutospacing="0" w:line="360" w:lineRule="auto"/>
        <w:contextualSpacing/>
        <w:rPr>
          <w:rFonts w:asciiTheme="minorHAnsi" w:hAnsiTheme="minorHAnsi" w:cstheme="minorHAnsi"/>
        </w:rPr>
      </w:pPr>
      <w:r w:rsidRPr="00FD3A78">
        <w:rPr>
          <w:rFonts w:asciiTheme="minorHAnsi" w:hAnsiTheme="minorHAnsi" w:cstheme="minorHAnsi"/>
        </w:rPr>
        <w:t>In 2022 the Crown Prosecution Service trialed a case regarding disability as a category being underrepresented in hate crime offences and the current ambiguity relevant to the legal terminology in defining what constitutes a hate crime within the UK. Stephen Sparkes, district Crown Prosecutor</w:t>
      </w:r>
      <w:r w:rsidR="001862CE" w:rsidRPr="00FD3A78">
        <w:rPr>
          <w:rFonts w:asciiTheme="minorHAnsi" w:hAnsiTheme="minorHAnsi" w:cstheme="minorHAnsi"/>
        </w:rPr>
        <w:t>,</w:t>
      </w:r>
      <w:r w:rsidRPr="00FD3A78">
        <w:rPr>
          <w:rFonts w:asciiTheme="minorHAnsi" w:hAnsiTheme="minorHAnsi" w:cstheme="minorHAnsi"/>
        </w:rPr>
        <w:t xml:space="preserve"> demonstrates the gap in the law through a case involving a fraudulent offence committed against an elder gentleman with a disability. </w:t>
      </w:r>
      <w:r w:rsidR="004C77C1" w:rsidRPr="00FD3A78">
        <w:rPr>
          <w:rFonts w:asciiTheme="minorHAnsi" w:hAnsiTheme="minorHAnsi" w:cstheme="minorHAnsi"/>
        </w:rPr>
        <w:t>T</w:t>
      </w:r>
      <w:r w:rsidRPr="00FD3A78">
        <w:rPr>
          <w:rFonts w:asciiTheme="minorHAnsi" w:hAnsiTheme="minorHAnsi" w:cstheme="minorHAnsi"/>
        </w:rPr>
        <w:t>he case was trialed using the legal test defined by the Code for Crown prosecutors, it was trailed as fraud. Upon further legal tests, the case was appealed and then trialed as a hate crime based on the</w:t>
      </w:r>
      <w:r w:rsidR="00B82B4B" w:rsidRPr="00FD3A78">
        <w:rPr>
          <w:rFonts w:asciiTheme="minorHAnsi" w:hAnsiTheme="minorHAnsi" w:cstheme="minorHAnsi"/>
        </w:rPr>
        <w:t xml:space="preserve"> </w:t>
      </w:r>
      <w:r w:rsidRPr="00FD3A78">
        <w:rPr>
          <w:rFonts w:asciiTheme="minorHAnsi" w:hAnsiTheme="minorHAnsi" w:cstheme="minorHAnsi"/>
        </w:rPr>
        <w:t>motivations of the offender</w:t>
      </w:r>
      <w:r w:rsidR="00B82B4B" w:rsidRPr="00FD3A78">
        <w:rPr>
          <w:rFonts w:asciiTheme="minorHAnsi" w:hAnsiTheme="minorHAnsi" w:cstheme="minorHAnsi"/>
        </w:rPr>
        <w:t>, which</w:t>
      </w:r>
      <w:r w:rsidRPr="00FD3A78">
        <w:rPr>
          <w:rFonts w:asciiTheme="minorHAnsi" w:hAnsiTheme="minorHAnsi" w:cstheme="minorHAnsi"/>
        </w:rPr>
        <w:t xml:space="preserve"> had been to target the victim due to the offender’s hostility toward the victim’s disability</w:t>
      </w:r>
      <w:r w:rsidR="00DF0410" w:rsidRPr="00FD3A78">
        <w:rPr>
          <w:rFonts w:asciiTheme="minorHAnsi" w:hAnsiTheme="minorHAnsi" w:cstheme="minorHAnsi"/>
        </w:rPr>
        <w:t xml:space="preserve"> (</w:t>
      </w:r>
      <w:r w:rsidR="00484CF8" w:rsidRPr="00FD3A78">
        <w:rPr>
          <w:rFonts w:asciiTheme="minorHAnsi" w:hAnsiTheme="minorHAnsi" w:cstheme="minorHAnsi"/>
        </w:rPr>
        <w:t>Crown Prosecution Service, 2022</w:t>
      </w:r>
      <w:r w:rsidR="00DF0410" w:rsidRPr="00FD3A78">
        <w:rPr>
          <w:rFonts w:asciiTheme="minorHAnsi" w:hAnsiTheme="minorHAnsi" w:cstheme="minorHAnsi"/>
        </w:rPr>
        <w:t>)</w:t>
      </w:r>
      <w:r w:rsidRPr="00FD3A78">
        <w:rPr>
          <w:rFonts w:asciiTheme="minorHAnsi" w:hAnsiTheme="minorHAnsi" w:cstheme="minorHAnsi"/>
        </w:rPr>
        <w:t>. Through the deliberate use of a false name to establish friendship with an infirm 70-year-old victim, the offender showed unequivocally that he intended to take advantage of the victim’s vulnerability as the victim was someone who had limited mobility due to his age and health conditions</w:t>
      </w:r>
      <w:r w:rsidR="00D61155" w:rsidRPr="00FD3A78">
        <w:rPr>
          <w:rFonts w:asciiTheme="minorHAnsi" w:hAnsiTheme="minorHAnsi" w:cstheme="minorHAnsi"/>
        </w:rPr>
        <w:t xml:space="preserve"> (</w:t>
      </w:r>
      <w:r w:rsidR="006C1656" w:rsidRPr="00FD3A78">
        <w:rPr>
          <w:rFonts w:asciiTheme="minorHAnsi" w:hAnsiTheme="minorHAnsi" w:cstheme="minorHAnsi"/>
        </w:rPr>
        <w:t>Crown Prosecution Service, 2022</w:t>
      </w:r>
      <w:r w:rsidR="00D61155" w:rsidRPr="00FD3A78">
        <w:rPr>
          <w:rFonts w:asciiTheme="minorHAnsi" w:hAnsiTheme="minorHAnsi" w:cstheme="minorHAnsi"/>
        </w:rPr>
        <w:t>)</w:t>
      </w:r>
      <w:r w:rsidRPr="00FD3A78">
        <w:rPr>
          <w:rFonts w:asciiTheme="minorHAnsi" w:hAnsiTheme="minorHAnsi" w:cstheme="minorHAnsi"/>
        </w:rPr>
        <w:t>. Sentencing of the offender</w:t>
      </w:r>
      <w:r w:rsidR="0026370C" w:rsidRPr="00FD3A78">
        <w:rPr>
          <w:rFonts w:asciiTheme="minorHAnsi" w:hAnsiTheme="minorHAnsi" w:cstheme="minorHAnsi"/>
        </w:rPr>
        <w:t>, according to the Crown Prosecution Service (2022)</w:t>
      </w:r>
      <w:r w:rsidRPr="00FD3A78">
        <w:rPr>
          <w:rFonts w:asciiTheme="minorHAnsi" w:hAnsiTheme="minorHAnsi" w:cstheme="minorHAnsi"/>
        </w:rPr>
        <w:t xml:space="preserve"> included full reimbursement to the victim, an additional fine and a harsher sentence to reflect the seriousness of the offenc</w:t>
      </w:r>
      <w:r w:rsidR="0055774B" w:rsidRPr="00FD3A78">
        <w:rPr>
          <w:rFonts w:asciiTheme="minorHAnsi" w:hAnsiTheme="minorHAnsi" w:cstheme="minorHAnsi"/>
        </w:rPr>
        <w:t>e</w:t>
      </w:r>
      <w:r w:rsidRPr="00FD3A78">
        <w:rPr>
          <w:rFonts w:asciiTheme="minorHAnsi" w:hAnsiTheme="minorHAnsi" w:cstheme="minorHAnsi"/>
        </w:rPr>
        <w:t>. This highlights the legal recognition that crimes inspired by bigotry are severe violations and reflects the determination to ensure victims who were accused based on their protected characteristics receive justice (Brown, 2020).</w:t>
      </w:r>
    </w:p>
    <w:p w14:paraId="2965552B" w14:textId="77777777" w:rsidR="005333E8" w:rsidRPr="00FD3A78" w:rsidRDefault="005333E8" w:rsidP="00FD3A78">
      <w:pPr>
        <w:spacing w:line="360" w:lineRule="auto"/>
        <w:contextualSpacing/>
        <w:rPr>
          <w:rFonts w:asciiTheme="minorHAnsi" w:eastAsiaTheme="minorHAnsi" w:hAnsiTheme="minorHAnsi" w:cstheme="minorHAnsi"/>
          <w:sz w:val="24"/>
          <w:szCs w:val="24"/>
          <w:lang w:val="en-US" w:eastAsia="en-US"/>
        </w:rPr>
      </w:pPr>
    </w:p>
    <w:p w14:paraId="47DBCA0A" w14:textId="77777777" w:rsidR="00745C11" w:rsidRPr="00FD3A78" w:rsidRDefault="00745C11" w:rsidP="00FD3A78">
      <w:pPr>
        <w:spacing w:line="360" w:lineRule="auto"/>
        <w:contextualSpacing/>
        <w:rPr>
          <w:rFonts w:asciiTheme="minorHAnsi" w:eastAsiaTheme="minorHAnsi" w:hAnsiTheme="minorHAnsi" w:cstheme="minorHAnsi"/>
          <w:sz w:val="24"/>
          <w:szCs w:val="24"/>
          <w:lang w:val="en-US" w:eastAsia="en-US"/>
        </w:rPr>
      </w:pPr>
    </w:p>
    <w:p w14:paraId="4B3C5908" w14:textId="66BEAE50" w:rsidR="00EE6235" w:rsidRPr="00FD3A78" w:rsidRDefault="00B35242" w:rsidP="00FD3A78">
      <w:pPr>
        <w:spacing w:line="360" w:lineRule="auto"/>
        <w:contextualSpacing/>
        <w:rPr>
          <w:rFonts w:asciiTheme="minorHAnsi" w:eastAsiaTheme="minorHAnsi" w:hAnsiTheme="minorHAnsi" w:cstheme="minorHAnsi"/>
          <w:sz w:val="24"/>
          <w:szCs w:val="24"/>
          <w:lang w:val="en-US" w:eastAsia="en-US"/>
        </w:rPr>
      </w:pPr>
      <w:r w:rsidRPr="00FD3A78">
        <w:rPr>
          <w:rFonts w:asciiTheme="minorHAnsi" w:eastAsiaTheme="minorHAnsi" w:hAnsiTheme="minorHAnsi" w:cstheme="minorHAnsi"/>
          <w:sz w:val="24"/>
          <w:szCs w:val="24"/>
          <w:lang w:val="en-US" w:eastAsia="en-US"/>
        </w:rPr>
        <w:t xml:space="preserve">Explanations </w:t>
      </w:r>
      <w:r w:rsidR="00923ABE" w:rsidRPr="00FD3A78">
        <w:rPr>
          <w:rFonts w:asciiTheme="minorHAnsi" w:eastAsiaTheme="minorHAnsi" w:hAnsiTheme="minorHAnsi" w:cstheme="minorHAnsi"/>
          <w:sz w:val="24"/>
          <w:szCs w:val="24"/>
          <w:lang w:val="en-US" w:eastAsia="en-US"/>
        </w:rPr>
        <w:t>of the</w:t>
      </w:r>
      <w:r w:rsidR="005333E8" w:rsidRPr="00FD3A78">
        <w:rPr>
          <w:rFonts w:asciiTheme="minorHAnsi" w:eastAsiaTheme="minorHAnsi" w:hAnsiTheme="minorHAnsi" w:cstheme="minorHAnsi"/>
          <w:sz w:val="24"/>
          <w:szCs w:val="24"/>
          <w:lang w:val="en-US" w:eastAsia="en-US"/>
        </w:rPr>
        <w:t xml:space="preserve"> causes of hate crime </w:t>
      </w:r>
      <w:r w:rsidR="00A97C64" w:rsidRPr="00FD3A78">
        <w:rPr>
          <w:rFonts w:asciiTheme="minorHAnsi" w:eastAsiaTheme="minorHAnsi" w:hAnsiTheme="minorHAnsi" w:cstheme="minorHAnsi"/>
          <w:sz w:val="24"/>
          <w:szCs w:val="24"/>
          <w:lang w:val="en-US" w:eastAsia="en-US"/>
        </w:rPr>
        <w:t>can be explained by</w:t>
      </w:r>
      <w:r w:rsidR="005333E8" w:rsidRPr="00FD3A78">
        <w:rPr>
          <w:rFonts w:asciiTheme="minorHAnsi" w:eastAsiaTheme="minorHAnsi" w:hAnsiTheme="minorHAnsi" w:cstheme="minorHAnsi"/>
          <w:sz w:val="24"/>
          <w:szCs w:val="24"/>
          <w:lang w:val="en-US" w:eastAsia="en-US"/>
        </w:rPr>
        <w:t xml:space="preserve"> sociological </w:t>
      </w:r>
      <w:r w:rsidR="00050981" w:rsidRPr="00FD3A78">
        <w:rPr>
          <w:rFonts w:asciiTheme="minorHAnsi" w:eastAsiaTheme="minorHAnsi" w:hAnsiTheme="minorHAnsi" w:cstheme="minorHAnsi"/>
          <w:sz w:val="24"/>
          <w:szCs w:val="24"/>
          <w:lang w:val="en-US" w:eastAsia="en-US"/>
        </w:rPr>
        <w:t xml:space="preserve">and criminological </w:t>
      </w:r>
      <w:r w:rsidR="005333E8" w:rsidRPr="00FD3A78">
        <w:rPr>
          <w:rFonts w:asciiTheme="minorHAnsi" w:eastAsiaTheme="minorHAnsi" w:hAnsiTheme="minorHAnsi" w:cstheme="minorHAnsi"/>
          <w:sz w:val="24"/>
          <w:szCs w:val="24"/>
          <w:lang w:val="en-US" w:eastAsia="en-US"/>
        </w:rPr>
        <w:t xml:space="preserve">theories. </w:t>
      </w:r>
      <w:r w:rsidR="00EE6235" w:rsidRPr="00FD3A78">
        <w:rPr>
          <w:rFonts w:asciiTheme="minorHAnsi" w:eastAsiaTheme="minorHAnsi" w:hAnsiTheme="minorHAnsi" w:cstheme="minorHAnsi"/>
          <w:sz w:val="24"/>
          <w:szCs w:val="24"/>
          <w:lang w:val="en-US" w:eastAsia="en-US"/>
        </w:rPr>
        <w:t xml:space="preserve">One such theory is the Strain Theory, which suggests some people turn to criminal behaviour </w:t>
      </w:r>
      <w:r w:rsidR="004C3017" w:rsidRPr="00FD3A78">
        <w:rPr>
          <w:rFonts w:asciiTheme="minorHAnsi" w:eastAsiaTheme="minorHAnsi" w:hAnsiTheme="minorHAnsi" w:cstheme="minorHAnsi"/>
          <w:sz w:val="24"/>
          <w:szCs w:val="24"/>
          <w:lang w:val="en-US" w:eastAsia="en-US"/>
        </w:rPr>
        <w:t>because of</w:t>
      </w:r>
      <w:r w:rsidR="00EE6235" w:rsidRPr="00FD3A78">
        <w:rPr>
          <w:rFonts w:asciiTheme="minorHAnsi" w:eastAsiaTheme="minorHAnsi" w:hAnsiTheme="minorHAnsi" w:cstheme="minorHAnsi"/>
          <w:sz w:val="24"/>
          <w:szCs w:val="24"/>
          <w:lang w:val="en-US" w:eastAsia="en-US"/>
        </w:rPr>
        <w:t xml:space="preserve"> social pressures</w:t>
      </w:r>
      <w:r w:rsidR="008916BD" w:rsidRPr="00FD3A78">
        <w:rPr>
          <w:rFonts w:asciiTheme="minorHAnsi" w:eastAsiaTheme="minorHAnsi" w:hAnsiTheme="minorHAnsi" w:cstheme="minorHAnsi"/>
          <w:sz w:val="24"/>
          <w:szCs w:val="24"/>
          <w:lang w:val="en-US" w:eastAsia="en-US"/>
        </w:rPr>
        <w:t>/factors</w:t>
      </w:r>
      <w:r w:rsidR="00EE6235" w:rsidRPr="00FD3A78">
        <w:rPr>
          <w:rFonts w:asciiTheme="minorHAnsi" w:eastAsiaTheme="minorHAnsi" w:hAnsiTheme="minorHAnsi" w:cstheme="minorHAnsi"/>
          <w:sz w:val="24"/>
          <w:szCs w:val="24"/>
          <w:lang w:val="en-US" w:eastAsia="en-US"/>
        </w:rPr>
        <w:t xml:space="preserve"> and inequalities (Agnew &amp; Brezina, 2019). Based on the case study, the offender could have been under </w:t>
      </w:r>
      <w:r w:rsidR="0097137F" w:rsidRPr="00FD3A78">
        <w:rPr>
          <w:rFonts w:asciiTheme="minorHAnsi" w:eastAsiaTheme="minorHAnsi" w:hAnsiTheme="minorHAnsi" w:cstheme="minorHAnsi"/>
          <w:sz w:val="24"/>
          <w:szCs w:val="24"/>
          <w:lang w:val="en-US" w:eastAsia="en-US"/>
        </w:rPr>
        <w:t>social pres</w:t>
      </w:r>
      <w:r w:rsidR="00050981" w:rsidRPr="00FD3A78">
        <w:rPr>
          <w:rFonts w:asciiTheme="minorHAnsi" w:eastAsiaTheme="minorHAnsi" w:hAnsiTheme="minorHAnsi" w:cstheme="minorHAnsi"/>
          <w:sz w:val="24"/>
          <w:szCs w:val="24"/>
          <w:lang w:val="en-US" w:eastAsia="en-US"/>
        </w:rPr>
        <w:t>sure</w:t>
      </w:r>
      <w:r w:rsidR="00A97C64" w:rsidRPr="00FD3A78">
        <w:rPr>
          <w:rFonts w:asciiTheme="minorHAnsi" w:eastAsiaTheme="minorHAnsi" w:hAnsiTheme="minorHAnsi" w:cstheme="minorHAnsi"/>
          <w:sz w:val="24"/>
          <w:szCs w:val="24"/>
          <w:lang w:val="en-US" w:eastAsia="en-US"/>
        </w:rPr>
        <w:t>,</w:t>
      </w:r>
      <w:r w:rsidR="00050981" w:rsidRPr="00FD3A78">
        <w:rPr>
          <w:rFonts w:asciiTheme="minorHAnsi" w:eastAsiaTheme="minorHAnsi" w:hAnsiTheme="minorHAnsi" w:cstheme="minorHAnsi"/>
          <w:sz w:val="24"/>
          <w:szCs w:val="24"/>
          <w:lang w:val="en-US" w:eastAsia="en-US"/>
        </w:rPr>
        <w:t xml:space="preserve"> such as a lack of </w:t>
      </w:r>
      <w:r w:rsidR="00923ABE" w:rsidRPr="00FD3A78">
        <w:rPr>
          <w:rFonts w:asciiTheme="minorHAnsi" w:eastAsiaTheme="minorHAnsi" w:hAnsiTheme="minorHAnsi" w:cstheme="minorHAnsi"/>
          <w:sz w:val="24"/>
          <w:szCs w:val="24"/>
          <w:lang w:val="en-US" w:eastAsia="en-US"/>
        </w:rPr>
        <w:t>income</w:t>
      </w:r>
      <w:r w:rsidR="00EE6235" w:rsidRPr="00FD3A78">
        <w:rPr>
          <w:rFonts w:asciiTheme="minorHAnsi" w:eastAsiaTheme="minorHAnsi" w:hAnsiTheme="minorHAnsi" w:cstheme="minorHAnsi"/>
          <w:sz w:val="24"/>
          <w:szCs w:val="24"/>
          <w:lang w:val="en-US" w:eastAsia="en-US"/>
        </w:rPr>
        <w:t>, which led him to choose a path of exploiting the victim’s vulnerability</w:t>
      </w:r>
      <w:r w:rsidR="00A97C64" w:rsidRPr="00FD3A78">
        <w:rPr>
          <w:rFonts w:asciiTheme="minorHAnsi" w:eastAsiaTheme="minorHAnsi" w:hAnsiTheme="minorHAnsi" w:cstheme="minorHAnsi"/>
          <w:sz w:val="24"/>
          <w:szCs w:val="24"/>
          <w:lang w:val="en-US" w:eastAsia="en-US"/>
        </w:rPr>
        <w:t>. Furthermore, t</w:t>
      </w:r>
      <w:r w:rsidR="00EE6235" w:rsidRPr="00FD3A78">
        <w:rPr>
          <w:rFonts w:asciiTheme="minorHAnsi" w:eastAsiaTheme="minorHAnsi" w:hAnsiTheme="minorHAnsi" w:cstheme="minorHAnsi"/>
          <w:sz w:val="24"/>
          <w:szCs w:val="24"/>
          <w:lang w:val="en-US" w:eastAsia="en-US"/>
        </w:rPr>
        <w:t xml:space="preserve">he Social Learning Theory postulates the significance of </w:t>
      </w:r>
      <w:r w:rsidR="004C3017" w:rsidRPr="00FD3A78">
        <w:rPr>
          <w:rFonts w:asciiTheme="minorHAnsi" w:eastAsiaTheme="minorHAnsi" w:hAnsiTheme="minorHAnsi" w:cstheme="minorHAnsi"/>
          <w:sz w:val="24"/>
          <w:szCs w:val="24"/>
          <w:lang w:val="en-US" w:eastAsia="en-US"/>
        </w:rPr>
        <w:t>socialization</w:t>
      </w:r>
      <w:r w:rsidR="00EE6235" w:rsidRPr="00FD3A78">
        <w:rPr>
          <w:rFonts w:asciiTheme="minorHAnsi" w:eastAsiaTheme="minorHAnsi" w:hAnsiTheme="minorHAnsi" w:cstheme="minorHAnsi"/>
          <w:sz w:val="24"/>
          <w:szCs w:val="24"/>
          <w:lang w:val="en-US" w:eastAsia="en-US"/>
        </w:rPr>
        <w:t xml:space="preserve"> and learned behaviours in criminal conduct (Olsson et al., 2020). </w:t>
      </w:r>
      <w:r w:rsidR="006E2B12" w:rsidRPr="00FD3A78">
        <w:rPr>
          <w:rFonts w:asciiTheme="minorHAnsi" w:eastAsiaTheme="minorHAnsi" w:hAnsiTheme="minorHAnsi" w:cstheme="minorHAnsi"/>
          <w:sz w:val="24"/>
          <w:szCs w:val="24"/>
          <w:lang w:val="en-US" w:eastAsia="en-US"/>
        </w:rPr>
        <w:t xml:space="preserve">In </w:t>
      </w:r>
      <w:r w:rsidR="00194D5F" w:rsidRPr="00FD3A78">
        <w:rPr>
          <w:rFonts w:asciiTheme="minorHAnsi" w:eastAsiaTheme="minorHAnsi" w:hAnsiTheme="minorHAnsi" w:cstheme="minorHAnsi"/>
          <w:sz w:val="24"/>
          <w:szCs w:val="24"/>
          <w:lang w:val="en-US" w:eastAsia="en-US"/>
        </w:rPr>
        <w:t>the case</w:t>
      </w:r>
      <w:r w:rsidR="00E52981" w:rsidRPr="00FD3A78">
        <w:rPr>
          <w:rFonts w:asciiTheme="minorHAnsi" w:eastAsiaTheme="minorHAnsi" w:hAnsiTheme="minorHAnsi" w:cstheme="minorHAnsi"/>
          <w:sz w:val="24"/>
          <w:szCs w:val="24"/>
          <w:lang w:val="en-US" w:eastAsia="en-US"/>
        </w:rPr>
        <w:t xml:space="preserve"> Stephen Sparkes prosecuted</w:t>
      </w:r>
      <w:r w:rsidR="00194D5F" w:rsidRPr="00FD3A78">
        <w:rPr>
          <w:rFonts w:asciiTheme="minorHAnsi" w:eastAsiaTheme="minorHAnsi" w:hAnsiTheme="minorHAnsi" w:cstheme="minorHAnsi"/>
          <w:sz w:val="24"/>
          <w:szCs w:val="24"/>
          <w:lang w:val="en-US" w:eastAsia="en-US"/>
        </w:rPr>
        <w:t xml:space="preserve"> t</w:t>
      </w:r>
      <w:r w:rsidR="00EE6235" w:rsidRPr="00FD3A78">
        <w:rPr>
          <w:rFonts w:asciiTheme="minorHAnsi" w:eastAsiaTheme="minorHAnsi" w:hAnsiTheme="minorHAnsi" w:cstheme="minorHAnsi"/>
          <w:sz w:val="24"/>
          <w:szCs w:val="24"/>
          <w:lang w:val="en-US" w:eastAsia="en-US"/>
        </w:rPr>
        <w:t>he offender might have been influenced by prejudiced attitudes or discriminatory beliefs that he had to target the victim because of his disability.</w:t>
      </w:r>
      <w:r w:rsidR="00F176BA" w:rsidRPr="00FD3A78">
        <w:rPr>
          <w:rFonts w:asciiTheme="minorHAnsi" w:eastAsiaTheme="minorHAnsi" w:hAnsiTheme="minorHAnsi" w:cstheme="minorHAnsi"/>
          <w:sz w:val="24"/>
          <w:szCs w:val="24"/>
          <w:lang w:val="en-US" w:eastAsia="en-US"/>
        </w:rPr>
        <w:t xml:space="preserve"> </w:t>
      </w:r>
    </w:p>
    <w:p w14:paraId="27BD0D7D" w14:textId="77777777" w:rsidR="00982BC1" w:rsidRPr="00FD3A78" w:rsidRDefault="00982BC1" w:rsidP="00FD3A78">
      <w:pPr>
        <w:spacing w:line="360" w:lineRule="auto"/>
        <w:rPr>
          <w:rFonts w:asciiTheme="minorHAnsi" w:hAnsiTheme="minorHAnsi" w:cstheme="minorHAnsi"/>
          <w:sz w:val="24"/>
          <w:szCs w:val="24"/>
        </w:rPr>
      </w:pPr>
    </w:p>
    <w:p w14:paraId="21E80C36" w14:textId="78770219" w:rsidR="007F48F6" w:rsidRPr="00FD3A78" w:rsidRDefault="00F61409" w:rsidP="00FD3A78">
      <w:pPr>
        <w:spacing w:line="360" w:lineRule="auto"/>
        <w:rPr>
          <w:rFonts w:asciiTheme="minorHAnsi" w:hAnsiTheme="minorHAnsi" w:cstheme="minorHAnsi"/>
          <w:sz w:val="24"/>
          <w:szCs w:val="24"/>
        </w:rPr>
      </w:pPr>
      <w:r w:rsidRPr="00FD3A78">
        <w:rPr>
          <w:rFonts w:asciiTheme="minorHAnsi" w:hAnsiTheme="minorHAnsi" w:cstheme="minorHAnsi"/>
          <w:sz w:val="24"/>
          <w:szCs w:val="24"/>
        </w:rPr>
        <w:t xml:space="preserve">Conclusively the rise in hate crime within the UK can be attributed to social and criminological factors such as </w:t>
      </w:r>
      <w:r w:rsidR="0065296D" w:rsidRPr="00FD3A78">
        <w:rPr>
          <w:rFonts w:asciiTheme="minorHAnsi" w:hAnsiTheme="minorHAnsi" w:cstheme="minorHAnsi"/>
          <w:sz w:val="24"/>
          <w:szCs w:val="24"/>
        </w:rPr>
        <w:t xml:space="preserve">the EU </w:t>
      </w:r>
      <w:r w:rsidR="00AA3770" w:rsidRPr="00FD3A78">
        <w:rPr>
          <w:rFonts w:asciiTheme="minorHAnsi" w:hAnsiTheme="minorHAnsi" w:cstheme="minorHAnsi"/>
          <w:sz w:val="24"/>
          <w:szCs w:val="24"/>
        </w:rPr>
        <w:t>referendum</w:t>
      </w:r>
      <w:r w:rsidR="0065296D" w:rsidRPr="00FD3A78">
        <w:rPr>
          <w:rFonts w:asciiTheme="minorHAnsi" w:hAnsiTheme="minorHAnsi" w:cstheme="minorHAnsi"/>
          <w:sz w:val="24"/>
          <w:szCs w:val="24"/>
        </w:rPr>
        <w:t xml:space="preserve">, the spike in terrorist attacks in 2017 and </w:t>
      </w:r>
      <w:r w:rsidR="00C77A2E" w:rsidRPr="00FD3A78">
        <w:rPr>
          <w:rFonts w:asciiTheme="minorHAnsi" w:hAnsiTheme="minorHAnsi" w:cstheme="minorHAnsi"/>
          <w:sz w:val="24"/>
          <w:szCs w:val="24"/>
        </w:rPr>
        <w:t>legal issues concerning the lack of statutory definition for hate crime</w:t>
      </w:r>
      <w:r w:rsidR="005269C7" w:rsidRPr="00FD3A78">
        <w:rPr>
          <w:rFonts w:asciiTheme="minorHAnsi" w:hAnsiTheme="minorHAnsi" w:cstheme="minorHAnsi"/>
          <w:sz w:val="24"/>
          <w:szCs w:val="24"/>
        </w:rPr>
        <w:t xml:space="preserve">. </w:t>
      </w:r>
      <w:r w:rsidR="007F48F6" w:rsidRPr="00FD3A78">
        <w:rPr>
          <w:rFonts w:asciiTheme="minorHAnsi" w:hAnsiTheme="minorHAnsi" w:cstheme="minorHAnsi"/>
          <w:sz w:val="24"/>
          <w:szCs w:val="24"/>
        </w:rPr>
        <w:t>To successfully prevent hate crimes, it is essential to</w:t>
      </w:r>
      <w:r w:rsidR="00190662" w:rsidRPr="00FD3A78">
        <w:rPr>
          <w:rFonts w:asciiTheme="minorHAnsi" w:hAnsiTheme="minorHAnsi" w:cstheme="minorHAnsi"/>
          <w:sz w:val="24"/>
          <w:szCs w:val="24"/>
        </w:rPr>
        <w:t xml:space="preserve"> comprehensively</w:t>
      </w:r>
      <w:r w:rsidR="007F48F6" w:rsidRPr="00FD3A78">
        <w:rPr>
          <w:rFonts w:asciiTheme="minorHAnsi" w:hAnsiTheme="minorHAnsi" w:cstheme="minorHAnsi"/>
          <w:sz w:val="24"/>
          <w:szCs w:val="24"/>
        </w:rPr>
        <w:t xml:space="preserve"> analyse how various communities intersect with law enforcement agencies (Mawby and Zempi 2018). </w:t>
      </w:r>
      <w:r w:rsidR="00D20B69" w:rsidRPr="00FD3A78">
        <w:rPr>
          <w:rFonts w:asciiTheme="minorHAnsi" w:hAnsiTheme="minorHAnsi" w:cstheme="minorHAnsi"/>
          <w:sz w:val="24"/>
          <w:szCs w:val="24"/>
        </w:rPr>
        <w:t>Nonetheless e</w:t>
      </w:r>
      <w:r w:rsidR="007F48F6" w:rsidRPr="00FD3A78">
        <w:rPr>
          <w:rFonts w:asciiTheme="minorHAnsi" w:hAnsiTheme="minorHAnsi" w:cstheme="minorHAnsi"/>
          <w:sz w:val="24"/>
          <w:szCs w:val="24"/>
        </w:rPr>
        <w:t>ffective communication, cultural competence, and community policing strategies help to combat hate crimes by instilling confidence in communities</w:t>
      </w:r>
      <w:r w:rsidR="00C13101" w:rsidRPr="00FD3A78">
        <w:rPr>
          <w:rFonts w:asciiTheme="minorHAnsi" w:hAnsiTheme="minorHAnsi" w:cstheme="minorHAnsi"/>
          <w:sz w:val="24"/>
          <w:szCs w:val="24"/>
        </w:rPr>
        <w:t xml:space="preserve"> that therefore</w:t>
      </w:r>
      <w:r w:rsidR="007F48F6" w:rsidRPr="00FD3A78">
        <w:rPr>
          <w:rFonts w:asciiTheme="minorHAnsi" w:hAnsiTheme="minorHAnsi" w:cstheme="minorHAnsi"/>
          <w:sz w:val="24"/>
          <w:szCs w:val="24"/>
        </w:rPr>
        <w:t xml:space="preserve"> </w:t>
      </w:r>
      <w:r w:rsidR="004B3117" w:rsidRPr="00FD3A78">
        <w:rPr>
          <w:rFonts w:asciiTheme="minorHAnsi" w:hAnsiTheme="minorHAnsi" w:cstheme="minorHAnsi"/>
          <w:sz w:val="24"/>
          <w:szCs w:val="24"/>
        </w:rPr>
        <w:t>encourage</w:t>
      </w:r>
      <w:r w:rsidR="00C13101" w:rsidRPr="00FD3A78">
        <w:rPr>
          <w:rFonts w:asciiTheme="minorHAnsi" w:hAnsiTheme="minorHAnsi" w:cstheme="minorHAnsi"/>
          <w:sz w:val="24"/>
          <w:szCs w:val="24"/>
        </w:rPr>
        <w:t>s</w:t>
      </w:r>
      <w:r w:rsidR="004B3117" w:rsidRPr="00FD3A78">
        <w:rPr>
          <w:rFonts w:asciiTheme="minorHAnsi" w:hAnsiTheme="minorHAnsi" w:cstheme="minorHAnsi"/>
          <w:sz w:val="24"/>
          <w:szCs w:val="24"/>
        </w:rPr>
        <w:t xml:space="preserve"> people to </w:t>
      </w:r>
      <w:r w:rsidR="007F48F6" w:rsidRPr="00FD3A78">
        <w:rPr>
          <w:rFonts w:asciiTheme="minorHAnsi" w:hAnsiTheme="minorHAnsi" w:cstheme="minorHAnsi"/>
          <w:sz w:val="24"/>
          <w:szCs w:val="24"/>
        </w:rPr>
        <w:t xml:space="preserve">come forward and report </w:t>
      </w:r>
      <w:r w:rsidR="00867331" w:rsidRPr="00FD3A78">
        <w:rPr>
          <w:rFonts w:asciiTheme="minorHAnsi" w:hAnsiTheme="minorHAnsi" w:cstheme="minorHAnsi"/>
          <w:sz w:val="24"/>
          <w:szCs w:val="24"/>
        </w:rPr>
        <w:t>offences</w:t>
      </w:r>
      <w:r w:rsidR="007F48F6" w:rsidRPr="00FD3A78">
        <w:rPr>
          <w:rFonts w:asciiTheme="minorHAnsi" w:hAnsiTheme="minorHAnsi" w:cstheme="minorHAnsi"/>
          <w:sz w:val="24"/>
          <w:szCs w:val="24"/>
        </w:rPr>
        <w:t xml:space="preserve"> regarding hate crimes (McInerney, 2020). The importance of an inclusive approach to policing is highlighted by the College of Policing (2022)</w:t>
      </w:r>
      <w:r w:rsidR="00BA6688" w:rsidRPr="00FD3A78">
        <w:rPr>
          <w:rFonts w:asciiTheme="minorHAnsi" w:hAnsiTheme="minorHAnsi" w:cstheme="minorHAnsi"/>
          <w:sz w:val="24"/>
          <w:szCs w:val="24"/>
        </w:rPr>
        <w:t>,</w:t>
      </w:r>
      <w:r w:rsidR="00D349F9" w:rsidRPr="00FD3A78">
        <w:rPr>
          <w:rFonts w:asciiTheme="minorHAnsi" w:hAnsiTheme="minorHAnsi" w:cstheme="minorHAnsi"/>
          <w:sz w:val="24"/>
          <w:szCs w:val="24"/>
        </w:rPr>
        <w:t xml:space="preserve"> as</w:t>
      </w:r>
      <w:r w:rsidR="00867331" w:rsidRPr="00FD3A78">
        <w:rPr>
          <w:rFonts w:asciiTheme="minorHAnsi" w:hAnsiTheme="minorHAnsi" w:cstheme="minorHAnsi"/>
          <w:sz w:val="24"/>
          <w:szCs w:val="24"/>
        </w:rPr>
        <w:t xml:space="preserve"> </w:t>
      </w:r>
      <w:r w:rsidR="00D349F9" w:rsidRPr="00FD3A78">
        <w:rPr>
          <w:rFonts w:asciiTheme="minorHAnsi" w:hAnsiTheme="minorHAnsi" w:cstheme="minorHAnsi"/>
          <w:sz w:val="24"/>
          <w:szCs w:val="24"/>
        </w:rPr>
        <w:t>t</w:t>
      </w:r>
      <w:r w:rsidR="00867331" w:rsidRPr="00FD3A78">
        <w:rPr>
          <w:rFonts w:asciiTheme="minorHAnsi" w:hAnsiTheme="minorHAnsi" w:cstheme="minorHAnsi"/>
          <w:sz w:val="24"/>
          <w:szCs w:val="24"/>
        </w:rPr>
        <w:t>he College of Policing</w:t>
      </w:r>
      <w:r w:rsidR="007F48F6" w:rsidRPr="00FD3A78">
        <w:rPr>
          <w:rFonts w:asciiTheme="minorHAnsi" w:hAnsiTheme="minorHAnsi" w:cstheme="minorHAnsi"/>
          <w:sz w:val="24"/>
          <w:szCs w:val="24"/>
        </w:rPr>
        <w:t xml:space="preserve"> communicates the social and criminal injustice that black communities are still facing with police officers.   </w:t>
      </w:r>
    </w:p>
    <w:p w14:paraId="5E292C69" w14:textId="77777777" w:rsidR="007F48F6" w:rsidRPr="00FD3A78" w:rsidRDefault="007F48F6" w:rsidP="00FD3A78">
      <w:pPr>
        <w:spacing w:line="360" w:lineRule="auto"/>
        <w:contextualSpacing/>
        <w:rPr>
          <w:rFonts w:asciiTheme="minorHAnsi" w:hAnsiTheme="minorHAnsi" w:cstheme="minorHAnsi"/>
          <w:sz w:val="24"/>
          <w:szCs w:val="24"/>
        </w:rPr>
      </w:pPr>
    </w:p>
    <w:p w14:paraId="6C99AC35" w14:textId="6BCDC5BC" w:rsidR="007F48F6" w:rsidRPr="00FD3A78" w:rsidRDefault="007F48F6" w:rsidP="00FD3A78">
      <w:pPr>
        <w:spacing w:line="360" w:lineRule="auto"/>
        <w:contextualSpacing/>
        <w:rPr>
          <w:rFonts w:asciiTheme="minorHAnsi" w:hAnsiTheme="minorHAnsi" w:cstheme="minorHAnsi"/>
          <w:sz w:val="24"/>
          <w:szCs w:val="24"/>
        </w:rPr>
      </w:pPr>
      <w:r w:rsidRPr="00FD3A78">
        <w:rPr>
          <w:rFonts w:asciiTheme="minorHAnsi" w:hAnsiTheme="minorHAnsi" w:cstheme="minorHAnsi"/>
          <w:sz w:val="24"/>
          <w:szCs w:val="24"/>
        </w:rPr>
        <w:t xml:space="preserve">Despite improved collaboration with communities, raised awareness of hate crimes and further investment in police resources HMICFRS’s ‘Understanding the Difference’ report on how police officers respond to hate crimes illustrates their engagement with different societal groups and identifies some shortcomings in policing practices that need further improvement. </w:t>
      </w:r>
    </w:p>
    <w:p w14:paraId="5E7054F4" w14:textId="77777777" w:rsidR="007F48F6" w:rsidRPr="00FD3A78" w:rsidRDefault="007F48F6" w:rsidP="00FD3A78">
      <w:pPr>
        <w:spacing w:line="360" w:lineRule="auto"/>
        <w:contextualSpacing/>
        <w:rPr>
          <w:rFonts w:asciiTheme="minorHAnsi" w:hAnsiTheme="minorHAnsi" w:cstheme="minorHAnsi"/>
          <w:sz w:val="24"/>
          <w:szCs w:val="24"/>
        </w:rPr>
      </w:pPr>
    </w:p>
    <w:p w14:paraId="14439C7E" w14:textId="596413C2" w:rsidR="007F48F6" w:rsidRPr="003E618E" w:rsidRDefault="007F48F6" w:rsidP="00FD3A78">
      <w:pPr>
        <w:spacing w:line="360" w:lineRule="auto"/>
        <w:contextualSpacing/>
        <w:rPr>
          <w:rFonts w:asciiTheme="minorHAnsi" w:eastAsiaTheme="minorHAnsi" w:hAnsiTheme="minorHAnsi" w:cstheme="minorHAnsi"/>
          <w:sz w:val="24"/>
          <w:szCs w:val="24"/>
          <w:lang w:val="en-US" w:eastAsia="en-US"/>
        </w:rPr>
      </w:pPr>
      <w:r w:rsidRPr="00FD3A78">
        <w:rPr>
          <w:rFonts w:asciiTheme="minorHAnsi" w:eastAsiaTheme="minorHAnsi" w:hAnsiTheme="minorHAnsi" w:cstheme="minorHAnsi"/>
          <w:sz w:val="24"/>
          <w:szCs w:val="24"/>
          <w:lang w:val="en-US" w:eastAsia="en-US"/>
        </w:rPr>
        <w:t>The case study discussed in the essay regarding the victim being taken advantage of due to his disability, highlights the need for a more inclusive and responsive approach to hate crime.</w:t>
      </w:r>
      <w:r w:rsidR="003E618E">
        <w:rPr>
          <w:rFonts w:asciiTheme="minorHAnsi" w:eastAsiaTheme="minorHAnsi" w:hAnsiTheme="minorHAnsi" w:cstheme="minorHAnsi"/>
          <w:sz w:val="24"/>
          <w:szCs w:val="24"/>
          <w:lang w:val="en-US" w:eastAsia="en-US"/>
        </w:rPr>
        <w:t xml:space="preserve"> </w:t>
      </w:r>
      <w:r w:rsidRPr="00FD3A78">
        <w:rPr>
          <w:rFonts w:asciiTheme="minorHAnsi" w:eastAsiaTheme="minorHAnsi" w:hAnsiTheme="minorHAnsi" w:cstheme="minorHAnsi"/>
          <w:sz w:val="24"/>
          <w:szCs w:val="24"/>
          <w:lang w:val="en-US" w:eastAsia="en-US"/>
        </w:rPr>
        <w:t>The disabled community member who was the victim of the crime reported it to the police; this implied his trust in them and, by extension, the criminal justice system. The case illustrates how important community-police relationships are regarding building trust, encouraging reporting and appropriate sentencing. However, it also emphasises the vulnerability of some communities</w:t>
      </w:r>
      <w:r w:rsidR="002944BD" w:rsidRPr="00FD3A78">
        <w:rPr>
          <w:rFonts w:asciiTheme="minorHAnsi" w:eastAsiaTheme="minorHAnsi" w:hAnsiTheme="minorHAnsi" w:cstheme="minorHAnsi"/>
          <w:sz w:val="24"/>
          <w:szCs w:val="24"/>
          <w:lang w:val="en-US" w:eastAsia="en-US"/>
        </w:rPr>
        <w:t xml:space="preserve"> </w:t>
      </w:r>
      <w:r w:rsidRPr="00FD3A78">
        <w:rPr>
          <w:rFonts w:asciiTheme="minorHAnsi" w:eastAsiaTheme="minorHAnsi" w:hAnsiTheme="minorHAnsi" w:cstheme="minorHAnsi"/>
          <w:sz w:val="24"/>
          <w:szCs w:val="24"/>
          <w:lang w:val="en-US" w:eastAsia="en-US"/>
        </w:rPr>
        <w:t xml:space="preserve">and the need for inclusive policing responses for diverse communities. According to the HMICFRS report (2018), initial police responses towards hate crimes may not be favorable on all occasions for meeting the needs of diverse communities. </w:t>
      </w:r>
      <w:r w:rsidR="0017304E" w:rsidRPr="00FD3A78">
        <w:rPr>
          <w:rFonts w:asciiTheme="minorHAnsi" w:eastAsiaTheme="minorHAnsi" w:hAnsiTheme="minorHAnsi" w:cstheme="minorHAnsi"/>
          <w:sz w:val="24"/>
          <w:szCs w:val="24"/>
          <w:lang w:val="en-US" w:eastAsia="en-US"/>
        </w:rPr>
        <w:t>U</w:t>
      </w:r>
      <w:r w:rsidRPr="00FD3A78">
        <w:rPr>
          <w:rFonts w:asciiTheme="minorHAnsi" w:eastAsiaTheme="minorHAnsi" w:hAnsiTheme="minorHAnsi" w:cstheme="minorHAnsi"/>
          <w:sz w:val="24"/>
          <w:szCs w:val="24"/>
          <w:lang w:val="en-US" w:eastAsia="en-US"/>
        </w:rPr>
        <w:t>nderreporting</w:t>
      </w:r>
      <w:r w:rsidR="00657B45" w:rsidRPr="00FD3A78">
        <w:rPr>
          <w:rFonts w:asciiTheme="minorHAnsi" w:eastAsiaTheme="minorHAnsi" w:hAnsiTheme="minorHAnsi" w:cstheme="minorHAnsi"/>
          <w:sz w:val="24"/>
          <w:szCs w:val="24"/>
          <w:lang w:val="en-US" w:eastAsia="en-US"/>
        </w:rPr>
        <w:t xml:space="preserve"> and</w:t>
      </w:r>
      <w:r w:rsidRPr="00FD3A78">
        <w:rPr>
          <w:rFonts w:asciiTheme="minorHAnsi" w:eastAsiaTheme="minorHAnsi" w:hAnsiTheme="minorHAnsi" w:cstheme="minorHAnsi"/>
          <w:sz w:val="24"/>
          <w:szCs w:val="24"/>
          <w:lang w:val="en-US" w:eastAsia="en-US"/>
        </w:rPr>
        <w:t xml:space="preserve"> mistrust issues among communities </w:t>
      </w:r>
      <w:r w:rsidR="00657B45" w:rsidRPr="00FD3A78">
        <w:rPr>
          <w:rFonts w:asciiTheme="minorHAnsi" w:eastAsiaTheme="minorHAnsi" w:hAnsiTheme="minorHAnsi" w:cstheme="minorHAnsi"/>
          <w:sz w:val="24"/>
          <w:szCs w:val="24"/>
          <w:lang w:val="en-US" w:eastAsia="en-US"/>
        </w:rPr>
        <w:t>towards</w:t>
      </w:r>
      <w:r w:rsidRPr="00FD3A78">
        <w:rPr>
          <w:rFonts w:asciiTheme="minorHAnsi" w:eastAsiaTheme="minorHAnsi" w:hAnsiTheme="minorHAnsi" w:cstheme="minorHAnsi"/>
          <w:sz w:val="24"/>
          <w:szCs w:val="24"/>
          <w:lang w:val="en-US" w:eastAsia="en-US"/>
        </w:rPr>
        <w:t xml:space="preserve"> law enforcement agencies and a lack of cultural competence in the latter can be perceived as barriers to effective collaboration, increased reporting and combatting hate crime.</w:t>
      </w:r>
    </w:p>
    <w:p w14:paraId="00D75496" w14:textId="77777777" w:rsidR="007F48F6" w:rsidRDefault="007F48F6" w:rsidP="007F48F6">
      <w:pPr>
        <w:spacing w:line="480" w:lineRule="auto"/>
        <w:contextualSpacing/>
        <w:rPr>
          <w:sz w:val="24"/>
          <w:szCs w:val="24"/>
        </w:rPr>
      </w:pPr>
    </w:p>
    <w:p w14:paraId="31B4BFC8" w14:textId="5FD4A48E" w:rsidR="00F61409" w:rsidRDefault="00F61409" w:rsidP="00325BB5">
      <w:pPr>
        <w:spacing w:line="480" w:lineRule="auto"/>
        <w:contextualSpacing/>
        <w:rPr>
          <w:sz w:val="24"/>
          <w:szCs w:val="24"/>
        </w:rPr>
      </w:pPr>
    </w:p>
    <w:p w14:paraId="743FD634" w14:textId="77777777" w:rsidR="003E618E" w:rsidRDefault="00BD64BB" w:rsidP="00ED6D38">
      <w:pPr>
        <w:tabs>
          <w:tab w:val="left" w:pos="3521"/>
        </w:tabs>
        <w:spacing w:line="480" w:lineRule="auto"/>
        <w:rPr>
          <w:sz w:val="24"/>
          <w:szCs w:val="24"/>
        </w:rPr>
      </w:pPr>
      <w:r>
        <w:rPr>
          <w:sz w:val="24"/>
          <w:szCs w:val="24"/>
        </w:rPr>
        <w:t xml:space="preserve">                                                    </w:t>
      </w:r>
    </w:p>
    <w:p w14:paraId="16144F8B" w14:textId="77777777" w:rsidR="003E618E" w:rsidRDefault="003E618E" w:rsidP="00ED6D38">
      <w:pPr>
        <w:tabs>
          <w:tab w:val="left" w:pos="3521"/>
        </w:tabs>
        <w:spacing w:line="480" w:lineRule="auto"/>
        <w:rPr>
          <w:sz w:val="24"/>
          <w:szCs w:val="24"/>
        </w:rPr>
      </w:pPr>
    </w:p>
    <w:p w14:paraId="349860AD" w14:textId="77777777" w:rsidR="003E618E" w:rsidRDefault="003E618E" w:rsidP="00ED6D38">
      <w:pPr>
        <w:tabs>
          <w:tab w:val="left" w:pos="3521"/>
        </w:tabs>
        <w:spacing w:line="480" w:lineRule="auto"/>
        <w:rPr>
          <w:sz w:val="24"/>
          <w:szCs w:val="24"/>
        </w:rPr>
      </w:pPr>
    </w:p>
    <w:p w14:paraId="20BD86CC" w14:textId="77777777" w:rsidR="003E618E" w:rsidRDefault="003E618E" w:rsidP="00ED6D38">
      <w:pPr>
        <w:tabs>
          <w:tab w:val="left" w:pos="3521"/>
        </w:tabs>
        <w:spacing w:line="480" w:lineRule="auto"/>
        <w:rPr>
          <w:sz w:val="24"/>
          <w:szCs w:val="24"/>
        </w:rPr>
      </w:pPr>
    </w:p>
    <w:p w14:paraId="03EC0F9A" w14:textId="77777777" w:rsidR="003E618E" w:rsidRDefault="003E618E" w:rsidP="00ED6D38">
      <w:pPr>
        <w:tabs>
          <w:tab w:val="left" w:pos="3521"/>
        </w:tabs>
        <w:spacing w:line="480" w:lineRule="auto"/>
        <w:rPr>
          <w:sz w:val="24"/>
          <w:szCs w:val="24"/>
        </w:rPr>
      </w:pPr>
    </w:p>
    <w:p w14:paraId="55A3554A" w14:textId="77777777" w:rsidR="003E618E" w:rsidRDefault="003E618E" w:rsidP="00ED6D38">
      <w:pPr>
        <w:tabs>
          <w:tab w:val="left" w:pos="3521"/>
        </w:tabs>
        <w:spacing w:line="480" w:lineRule="auto"/>
        <w:rPr>
          <w:sz w:val="24"/>
          <w:szCs w:val="24"/>
        </w:rPr>
      </w:pPr>
    </w:p>
    <w:p w14:paraId="40B57E25" w14:textId="77777777" w:rsidR="003E618E" w:rsidRDefault="003E618E" w:rsidP="00ED6D38">
      <w:pPr>
        <w:tabs>
          <w:tab w:val="left" w:pos="3521"/>
        </w:tabs>
        <w:spacing w:line="480" w:lineRule="auto"/>
        <w:rPr>
          <w:sz w:val="24"/>
          <w:szCs w:val="24"/>
        </w:rPr>
      </w:pPr>
    </w:p>
    <w:p w14:paraId="7811146E" w14:textId="77777777" w:rsidR="003E618E" w:rsidRDefault="003E618E" w:rsidP="00ED6D38">
      <w:pPr>
        <w:tabs>
          <w:tab w:val="left" w:pos="3521"/>
        </w:tabs>
        <w:spacing w:line="480" w:lineRule="auto"/>
        <w:rPr>
          <w:sz w:val="24"/>
          <w:szCs w:val="24"/>
        </w:rPr>
      </w:pPr>
    </w:p>
    <w:p w14:paraId="23D94BF0" w14:textId="77777777" w:rsidR="003E618E" w:rsidRDefault="003E618E" w:rsidP="00ED6D38">
      <w:pPr>
        <w:tabs>
          <w:tab w:val="left" w:pos="3521"/>
        </w:tabs>
        <w:spacing w:line="480" w:lineRule="auto"/>
        <w:rPr>
          <w:sz w:val="24"/>
          <w:szCs w:val="24"/>
        </w:rPr>
      </w:pPr>
    </w:p>
    <w:p w14:paraId="3BFC9114" w14:textId="77777777" w:rsidR="003E618E" w:rsidRDefault="003E618E" w:rsidP="00ED6D38">
      <w:pPr>
        <w:tabs>
          <w:tab w:val="left" w:pos="3521"/>
        </w:tabs>
        <w:spacing w:line="480" w:lineRule="auto"/>
        <w:rPr>
          <w:sz w:val="24"/>
          <w:szCs w:val="24"/>
        </w:rPr>
      </w:pPr>
    </w:p>
    <w:p w14:paraId="06A90AE9" w14:textId="77777777" w:rsidR="003E618E" w:rsidRDefault="003E618E" w:rsidP="00ED6D38">
      <w:pPr>
        <w:tabs>
          <w:tab w:val="left" w:pos="3521"/>
        </w:tabs>
        <w:spacing w:line="480" w:lineRule="auto"/>
        <w:rPr>
          <w:sz w:val="24"/>
          <w:szCs w:val="24"/>
        </w:rPr>
      </w:pPr>
    </w:p>
    <w:p w14:paraId="0A73D0DC" w14:textId="77777777" w:rsidR="003E618E" w:rsidRDefault="003E618E" w:rsidP="00ED6D38">
      <w:pPr>
        <w:tabs>
          <w:tab w:val="left" w:pos="3521"/>
        </w:tabs>
        <w:spacing w:line="480" w:lineRule="auto"/>
        <w:rPr>
          <w:sz w:val="24"/>
          <w:szCs w:val="24"/>
        </w:rPr>
      </w:pPr>
    </w:p>
    <w:p w14:paraId="273A6DBD" w14:textId="77777777" w:rsidR="003E618E" w:rsidRDefault="003E618E" w:rsidP="00ED6D38">
      <w:pPr>
        <w:tabs>
          <w:tab w:val="left" w:pos="3521"/>
        </w:tabs>
        <w:spacing w:line="480" w:lineRule="auto"/>
        <w:rPr>
          <w:sz w:val="24"/>
          <w:szCs w:val="24"/>
        </w:rPr>
      </w:pPr>
    </w:p>
    <w:p w14:paraId="540A5E4E" w14:textId="77777777" w:rsidR="003E618E" w:rsidRDefault="003E618E" w:rsidP="00ED6D38">
      <w:pPr>
        <w:tabs>
          <w:tab w:val="left" w:pos="3521"/>
        </w:tabs>
        <w:spacing w:line="480" w:lineRule="auto"/>
        <w:rPr>
          <w:sz w:val="24"/>
          <w:szCs w:val="24"/>
        </w:rPr>
      </w:pPr>
    </w:p>
    <w:p w14:paraId="5FC3C055" w14:textId="77777777" w:rsidR="003E618E" w:rsidRDefault="003E618E" w:rsidP="00ED6D38">
      <w:pPr>
        <w:tabs>
          <w:tab w:val="left" w:pos="3521"/>
        </w:tabs>
        <w:spacing w:line="480" w:lineRule="auto"/>
        <w:rPr>
          <w:sz w:val="24"/>
          <w:szCs w:val="24"/>
        </w:rPr>
      </w:pPr>
    </w:p>
    <w:p w14:paraId="39039628" w14:textId="77777777" w:rsidR="003E618E" w:rsidRDefault="003E618E" w:rsidP="00ED6D38">
      <w:pPr>
        <w:tabs>
          <w:tab w:val="left" w:pos="3521"/>
        </w:tabs>
        <w:spacing w:line="480" w:lineRule="auto"/>
        <w:rPr>
          <w:sz w:val="24"/>
          <w:szCs w:val="24"/>
        </w:rPr>
      </w:pPr>
    </w:p>
    <w:p w14:paraId="1167029E" w14:textId="77777777" w:rsidR="003E618E" w:rsidRDefault="003E618E" w:rsidP="00ED6D38">
      <w:pPr>
        <w:tabs>
          <w:tab w:val="left" w:pos="3521"/>
        </w:tabs>
        <w:spacing w:line="480" w:lineRule="auto"/>
        <w:rPr>
          <w:sz w:val="24"/>
          <w:szCs w:val="24"/>
        </w:rPr>
      </w:pPr>
    </w:p>
    <w:p w14:paraId="12395277" w14:textId="77777777" w:rsidR="003E618E" w:rsidRDefault="003E618E" w:rsidP="00ED6D38">
      <w:pPr>
        <w:tabs>
          <w:tab w:val="left" w:pos="3521"/>
        </w:tabs>
        <w:spacing w:line="480" w:lineRule="auto"/>
        <w:rPr>
          <w:sz w:val="24"/>
          <w:szCs w:val="24"/>
        </w:rPr>
      </w:pPr>
    </w:p>
    <w:p w14:paraId="4B0F0608" w14:textId="77777777" w:rsidR="003E618E" w:rsidRDefault="003E618E" w:rsidP="00ED6D38">
      <w:pPr>
        <w:tabs>
          <w:tab w:val="left" w:pos="3521"/>
        </w:tabs>
        <w:spacing w:line="480" w:lineRule="auto"/>
        <w:rPr>
          <w:sz w:val="24"/>
          <w:szCs w:val="24"/>
        </w:rPr>
      </w:pPr>
    </w:p>
    <w:p w14:paraId="041A9083" w14:textId="77777777" w:rsidR="003E618E" w:rsidRDefault="003E618E" w:rsidP="00ED6D38">
      <w:pPr>
        <w:tabs>
          <w:tab w:val="left" w:pos="3521"/>
        </w:tabs>
        <w:spacing w:line="480" w:lineRule="auto"/>
        <w:rPr>
          <w:sz w:val="24"/>
          <w:szCs w:val="24"/>
        </w:rPr>
      </w:pPr>
    </w:p>
    <w:p w14:paraId="22EEBBEC" w14:textId="0A26AB37" w:rsidR="00454729" w:rsidRDefault="00ED6D38" w:rsidP="003E618E">
      <w:pPr>
        <w:tabs>
          <w:tab w:val="left" w:pos="3521"/>
        </w:tabs>
        <w:spacing w:line="480" w:lineRule="auto"/>
        <w:jc w:val="center"/>
        <w:rPr>
          <w:sz w:val="24"/>
          <w:szCs w:val="24"/>
        </w:rPr>
      </w:pPr>
      <w:r>
        <w:rPr>
          <w:sz w:val="24"/>
          <w:szCs w:val="24"/>
        </w:rPr>
        <w:t>References:</w:t>
      </w:r>
    </w:p>
    <w:p w14:paraId="368F2688" w14:textId="77777777" w:rsidR="000E3D83" w:rsidRPr="00BD64BB" w:rsidRDefault="000E3D83" w:rsidP="0099659F">
      <w:pPr>
        <w:spacing w:line="480" w:lineRule="auto"/>
        <w:contextualSpacing/>
        <w:rPr>
          <w:rFonts w:eastAsiaTheme="minorHAnsi"/>
          <w:sz w:val="24"/>
          <w:szCs w:val="24"/>
          <w:lang w:val="en-US" w:eastAsia="en-US"/>
        </w:rPr>
      </w:pPr>
      <w:r w:rsidRPr="00BD64BB">
        <w:rPr>
          <w:rFonts w:eastAsiaTheme="minorHAnsi"/>
          <w:sz w:val="24"/>
          <w:szCs w:val="24"/>
          <w:lang w:val="en-US" w:eastAsia="en-US"/>
        </w:rPr>
        <w:t xml:space="preserve">Agnew, R. and Brezina, T., </w:t>
      </w:r>
      <w:r w:rsidRPr="000E3D83">
        <w:rPr>
          <w:rFonts w:eastAsiaTheme="minorHAnsi"/>
          <w:sz w:val="24"/>
          <w:szCs w:val="24"/>
          <w:lang w:val="en-US" w:eastAsia="en-US"/>
        </w:rPr>
        <w:t>(</w:t>
      </w:r>
      <w:r w:rsidRPr="00BD64BB">
        <w:rPr>
          <w:rFonts w:eastAsiaTheme="minorHAnsi"/>
          <w:sz w:val="24"/>
          <w:szCs w:val="24"/>
          <w:lang w:val="en-US" w:eastAsia="en-US"/>
        </w:rPr>
        <w:t>2019</w:t>
      </w:r>
      <w:r w:rsidRPr="000E3D83">
        <w:rPr>
          <w:rFonts w:eastAsiaTheme="minorHAnsi"/>
          <w:sz w:val="24"/>
          <w:szCs w:val="24"/>
          <w:lang w:val="en-US" w:eastAsia="en-US"/>
        </w:rPr>
        <w:t>)</w:t>
      </w:r>
      <w:r w:rsidRPr="00BD64BB">
        <w:rPr>
          <w:rFonts w:eastAsiaTheme="minorHAnsi"/>
          <w:sz w:val="24"/>
          <w:szCs w:val="24"/>
          <w:lang w:val="en-US" w:eastAsia="en-US"/>
        </w:rPr>
        <w:t>. General strain theory. </w:t>
      </w:r>
      <w:r w:rsidRPr="00BD64BB">
        <w:rPr>
          <w:rFonts w:eastAsiaTheme="minorHAnsi"/>
          <w:i/>
          <w:iCs/>
          <w:sz w:val="24"/>
          <w:szCs w:val="24"/>
          <w:lang w:val="en-US" w:eastAsia="en-US"/>
        </w:rPr>
        <w:t>Handbook on crime and deviance</w:t>
      </w:r>
      <w:r w:rsidRPr="00BD64BB">
        <w:rPr>
          <w:rFonts w:eastAsiaTheme="minorHAnsi"/>
          <w:sz w:val="24"/>
          <w:szCs w:val="24"/>
          <w:lang w:val="en-US" w:eastAsia="en-US"/>
        </w:rPr>
        <w:t>, pp.145-160.</w:t>
      </w:r>
    </w:p>
    <w:p w14:paraId="2CC60E1E"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Agnew, R., </w:t>
      </w:r>
      <w:r w:rsidRPr="000E3D83">
        <w:rPr>
          <w:rFonts w:eastAsiaTheme="minorHAnsi"/>
          <w:sz w:val="24"/>
          <w:szCs w:val="24"/>
          <w:lang w:val="en-US" w:eastAsia="en-US"/>
        </w:rPr>
        <w:t>(</w:t>
      </w:r>
      <w:r w:rsidRPr="00BD64BB">
        <w:rPr>
          <w:rFonts w:eastAsiaTheme="minorHAnsi"/>
          <w:sz w:val="24"/>
          <w:szCs w:val="24"/>
          <w:lang w:val="en-US" w:eastAsia="en-US"/>
        </w:rPr>
        <w:t>2020</w:t>
      </w:r>
      <w:r w:rsidRPr="000E3D83">
        <w:rPr>
          <w:rFonts w:eastAsiaTheme="minorHAnsi"/>
          <w:sz w:val="24"/>
          <w:szCs w:val="24"/>
          <w:lang w:val="en-US" w:eastAsia="en-US"/>
        </w:rPr>
        <w:t>)</w:t>
      </w:r>
      <w:r w:rsidRPr="00BD64BB">
        <w:rPr>
          <w:rFonts w:eastAsiaTheme="minorHAnsi"/>
          <w:sz w:val="24"/>
          <w:szCs w:val="24"/>
          <w:lang w:val="en-US" w:eastAsia="en-US"/>
        </w:rPr>
        <w:t>. The contribution of social-psychological strain theory to the explanation of crime and delinquency. In </w:t>
      </w:r>
      <w:r w:rsidRPr="00BD64BB">
        <w:rPr>
          <w:rFonts w:eastAsiaTheme="minorHAnsi"/>
          <w:i/>
          <w:iCs/>
          <w:sz w:val="24"/>
          <w:szCs w:val="24"/>
          <w:lang w:val="en-US" w:eastAsia="en-US"/>
        </w:rPr>
        <w:t>The legacy of anomie theory</w:t>
      </w:r>
      <w:r w:rsidRPr="00BD64BB">
        <w:rPr>
          <w:rFonts w:eastAsiaTheme="minorHAnsi"/>
          <w:sz w:val="24"/>
          <w:szCs w:val="24"/>
          <w:lang w:val="en-US" w:eastAsia="en-US"/>
        </w:rPr>
        <w:t> (pp. 113-137). Routledge.</w:t>
      </w:r>
    </w:p>
    <w:p w14:paraId="45186A9E" w14:textId="77777777" w:rsidR="000E3D83" w:rsidRPr="000E3D83" w:rsidRDefault="000E3D83" w:rsidP="00515F84">
      <w:pPr>
        <w:spacing w:line="480" w:lineRule="auto"/>
        <w:ind w:left="720" w:hanging="720"/>
        <w:contextualSpacing/>
        <w:rPr>
          <w:sz w:val="24"/>
          <w:szCs w:val="24"/>
        </w:rPr>
      </w:pPr>
      <w:r w:rsidRPr="000E3D83">
        <w:rPr>
          <w:sz w:val="24"/>
          <w:szCs w:val="24"/>
        </w:rPr>
        <w:t>Bacon, A.M., May, J. and Charlesford, J.J., (2021). Understanding public attitudes to hate: Developing and testing a UK version of the Hate Crime Beliefs Scale. </w:t>
      </w:r>
      <w:r w:rsidRPr="000E3D83">
        <w:rPr>
          <w:i/>
          <w:iCs/>
          <w:sz w:val="24"/>
          <w:szCs w:val="24"/>
        </w:rPr>
        <w:t>Journal of interpersonal violence</w:t>
      </w:r>
      <w:r w:rsidRPr="000E3D83">
        <w:rPr>
          <w:sz w:val="24"/>
          <w:szCs w:val="24"/>
        </w:rPr>
        <w:t>, </w:t>
      </w:r>
      <w:r w:rsidRPr="000E3D83">
        <w:rPr>
          <w:i/>
          <w:iCs/>
          <w:sz w:val="24"/>
          <w:szCs w:val="24"/>
        </w:rPr>
        <w:t>36</w:t>
      </w:r>
      <w:r w:rsidRPr="000E3D83">
        <w:rPr>
          <w:sz w:val="24"/>
          <w:szCs w:val="24"/>
        </w:rPr>
        <w:t>(23-24), pp.NP13365-NP13390.</w:t>
      </w:r>
    </w:p>
    <w:p w14:paraId="54BF0172" w14:textId="77777777" w:rsidR="000E3D83" w:rsidRPr="000E3D83" w:rsidRDefault="000E3D83" w:rsidP="00515F84">
      <w:pPr>
        <w:spacing w:line="480" w:lineRule="auto"/>
        <w:ind w:left="720" w:hanging="720"/>
        <w:contextualSpacing/>
        <w:rPr>
          <w:sz w:val="24"/>
          <w:szCs w:val="24"/>
        </w:rPr>
      </w:pPr>
      <w:r w:rsidRPr="000E3D83">
        <w:rPr>
          <w:sz w:val="24"/>
          <w:szCs w:val="24"/>
        </w:rPr>
        <w:t>Braga, A.A., Brunson, R.K. and Drakulich, K.M., (2019). Race, place, and effective policing. </w:t>
      </w:r>
      <w:r w:rsidRPr="000E3D83">
        <w:rPr>
          <w:i/>
          <w:iCs/>
          <w:sz w:val="24"/>
          <w:szCs w:val="24"/>
        </w:rPr>
        <w:t>Annual review of sociology</w:t>
      </w:r>
      <w:r w:rsidRPr="000E3D83">
        <w:rPr>
          <w:sz w:val="24"/>
          <w:szCs w:val="24"/>
        </w:rPr>
        <w:t>, </w:t>
      </w:r>
      <w:r w:rsidRPr="000E3D83">
        <w:rPr>
          <w:i/>
          <w:iCs/>
          <w:sz w:val="24"/>
          <w:szCs w:val="24"/>
        </w:rPr>
        <w:t>45</w:t>
      </w:r>
      <w:r w:rsidRPr="000E3D83">
        <w:rPr>
          <w:sz w:val="24"/>
          <w:szCs w:val="24"/>
        </w:rPr>
        <w:t>, pp.535-555.</w:t>
      </w:r>
    </w:p>
    <w:p w14:paraId="3EA74848" w14:textId="77777777" w:rsidR="000E3D83" w:rsidRPr="000E3D83" w:rsidRDefault="000E3D83" w:rsidP="00C26846">
      <w:pPr>
        <w:spacing w:line="480" w:lineRule="auto"/>
        <w:ind w:left="720" w:hanging="720"/>
        <w:contextualSpacing/>
        <w:rPr>
          <w:sz w:val="24"/>
          <w:szCs w:val="24"/>
        </w:rPr>
      </w:pPr>
      <w:r w:rsidRPr="00BD64BB">
        <w:rPr>
          <w:rFonts w:eastAsiaTheme="minorHAnsi"/>
          <w:sz w:val="24"/>
          <w:szCs w:val="24"/>
          <w:lang w:val="en-US" w:eastAsia="en-US"/>
        </w:rPr>
        <w:t xml:space="preserve">Brown, R., </w:t>
      </w:r>
      <w:r w:rsidRPr="000E3D83">
        <w:rPr>
          <w:rFonts w:eastAsiaTheme="minorHAnsi"/>
          <w:sz w:val="24"/>
          <w:szCs w:val="24"/>
          <w:lang w:val="en-US" w:eastAsia="en-US"/>
        </w:rPr>
        <w:t>(</w:t>
      </w:r>
      <w:r w:rsidRPr="00BD64BB">
        <w:rPr>
          <w:rFonts w:eastAsiaTheme="minorHAnsi"/>
          <w:sz w:val="24"/>
          <w:szCs w:val="24"/>
          <w:lang w:val="en-US" w:eastAsia="en-US"/>
        </w:rPr>
        <w:t>2020</w:t>
      </w:r>
      <w:r w:rsidRPr="000E3D83">
        <w:rPr>
          <w:rFonts w:eastAsiaTheme="minorHAnsi"/>
          <w:sz w:val="24"/>
          <w:szCs w:val="24"/>
          <w:lang w:val="en-US" w:eastAsia="en-US"/>
        </w:rPr>
        <w:t>)</w:t>
      </w:r>
      <w:r w:rsidRPr="00BD64BB">
        <w:rPr>
          <w:rFonts w:eastAsiaTheme="minorHAnsi"/>
          <w:sz w:val="24"/>
          <w:szCs w:val="24"/>
          <w:lang w:val="en-US" w:eastAsia="en-US"/>
        </w:rPr>
        <w:t>. The social identity approach: Appraising the Tajfellian legacy. </w:t>
      </w:r>
      <w:r w:rsidRPr="00BD64BB">
        <w:rPr>
          <w:rFonts w:eastAsiaTheme="minorHAnsi"/>
          <w:i/>
          <w:sz w:val="24"/>
          <w:szCs w:val="24"/>
          <w:lang w:val="en-US" w:eastAsia="en-US"/>
        </w:rPr>
        <w:t xml:space="preserve">British </w:t>
      </w:r>
    </w:p>
    <w:p w14:paraId="328CD224"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Cabeldue, M.K., Cramer, R.J., Kehn, A., Crosby, J.W. and Anastasi, J.S., </w:t>
      </w:r>
      <w:r w:rsidRPr="000E3D83">
        <w:rPr>
          <w:rFonts w:eastAsiaTheme="minorHAnsi"/>
          <w:sz w:val="24"/>
          <w:szCs w:val="24"/>
          <w:lang w:val="en-US" w:eastAsia="en-US"/>
        </w:rPr>
        <w:t>(</w:t>
      </w:r>
      <w:r w:rsidRPr="00BD64BB">
        <w:rPr>
          <w:rFonts w:eastAsiaTheme="minorHAnsi"/>
          <w:sz w:val="24"/>
          <w:szCs w:val="24"/>
          <w:lang w:val="en-US" w:eastAsia="en-US"/>
        </w:rPr>
        <w:t>2018</w:t>
      </w:r>
      <w:r w:rsidRPr="000E3D83">
        <w:rPr>
          <w:rFonts w:eastAsiaTheme="minorHAnsi"/>
          <w:sz w:val="24"/>
          <w:szCs w:val="24"/>
          <w:lang w:val="en-US" w:eastAsia="en-US"/>
        </w:rPr>
        <w:t>)</w:t>
      </w:r>
      <w:r w:rsidRPr="00BD64BB">
        <w:rPr>
          <w:rFonts w:eastAsiaTheme="minorHAnsi"/>
          <w:sz w:val="24"/>
          <w:szCs w:val="24"/>
          <w:lang w:val="en-US" w:eastAsia="en-US"/>
        </w:rPr>
        <w:t>. Measuring attitudes about hate: Development of the hate crime beliefs scale. </w:t>
      </w:r>
      <w:r w:rsidRPr="00BD64BB">
        <w:rPr>
          <w:rFonts w:eastAsiaTheme="minorHAnsi"/>
          <w:i/>
          <w:iCs/>
          <w:sz w:val="24"/>
          <w:szCs w:val="24"/>
          <w:lang w:val="en-US" w:eastAsia="en-US"/>
        </w:rPr>
        <w:t>Journal of interpersonal violence</w:t>
      </w:r>
      <w:r w:rsidRPr="00BD64BB">
        <w:rPr>
          <w:rFonts w:eastAsiaTheme="minorHAnsi"/>
          <w:sz w:val="24"/>
          <w:szCs w:val="24"/>
          <w:lang w:val="en-US" w:eastAsia="en-US"/>
        </w:rPr>
        <w:t>, </w:t>
      </w:r>
      <w:r w:rsidRPr="00BD64BB">
        <w:rPr>
          <w:rFonts w:eastAsiaTheme="minorHAnsi"/>
          <w:i/>
          <w:iCs/>
          <w:sz w:val="24"/>
          <w:szCs w:val="24"/>
          <w:lang w:val="en-US" w:eastAsia="en-US"/>
        </w:rPr>
        <w:t>33</w:t>
      </w:r>
      <w:r w:rsidRPr="00BD64BB">
        <w:rPr>
          <w:rFonts w:eastAsiaTheme="minorHAnsi"/>
          <w:sz w:val="24"/>
          <w:szCs w:val="24"/>
          <w:lang w:val="en-US" w:eastAsia="en-US"/>
        </w:rPr>
        <w:t>(23), pp.3656-3685.</w:t>
      </w:r>
    </w:p>
    <w:p w14:paraId="5F667CB4"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Carstensen, L.L.</w:t>
      </w:r>
      <w:r w:rsidRPr="000E3D83">
        <w:rPr>
          <w:rFonts w:eastAsiaTheme="minorHAnsi"/>
          <w:sz w:val="24"/>
          <w:szCs w:val="24"/>
          <w:lang w:val="en-US" w:eastAsia="en-US"/>
        </w:rPr>
        <w:t>,</w:t>
      </w:r>
      <w:r w:rsidRPr="00BD64BB">
        <w:rPr>
          <w:rFonts w:eastAsiaTheme="minorHAnsi"/>
          <w:sz w:val="24"/>
          <w:szCs w:val="24"/>
          <w:lang w:val="en-US" w:eastAsia="en-US"/>
        </w:rPr>
        <w:t xml:space="preserve"> and DeLiema, M., </w:t>
      </w:r>
      <w:r w:rsidRPr="000E3D83">
        <w:rPr>
          <w:rFonts w:eastAsiaTheme="minorHAnsi"/>
          <w:sz w:val="24"/>
          <w:szCs w:val="24"/>
          <w:lang w:val="en-US" w:eastAsia="en-US"/>
        </w:rPr>
        <w:t>(</w:t>
      </w:r>
      <w:r w:rsidRPr="00BD64BB">
        <w:rPr>
          <w:rFonts w:eastAsiaTheme="minorHAnsi"/>
          <w:sz w:val="24"/>
          <w:szCs w:val="24"/>
          <w:lang w:val="en-US" w:eastAsia="en-US"/>
        </w:rPr>
        <w:t>2018</w:t>
      </w:r>
      <w:r w:rsidRPr="000E3D83">
        <w:rPr>
          <w:rFonts w:eastAsiaTheme="minorHAnsi"/>
          <w:sz w:val="24"/>
          <w:szCs w:val="24"/>
          <w:lang w:val="en-US" w:eastAsia="en-US"/>
        </w:rPr>
        <w:t>)</w:t>
      </w:r>
      <w:r w:rsidRPr="00BD64BB">
        <w:rPr>
          <w:rFonts w:eastAsiaTheme="minorHAnsi"/>
          <w:sz w:val="24"/>
          <w:szCs w:val="24"/>
          <w:lang w:val="en-US" w:eastAsia="en-US"/>
        </w:rPr>
        <w:t>. The positivity effect: A negativity bias in youth fades with age. </w:t>
      </w:r>
      <w:r w:rsidRPr="00BD64BB">
        <w:rPr>
          <w:rFonts w:eastAsiaTheme="minorHAnsi"/>
          <w:i/>
          <w:iCs/>
          <w:sz w:val="24"/>
          <w:szCs w:val="24"/>
          <w:lang w:val="en-US" w:eastAsia="en-US"/>
        </w:rPr>
        <w:t>Current opinion in behavioral sciences</w:t>
      </w:r>
      <w:r w:rsidRPr="00BD64BB">
        <w:rPr>
          <w:rFonts w:eastAsiaTheme="minorHAnsi"/>
          <w:sz w:val="24"/>
          <w:szCs w:val="24"/>
          <w:lang w:val="en-US" w:eastAsia="en-US"/>
        </w:rPr>
        <w:t>, </w:t>
      </w:r>
      <w:r w:rsidRPr="00BD64BB">
        <w:rPr>
          <w:rFonts w:eastAsiaTheme="minorHAnsi"/>
          <w:i/>
          <w:iCs/>
          <w:sz w:val="24"/>
          <w:szCs w:val="24"/>
          <w:lang w:val="en-US" w:eastAsia="en-US"/>
        </w:rPr>
        <w:t>19</w:t>
      </w:r>
      <w:r w:rsidRPr="00BD64BB">
        <w:rPr>
          <w:rFonts w:eastAsiaTheme="minorHAnsi"/>
          <w:sz w:val="24"/>
          <w:szCs w:val="24"/>
          <w:lang w:val="en-US" w:eastAsia="en-US"/>
        </w:rPr>
        <w:t>, pp.7-12.</w:t>
      </w:r>
    </w:p>
    <w:p w14:paraId="79CAE61F" w14:textId="77777777" w:rsidR="000E3D83" w:rsidRPr="000E3D83" w:rsidRDefault="000E3D83" w:rsidP="00515F84">
      <w:pPr>
        <w:pStyle w:val="NormalWeb"/>
        <w:spacing w:before="0" w:beforeAutospacing="0" w:after="0" w:afterAutospacing="0" w:line="480" w:lineRule="auto"/>
        <w:contextualSpacing/>
        <w:rPr>
          <w:color w:val="000000"/>
        </w:rPr>
      </w:pPr>
      <w:r w:rsidRPr="000E3D83">
        <w:rPr>
          <w:color w:val="000000"/>
        </w:rPr>
        <w:t>‌</w:t>
      </w:r>
      <w:r w:rsidRPr="000E3D83">
        <w:rPr>
          <w:color w:val="3A3A3A"/>
          <w:shd w:val="clear" w:color="auto" w:fill="FFFFFF"/>
        </w:rPr>
        <w:t>Chahal, K. (2017) </w:t>
      </w:r>
      <w:r w:rsidRPr="000E3D83">
        <w:rPr>
          <w:i/>
          <w:iCs/>
          <w:color w:val="3A3A3A"/>
          <w:shd w:val="clear" w:color="auto" w:fill="FFFFFF"/>
        </w:rPr>
        <w:t>Supporting victims of hate crime : a practitioner guide</w:t>
      </w:r>
      <w:r w:rsidRPr="000E3D83">
        <w:rPr>
          <w:color w:val="3A3A3A"/>
          <w:shd w:val="clear" w:color="auto" w:fill="FFFFFF"/>
        </w:rPr>
        <w:t>. Bristol, UK: Policy Press. Available at: https://doi.org/10.56687/9781447329732.</w:t>
      </w:r>
    </w:p>
    <w:p w14:paraId="77EB2034"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Chakraborti, N., </w:t>
      </w:r>
      <w:r w:rsidRPr="000E3D83">
        <w:rPr>
          <w:rFonts w:eastAsiaTheme="minorHAnsi"/>
          <w:sz w:val="24"/>
          <w:szCs w:val="24"/>
          <w:lang w:val="en-US" w:eastAsia="en-US"/>
        </w:rPr>
        <w:t>(</w:t>
      </w:r>
      <w:r w:rsidRPr="00BD64BB">
        <w:rPr>
          <w:rFonts w:eastAsiaTheme="minorHAnsi"/>
          <w:sz w:val="24"/>
          <w:szCs w:val="24"/>
          <w:lang w:val="en-US" w:eastAsia="en-US"/>
        </w:rPr>
        <w:t>2018</w:t>
      </w:r>
      <w:r w:rsidRPr="000E3D83">
        <w:rPr>
          <w:rFonts w:eastAsiaTheme="minorHAnsi"/>
          <w:sz w:val="24"/>
          <w:szCs w:val="24"/>
          <w:lang w:val="en-US" w:eastAsia="en-US"/>
        </w:rPr>
        <w:t>)</w:t>
      </w:r>
      <w:r w:rsidRPr="00BD64BB">
        <w:rPr>
          <w:rFonts w:eastAsiaTheme="minorHAnsi"/>
          <w:sz w:val="24"/>
          <w:szCs w:val="24"/>
          <w:lang w:val="en-US" w:eastAsia="en-US"/>
        </w:rPr>
        <w:t>. Responding to hate crime: Escalating problems, continued failings. </w:t>
      </w:r>
      <w:r w:rsidRPr="00BD64BB">
        <w:rPr>
          <w:rFonts w:eastAsiaTheme="minorHAnsi"/>
          <w:i/>
          <w:sz w:val="24"/>
          <w:szCs w:val="24"/>
          <w:lang w:val="en-US" w:eastAsia="en-US"/>
        </w:rPr>
        <w:t>Criminology &amp; Criminal Justice, 18</w:t>
      </w:r>
      <w:r w:rsidRPr="00BD64BB">
        <w:rPr>
          <w:rFonts w:eastAsiaTheme="minorHAnsi"/>
          <w:sz w:val="24"/>
          <w:szCs w:val="24"/>
          <w:lang w:val="en-US" w:eastAsia="en-US"/>
        </w:rPr>
        <w:t>(4), pp.387-404.</w:t>
      </w:r>
    </w:p>
    <w:p w14:paraId="123F6F4B"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Clough, J., </w:t>
      </w:r>
      <w:r w:rsidRPr="000E3D83">
        <w:rPr>
          <w:rFonts w:eastAsiaTheme="minorHAnsi"/>
          <w:sz w:val="24"/>
          <w:szCs w:val="24"/>
          <w:lang w:val="en-US" w:eastAsia="en-US"/>
        </w:rPr>
        <w:t>(</w:t>
      </w:r>
      <w:r w:rsidRPr="00BD64BB">
        <w:rPr>
          <w:rFonts w:eastAsiaTheme="minorHAnsi"/>
          <w:sz w:val="24"/>
          <w:szCs w:val="24"/>
          <w:lang w:val="en-US" w:eastAsia="en-US"/>
        </w:rPr>
        <w:t>2021</w:t>
      </w:r>
      <w:r w:rsidRPr="000E3D83">
        <w:rPr>
          <w:rFonts w:eastAsiaTheme="minorHAnsi"/>
          <w:sz w:val="24"/>
          <w:szCs w:val="24"/>
          <w:lang w:val="en-US" w:eastAsia="en-US"/>
        </w:rPr>
        <w:t>)</w:t>
      </w:r>
      <w:r w:rsidRPr="00BD64BB">
        <w:rPr>
          <w:rFonts w:eastAsiaTheme="minorHAnsi"/>
          <w:sz w:val="24"/>
          <w:szCs w:val="24"/>
          <w:lang w:val="en-US" w:eastAsia="en-US"/>
        </w:rPr>
        <w:t>. 25 THE CROWN PROSECUTION SERVICE. </w:t>
      </w:r>
      <w:r w:rsidRPr="00BD64BB">
        <w:rPr>
          <w:rFonts w:eastAsiaTheme="minorHAnsi"/>
          <w:i/>
          <w:iCs/>
          <w:sz w:val="24"/>
          <w:szCs w:val="24"/>
          <w:lang w:val="en-US" w:eastAsia="en-US"/>
        </w:rPr>
        <w:t>An Introduction to Criminology</w:t>
      </w:r>
      <w:r w:rsidRPr="00BD64BB">
        <w:rPr>
          <w:rFonts w:eastAsiaTheme="minorHAnsi"/>
          <w:sz w:val="24"/>
          <w:szCs w:val="24"/>
          <w:lang w:val="en-US" w:eastAsia="en-US"/>
        </w:rPr>
        <w:t>.</w:t>
      </w:r>
    </w:p>
    <w:p w14:paraId="269D423A"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Colliver, B., </w:t>
      </w:r>
      <w:r w:rsidRPr="000E3D83">
        <w:rPr>
          <w:rFonts w:eastAsiaTheme="minorHAnsi"/>
          <w:sz w:val="24"/>
          <w:szCs w:val="24"/>
          <w:lang w:val="en-US" w:eastAsia="en-US"/>
        </w:rPr>
        <w:t>(</w:t>
      </w:r>
      <w:r w:rsidRPr="00BD64BB">
        <w:rPr>
          <w:rFonts w:eastAsiaTheme="minorHAnsi"/>
          <w:sz w:val="24"/>
          <w:szCs w:val="24"/>
          <w:lang w:val="en-US" w:eastAsia="en-US"/>
        </w:rPr>
        <w:t>2021</w:t>
      </w:r>
      <w:r w:rsidRPr="000E3D83">
        <w:rPr>
          <w:rFonts w:eastAsiaTheme="minorHAnsi"/>
          <w:sz w:val="24"/>
          <w:szCs w:val="24"/>
          <w:lang w:val="en-US" w:eastAsia="en-US"/>
        </w:rPr>
        <w:t>)</w:t>
      </w:r>
      <w:r w:rsidRPr="00BD64BB">
        <w:rPr>
          <w:rFonts w:eastAsiaTheme="minorHAnsi"/>
          <w:sz w:val="24"/>
          <w:szCs w:val="24"/>
          <w:lang w:val="en-US" w:eastAsia="en-US"/>
        </w:rPr>
        <w:t>. </w:t>
      </w:r>
      <w:r w:rsidRPr="00BD64BB">
        <w:rPr>
          <w:rFonts w:eastAsiaTheme="minorHAnsi"/>
          <w:i/>
          <w:sz w:val="24"/>
          <w:szCs w:val="24"/>
          <w:lang w:val="en-US" w:eastAsia="en-US"/>
        </w:rPr>
        <w:t>Re-imagining hate crime: Transphobia, visibility and victimisation</w:t>
      </w:r>
      <w:r w:rsidRPr="00BD64BB">
        <w:rPr>
          <w:rFonts w:eastAsiaTheme="minorHAnsi"/>
          <w:sz w:val="24"/>
          <w:szCs w:val="24"/>
          <w:lang w:val="en-US" w:eastAsia="en-US"/>
        </w:rPr>
        <w:t>. Springer Nature.</w:t>
      </w:r>
    </w:p>
    <w:p w14:paraId="7A026476" w14:textId="77777777" w:rsidR="000E3D83" w:rsidRPr="000E3D83" w:rsidRDefault="000E3D83" w:rsidP="00515F84">
      <w:pPr>
        <w:spacing w:line="480" w:lineRule="auto"/>
        <w:ind w:left="720" w:hanging="720"/>
        <w:contextualSpacing/>
        <w:rPr>
          <w:sz w:val="24"/>
          <w:szCs w:val="24"/>
        </w:rPr>
      </w:pPr>
      <w:r w:rsidRPr="000E3D83">
        <w:rPr>
          <w:sz w:val="24"/>
          <w:szCs w:val="24"/>
        </w:rPr>
        <w:t xml:space="preserve">Crown Prosecution Service (CPS). (2022). Hate Crime: What it is and How to Support Victims and Witnesses. [Online] Available at: </w:t>
      </w:r>
      <w:hyperlink r:id="rId6" w:tgtFrame="_new" w:history="1">
        <w:r w:rsidRPr="000E3D83">
          <w:rPr>
            <w:rStyle w:val="Hyperlink"/>
            <w:sz w:val="24"/>
            <w:szCs w:val="24"/>
          </w:rPr>
          <w:t>https://www.cps.gov.uk/sites/default/files/documents/publications/Hate-Crime-what-it-is-and-how-to-support-victims-and-witnesses.pdf</w:t>
        </w:r>
      </w:hyperlink>
      <w:r w:rsidRPr="000E3D83">
        <w:rPr>
          <w:sz w:val="24"/>
          <w:szCs w:val="24"/>
        </w:rPr>
        <w:t xml:space="preserve"> (Accessed: 6 January 2024).</w:t>
      </w:r>
    </w:p>
    <w:p w14:paraId="48D50850" w14:textId="77777777" w:rsidR="000E3D83" w:rsidRPr="000E3D83" w:rsidRDefault="000E3D83" w:rsidP="001F6E36">
      <w:pPr>
        <w:pStyle w:val="NormalWeb"/>
        <w:ind w:left="567" w:hanging="567"/>
      </w:pPr>
      <w:r w:rsidRPr="000E3D83">
        <w:t xml:space="preserve">Crown Prosecution Service., (2022) </w:t>
      </w:r>
      <w:r w:rsidRPr="000E3D83">
        <w:rPr>
          <w:i/>
          <w:iCs/>
        </w:rPr>
        <w:t>Disability Hate Crime and other crimes against disabled people - prosecution guidance</w:t>
      </w:r>
      <w:r w:rsidRPr="000E3D83">
        <w:t xml:space="preserve">. England: CPS. </w:t>
      </w:r>
    </w:p>
    <w:p w14:paraId="2FACD23C" w14:textId="77777777" w:rsidR="000E3D83" w:rsidRPr="000E3D83" w:rsidRDefault="000E3D83" w:rsidP="00515F84">
      <w:pPr>
        <w:spacing w:line="480" w:lineRule="auto"/>
        <w:ind w:left="720" w:hanging="720"/>
        <w:contextualSpacing/>
        <w:rPr>
          <w:sz w:val="24"/>
          <w:szCs w:val="24"/>
        </w:rPr>
      </w:pPr>
      <w:r w:rsidRPr="000E3D83">
        <w:rPr>
          <w:sz w:val="24"/>
          <w:szCs w:val="24"/>
        </w:rPr>
        <w:t>Díaz-Faes, D.A., and Pereda, N., (2022). Is there such a thing as a hate crime paradigm? An integrative review of bias-motivated violent victimization and offending, its effects and underlying mechanisms. </w:t>
      </w:r>
      <w:r w:rsidRPr="000E3D83">
        <w:rPr>
          <w:i/>
          <w:iCs/>
          <w:sz w:val="24"/>
          <w:szCs w:val="24"/>
        </w:rPr>
        <w:t>Trauma, Violence, &amp; Abuse</w:t>
      </w:r>
      <w:r w:rsidRPr="000E3D83">
        <w:rPr>
          <w:sz w:val="24"/>
          <w:szCs w:val="24"/>
        </w:rPr>
        <w:t>, </w:t>
      </w:r>
      <w:r w:rsidRPr="000E3D83">
        <w:rPr>
          <w:i/>
          <w:iCs/>
          <w:sz w:val="24"/>
          <w:szCs w:val="24"/>
        </w:rPr>
        <w:t>23</w:t>
      </w:r>
      <w:r w:rsidRPr="000E3D83">
        <w:rPr>
          <w:sz w:val="24"/>
          <w:szCs w:val="24"/>
        </w:rPr>
        <w:t>(3), pp.938-952.</w:t>
      </w:r>
    </w:p>
    <w:p w14:paraId="140A143A"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Downes, D.</w:t>
      </w:r>
      <w:r w:rsidRPr="000E3D83">
        <w:rPr>
          <w:rFonts w:eastAsiaTheme="minorHAnsi"/>
          <w:sz w:val="24"/>
          <w:szCs w:val="24"/>
          <w:lang w:val="en-US" w:eastAsia="en-US"/>
        </w:rPr>
        <w:t>,</w:t>
      </w:r>
      <w:r w:rsidRPr="00BD64BB">
        <w:rPr>
          <w:rFonts w:eastAsiaTheme="minorHAnsi"/>
          <w:sz w:val="24"/>
          <w:szCs w:val="24"/>
          <w:lang w:val="en-US" w:eastAsia="en-US"/>
        </w:rPr>
        <w:t xml:space="preserve"> and Newburn, T., </w:t>
      </w:r>
      <w:r w:rsidRPr="000E3D83">
        <w:rPr>
          <w:rFonts w:eastAsiaTheme="minorHAnsi"/>
          <w:sz w:val="24"/>
          <w:szCs w:val="24"/>
          <w:lang w:val="en-US" w:eastAsia="en-US"/>
        </w:rPr>
        <w:t>(</w:t>
      </w:r>
      <w:r w:rsidRPr="00BD64BB">
        <w:rPr>
          <w:rFonts w:eastAsiaTheme="minorHAnsi"/>
          <w:sz w:val="24"/>
          <w:szCs w:val="24"/>
          <w:lang w:val="en-US" w:eastAsia="en-US"/>
        </w:rPr>
        <w:t>2022</w:t>
      </w:r>
      <w:r w:rsidRPr="000E3D83">
        <w:rPr>
          <w:rFonts w:eastAsiaTheme="minorHAnsi"/>
          <w:sz w:val="24"/>
          <w:szCs w:val="24"/>
          <w:lang w:val="en-US" w:eastAsia="en-US"/>
        </w:rPr>
        <w:t>)</w:t>
      </w:r>
      <w:r w:rsidRPr="00BD64BB">
        <w:rPr>
          <w:rFonts w:eastAsiaTheme="minorHAnsi"/>
          <w:sz w:val="24"/>
          <w:szCs w:val="24"/>
          <w:lang w:val="en-US" w:eastAsia="en-US"/>
        </w:rPr>
        <w:t>. </w:t>
      </w:r>
      <w:r w:rsidRPr="00BD64BB">
        <w:rPr>
          <w:rFonts w:eastAsiaTheme="minorHAnsi"/>
          <w:i/>
          <w:iCs/>
          <w:sz w:val="24"/>
          <w:szCs w:val="24"/>
          <w:lang w:val="en-US" w:eastAsia="en-US"/>
        </w:rPr>
        <w:t>The Official History of Criminal Justice in England and Wales: Volume IV: The Politics of Law and Order</w:t>
      </w:r>
      <w:r w:rsidRPr="00BD64BB">
        <w:rPr>
          <w:rFonts w:eastAsiaTheme="minorHAnsi"/>
          <w:sz w:val="24"/>
          <w:szCs w:val="24"/>
          <w:lang w:val="en-US" w:eastAsia="en-US"/>
        </w:rPr>
        <w:t>. Taylor &amp; Francis.</w:t>
      </w:r>
    </w:p>
    <w:p w14:paraId="61B6B309" w14:textId="77777777" w:rsidR="000E3D83" w:rsidRPr="000E3D83" w:rsidRDefault="000E3D83" w:rsidP="00515F84">
      <w:pPr>
        <w:spacing w:line="480" w:lineRule="auto"/>
        <w:ind w:left="720" w:hanging="720"/>
        <w:contextualSpacing/>
        <w:rPr>
          <w:sz w:val="24"/>
          <w:szCs w:val="24"/>
        </w:rPr>
      </w:pPr>
      <w:r w:rsidRPr="000E3D83">
        <w:rPr>
          <w:sz w:val="24"/>
          <w:szCs w:val="24"/>
        </w:rPr>
        <w:t xml:space="preserve">Gradoń, K., 2020. Crime during the plague: Fake news pandemic and the law-enforcement and intelligence community challenges. </w:t>
      </w:r>
      <w:r w:rsidRPr="000E3D83">
        <w:rPr>
          <w:i/>
          <w:iCs/>
          <w:sz w:val="24"/>
          <w:szCs w:val="24"/>
        </w:rPr>
        <w:t>Society Register</w:t>
      </w:r>
      <w:r w:rsidRPr="000E3D83">
        <w:rPr>
          <w:sz w:val="24"/>
          <w:szCs w:val="24"/>
        </w:rPr>
        <w:t>, </w:t>
      </w:r>
      <w:r w:rsidRPr="000E3D83">
        <w:rPr>
          <w:i/>
          <w:iCs/>
          <w:sz w:val="24"/>
          <w:szCs w:val="24"/>
        </w:rPr>
        <w:t>4</w:t>
      </w:r>
      <w:r w:rsidRPr="000E3D83">
        <w:rPr>
          <w:sz w:val="24"/>
          <w:szCs w:val="24"/>
        </w:rPr>
        <w:t>(2), pp.133-148.</w:t>
      </w:r>
    </w:p>
    <w:p w14:paraId="38FF426D" w14:textId="77777777" w:rsidR="000E3D83" w:rsidRPr="000E3D83" w:rsidRDefault="000E3D83" w:rsidP="00515F84">
      <w:pPr>
        <w:spacing w:line="480" w:lineRule="auto"/>
        <w:ind w:left="720" w:hanging="720"/>
        <w:contextualSpacing/>
        <w:rPr>
          <w:sz w:val="24"/>
          <w:szCs w:val="24"/>
        </w:rPr>
      </w:pPr>
      <w:r w:rsidRPr="000E3D83">
        <w:rPr>
          <w:sz w:val="24"/>
          <w:szCs w:val="24"/>
        </w:rPr>
        <w:t>Hambly, O., Rixom, J., Singh, S. and Wedlake-James, T., 2018. </w:t>
      </w:r>
      <w:r w:rsidRPr="000E3D83">
        <w:rPr>
          <w:i/>
          <w:iCs/>
          <w:sz w:val="24"/>
          <w:szCs w:val="24"/>
        </w:rPr>
        <w:t>Hate crime: a thematic review of the current evidence</w:t>
      </w:r>
      <w:r w:rsidRPr="000E3D83">
        <w:rPr>
          <w:sz w:val="24"/>
          <w:szCs w:val="24"/>
        </w:rPr>
        <w:t>. Home Office.</w:t>
      </w:r>
    </w:p>
    <w:p w14:paraId="33A4277D" w14:textId="77777777" w:rsidR="000E3D83" w:rsidRPr="000E3D83" w:rsidRDefault="000E3D83" w:rsidP="00515F84">
      <w:pPr>
        <w:spacing w:line="480" w:lineRule="auto"/>
        <w:ind w:left="720" w:hanging="720"/>
        <w:contextualSpacing/>
        <w:rPr>
          <w:sz w:val="24"/>
          <w:szCs w:val="24"/>
        </w:rPr>
      </w:pPr>
      <w:r w:rsidRPr="000E3D83">
        <w:rPr>
          <w:sz w:val="24"/>
          <w:szCs w:val="24"/>
        </w:rPr>
        <w:t>Hardy, S.J., Chakraborti, N. and Cuko, I., 2020. MORE THAN A TICK-BOX? THE ROLE OF TRAINING IN IMPROVING POLICE RESPONSES TO HATE CRIME. </w:t>
      </w:r>
      <w:r w:rsidRPr="000E3D83">
        <w:rPr>
          <w:i/>
          <w:iCs/>
          <w:sz w:val="24"/>
          <w:szCs w:val="24"/>
        </w:rPr>
        <w:t>British Journal of Community Justice</w:t>
      </w:r>
      <w:r w:rsidRPr="000E3D83">
        <w:rPr>
          <w:sz w:val="24"/>
          <w:szCs w:val="24"/>
        </w:rPr>
        <w:t>, </w:t>
      </w:r>
      <w:r w:rsidRPr="000E3D83">
        <w:rPr>
          <w:i/>
          <w:iCs/>
          <w:sz w:val="24"/>
          <w:szCs w:val="24"/>
        </w:rPr>
        <w:t>16</w:t>
      </w:r>
      <w:r w:rsidRPr="000E3D83">
        <w:rPr>
          <w:sz w:val="24"/>
          <w:szCs w:val="24"/>
        </w:rPr>
        <w:t>(1).</w:t>
      </w:r>
    </w:p>
    <w:p w14:paraId="3B8BC2B9"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0E3D83">
        <w:rPr>
          <w:rFonts w:eastAsiaTheme="minorHAnsi"/>
          <w:sz w:val="24"/>
          <w:szCs w:val="24"/>
          <w:lang w:val="en-US" w:eastAsia="en-US"/>
        </w:rPr>
        <w:t>HM</w:t>
      </w:r>
      <w:r w:rsidRPr="00BD64BB">
        <w:rPr>
          <w:rFonts w:eastAsiaTheme="minorHAnsi"/>
          <w:sz w:val="24"/>
          <w:szCs w:val="24"/>
          <w:lang w:val="en-US" w:eastAsia="en-US"/>
        </w:rPr>
        <w:t xml:space="preserve"> Government</w:t>
      </w:r>
      <w:r w:rsidRPr="000E3D83">
        <w:rPr>
          <w:rFonts w:eastAsiaTheme="minorHAnsi"/>
          <w:sz w:val="24"/>
          <w:szCs w:val="24"/>
          <w:lang w:val="en-US" w:eastAsia="en-US"/>
        </w:rPr>
        <w:t>.</w:t>
      </w:r>
      <w:r w:rsidRPr="00BD64BB">
        <w:rPr>
          <w:rFonts w:eastAsiaTheme="minorHAnsi"/>
          <w:sz w:val="24"/>
          <w:szCs w:val="24"/>
          <w:lang w:val="en-US" w:eastAsia="en-US"/>
        </w:rPr>
        <w:t xml:space="preserve">, </w:t>
      </w:r>
      <w:r w:rsidRPr="000E3D83">
        <w:rPr>
          <w:rFonts w:eastAsiaTheme="minorHAnsi"/>
          <w:sz w:val="24"/>
          <w:szCs w:val="24"/>
          <w:lang w:val="en-US" w:eastAsia="en-US"/>
        </w:rPr>
        <w:t>(</w:t>
      </w:r>
      <w:r w:rsidRPr="00BD64BB">
        <w:rPr>
          <w:rFonts w:eastAsiaTheme="minorHAnsi"/>
          <w:sz w:val="24"/>
          <w:szCs w:val="24"/>
          <w:lang w:val="en-US" w:eastAsia="en-US"/>
        </w:rPr>
        <w:t>2018</w:t>
      </w:r>
      <w:r w:rsidRPr="000E3D83">
        <w:rPr>
          <w:rFonts w:eastAsiaTheme="minorHAnsi"/>
          <w:sz w:val="24"/>
          <w:szCs w:val="24"/>
          <w:lang w:val="en-US" w:eastAsia="en-US"/>
        </w:rPr>
        <w:t>)</w:t>
      </w:r>
      <w:r w:rsidRPr="00BD64BB">
        <w:rPr>
          <w:rFonts w:eastAsiaTheme="minorHAnsi"/>
          <w:sz w:val="24"/>
          <w:szCs w:val="24"/>
          <w:lang w:val="en-US" w:eastAsia="en-US"/>
        </w:rPr>
        <w:t xml:space="preserve">. </w:t>
      </w:r>
      <w:r w:rsidRPr="00BD64BB">
        <w:rPr>
          <w:rFonts w:eastAsiaTheme="minorHAnsi"/>
          <w:i/>
          <w:sz w:val="24"/>
          <w:szCs w:val="24"/>
          <w:lang w:val="en-US" w:eastAsia="en-US"/>
        </w:rPr>
        <w:t>Hate Crime Action Plan Progress Report.</w:t>
      </w:r>
      <w:r w:rsidRPr="00BD64BB">
        <w:rPr>
          <w:rFonts w:eastAsiaTheme="minorHAnsi"/>
          <w:sz w:val="24"/>
          <w:szCs w:val="24"/>
          <w:lang w:val="en-US" w:eastAsia="en-US"/>
        </w:rPr>
        <w:t xml:space="preserve"> [Online] Available at: </w:t>
      </w:r>
      <w:hyperlink r:id="rId7" w:history="1">
        <w:r w:rsidRPr="00BD64BB">
          <w:rPr>
            <w:rFonts w:eastAsiaTheme="minorHAnsi"/>
            <w:color w:val="0563C1" w:themeColor="hyperlink"/>
            <w:sz w:val="24"/>
            <w:szCs w:val="24"/>
            <w:u w:val="single"/>
            <w:lang w:val="en-US" w:eastAsia="en-US"/>
          </w:rPr>
          <w:t>https://assets.publishing.service.gov.uk/media/5a7ec42240f0b6230268b67b/HateCrimeActionPlanProgressReport.pdf</w:t>
        </w:r>
      </w:hyperlink>
      <w:r w:rsidRPr="00BD64BB">
        <w:rPr>
          <w:rFonts w:eastAsiaTheme="minorHAnsi"/>
          <w:sz w:val="24"/>
          <w:szCs w:val="24"/>
          <w:lang w:val="en-US" w:eastAsia="en-US"/>
        </w:rPr>
        <w:t xml:space="preserve"> (Accessed: 6 January 2024). </w:t>
      </w:r>
    </w:p>
    <w:p w14:paraId="7BBA04A7"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HMICFRS., </w:t>
      </w:r>
      <w:r w:rsidRPr="000E3D83">
        <w:rPr>
          <w:rFonts w:eastAsiaTheme="minorHAnsi"/>
          <w:sz w:val="24"/>
          <w:szCs w:val="24"/>
          <w:lang w:val="en-US" w:eastAsia="en-US"/>
        </w:rPr>
        <w:t>(</w:t>
      </w:r>
      <w:r w:rsidRPr="00BD64BB">
        <w:rPr>
          <w:rFonts w:eastAsiaTheme="minorHAnsi"/>
          <w:sz w:val="24"/>
          <w:szCs w:val="24"/>
          <w:lang w:val="en-US" w:eastAsia="en-US"/>
        </w:rPr>
        <w:t>2018</w:t>
      </w:r>
      <w:r w:rsidRPr="000E3D83">
        <w:rPr>
          <w:rFonts w:eastAsiaTheme="minorHAnsi"/>
          <w:sz w:val="24"/>
          <w:szCs w:val="24"/>
          <w:lang w:val="en-US" w:eastAsia="en-US"/>
        </w:rPr>
        <w:t>)</w:t>
      </w:r>
      <w:r w:rsidRPr="00BD64BB">
        <w:rPr>
          <w:rFonts w:eastAsiaTheme="minorHAnsi"/>
          <w:sz w:val="24"/>
          <w:szCs w:val="24"/>
          <w:lang w:val="en-US" w:eastAsia="en-US"/>
        </w:rPr>
        <w:t xml:space="preserve">. </w:t>
      </w:r>
      <w:r w:rsidRPr="00BD64BB">
        <w:rPr>
          <w:rFonts w:eastAsiaTheme="minorHAnsi"/>
          <w:i/>
          <w:sz w:val="24"/>
          <w:szCs w:val="24"/>
          <w:lang w:val="en-US" w:eastAsia="en-US"/>
        </w:rPr>
        <w:t>Understanding the Difference: The Initial Police Response to Hate Crime.</w:t>
      </w:r>
      <w:r w:rsidRPr="00BD64BB">
        <w:rPr>
          <w:rFonts w:eastAsiaTheme="minorHAnsi"/>
          <w:sz w:val="24"/>
          <w:szCs w:val="24"/>
          <w:lang w:val="en-US" w:eastAsia="en-US"/>
        </w:rPr>
        <w:t xml:space="preserve"> </w:t>
      </w:r>
      <w:hyperlink r:id="rId8" w:history="1">
        <w:r w:rsidRPr="00BD64BB">
          <w:rPr>
            <w:rFonts w:eastAsiaTheme="minorHAnsi"/>
            <w:color w:val="0563C1" w:themeColor="hyperlink"/>
            <w:sz w:val="24"/>
            <w:szCs w:val="24"/>
            <w:u w:val="single"/>
            <w:lang w:val="en-US" w:eastAsia="en-US"/>
          </w:rPr>
          <w:t>https://assets-hmicfrs.justiceinspectorates.gov.uk/uploads/understanding-the-difference-the-initial-police-response-to-hate-crime.pdf</w:t>
        </w:r>
      </w:hyperlink>
    </w:p>
    <w:p w14:paraId="2A516584" w14:textId="77777777" w:rsidR="000E3D83" w:rsidRPr="000E3D83" w:rsidRDefault="000E3D83" w:rsidP="00515F84">
      <w:pPr>
        <w:spacing w:line="480" w:lineRule="auto"/>
        <w:ind w:left="720" w:hanging="720"/>
        <w:contextualSpacing/>
        <w:rPr>
          <w:sz w:val="24"/>
          <w:szCs w:val="24"/>
        </w:rPr>
      </w:pPr>
      <w:r w:rsidRPr="000E3D83">
        <w:rPr>
          <w:sz w:val="24"/>
          <w:szCs w:val="24"/>
        </w:rPr>
        <w:t xml:space="preserve">Home Office., (2020). Successes and Challenges. [Online] Available at: </w:t>
      </w:r>
      <w:hyperlink r:id="rId9" w:tgtFrame="_new" w:history="1">
        <w:r w:rsidRPr="000E3D83">
          <w:rPr>
            <w:rStyle w:val="Hyperlink"/>
            <w:sz w:val="24"/>
            <w:szCs w:val="24"/>
          </w:rPr>
          <w:t>https://assets.publishing.service.gov.uk/media/5e6b8adf86650c72748487ab/successes-and-challenges-horr115.pdf</w:t>
        </w:r>
      </w:hyperlink>
      <w:r w:rsidRPr="000E3D83">
        <w:rPr>
          <w:sz w:val="24"/>
          <w:szCs w:val="24"/>
        </w:rPr>
        <w:t xml:space="preserve"> (Accessed: 6 January 2024).</w:t>
      </w:r>
    </w:p>
    <w:p w14:paraId="0FB053B2"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Iwama, J.A., </w:t>
      </w:r>
      <w:r w:rsidRPr="000E3D83">
        <w:rPr>
          <w:rFonts w:eastAsiaTheme="minorHAnsi"/>
          <w:sz w:val="24"/>
          <w:szCs w:val="24"/>
          <w:lang w:val="en-US" w:eastAsia="en-US"/>
        </w:rPr>
        <w:t>(</w:t>
      </w:r>
      <w:r w:rsidRPr="00BD64BB">
        <w:rPr>
          <w:rFonts w:eastAsiaTheme="minorHAnsi"/>
          <w:sz w:val="24"/>
          <w:szCs w:val="24"/>
          <w:lang w:val="en-US" w:eastAsia="en-US"/>
        </w:rPr>
        <w:t>2018</w:t>
      </w:r>
      <w:r w:rsidRPr="000E3D83">
        <w:rPr>
          <w:rFonts w:eastAsiaTheme="minorHAnsi"/>
          <w:sz w:val="24"/>
          <w:szCs w:val="24"/>
          <w:lang w:val="en-US" w:eastAsia="en-US"/>
        </w:rPr>
        <w:t>)</w:t>
      </w:r>
      <w:r w:rsidRPr="00BD64BB">
        <w:rPr>
          <w:rFonts w:eastAsiaTheme="minorHAnsi"/>
          <w:sz w:val="24"/>
          <w:szCs w:val="24"/>
          <w:lang w:val="en-US" w:eastAsia="en-US"/>
        </w:rPr>
        <w:t>. Hate Crime Research in the Twenty‐First Century. </w:t>
      </w:r>
      <w:r w:rsidRPr="00BD64BB">
        <w:rPr>
          <w:rFonts w:eastAsiaTheme="minorHAnsi"/>
          <w:i/>
          <w:iCs/>
          <w:sz w:val="24"/>
          <w:szCs w:val="24"/>
          <w:lang w:val="en-US" w:eastAsia="en-US"/>
        </w:rPr>
        <w:t>The Handbook of Race, Ethnicity, Crime, and Justice</w:t>
      </w:r>
      <w:r w:rsidRPr="00BD64BB">
        <w:rPr>
          <w:rFonts w:eastAsiaTheme="minorHAnsi"/>
          <w:sz w:val="24"/>
          <w:szCs w:val="24"/>
          <w:lang w:val="en-US" w:eastAsia="en-US"/>
        </w:rPr>
        <w:t>, pp.87-104.</w:t>
      </w:r>
    </w:p>
    <w:p w14:paraId="7A8785DD" w14:textId="77777777" w:rsidR="000E3D83" w:rsidRPr="000E3D83" w:rsidRDefault="000E3D83" w:rsidP="00515F84">
      <w:pPr>
        <w:spacing w:line="480" w:lineRule="auto"/>
        <w:ind w:left="720" w:hanging="720"/>
        <w:contextualSpacing/>
        <w:rPr>
          <w:sz w:val="24"/>
          <w:szCs w:val="24"/>
        </w:rPr>
      </w:pPr>
      <w:r w:rsidRPr="000E3D83">
        <w:rPr>
          <w:sz w:val="24"/>
          <w:szCs w:val="24"/>
        </w:rPr>
        <w:t>Khan, N., Korac‐Kakabadse, N., Skouloudis, A. and Dimopoulos, A., (2019). Diversity in the workplace: An overview of disability employment disclosures among UK firms. </w:t>
      </w:r>
      <w:r w:rsidRPr="000E3D83">
        <w:rPr>
          <w:i/>
          <w:iCs/>
          <w:sz w:val="24"/>
          <w:szCs w:val="24"/>
        </w:rPr>
        <w:t>Corporate Social Responsibility and Environmental Management</w:t>
      </w:r>
      <w:r w:rsidRPr="000E3D83">
        <w:rPr>
          <w:sz w:val="24"/>
          <w:szCs w:val="24"/>
        </w:rPr>
        <w:t>, </w:t>
      </w:r>
      <w:r w:rsidRPr="000E3D83">
        <w:rPr>
          <w:i/>
          <w:iCs/>
          <w:sz w:val="24"/>
          <w:szCs w:val="24"/>
        </w:rPr>
        <w:t>26</w:t>
      </w:r>
      <w:r w:rsidRPr="000E3D83">
        <w:rPr>
          <w:sz w:val="24"/>
          <w:szCs w:val="24"/>
        </w:rPr>
        <w:t>(1), pp.170-185.</w:t>
      </w:r>
    </w:p>
    <w:p w14:paraId="3C2763F3" w14:textId="77777777" w:rsidR="000E3D83" w:rsidRPr="000E3D83" w:rsidRDefault="000E3D83" w:rsidP="00515F84">
      <w:pPr>
        <w:pStyle w:val="NormalWeb"/>
        <w:spacing w:before="0" w:beforeAutospacing="0" w:after="0" w:afterAutospacing="0" w:line="480" w:lineRule="auto"/>
        <w:ind w:left="720" w:hanging="720"/>
        <w:contextualSpacing/>
        <w:rPr>
          <w:color w:val="000000"/>
        </w:rPr>
      </w:pPr>
      <w:r w:rsidRPr="000E3D83">
        <w:rPr>
          <w:color w:val="000000"/>
        </w:rPr>
        <w:t>Laverick, W., and Joyce, N.P., (2020). Reinterpreting the UK response to hate crime. </w:t>
      </w:r>
      <w:r w:rsidRPr="000E3D83">
        <w:rPr>
          <w:i/>
          <w:iCs/>
          <w:color w:val="000000"/>
        </w:rPr>
        <w:t>British Journal of Community Justice</w:t>
      </w:r>
      <w:r w:rsidRPr="000E3D83">
        <w:rPr>
          <w:color w:val="000000"/>
        </w:rPr>
        <w:t>, </w:t>
      </w:r>
      <w:r w:rsidRPr="000E3D83">
        <w:rPr>
          <w:i/>
          <w:iCs/>
          <w:color w:val="000000"/>
        </w:rPr>
        <w:t>16</w:t>
      </w:r>
      <w:r w:rsidRPr="000E3D83">
        <w:rPr>
          <w:color w:val="000000"/>
        </w:rPr>
        <w:t>(1), pp.82-102.</w:t>
      </w:r>
    </w:p>
    <w:p w14:paraId="4E323413" w14:textId="77777777" w:rsidR="000E3D83" w:rsidRPr="000E3D83" w:rsidRDefault="000E3D83" w:rsidP="000664B0">
      <w:pPr>
        <w:pStyle w:val="NormalWeb"/>
        <w:ind w:left="567" w:hanging="567"/>
      </w:pPr>
      <w:r w:rsidRPr="000E3D83">
        <w:t xml:space="preserve">Law Commission., (2023) </w:t>
      </w:r>
      <w:r w:rsidRPr="000E3D83">
        <w:rPr>
          <w:i/>
          <w:iCs/>
        </w:rPr>
        <w:t>Hate crime</w:t>
      </w:r>
      <w:r w:rsidRPr="000E3D83">
        <w:t xml:space="preserve">, </w:t>
      </w:r>
      <w:r w:rsidRPr="000E3D83">
        <w:rPr>
          <w:i/>
          <w:iCs/>
        </w:rPr>
        <w:t>Hate Crime Project</w:t>
      </w:r>
      <w:r w:rsidRPr="000E3D83">
        <w:t xml:space="preserve">. Available at: &lt;// </w:t>
      </w:r>
      <w:hyperlink r:id="rId10" w:history="1">
        <w:r w:rsidRPr="000E3D83">
          <w:rPr>
            <w:rStyle w:val="Hyperlink"/>
          </w:rPr>
          <w:t>https://lawcom.gov.uk/project/hate-crime//</w:t>
        </w:r>
      </w:hyperlink>
      <w:r w:rsidRPr="000E3D83">
        <w:t xml:space="preserve"> &gt; (Accessed: 9 January 2024). </w:t>
      </w:r>
    </w:p>
    <w:p w14:paraId="77048BB9" w14:textId="77777777" w:rsidR="000E3D83" w:rsidRPr="000E3D83" w:rsidRDefault="000E3D83" w:rsidP="00515F84">
      <w:pPr>
        <w:spacing w:line="480" w:lineRule="auto"/>
        <w:ind w:left="720" w:hanging="720"/>
        <w:contextualSpacing/>
        <w:rPr>
          <w:sz w:val="24"/>
          <w:szCs w:val="24"/>
        </w:rPr>
      </w:pPr>
      <w:r w:rsidRPr="000E3D83">
        <w:rPr>
          <w:sz w:val="24"/>
          <w:szCs w:val="24"/>
        </w:rPr>
        <w:t>Mawby, R.C. and Zempi, I., (2018). Police officers’ experiences as victims of hate crime. </w:t>
      </w:r>
      <w:r w:rsidRPr="000E3D83">
        <w:rPr>
          <w:i/>
          <w:iCs/>
          <w:sz w:val="24"/>
          <w:szCs w:val="24"/>
        </w:rPr>
        <w:t>Policing: An International Journal</w:t>
      </w:r>
      <w:r w:rsidRPr="000E3D83">
        <w:rPr>
          <w:sz w:val="24"/>
          <w:szCs w:val="24"/>
        </w:rPr>
        <w:t>, </w:t>
      </w:r>
      <w:r w:rsidRPr="000E3D83">
        <w:rPr>
          <w:i/>
          <w:iCs/>
          <w:sz w:val="24"/>
          <w:szCs w:val="24"/>
        </w:rPr>
        <w:t>41</w:t>
      </w:r>
      <w:r w:rsidRPr="000E3D83">
        <w:rPr>
          <w:sz w:val="24"/>
          <w:szCs w:val="24"/>
        </w:rPr>
        <w:t>(5), pp.526-538.</w:t>
      </w:r>
    </w:p>
    <w:p w14:paraId="04713BB6"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Mazerolle, L. and Ransley, J., </w:t>
      </w:r>
      <w:r w:rsidRPr="000E3D83">
        <w:rPr>
          <w:rFonts w:eastAsiaTheme="minorHAnsi"/>
          <w:sz w:val="24"/>
          <w:szCs w:val="24"/>
          <w:lang w:val="en-US" w:eastAsia="en-US"/>
        </w:rPr>
        <w:t>(</w:t>
      </w:r>
      <w:r w:rsidRPr="00BD64BB">
        <w:rPr>
          <w:rFonts w:eastAsiaTheme="minorHAnsi"/>
          <w:sz w:val="24"/>
          <w:szCs w:val="24"/>
          <w:lang w:val="en-US" w:eastAsia="en-US"/>
        </w:rPr>
        <w:t>2019</w:t>
      </w:r>
      <w:r w:rsidRPr="000E3D83">
        <w:rPr>
          <w:rFonts w:eastAsiaTheme="minorHAnsi"/>
          <w:sz w:val="24"/>
          <w:szCs w:val="24"/>
          <w:lang w:val="en-US" w:eastAsia="en-US"/>
        </w:rPr>
        <w:t>)</w:t>
      </w:r>
      <w:r w:rsidRPr="00BD64BB">
        <w:rPr>
          <w:rFonts w:eastAsiaTheme="minorHAnsi"/>
          <w:sz w:val="24"/>
          <w:szCs w:val="24"/>
          <w:lang w:val="en-US" w:eastAsia="en-US"/>
        </w:rPr>
        <w:t>. Third-party policing. </w:t>
      </w:r>
      <w:r w:rsidRPr="00BD64BB">
        <w:rPr>
          <w:rFonts w:eastAsiaTheme="minorHAnsi"/>
          <w:i/>
          <w:iCs/>
          <w:sz w:val="24"/>
          <w:szCs w:val="24"/>
          <w:lang w:val="en-US" w:eastAsia="en-US"/>
        </w:rPr>
        <w:t>Police innovation: Contrasting perspectives</w:t>
      </w:r>
      <w:r w:rsidRPr="00BD64BB">
        <w:rPr>
          <w:rFonts w:eastAsiaTheme="minorHAnsi"/>
          <w:sz w:val="24"/>
          <w:szCs w:val="24"/>
          <w:lang w:val="en-US" w:eastAsia="en-US"/>
        </w:rPr>
        <w:t>, pp.347-365.</w:t>
      </w:r>
    </w:p>
    <w:p w14:paraId="070C6034" w14:textId="77777777" w:rsidR="000E3D83" w:rsidRPr="000E3D83" w:rsidRDefault="000E3D83" w:rsidP="00515F84">
      <w:pPr>
        <w:spacing w:line="480" w:lineRule="auto"/>
        <w:ind w:left="720" w:hanging="720"/>
        <w:contextualSpacing/>
        <w:rPr>
          <w:sz w:val="24"/>
          <w:szCs w:val="24"/>
        </w:rPr>
      </w:pPr>
      <w:r w:rsidRPr="000E3D83">
        <w:rPr>
          <w:sz w:val="24"/>
          <w:szCs w:val="24"/>
        </w:rPr>
        <w:t>Mazzilli, C., (2021). “The happiest city in England” Brighton’s narratives of diversity between “success stories” and sidelined issues. </w:t>
      </w:r>
      <w:r w:rsidRPr="000E3D83">
        <w:rPr>
          <w:i/>
          <w:iCs/>
          <w:sz w:val="24"/>
          <w:szCs w:val="24"/>
        </w:rPr>
        <w:t>Ethnic and Racial Studies</w:t>
      </w:r>
      <w:r w:rsidRPr="000E3D83">
        <w:rPr>
          <w:sz w:val="24"/>
          <w:szCs w:val="24"/>
        </w:rPr>
        <w:t>, </w:t>
      </w:r>
      <w:r w:rsidRPr="000E3D83">
        <w:rPr>
          <w:i/>
          <w:iCs/>
          <w:sz w:val="24"/>
          <w:szCs w:val="24"/>
        </w:rPr>
        <w:t>44</w:t>
      </w:r>
      <w:r w:rsidRPr="000E3D83">
        <w:rPr>
          <w:sz w:val="24"/>
          <w:szCs w:val="24"/>
        </w:rPr>
        <w:t>(11), pp.2074-2092.</w:t>
      </w:r>
    </w:p>
    <w:p w14:paraId="00D36F61"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McCann, W.S. and Boateng, F.D., </w:t>
      </w:r>
      <w:r w:rsidRPr="000E3D83">
        <w:rPr>
          <w:rFonts w:eastAsiaTheme="minorHAnsi"/>
          <w:sz w:val="24"/>
          <w:szCs w:val="24"/>
          <w:lang w:val="en-US" w:eastAsia="en-US"/>
        </w:rPr>
        <w:t>(</w:t>
      </w:r>
      <w:r w:rsidRPr="00BD64BB">
        <w:rPr>
          <w:rFonts w:eastAsiaTheme="minorHAnsi"/>
          <w:sz w:val="24"/>
          <w:szCs w:val="24"/>
          <w:lang w:val="en-US" w:eastAsia="en-US"/>
        </w:rPr>
        <w:t>2021</w:t>
      </w:r>
      <w:r w:rsidRPr="000E3D83">
        <w:rPr>
          <w:rFonts w:eastAsiaTheme="minorHAnsi"/>
          <w:sz w:val="24"/>
          <w:szCs w:val="24"/>
          <w:lang w:val="en-US" w:eastAsia="en-US"/>
        </w:rPr>
        <w:t>)</w:t>
      </w:r>
      <w:r w:rsidRPr="00BD64BB">
        <w:rPr>
          <w:rFonts w:eastAsiaTheme="minorHAnsi"/>
          <w:sz w:val="24"/>
          <w:szCs w:val="24"/>
          <w:lang w:val="en-US" w:eastAsia="en-US"/>
        </w:rPr>
        <w:t>. An analysis of hate crime victimization amongst immigrants. </w:t>
      </w:r>
      <w:r w:rsidRPr="00BD64BB">
        <w:rPr>
          <w:rFonts w:eastAsiaTheme="minorHAnsi"/>
          <w:i/>
          <w:iCs/>
          <w:sz w:val="24"/>
          <w:szCs w:val="24"/>
          <w:lang w:val="en-US" w:eastAsia="en-US"/>
        </w:rPr>
        <w:t>American journal of criminal justice</w:t>
      </w:r>
      <w:r w:rsidRPr="00BD64BB">
        <w:rPr>
          <w:rFonts w:eastAsiaTheme="minorHAnsi"/>
          <w:sz w:val="24"/>
          <w:szCs w:val="24"/>
          <w:lang w:val="en-US" w:eastAsia="en-US"/>
        </w:rPr>
        <w:t>, pp.1-23.</w:t>
      </w:r>
    </w:p>
    <w:p w14:paraId="4A649077" w14:textId="77777777" w:rsidR="000E3D83" w:rsidRPr="000E3D83" w:rsidRDefault="000E3D83" w:rsidP="00515F84">
      <w:pPr>
        <w:spacing w:line="480" w:lineRule="auto"/>
        <w:ind w:left="720" w:hanging="720"/>
        <w:contextualSpacing/>
        <w:rPr>
          <w:sz w:val="24"/>
          <w:szCs w:val="24"/>
        </w:rPr>
      </w:pPr>
      <w:r w:rsidRPr="000E3D83">
        <w:rPr>
          <w:sz w:val="24"/>
          <w:szCs w:val="24"/>
        </w:rPr>
        <w:t>McInerney, D.J., (2020). </w:t>
      </w:r>
      <w:r w:rsidRPr="000E3D83">
        <w:rPr>
          <w:i/>
          <w:iCs/>
          <w:sz w:val="24"/>
          <w:szCs w:val="24"/>
        </w:rPr>
        <w:t>The realities of policing diverse communities from minority and police perspectives</w:t>
      </w:r>
      <w:r w:rsidRPr="000E3D83">
        <w:rPr>
          <w:sz w:val="24"/>
          <w:szCs w:val="24"/>
        </w:rPr>
        <w:t>. Cambridge Scholars Publishing.</w:t>
      </w:r>
    </w:p>
    <w:p w14:paraId="0F06EFDD"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Miller, J., </w:t>
      </w:r>
      <w:r w:rsidRPr="000E3D83">
        <w:rPr>
          <w:rFonts w:eastAsiaTheme="minorHAnsi"/>
          <w:sz w:val="24"/>
          <w:szCs w:val="24"/>
          <w:lang w:val="en-US" w:eastAsia="en-US"/>
        </w:rPr>
        <w:t>(</w:t>
      </w:r>
      <w:r w:rsidRPr="00BD64BB">
        <w:rPr>
          <w:rFonts w:eastAsiaTheme="minorHAnsi"/>
          <w:sz w:val="24"/>
          <w:szCs w:val="24"/>
          <w:lang w:val="en-US" w:eastAsia="en-US"/>
        </w:rPr>
        <w:t>2019</w:t>
      </w:r>
      <w:r w:rsidRPr="000E3D83">
        <w:rPr>
          <w:rFonts w:eastAsiaTheme="minorHAnsi"/>
          <w:sz w:val="24"/>
          <w:szCs w:val="24"/>
          <w:lang w:val="en-US" w:eastAsia="en-US"/>
        </w:rPr>
        <w:t>)</w:t>
      </w:r>
      <w:r w:rsidRPr="00BD64BB">
        <w:rPr>
          <w:rFonts w:eastAsiaTheme="minorHAnsi"/>
          <w:sz w:val="24"/>
          <w:szCs w:val="24"/>
          <w:lang w:val="en-US" w:eastAsia="en-US"/>
        </w:rPr>
        <w:t>. </w:t>
      </w:r>
      <w:r w:rsidRPr="00BD64BB">
        <w:rPr>
          <w:rFonts w:eastAsiaTheme="minorHAnsi"/>
          <w:i/>
          <w:iCs/>
          <w:sz w:val="24"/>
          <w:szCs w:val="24"/>
          <w:lang w:val="en-US" w:eastAsia="en-US"/>
        </w:rPr>
        <w:t>Examining the Role of Capable Guardianship in Revictimization: A Test of Routine Activities Theory</w:t>
      </w:r>
      <w:r w:rsidRPr="00BD64BB">
        <w:rPr>
          <w:rFonts w:eastAsiaTheme="minorHAnsi"/>
          <w:sz w:val="24"/>
          <w:szCs w:val="24"/>
          <w:lang w:val="en-US" w:eastAsia="en-US"/>
        </w:rPr>
        <w:t> (Doctoral dissertation, Indiana University of Pennsylvania).</w:t>
      </w:r>
    </w:p>
    <w:p w14:paraId="182CACEE" w14:textId="77777777" w:rsidR="000E3D83" w:rsidRPr="000E3D83" w:rsidRDefault="000E3D83" w:rsidP="009D44F6">
      <w:pPr>
        <w:pStyle w:val="NormalWeb"/>
        <w:ind w:left="567" w:hanging="567"/>
      </w:pPr>
      <w:r w:rsidRPr="000E3D83">
        <w:t xml:space="preserve">Ministerial Foreword., (2023) </w:t>
      </w:r>
      <w:r w:rsidRPr="000E3D83">
        <w:rPr>
          <w:i/>
          <w:iCs/>
        </w:rPr>
        <w:t>Inclusive Britain update report</w:t>
      </w:r>
      <w:r w:rsidRPr="000E3D83">
        <w:t xml:space="preserve">, </w:t>
      </w:r>
      <w:r w:rsidRPr="000E3D83">
        <w:rPr>
          <w:i/>
          <w:iCs/>
        </w:rPr>
        <w:t>Corporate Report</w:t>
      </w:r>
      <w:r w:rsidRPr="000E3D83">
        <w:t xml:space="preserve">. Available Online at: &lt;// </w:t>
      </w:r>
      <w:hyperlink r:id="rId11" w:history="1">
        <w:r w:rsidRPr="000E3D83">
          <w:rPr>
            <w:rStyle w:val="Hyperlink"/>
          </w:rPr>
          <w:t>https://www.gov.uk/government/publications/inclusive-britain-update-report/inclusive-britain-update-report//</w:t>
        </w:r>
      </w:hyperlink>
      <w:r w:rsidRPr="000E3D83">
        <w:t xml:space="preserve"> &gt; (Accessed: 08 January 2024). </w:t>
      </w:r>
    </w:p>
    <w:p w14:paraId="04F2F06B" w14:textId="77777777" w:rsidR="000E3D83" w:rsidRPr="000E3D83" w:rsidRDefault="000E3D83" w:rsidP="00515F84">
      <w:pPr>
        <w:spacing w:line="480" w:lineRule="auto"/>
        <w:ind w:left="720" w:hanging="720"/>
        <w:contextualSpacing/>
        <w:rPr>
          <w:sz w:val="24"/>
          <w:szCs w:val="24"/>
        </w:rPr>
      </w:pPr>
      <w:r w:rsidRPr="000E3D83">
        <w:rPr>
          <w:sz w:val="24"/>
          <w:szCs w:val="24"/>
        </w:rPr>
        <w:t>Nkomo, S.M., Bell, M.P., Roberts, L.M., Joshi, A. and Thatcher, S.M., (2019). Diversity at a critical juncture: New theories for a complex phenomenon. </w:t>
      </w:r>
      <w:r w:rsidRPr="000E3D83">
        <w:rPr>
          <w:i/>
          <w:iCs/>
          <w:sz w:val="24"/>
          <w:szCs w:val="24"/>
        </w:rPr>
        <w:t>Academy of Management Review</w:t>
      </w:r>
      <w:r w:rsidRPr="000E3D83">
        <w:rPr>
          <w:sz w:val="24"/>
          <w:szCs w:val="24"/>
        </w:rPr>
        <w:t>, </w:t>
      </w:r>
      <w:r w:rsidRPr="000E3D83">
        <w:rPr>
          <w:i/>
          <w:iCs/>
          <w:sz w:val="24"/>
          <w:szCs w:val="24"/>
        </w:rPr>
        <w:t>44</w:t>
      </w:r>
      <w:r w:rsidRPr="000E3D83">
        <w:rPr>
          <w:sz w:val="24"/>
          <w:szCs w:val="24"/>
        </w:rPr>
        <w:t>(3), pp.498-517.</w:t>
      </w:r>
    </w:p>
    <w:p w14:paraId="76FDF70F"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Olsson, A., Knapska, E. and Lindström, B., </w:t>
      </w:r>
      <w:r w:rsidRPr="000E3D83">
        <w:rPr>
          <w:rFonts w:eastAsiaTheme="minorHAnsi"/>
          <w:sz w:val="24"/>
          <w:szCs w:val="24"/>
          <w:lang w:val="en-US" w:eastAsia="en-US"/>
        </w:rPr>
        <w:t>(</w:t>
      </w:r>
      <w:r w:rsidRPr="00BD64BB">
        <w:rPr>
          <w:rFonts w:eastAsiaTheme="minorHAnsi"/>
          <w:sz w:val="24"/>
          <w:szCs w:val="24"/>
          <w:lang w:val="en-US" w:eastAsia="en-US"/>
        </w:rPr>
        <w:t>2020</w:t>
      </w:r>
      <w:r w:rsidRPr="000E3D83">
        <w:rPr>
          <w:rFonts w:eastAsiaTheme="minorHAnsi"/>
          <w:sz w:val="24"/>
          <w:szCs w:val="24"/>
          <w:lang w:val="en-US" w:eastAsia="en-US"/>
        </w:rPr>
        <w:t>)</w:t>
      </w:r>
      <w:r w:rsidRPr="00BD64BB">
        <w:rPr>
          <w:rFonts w:eastAsiaTheme="minorHAnsi"/>
          <w:sz w:val="24"/>
          <w:szCs w:val="24"/>
          <w:lang w:val="en-US" w:eastAsia="en-US"/>
        </w:rPr>
        <w:t>. The neural and computational systems of social learning. </w:t>
      </w:r>
      <w:r w:rsidRPr="00BD64BB">
        <w:rPr>
          <w:rFonts w:eastAsiaTheme="minorHAnsi"/>
          <w:i/>
          <w:iCs/>
          <w:sz w:val="24"/>
          <w:szCs w:val="24"/>
          <w:lang w:val="en-US" w:eastAsia="en-US"/>
        </w:rPr>
        <w:t>Nature Reviews Neuroscience</w:t>
      </w:r>
      <w:r w:rsidRPr="00BD64BB">
        <w:rPr>
          <w:rFonts w:eastAsiaTheme="minorHAnsi"/>
          <w:sz w:val="24"/>
          <w:szCs w:val="24"/>
          <w:lang w:val="en-US" w:eastAsia="en-US"/>
        </w:rPr>
        <w:t>, </w:t>
      </w:r>
      <w:r w:rsidRPr="00BD64BB">
        <w:rPr>
          <w:rFonts w:eastAsiaTheme="minorHAnsi"/>
          <w:i/>
          <w:iCs/>
          <w:sz w:val="24"/>
          <w:szCs w:val="24"/>
          <w:lang w:val="en-US" w:eastAsia="en-US"/>
        </w:rPr>
        <w:t>21</w:t>
      </w:r>
      <w:r w:rsidRPr="00BD64BB">
        <w:rPr>
          <w:rFonts w:eastAsiaTheme="minorHAnsi"/>
          <w:sz w:val="24"/>
          <w:szCs w:val="24"/>
          <w:lang w:val="en-US" w:eastAsia="en-US"/>
        </w:rPr>
        <w:t>(4), pp.197-212.</w:t>
      </w:r>
    </w:p>
    <w:p w14:paraId="07FBF184" w14:textId="77777777" w:rsidR="000E3D83" w:rsidRPr="000E3D83" w:rsidRDefault="000E3D83" w:rsidP="00515F84">
      <w:pPr>
        <w:spacing w:line="480" w:lineRule="auto"/>
        <w:ind w:left="720" w:hanging="720"/>
        <w:contextualSpacing/>
        <w:rPr>
          <w:sz w:val="24"/>
          <w:szCs w:val="24"/>
        </w:rPr>
      </w:pPr>
      <w:r w:rsidRPr="000E3D83">
        <w:rPr>
          <w:sz w:val="24"/>
          <w:szCs w:val="24"/>
        </w:rPr>
        <w:t>Perry, B. and Samuels-Wortley, K., (2021). “We’re Not Where We Should Be”: Enhancing Law Enforcement Responses to Hate Crime. </w:t>
      </w:r>
      <w:r w:rsidRPr="000E3D83">
        <w:rPr>
          <w:i/>
          <w:iCs/>
          <w:sz w:val="24"/>
          <w:szCs w:val="24"/>
        </w:rPr>
        <w:t xml:space="preserve"> British Journal of Criminology and Criminal Justice</w:t>
      </w:r>
      <w:r w:rsidRPr="000E3D83">
        <w:rPr>
          <w:sz w:val="24"/>
          <w:szCs w:val="24"/>
        </w:rPr>
        <w:t>, </w:t>
      </w:r>
      <w:r w:rsidRPr="000E3D83">
        <w:rPr>
          <w:i/>
          <w:iCs/>
          <w:sz w:val="24"/>
          <w:szCs w:val="24"/>
        </w:rPr>
        <w:t>63</w:t>
      </w:r>
      <w:r w:rsidRPr="000E3D83">
        <w:rPr>
          <w:sz w:val="24"/>
          <w:szCs w:val="24"/>
        </w:rPr>
        <w:t>(2), pp.68-98.</w:t>
      </w:r>
    </w:p>
    <w:p w14:paraId="676CFA31"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Pullerits, M., Piggott, H., Turley, C., DeMarco, J., Ghezelayagh, S., Tann, J. and Wedlake-James, T., </w:t>
      </w:r>
      <w:r w:rsidRPr="000E3D83">
        <w:rPr>
          <w:rFonts w:eastAsiaTheme="minorHAnsi"/>
          <w:sz w:val="24"/>
          <w:szCs w:val="24"/>
          <w:lang w:val="en-US" w:eastAsia="en-US"/>
        </w:rPr>
        <w:t>(</w:t>
      </w:r>
      <w:r w:rsidRPr="00BD64BB">
        <w:rPr>
          <w:rFonts w:eastAsiaTheme="minorHAnsi"/>
          <w:sz w:val="24"/>
          <w:szCs w:val="24"/>
          <w:lang w:val="en-US" w:eastAsia="en-US"/>
        </w:rPr>
        <w:t>2020</w:t>
      </w:r>
      <w:r w:rsidRPr="000E3D83">
        <w:rPr>
          <w:rFonts w:eastAsiaTheme="minorHAnsi"/>
          <w:sz w:val="24"/>
          <w:szCs w:val="24"/>
          <w:lang w:val="en-US" w:eastAsia="en-US"/>
        </w:rPr>
        <w:t>)</w:t>
      </w:r>
      <w:r w:rsidRPr="00BD64BB">
        <w:rPr>
          <w:rFonts w:eastAsiaTheme="minorHAnsi"/>
          <w:sz w:val="24"/>
          <w:szCs w:val="24"/>
          <w:lang w:val="en-US" w:eastAsia="en-US"/>
        </w:rPr>
        <w:t xml:space="preserve">. </w:t>
      </w:r>
      <w:r w:rsidRPr="00BD64BB">
        <w:rPr>
          <w:rFonts w:eastAsiaTheme="minorHAnsi"/>
          <w:i/>
          <w:sz w:val="24"/>
          <w:szCs w:val="24"/>
          <w:lang w:val="en-US" w:eastAsia="en-US"/>
        </w:rPr>
        <w:t>Successes and challenges of delivering hate crime community projects.</w:t>
      </w:r>
      <w:r w:rsidRPr="00BD64BB">
        <w:rPr>
          <w:rFonts w:eastAsiaTheme="minorHAnsi"/>
          <w:sz w:val="24"/>
          <w:szCs w:val="24"/>
          <w:lang w:val="en-US" w:eastAsia="en-US"/>
        </w:rPr>
        <w:t xml:space="preserve"> </w:t>
      </w:r>
      <w:hyperlink r:id="rId12" w:history="1">
        <w:r w:rsidRPr="00BD64BB">
          <w:rPr>
            <w:rFonts w:eastAsiaTheme="minorHAnsi"/>
            <w:color w:val="0563C1" w:themeColor="hyperlink"/>
            <w:sz w:val="24"/>
            <w:szCs w:val="24"/>
            <w:u w:val="single"/>
            <w:lang w:val="en-US" w:eastAsia="en-US"/>
          </w:rPr>
          <w:t>https://www.cps.gov.uk/sites/default/files/documents/publications/Hate-Crime-what-it-is-and-how-to-support-victims-and-witnesses.pdf</w:t>
        </w:r>
      </w:hyperlink>
    </w:p>
    <w:p w14:paraId="5AC70E34"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Rotter, J.B., </w:t>
      </w:r>
      <w:r w:rsidRPr="000E3D83">
        <w:rPr>
          <w:rFonts w:eastAsiaTheme="minorHAnsi"/>
          <w:sz w:val="24"/>
          <w:szCs w:val="24"/>
          <w:lang w:val="en-US" w:eastAsia="en-US"/>
        </w:rPr>
        <w:t>(</w:t>
      </w:r>
      <w:r w:rsidRPr="00BD64BB">
        <w:rPr>
          <w:rFonts w:eastAsiaTheme="minorHAnsi"/>
          <w:sz w:val="24"/>
          <w:szCs w:val="24"/>
          <w:lang w:val="en-US" w:eastAsia="en-US"/>
        </w:rPr>
        <w:t>2021</w:t>
      </w:r>
      <w:r w:rsidRPr="000E3D83">
        <w:rPr>
          <w:rFonts w:eastAsiaTheme="minorHAnsi"/>
          <w:sz w:val="24"/>
          <w:szCs w:val="24"/>
          <w:lang w:val="en-US" w:eastAsia="en-US"/>
        </w:rPr>
        <w:t>)</w:t>
      </w:r>
      <w:r w:rsidRPr="00BD64BB">
        <w:rPr>
          <w:rFonts w:eastAsiaTheme="minorHAnsi"/>
          <w:sz w:val="24"/>
          <w:szCs w:val="24"/>
          <w:lang w:val="en-US" w:eastAsia="en-US"/>
        </w:rPr>
        <w:t>. Social learning theory. In </w:t>
      </w:r>
      <w:r w:rsidRPr="00BD64BB">
        <w:rPr>
          <w:rFonts w:eastAsiaTheme="minorHAnsi"/>
          <w:i/>
          <w:iCs/>
          <w:sz w:val="24"/>
          <w:szCs w:val="24"/>
          <w:lang w:val="en-US" w:eastAsia="en-US"/>
        </w:rPr>
        <w:t>Expectations and actions</w:t>
      </w:r>
      <w:r w:rsidRPr="00BD64BB">
        <w:rPr>
          <w:rFonts w:eastAsiaTheme="minorHAnsi"/>
          <w:sz w:val="24"/>
          <w:szCs w:val="24"/>
          <w:lang w:val="en-US" w:eastAsia="en-US"/>
        </w:rPr>
        <w:t> (pp. 241-260). Routledge.</w:t>
      </w:r>
    </w:p>
    <w:p w14:paraId="2178CA04" w14:textId="77777777" w:rsidR="000E3D83" w:rsidRPr="000E3D83" w:rsidRDefault="000E3D83" w:rsidP="00515F84">
      <w:pPr>
        <w:spacing w:line="480" w:lineRule="auto"/>
        <w:ind w:left="720" w:hanging="720"/>
        <w:contextualSpacing/>
        <w:rPr>
          <w:sz w:val="24"/>
          <w:szCs w:val="24"/>
        </w:rPr>
      </w:pPr>
      <w:r w:rsidRPr="000E3D83">
        <w:rPr>
          <w:sz w:val="24"/>
          <w:szCs w:val="24"/>
        </w:rPr>
        <w:t>Salter, M. and McGuire, K., (2020). </w:t>
      </w:r>
      <w:r w:rsidRPr="000E3D83">
        <w:rPr>
          <w:i/>
          <w:iCs/>
          <w:sz w:val="24"/>
          <w:szCs w:val="24"/>
        </w:rPr>
        <w:t>The Lived Experience of Hate Crime</w:t>
      </w:r>
      <w:r w:rsidRPr="000E3D83">
        <w:rPr>
          <w:sz w:val="24"/>
          <w:szCs w:val="24"/>
        </w:rPr>
        <w:t>. Springer International Publishing.</w:t>
      </w:r>
    </w:p>
    <w:p w14:paraId="31EACF39" w14:textId="77777777" w:rsidR="000E3D83" w:rsidRPr="000E3D83" w:rsidRDefault="000E3D83" w:rsidP="00515F84">
      <w:pPr>
        <w:spacing w:line="480" w:lineRule="auto"/>
        <w:ind w:left="720" w:hanging="720"/>
        <w:contextualSpacing/>
        <w:rPr>
          <w:sz w:val="24"/>
          <w:szCs w:val="24"/>
        </w:rPr>
      </w:pPr>
      <w:r w:rsidRPr="000E3D83">
        <w:rPr>
          <w:sz w:val="24"/>
          <w:szCs w:val="24"/>
        </w:rPr>
        <w:t>Samanani, F., (2019). Race in Britain: inequality, identity, belonging. In </w:t>
      </w:r>
      <w:r w:rsidRPr="000E3D83">
        <w:rPr>
          <w:i/>
          <w:iCs/>
          <w:sz w:val="24"/>
          <w:szCs w:val="24"/>
        </w:rPr>
        <w:t>Race in Britain: Inequality, Identity, Belonging</w:t>
      </w:r>
      <w:r w:rsidRPr="000E3D83">
        <w:rPr>
          <w:sz w:val="24"/>
          <w:szCs w:val="24"/>
        </w:rPr>
        <w:t>.</w:t>
      </w:r>
    </w:p>
    <w:p w14:paraId="181C9A65"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Sannino, A. and Engeström, Y., </w:t>
      </w:r>
      <w:r w:rsidRPr="000E3D83">
        <w:rPr>
          <w:rFonts w:eastAsiaTheme="minorHAnsi"/>
          <w:sz w:val="24"/>
          <w:szCs w:val="24"/>
          <w:lang w:val="en-US" w:eastAsia="en-US"/>
        </w:rPr>
        <w:t>(</w:t>
      </w:r>
      <w:r w:rsidRPr="00BD64BB">
        <w:rPr>
          <w:rFonts w:eastAsiaTheme="minorHAnsi"/>
          <w:sz w:val="24"/>
          <w:szCs w:val="24"/>
          <w:lang w:val="en-US" w:eastAsia="en-US"/>
        </w:rPr>
        <w:t>2018</w:t>
      </w:r>
      <w:r w:rsidRPr="000E3D83">
        <w:rPr>
          <w:rFonts w:eastAsiaTheme="minorHAnsi"/>
          <w:sz w:val="24"/>
          <w:szCs w:val="24"/>
          <w:lang w:val="en-US" w:eastAsia="en-US"/>
        </w:rPr>
        <w:t>)</w:t>
      </w:r>
      <w:r w:rsidRPr="00BD64BB">
        <w:rPr>
          <w:rFonts w:eastAsiaTheme="minorHAnsi"/>
          <w:sz w:val="24"/>
          <w:szCs w:val="24"/>
          <w:lang w:val="en-US" w:eastAsia="en-US"/>
        </w:rPr>
        <w:t>. Cultural-historical activity theory: Founding insights and new challenges. </w:t>
      </w:r>
      <w:r w:rsidRPr="00BD64BB">
        <w:rPr>
          <w:rFonts w:eastAsiaTheme="minorHAnsi"/>
          <w:i/>
          <w:iCs/>
          <w:sz w:val="24"/>
          <w:szCs w:val="24"/>
          <w:lang w:val="en-US" w:eastAsia="en-US"/>
        </w:rPr>
        <w:t>Cultural-historical psychology</w:t>
      </w:r>
      <w:r w:rsidRPr="00BD64BB">
        <w:rPr>
          <w:rFonts w:eastAsiaTheme="minorHAnsi"/>
          <w:sz w:val="24"/>
          <w:szCs w:val="24"/>
          <w:lang w:val="en-US" w:eastAsia="en-US"/>
        </w:rPr>
        <w:t>.</w:t>
      </w:r>
    </w:p>
    <w:p w14:paraId="1C5BE29F" w14:textId="77777777" w:rsidR="000E3D83" w:rsidRPr="000E3D83" w:rsidRDefault="000E3D83" w:rsidP="00515F84">
      <w:pPr>
        <w:spacing w:line="480" w:lineRule="auto"/>
        <w:ind w:left="720" w:hanging="720"/>
        <w:contextualSpacing/>
        <w:rPr>
          <w:sz w:val="24"/>
          <w:szCs w:val="24"/>
        </w:rPr>
      </w:pPr>
      <w:r w:rsidRPr="000E3D83">
        <w:rPr>
          <w:sz w:val="24"/>
          <w:szCs w:val="24"/>
        </w:rPr>
        <w:t xml:space="preserve">Schweppe., J., (202)1. What is a hate crime? </w:t>
      </w:r>
      <w:r w:rsidRPr="000E3D83">
        <w:rPr>
          <w:i/>
          <w:iCs/>
          <w:sz w:val="24"/>
          <w:szCs w:val="24"/>
        </w:rPr>
        <w:t>Cogent Social Sciences</w:t>
      </w:r>
      <w:r w:rsidRPr="000E3D83">
        <w:rPr>
          <w:sz w:val="24"/>
          <w:szCs w:val="24"/>
        </w:rPr>
        <w:t>, </w:t>
      </w:r>
      <w:r w:rsidRPr="000E3D83">
        <w:rPr>
          <w:i/>
          <w:iCs/>
          <w:sz w:val="24"/>
          <w:szCs w:val="24"/>
        </w:rPr>
        <w:t>7</w:t>
      </w:r>
      <w:r w:rsidRPr="000E3D83">
        <w:rPr>
          <w:sz w:val="24"/>
          <w:szCs w:val="24"/>
        </w:rPr>
        <w:t>(1), p.1902643.</w:t>
      </w:r>
    </w:p>
    <w:p w14:paraId="0C119DA5" w14:textId="77777777" w:rsidR="000E3D83" w:rsidRPr="000E3D83" w:rsidRDefault="000E3D83" w:rsidP="00515F84">
      <w:pPr>
        <w:spacing w:line="480" w:lineRule="auto"/>
        <w:ind w:left="720" w:hanging="720"/>
        <w:contextualSpacing/>
        <w:rPr>
          <w:sz w:val="24"/>
          <w:szCs w:val="24"/>
        </w:rPr>
      </w:pPr>
      <w:r w:rsidRPr="000E3D83">
        <w:rPr>
          <w:sz w:val="24"/>
          <w:szCs w:val="24"/>
        </w:rPr>
        <w:t>Shaw, M., (2020). Towards a religiously literate curriculum–religion and worldview literacy as an educational model. </w:t>
      </w:r>
      <w:r w:rsidRPr="000E3D83">
        <w:rPr>
          <w:i/>
          <w:iCs/>
          <w:sz w:val="24"/>
          <w:szCs w:val="24"/>
        </w:rPr>
        <w:t>Journal of Beliefs &amp; Values</w:t>
      </w:r>
      <w:r w:rsidRPr="000E3D83">
        <w:rPr>
          <w:sz w:val="24"/>
          <w:szCs w:val="24"/>
        </w:rPr>
        <w:t>, </w:t>
      </w:r>
      <w:r w:rsidRPr="000E3D83">
        <w:rPr>
          <w:i/>
          <w:iCs/>
          <w:sz w:val="24"/>
          <w:szCs w:val="24"/>
        </w:rPr>
        <w:t>41</w:t>
      </w:r>
      <w:r w:rsidRPr="000E3D83">
        <w:rPr>
          <w:sz w:val="24"/>
          <w:szCs w:val="24"/>
        </w:rPr>
        <w:t>(2), pp.150-161.</w:t>
      </w:r>
    </w:p>
    <w:p w14:paraId="1AD9790B"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Shoenberger, N.A., </w:t>
      </w:r>
      <w:r w:rsidRPr="000E3D83">
        <w:rPr>
          <w:rFonts w:eastAsiaTheme="minorHAnsi"/>
          <w:sz w:val="24"/>
          <w:szCs w:val="24"/>
          <w:lang w:val="en-US" w:eastAsia="en-US"/>
        </w:rPr>
        <w:t>(</w:t>
      </w:r>
      <w:r w:rsidRPr="00BD64BB">
        <w:rPr>
          <w:rFonts w:eastAsiaTheme="minorHAnsi"/>
          <w:sz w:val="24"/>
          <w:szCs w:val="24"/>
          <w:lang w:val="en-US" w:eastAsia="en-US"/>
        </w:rPr>
        <w:t>2021</w:t>
      </w:r>
      <w:r w:rsidRPr="000E3D83">
        <w:rPr>
          <w:rFonts w:eastAsiaTheme="minorHAnsi"/>
          <w:sz w:val="24"/>
          <w:szCs w:val="24"/>
          <w:lang w:val="en-US" w:eastAsia="en-US"/>
        </w:rPr>
        <w:t>)</w:t>
      </w:r>
      <w:r w:rsidRPr="00BD64BB">
        <w:rPr>
          <w:rFonts w:eastAsiaTheme="minorHAnsi"/>
          <w:sz w:val="24"/>
          <w:szCs w:val="24"/>
          <w:lang w:val="en-US" w:eastAsia="en-US"/>
        </w:rPr>
        <w:t>. Applying Routine Activity Theory: A Case Study of the Sonya Farak Drug Scandal. </w:t>
      </w:r>
      <w:r w:rsidRPr="00BD64BB">
        <w:rPr>
          <w:rFonts w:eastAsiaTheme="minorHAnsi"/>
          <w:i/>
          <w:iCs/>
          <w:sz w:val="24"/>
          <w:szCs w:val="24"/>
          <w:lang w:val="en-US" w:eastAsia="en-US"/>
        </w:rPr>
        <w:t>Open Journal of Social Sciences</w:t>
      </w:r>
      <w:r w:rsidRPr="00BD64BB">
        <w:rPr>
          <w:rFonts w:eastAsiaTheme="minorHAnsi"/>
          <w:sz w:val="24"/>
          <w:szCs w:val="24"/>
          <w:lang w:val="en-US" w:eastAsia="en-US"/>
        </w:rPr>
        <w:t>, </w:t>
      </w:r>
      <w:r w:rsidRPr="00BD64BB">
        <w:rPr>
          <w:rFonts w:eastAsiaTheme="minorHAnsi"/>
          <w:i/>
          <w:iCs/>
          <w:sz w:val="24"/>
          <w:szCs w:val="24"/>
          <w:lang w:val="en-US" w:eastAsia="en-US"/>
        </w:rPr>
        <w:t>9</w:t>
      </w:r>
      <w:r w:rsidRPr="00BD64BB">
        <w:rPr>
          <w:rFonts w:eastAsiaTheme="minorHAnsi"/>
          <w:sz w:val="24"/>
          <w:szCs w:val="24"/>
          <w:lang w:val="en-US" w:eastAsia="en-US"/>
        </w:rPr>
        <w:t>(10), pp.118-129.</w:t>
      </w:r>
    </w:p>
    <w:p w14:paraId="24055405" w14:textId="77777777" w:rsidR="000E3D83" w:rsidRPr="000E3D83" w:rsidRDefault="000E3D83" w:rsidP="009335F1">
      <w:pPr>
        <w:pStyle w:val="NormalWeb"/>
        <w:ind w:left="567" w:hanging="567"/>
      </w:pPr>
      <w:r w:rsidRPr="000E3D83">
        <w:t xml:space="preserve">Sprigg, J., Suncica, V., Carr, J., (2022) </w:t>
      </w:r>
      <w:r w:rsidRPr="000E3D83">
        <w:rPr>
          <w:i/>
          <w:iCs/>
        </w:rPr>
        <w:t>Did the vote for Brexit lead to a rise in hate crime?</w:t>
      </w:r>
      <w:r w:rsidRPr="000E3D83">
        <w:t xml:space="preserve">, </w:t>
      </w:r>
      <w:r w:rsidRPr="000E3D83">
        <w:rPr>
          <w:i/>
          <w:iCs/>
        </w:rPr>
        <w:t>Economics Observatory</w:t>
      </w:r>
      <w:r w:rsidRPr="000E3D83">
        <w:t xml:space="preserve">. Available at: &lt;// </w:t>
      </w:r>
      <w:hyperlink r:id="rId13" w:history="1">
        <w:r w:rsidRPr="000E3D83">
          <w:rPr>
            <w:rStyle w:val="Hyperlink"/>
          </w:rPr>
          <w:t>https://www.economicsobservatory.com/did-the-vote-for-brexit-lead-to-a-rise-in-hate-crime//</w:t>
        </w:r>
      </w:hyperlink>
      <w:r w:rsidRPr="000E3D83">
        <w:t xml:space="preserve"> &gt; (Accessed: 10 January 2024). </w:t>
      </w:r>
    </w:p>
    <w:p w14:paraId="7B75000E"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Stickle, B. and Felson, M., </w:t>
      </w:r>
      <w:r w:rsidRPr="000E3D83">
        <w:rPr>
          <w:rFonts w:eastAsiaTheme="minorHAnsi"/>
          <w:sz w:val="24"/>
          <w:szCs w:val="24"/>
          <w:lang w:val="en-US" w:eastAsia="en-US"/>
        </w:rPr>
        <w:t>(</w:t>
      </w:r>
      <w:r w:rsidRPr="00BD64BB">
        <w:rPr>
          <w:rFonts w:eastAsiaTheme="minorHAnsi"/>
          <w:sz w:val="24"/>
          <w:szCs w:val="24"/>
          <w:lang w:val="en-US" w:eastAsia="en-US"/>
        </w:rPr>
        <w:t>2020</w:t>
      </w:r>
      <w:r w:rsidRPr="000E3D83">
        <w:rPr>
          <w:rFonts w:eastAsiaTheme="minorHAnsi"/>
          <w:sz w:val="24"/>
          <w:szCs w:val="24"/>
          <w:lang w:val="en-US" w:eastAsia="en-US"/>
        </w:rPr>
        <w:t>)</w:t>
      </w:r>
      <w:r w:rsidRPr="00BD64BB">
        <w:rPr>
          <w:rFonts w:eastAsiaTheme="minorHAnsi"/>
          <w:sz w:val="24"/>
          <w:szCs w:val="24"/>
          <w:lang w:val="en-US" w:eastAsia="en-US"/>
        </w:rPr>
        <w:t>. Crime rates in a pandemic: The largest criminological experiment in history. </w:t>
      </w:r>
      <w:r w:rsidRPr="00BD64BB">
        <w:rPr>
          <w:rFonts w:eastAsiaTheme="minorHAnsi"/>
          <w:i/>
          <w:iCs/>
          <w:sz w:val="24"/>
          <w:szCs w:val="24"/>
          <w:lang w:val="en-US" w:eastAsia="en-US"/>
        </w:rPr>
        <w:t>American Journal of Criminal Justice</w:t>
      </w:r>
      <w:r w:rsidRPr="00BD64BB">
        <w:rPr>
          <w:rFonts w:eastAsiaTheme="minorHAnsi"/>
          <w:sz w:val="24"/>
          <w:szCs w:val="24"/>
          <w:lang w:val="en-US" w:eastAsia="en-US"/>
        </w:rPr>
        <w:t>, </w:t>
      </w:r>
      <w:r w:rsidRPr="00BD64BB">
        <w:rPr>
          <w:rFonts w:eastAsiaTheme="minorHAnsi"/>
          <w:i/>
          <w:iCs/>
          <w:sz w:val="24"/>
          <w:szCs w:val="24"/>
          <w:lang w:val="en-US" w:eastAsia="en-US"/>
        </w:rPr>
        <w:t>45</w:t>
      </w:r>
      <w:r w:rsidRPr="00BD64BB">
        <w:rPr>
          <w:rFonts w:eastAsiaTheme="minorHAnsi"/>
          <w:sz w:val="24"/>
          <w:szCs w:val="24"/>
          <w:lang w:val="en-US" w:eastAsia="en-US"/>
        </w:rPr>
        <w:t>(4), pp.525-536.</w:t>
      </w:r>
    </w:p>
    <w:p w14:paraId="52901AC9"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Syal, R., </w:t>
      </w:r>
      <w:r w:rsidRPr="000E3D83">
        <w:rPr>
          <w:rFonts w:eastAsiaTheme="minorHAnsi"/>
          <w:sz w:val="24"/>
          <w:szCs w:val="24"/>
          <w:lang w:val="en-US" w:eastAsia="en-US"/>
        </w:rPr>
        <w:t>(</w:t>
      </w:r>
      <w:r w:rsidRPr="00BD64BB">
        <w:rPr>
          <w:rFonts w:eastAsiaTheme="minorHAnsi"/>
          <w:sz w:val="24"/>
          <w:szCs w:val="24"/>
          <w:lang w:val="en-US" w:eastAsia="en-US"/>
        </w:rPr>
        <w:t>2021</w:t>
      </w:r>
      <w:r w:rsidRPr="000E3D83">
        <w:rPr>
          <w:rFonts w:eastAsiaTheme="minorHAnsi"/>
          <w:sz w:val="24"/>
          <w:szCs w:val="24"/>
          <w:lang w:val="en-US" w:eastAsia="en-US"/>
        </w:rPr>
        <w:t>)</w:t>
      </w:r>
      <w:r w:rsidRPr="00BD64BB">
        <w:rPr>
          <w:rFonts w:eastAsiaTheme="minorHAnsi"/>
          <w:sz w:val="24"/>
          <w:szCs w:val="24"/>
          <w:lang w:val="en-US" w:eastAsia="en-US"/>
        </w:rPr>
        <w:t xml:space="preserve">. </w:t>
      </w:r>
      <w:r w:rsidRPr="00BD64BB">
        <w:rPr>
          <w:rFonts w:eastAsiaTheme="minorHAnsi"/>
          <w:i/>
          <w:sz w:val="24"/>
          <w:szCs w:val="24"/>
          <w:lang w:val="en-US" w:eastAsia="en-US"/>
        </w:rPr>
        <w:t>Reported hate crimes in England and Wales up 9% since start of pandemic.</w:t>
      </w:r>
      <w:r w:rsidRPr="00BD64BB">
        <w:rPr>
          <w:rFonts w:eastAsiaTheme="minorHAnsi"/>
          <w:sz w:val="24"/>
          <w:szCs w:val="24"/>
          <w:lang w:val="en-US" w:eastAsia="en-US"/>
        </w:rPr>
        <w:t xml:space="preserve"> [online] The Guardian. Available at: </w:t>
      </w:r>
      <w:hyperlink r:id="rId14" w:history="1">
        <w:r w:rsidRPr="00BD64BB">
          <w:rPr>
            <w:rFonts w:eastAsiaTheme="minorHAnsi"/>
            <w:color w:val="0563C1" w:themeColor="hyperlink"/>
            <w:sz w:val="24"/>
            <w:szCs w:val="24"/>
            <w:u w:val="single"/>
            <w:lang w:val="en-US" w:eastAsia="en-US"/>
          </w:rPr>
          <w:t>https://www.theguardian.com/society/2021/oct/12/hate-crimes-in-england-and-wales-up-9-since-covid-pandemic-began</w:t>
        </w:r>
      </w:hyperlink>
      <w:r w:rsidRPr="00BD64BB">
        <w:rPr>
          <w:rFonts w:eastAsiaTheme="minorHAnsi"/>
          <w:sz w:val="24"/>
          <w:szCs w:val="24"/>
          <w:lang w:val="en-US" w:eastAsia="en-US"/>
        </w:rPr>
        <w:t>.</w:t>
      </w:r>
    </w:p>
    <w:p w14:paraId="7D607B0A" w14:textId="77777777" w:rsidR="000E3D83" w:rsidRPr="000E3D83" w:rsidRDefault="000E3D83" w:rsidP="00515F84">
      <w:pPr>
        <w:spacing w:line="480" w:lineRule="auto"/>
        <w:ind w:left="720" w:hanging="720"/>
        <w:contextualSpacing/>
        <w:rPr>
          <w:sz w:val="24"/>
          <w:szCs w:val="24"/>
        </w:rPr>
      </w:pPr>
      <w:r w:rsidRPr="000E3D83">
        <w:rPr>
          <w:sz w:val="24"/>
          <w:szCs w:val="24"/>
        </w:rPr>
        <w:t>Tyson, J. and Hall, N., (2019). Hate crime, policing and multi-agency partnership working. In </w:t>
      </w:r>
      <w:r w:rsidRPr="000E3D83">
        <w:rPr>
          <w:i/>
          <w:iCs/>
          <w:sz w:val="24"/>
          <w:szCs w:val="24"/>
        </w:rPr>
        <w:t>Multi-Agency Working in Criminal Justice</w:t>
      </w:r>
      <w:r w:rsidRPr="000E3D83">
        <w:rPr>
          <w:sz w:val="24"/>
          <w:szCs w:val="24"/>
        </w:rPr>
        <w:t> (pp. 139-154). Policy Press.</w:t>
      </w:r>
    </w:p>
    <w:p w14:paraId="795D2FA8" w14:textId="77777777" w:rsidR="000E3D83" w:rsidRPr="000E3D83" w:rsidRDefault="000E3D83" w:rsidP="00515F84">
      <w:pPr>
        <w:spacing w:line="480" w:lineRule="auto"/>
        <w:ind w:left="720" w:hanging="720"/>
        <w:contextualSpacing/>
        <w:rPr>
          <w:sz w:val="24"/>
          <w:szCs w:val="24"/>
        </w:rPr>
      </w:pPr>
      <w:r w:rsidRPr="000E3D83">
        <w:rPr>
          <w:sz w:val="24"/>
          <w:szCs w:val="24"/>
        </w:rPr>
        <w:t>Verkuyten, M., Thijs, J. and Gharaei, N., (2019). Discrimination and academic (dis) engagement of ethnic-racial minority students: A social identity threat perspective. </w:t>
      </w:r>
      <w:r w:rsidRPr="000E3D83">
        <w:rPr>
          <w:i/>
          <w:iCs/>
          <w:sz w:val="24"/>
          <w:szCs w:val="24"/>
        </w:rPr>
        <w:t>Social Psychology of Education</w:t>
      </w:r>
      <w:r w:rsidRPr="000E3D83">
        <w:rPr>
          <w:sz w:val="24"/>
          <w:szCs w:val="24"/>
        </w:rPr>
        <w:t>, </w:t>
      </w:r>
      <w:r w:rsidRPr="000E3D83">
        <w:rPr>
          <w:i/>
          <w:iCs/>
          <w:sz w:val="24"/>
          <w:szCs w:val="24"/>
        </w:rPr>
        <w:t>22</w:t>
      </w:r>
      <w:r w:rsidRPr="000E3D83">
        <w:rPr>
          <w:sz w:val="24"/>
          <w:szCs w:val="24"/>
        </w:rPr>
        <w:t>, pp.267-290.</w:t>
      </w:r>
    </w:p>
    <w:p w14:paraId="06FA3825" w14:textId="77777777" w:rsidR="000E3D83" w:rsidRPr="000E3D83" w:rsidRDefault="000E3D83" w:rsidP="00515F84">
      <w:pPr>
        <w:spacing w:line="480" w:lineRule="auto"/>
        <w:contextualSpacing/>
        <w:rPr>
          <w:color w:val="3A3A3A"/>
          <w:sz w:val="24"/>
          <w:szCs w:val="24"/>
          <w:shd w:val="clear" w:color="auto" w:fill="FFFFFF"/>
        </w:rPr>
      </w:pPr>
      <w:r w:rsidRPr="000E3D83">
        <w:rPr>
          <w:color w:val="000000"/>
          <w:sz w:val="24"/>
          <w:szCs w:val="24"/>
        </w:rPr>
        <w:t xml:space="preserve"> ‌</w:t>
      </w:r>
      <w:r w:rsidRPr="000E3D83">
        <w:rPr>
          <w:color w:val="3A3A3A"/>
          <w:sz w:val="24"/>
          <w:szCs w:val="24"/>
          <w:shd w:val="clear" w:color="auto" w:fill="FFFFFF"/>
        </w:rPr>
        <w:t>Walters, M.A. (2014) </w:t>
      </w:r>
      <w:r w:rsidRPr="000E3D83">
        <w:rPr>
          <w:i/>
          <w:iCs/>
          <w:color w:val="3A3A3A"/>
          <w:sz w:val="24"/>
          <w:szCs w:val="24"/>
          <w:shd w:val="clear" w:color="auto" w:fill="FFFFFF"/>
        </w:rPr>
        <w:t>Hate crime and restorative justice : exploring causes, repairing harms</w:t>
      </w:r>
      <w:r w:rsidRPr="000E3D83">
        <w:rPr>
          <w:color w:val="3A3A3A"/>
          <w:sz w:val="24"/>
          <w:szCs w:val="24"/>
          <w:shd w:val="clear" w:color="auto" w:fill="FFFFFF"/>
        </w:rPr>
        <w:t>. Oxford: Oxford University Press.</w:t>
      </w:r>
    </w:p>
    <w:p w14:paraId="48489D83" w14:textId="77777777" w:rsidR="000E3D83" w:rsidRPr="000E3D83" w:rsidRDefault="000E3D83" w:rsidP="00515F84">
      <w:pPr>
        <w:spacing w:line="480" w:lineRule="auto"/>
        <w:ind w:left="720" w:hanging="720"/>
        <w:contextualSpacing/>
        <w:rPr>
          <w:sz w:val="24"/>
          <w:szCs w:val="24"/>
        </w:rPr>
      </w:pPr>
      <w:r w:rsidRPr="000E3D83">
        <w:rPr>
          <w:sz w:val="24"/>
          <w:szCs w:val="24"/>
        </w:rPr>
        <w:t xml:space="preserve">Walters, M.A., Paterson, J., Brown, R., and McDonnell, L., (2020). Hate crimes against trans people: assessing emotions, behaviours, and attitudes toward criminal justice agencies. </w:t>
      </w:r>
      <w:r w:rsidRPr="000E3D83">
        <w:rPr>
          <w:i/>
          <w:iCs/>
          <w:sz w:val="24"/>
          <w:szCs w:val="24"/>
        </w:rPr>
        <w:t>Journal of interpersonal violence</w:t>
      </w:r>
      <w:r w:rsidRPr="000E3D83">
        <w:rPr>
          <w:sz w:val="24"/>
          <w:szCs w:val="24"/>
        </w:rPr>
        <w:t>, </w:t>
      </w:r>
      <w:r w:rsidRPr="000E3D83">
        <w:rPr>
          <w:i/>
          <w:iCs/>
          <w:sz w:val="24"/>
          <w:szCs w:val="24"/>
        </w:rPr>
        <w:t>35</w:t>
      </w:r>
      <w:r w:rsidRPr="000E3D83">
        <w:rPr>
          <w:sz w:val="24"/>
          <w:szCs w:val="24"/>
        </w:rPr>
        <w:t>(21-22), pp.4583-4613.</w:t>
      </w:r>
    </w:p>
    <w:p w14:paraId="24CF7BAA" w14:textId="77777777" w:rsidR="000E3D83" w:rsidRPr="00BD64BB" w:rsidRDefault="000E3D83" w:rsidP="00BD64BB">
      <w:pPr>
        <w:spacing w:line="480" w:lineRule="auto"/>
        <w:ind w:left="720" w:hanging="720"/>
        <w:contextualSpacing/>
        <w:rPr>
          <w:rFonts w:eastAsiaTheme="minorHAnsi"/>
          <w:sz w:val="24"/>
          <w:szCs w:val="24"/>
          <w:lang w:val="en-US" w:eastAsia="en-US"/>
        </w:rPr>
      </w:pPr>
      <w:r w:rsidRPr="00BD64BB">
        <w:rPr>
          <w:rFonts w:eastAsiaTheme="minorHAnsi"/>
          <w:sz w:val="24"/>
          <w:szCs w:val="24"/>
          <w:lang w:val="en-US" w:eastAsia="en-US"/>
        </w:rPr>
        <w:t xml:space="preserve">Wilcox, P., Land, K. and Hunt, S.A., </w:t>
      </w:r>
      <w:r w:rsidRPr="000E3D83">
        <w:rPr>
          <w:rFonts w:eastAsiaTheme="minorHAnsi"/>
          <w:sz w:val="24"/>
          <w:szCs w:val="24"/>
          <w:lang w:val="en-US" w:eastAsia="en-US"/>
        </w:rPr>
        <w:t>(</w:t>
      </w:r>
      <w:r w:rsidRPr="00BD64BB">
        <w:rPr>
          <w:rFonts w:eastAsiaTheme="minorHAnsi"/>
          <w:sz w:val="24"/>
          <w:szCs w:val="24"/>
          <w:lang w:val="en-US" w:eastAsia="en-US"/>
        </w:rPr>
        <w:t>2018</w:t>
      </w:r>
      <w:r w:rsidRPr="000E3D83">
        <w:rPr>
          <w:rFonts w:eastAsiaTheme="minorHAnsi"/>
          <w:sz w:val="24"/>
          <w:szCs w:val="24"/>
          <w:lang w:val="en-US" w:eastAsia="en-US"/>
        </w:rPr>
        <w:t>)</w:t>
      </w:r>
      <w:r w:rsidRPr="00BD64BB">
        <w:rPr>
          <w:rFonts w:eastAsiaTheme="minorHAnsi"/>
          <w:sz w:val="24"/>
          <w:szCs w:val="24"/>
          <w:lang w:val="en-US" w:eastAsia="en-US"/>
        </w:rPr>
        <w:t>. </w:t>
      </w:r>
      <w:r w:rsidRPr="00BD64BB">
        <w:rPr>
          <w:rFonts w:eastAsiaTheme="minorHAnsi"/>
          <w:i/>
          <w:iCs/>
          <w:sz w:val="24"/>
          <w:szCs w:val="24"/>
          <w:lang w:val="en-US" w:eastAsia="en-US"/>
        </w:rPr>
        <w:t>Criminal circumstance: A dynamic multi-contextual criminal opportunity theory</w:t>
      </w:r>
      <w:r w:rsidRPr="00BD64BB">
        <w:rPr>
          <w:rFonts w:eastAsiaTheme="minorHAnsi"/>
          <w:sz w:val="24"/>
          <w:szCs w:val="24"/>
          <w:lang w:val="en-US" w:eastAsia="en-US"/>
        </w:rPr>
        <w:t>. Routledge.</w:t>
      </w:r>
    </w:p>
    <w:sectPr w:rsidR="000E3D83" w:rsidRPr="00BD64B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820AB" w14:textId="77777777" w:rsidR="00B6188B" w:rsidRDefault="00B6188B" w:rsidP="00AE4E70">
      <w:r>
        <w:separator/>
      </w:r>
    </w:p>
  </w:endnote>
  <w:endnote w:type="continuationSeparator" w:id="0">
    <w:p w14:paraId="7A032FDC" w14:textId="77777777" w:rsidR="00B6188B" w:rsidRDefault="00B6188B" w:rsidP="00AE4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F5E0B" w14:textId="77777777" w:rsidR="00B6188B" w:rsidRDefault="00B6188B" w:rsidP="00AE4E70">
      <w:r>
        <w:separator/>
      </w:r>
    </w:p>
  </w:footnote>
  <w:footnote w:type="continuationSeparator" w:id="0">
    <w:p w14:paraId="394ED996" w14:textId="77777777" w:rsidR="00B6188B" w:rsidRDefault="00B6188B" w:rsidP="00AE4E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D47AA" w14:textId="2FD4F3A9" w:rsidR="00AE4E70" w:rsidRDefault="00AE4E70">
    <w:pPr>
      <w:pStyle w:val="Header"/>
    </w:pPr>
    <w:r>
      <w:t>Ella Jade Smith</w:t>
    </w:r>
  </w:p>
  <w:p w14:paraId="31D21AC9" w14:textId="36EF6509" w:rsidR="00AE4E70" w:rsidRDefault="00AE4E70">
    <w:pPr>
      <w:pStyle w:val="Header"/>
    </w:pPr>
    <w:r>
      <w:t>Assignment 2</w:t>
    </w:r>
  </w:p>
  <w:p w14:paraId="41C3A0D7" w14:textId="39F719EC" w:rsidR="00AE4E70" w:rsidRDefault="00AE4E70">
    <w:pPr>
      <w:pStyle w:val="Header"/>
    </w:pPr>
    <w:r>
      <w:t>BM</w:t>
    </w:r>
    <w:r w:rsidR="00746A7A">
      <w:t>CP6001</w:t>
    </w:r>
  </w:p>
  <w:p w14:paraId="379F5F3C" w14:textId="3B6B1E05" w:rsidR="00746A7A" w:rsidRDefault="00746A7A">
    <w:pPr>
      <w:pStyle w:val="Header"/>
    </w:pPr>
    <w:r>
      <w:t>12/01/2024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3BE"/>
    <w:rsid w:val="00020B8B"/>
    <w:rsid w:val="000264E8"/>
    <w:rsid w:val="0003701D"/>
    <w:rsid w:val="00043BC9"/>
    <w:rsid w:val="00044DF2"/>
    <w:rsid w:val="00045254"/>
    <w:rsid w:val="00050981"/>
    <w:rsid w:val="00055381"/>
    <w:rsid w:val="00061C5F"/>
    <w:rsid w:val="000643B1"/>
    <w:rsid w:val="00065105"/>
    <w:rsid w:val="000664B0"/>
    <w:rsid w:val="00067D0D"/>
    <w:rsid w:val="00074897"/>
    <w:rsid w:val="000836DD"/>
    <w:rsid w:val="00086A61"/>
    <w:rsid w:val="00087FF2"/>
    <w:rsid w:val="000921B0"/>
    <w:rsid w:val="000A07CB"/>
    <w:rsid w:val="000A1EFB"/>
    <w:rsid w:val="000A5FEB"/>
    <w:rsid w:val="000B6C2C"/>
    <w:rsid w:val="000C0E46"/>
    <w:rsid w:val="000C174B"/>
    <w:rsid w:val="000C1D1F"/>
    <w:rsid w:val="000C2AA2"/>
    <w:rsid w:val="000C77E3"/>
    <w:rsid w:val="000D0CF9"/>
    <w:rsid w:val="000D2216"/>
    <w:rsid w:val="000D53E7"/>
    <w:rsid w:val="000D597F"/>
    <w:rsid w:val="000E3D83"/>
    <w:rsid w:val="000F0510"/>
    <w:rsid w:val="000F2A35"/>
    <w:rsid w:val="000F54A9"/>
    <w:rsid w:val="000F60DA"/>
    <w:rsid w:val="0010376F"/>
    <w:rsid w:val="00104841"/>
    <w:rsid w:val="00106A44"/>
    <w:rsid w:val="00111993"/>
    <w:rsid w:val="0011526B"/>
    <w:rsid w:val="00116C2D"/>
    <w:rsid w:val="00117BF5"/>
    <w:rsid w:val="00123488"/>
    <w:rsid w:val="00137CB0"/>
    <w:rsid w:val="00140AAB"/>
    <w:rsid w:val="0014140A"/>
    <w:rsid w:val="00146A93"/>
    <w:rsid w:val="00147E67"/>
    <w:rsid w:val="00155E5A"/>
    <w:rsid w:val="00157565"/>
    <w:rsid w:val="00166DDF"/>
    <w:rsid w:val="0017304E"/>
    <w:rsid w:val="00181F3A"/>
    <w:rsid w:val="001821F7"/>
    <w:rsid w:val="00185EFD"/>
    <w:rsid w:val="001862CE"/>
    <w:rsid w:val="00190662"/>
    <w:rsid w:val="00190767"/>
    <w:rsid w:val="001930C7"/>
    <w:rsid w:val="00194D5F"/>
    <w:rsid w:val="00196B82"/>
    <w:rsid w:val="00197232"/>
    <w:rsid w:val="001A1217"/>
    <w:rsid w:val="001A27AB"/>
    <w:rsid w:val="001A352A"/>
    <w:rsid w:val="001A3B52"/>
    <w:rsid w:val="001A4B99"/>
    <w:rsid w:val="001A653C"/>
    <w:rsid w:val="001A73BD"/>
    <w:rsid w:val="001B0A95"/>
    <w:rsid w:val="001B38C9"/>
    <w:rsid w:val="001B63C8"/>
    <w:rsid w:val="001B7357"/>
    <w:rsid w:val="001C21B1"/>
    <w:rsid w:val="001C2F44"/>
    <w:rsid w:val="001C331E"/>
    <w:rsid w:val="001C3422"/>
    <w:rsid w:val="001C4997"/>
    <w:rsid w:val="001C7095"/>
    <w:rsid w:val="001F6E36"/>
    <w:rsid w:val="001F6E7E"/>
    <w:rsid w:val="002022B1"/>
    <w:rsid w:val="0020524C"/>
    <w:rsid w:val="00207DDF"/>
    <w:rsid w:val="002118B7"/>
    <w:rsid w:val="002133A0"/>
    <w:rsid w:val="00214E08"/>
    <w:rsid w:val="00217CCE"/>
    <w:rsid w:val="00220A61"/>
    <w:rsid w:val="00227F00"/>
    <w:rsid w:val="002367EB"/>
    <w:rsid w:val="00240AF1"/>
    <w:rsid w:val="00251876"/>
    <w:rsid w:val="00253657"/>
    <w:rsid w:val="00253F90"/>
    <w:rsid w:val="00254B19"/>
    <w:rsid w:val="002567E6"/>
    <w:rsid w:val="00256821"/>
    <w:rsid w:val="0026370C"/>
    <w:rsid w:val="00264CAD"/>
    <w:rsid w:val="0027048B"/>
    <w:rsid w:val="00271D2C"/>
    <w:rsid w:val="00271E6F"/>
    <w:rsid w:val="002724F7"/>
    <w:rsid w:val="00275087"/>
    <w:rsid w:val="00276625"/>
    <w:rsid w:val="00276652"/>
    <w:rsid w:val="00280544"/>
    <w:rsid w:val="00283AB8"/>
    <w:rsid w:val="00283E95"/>
    <w:rsid w:val="00284F6B"/>
    <w:rsid w:val="002850CC"/>
    <w:rsid w:val="002863C3"/>
    <w:rsid w:val="002919B9"/>
    <w:rsid w:val="00293142"/>
    <w:rsid w:val="002944BD"/>
    <w:rsid w:val="002A007D"/>
    <w:rsid w:val="002A1E5F"/>
    <w:rsid w:val="002A3B50"/>
    <w:rsid w:val="002C1574"/>
    <w:rsid w:val="002C1B83"/>
    <w:rsid w:val="002C2B25"/>
    <w:rsid w:val="002D2CE6"/>
    <w:rsid w:val="002D306D"/>
    <w:rsid w:val="002E5FB4"/>
    <w:rsid w:val="002F649F"/>
    <w:rsid w:val="00301B82"/>
    <w:rsid w:val="003059AF"/>
    <w:rsid w:val="00306152"/>
    <w:rsid w:val="0031410A"/>
    <w:rsid w:val="00321652"/>
    <w:rsid w:val="00323DA4"/>
    <w:rsid w:val="00325BB5"/>
    <w:rsid w:val="003308D5"/>
    <w:rsid w:val="00330FEC"/>
    <w:rsid w:val="00331AEC"/>
    <w:rsid w:val="003359D0"/>
    <w:rsid w:val="00341E8A"/>
    <w:rsid w:val="0035469B"/>
    <w:rsid w:val="0035594A"/>
    <w:rsid w:val="00361708"/>
    <w:rsid w:val="00370B36"/>
    <w:rsid w:val="00376B66"/>
    <w:rsid w:val="00384CA5"/>
    <w:rsid w:val="00386119"/>
    <w:rsid w:val="00392FDA"/>
    <w:rsid w:val="00397DD5"/>
    <w:rsid w:val="003B0C0E"/>
    <w:rsid w:val="003B4ED1"/>
    <w:rsid w:val="003C1632"/>
    <w:rsid w:val="003C4C8A"/>
    <w:rsid w:val="003C599C"/>
    <w:rsid w:val="003D4DCA"/>
    <w:rsid w:val="003E3198"/>
    <w:rsid w:val="003E618E"/>
    <w:rsid w:val="003E7183"/>
    <w:rsid w:val="003F0780"/>
    <w:rsid w:val="003F41B8"/>
    <w:rsid w:val="003F651D"/>
    <w:rsid w:val="00400538"/>
    <w:rsid w:val="00410AC3"/>
    <w:rsid w:val="00420745"/>
    <w:rsid w:val="00427877"/>
    <w:rsid w:val="00435DA8"/>
    <w:rsid w:val="00436BFC"/>
    <w:rsid w:val="00454729"/>
    <w:rsid w:val="004671D9"/>
    <w:rsid w:val="00470AEA"/>
    <w:rsid w:val="0047523A"/>
    <w:rsid w:val="00484CF8"/>
    <w:rsid w:val="004A0EB2"/>
    <w:rsid w:val="004A37EF"/>
    <w:rsid w:val="004A715C"/>
    <w:rsid w:val="004A7C1D"/>
    <w:rsid w:val="004A7EF4"/>
    <w:rsid w:val="004B3117"/>
    <w:rsid w:val="004B506E"/>
    <w:rsid w:val="004C0526"/>
    <w:rsid w:val="004C08BE"/>
    <w:rsid w:val="004C3017"/>
    <w:rsid w:val="004C77C1"/>
    <w:rsid w:val="004D1154"/>
    <w:rsid w:val="004E180B"/>
    <w:rsid w:val="00502043"/>
    <w:rsid w:val="00503C74"/>
    <w:rsid w:val="00506D52"/>
    <w:rsid w:val="00510CB7"/>
    <w:rsid w:val="00510CC6"/>
    <w:rsid w:val="00514D9C"/>
    <w:rsid w:val="00515AD0"/>
    <w:rsid w:val="00515F84"/>
    <w:rsid w:val="005269C7"/>
    <w:rsid w:val="00526A50"/>
    <w:rsid w:val="005319AF"/>
    <w:rsid w:val="005333E8"/>
    <w:rsid w:val="0053607C"/>
    <w:rsid w:val="0055047E"/>
    <w:rsid w:val="0055126A"/>
    <w:rsid w:val="00551B4C"/>
    <w:rsid w:val="00552506"/>
    <w:rsid w:val="0055646E"/>
    <w:rsid w:val="0055774B"/>
    <w:rsid w:val="005578E5"/>
    <w:rsid w:val="00560DB7"/>
    <w:rsid w:val="00563D70"/>
    <w:rsid w:val="00564882"/>
    <w:rsid w:val="0058209A"/>
    <w:rsid w:val="00592D90"/>
    <w:rsid w:val="005C504B"/>
    <w:rsid w:val="005D35B4"/>
    <w:rsid w:val="005D50D3"/>
    <w:rsid w:val="005E1971"/>
    <w:rsid w:val="005E1FF7"/>
    <w:rsid w:val="005F02AD"/>
    <w:rsid w:val="005F3520"/>
    <w:rsid w:val="005F3A87"/>
    <w:rsid w:val="005F4DF3"/>
    <w:rsid w:val="00600B2F"/>
    <w:rsid w:val="006124D6"/>
    <w:rsid w:val="0062034A"/>
    <w:rsid w:val="00622E5B"/>
    <w:rsid w:val="00624CDE"/>
    <w:rsid w:val="00626878"/>
    <w:rsid w:val="00630580"/>
    <w:rsid w:val="00631053"/>
    <w:rsid w:val="00631126"/>
    <w:rsid w:val="0063360E"/>
    <w:rsid w:val="00633728"/>
    <w:rsid w:val="0063426F"/>
    <w:rsid w:val="0063740D"/>
    <w:rsid w:val="00645154"/>
    <w:rsid w:val="0065296D"/>
    <w:rsid w:val="00657B45"/>
    <w:rsid w:val="0066555C"/>
    <w:rsid w:val="0066598C"/>
    <w:rsid w:val="00665A81"/>
    <w:rsid w:val="00667E1D"/>
    <w:rsid w:val="00672FDD"/>
    <w:rsid w:val="00673C3A"/>
    <w:rsid w:val="006949CF"/>
    <w:rsid w:val="00695501"/>
    <w:rsid w:val="006A3833"/>
    <w:rsid w:val="006A3A73"/>
    <w:rsid w:val="006A5454"/>
    <w:rsid w:val="006B47D2"/>
    <w:rsid w:val="006C1656"/>
    <w:rsid w:val="006D2C3A"/>
    <w:rsid w:val="006D36D1"/>
    <w:rsid w:val="006D6FBB"/>
    <w:rsid w:val="006E0D4F"/>
    <w:rsid w:val="006E1DC2"/>
    <w:rsid w:val="006E2B12"/>
    <w:rsid w:val="006F1D62"/>
    <w:rsid w:val="006F3578"/>
    <w:rsid w:val="006F37A8"/>
    <w:rsid w:val="006F482C"/>
    <w:rsid w:val="006F6521"/>
    <w:rsid w:val="006F7452"/>
    <w:rsid w:val="007028DC"/>
    <w:rsid w:val="0070549E"/>
    <w:rsid w:val="00707DAF"/>
    <w:rsid w:val="00726948"/>
    <w:rsid w:val="007274E1"/>
    <w:rsid w:val="00730F96"/>
    <w:rsid w:val="00736A4A"/>
    <w:rsid w:val="00736DEE"/>
    <w:rsid w:val="00740C85"/>
    <w:rsid w:val="00741C4E"/>
    <w:rsid w:val="00743614"/>
    <w:rsid w:val="00745C11"/>
    <w:rsid w:val="0074652E"/>
    <w:rsid w:val="00746A7A"/>
    <w:rsid w:val="00747ED9"/>
    <w:rsid w:val="00751E9E"/>
    <w:rsid w:val="007528F0"/>
    <w:rsid w:val="00761E99"/>
    <w:rsid w:val="00765913"/>
    <w:rsid w:val="00771B00"/>
    <w:rsid w:val="00775758"/>
    <w:rsid w:val="00775F68"/>
    <w:rsid w:val="007774E5"/>
    <w:rsid w:val="007808E9"/>
    <w:rsid w:val="00782783"/>
    <w:rsid w:val="00784F23"/>
    <w:rsid w:val="00785E96"/>
    <w:rsid w:val="00787341"/>
    <w:rsid w:val="007879BD"/>
    <w:rsid w:val="007A0457"/>
    <w:rsid w:val="007A143F"/>
    <w:rsid w:val="007A4CF8"/>
    <w:rsid w:val="007B285C"/>
    <w:rsid w:val="007B7026"/>
    <w:rsid w:val="007B71CC"/>
    <w:rsid w:val="007C1DFD"/>
    <w:rsid w:val="007C2108"/>
    <w:rsid w:val="007C3BDC"/>
    <w:rsid w:val="007D28D8"/>
    <w:rsid w:val="007D53BE"/>
    <w:rsid w:val="007D5D9C"/>
    <w:rsid w:val="007E0EA5"/>
    <w:rsid w:val="007E3A81"/>
    <w:rsid w:val="007E5783"/>
    <w:rsid w:val="007E72E2"/>
    <w:rsid w:val="007F3FEF"/>
    <w:rsid w:val="007F48D7"/>
    <w:rsid w:val="007F48F6"/>
    <w:rsid w:val="00804629"/>
    <w:rsid w:val="008079CC"/>
    <w:rsid w:val="00811227"/>
    <w:rsid w:val="00822C05"/>
    <w:rsid w:val="00822E14"/>
    <w:rsid w:val="00824B1D"/>
    <w:rsid w:val="008267A8"/>
    <w:rsid w:val="00840F59"/>
    <w:rsid w:val="008446DB"/>
    <w:rsid w:val="00851651"/>
    <w:rsid w:val="00855E8A"/>
    <w:rsid w:val="0085669E"/>
    <w:rsid w:val="00857C02"/>
    <w:rsid w:val="00863016"/>
    <w:rsid w:val="0086448F"/>
    <w:rsid w:val="00867331"/>
    <w:rsid w:val="00873F7F"/>
    <w:rsid w:val="008773B8"/>
    <w:rsid w:val="00882BBD"/>
    <w:rsid w:val="00882CA4"/>
    <w:rsid w:val="008838D7"/>
    <w:rsid w:val="0088477B"/>
    <w:rsid w:val="008916BD"/>
    <w:rsid w:val="008A3AFC"/>
    <w:rsid w:val="008A3DBA"/>
    <w:rsid w:val="008A7B8A"/>
    <w:rsid w:val="008B43F4"/>
    <w:rsid w:val="008B640C"/>
    <w:rsid w:val="008C2850"/>
    <w:rsid w:val="008C2AC8"/>
    <w:rsid w:val="008D2256"/>
    <w:rsid w:val="008D5A3A"/>
    <w:rsid w:val="008E4C25"/>
    <w:rsid w:val="008E67FF"/>
    <w:rsid w:val="008F14B4"/>
    <w:rsid w:val="008F1A4F"/>
    <w:rsid w:val="008F2A66"/>
    <w:rsid w:val="008F34B9"/>
    <w:rsid w:val="008F3E33"/>
    <w:rsid w:val="008F4E71"/>
    <w:rsid w:val="00906253"/>
    <w:rsid w:val="0091070A"/>
    <w:rsid w:val="009110E1"/>
    <w:rsid w:val="0092031E"/>
    <w:rsid w:val="00922AD2"/>
    <w:rsid w:val="00923ABE"/>
    <w:rsid w:val="00923C52"/>
    <w:rsid w:val="0093188F"/>
    <w:rsid w:val="009335F1"/>
    <w:rsid w:val="009358FF"/>
    <w:rsid w:val="00941D04"/>
    <w:rsid w:val="00942D94"/>
    <w:rsid w:val="0094564A"/>
    <w:rsid w:val="00945856"/>
    <w:rsid w:val="00946C1C"/>
    <w:rsid w:val="0095025F"/>
    <w:rsid w:val="00950B9E"/>
    <w:rsid w:val="00950BB0"/>
    <w:rsid w:val="009541BA"/>
    <w:rsid w:val="0095566F"/>
    <w:rsid w:val="00971281"/>
    <w:rsid w:val="0097137F"/>
    <w:rsid w:val="00976298"/>
    <w:rsid w:val="00980927"/>
    <w:rsid w:val="00981BF9"/>
    <w:rsid w:val="00982BC1"/>
    <w:rsid w:val="009832F0"/>
    <w:rsid w:val="00994553"/>
    <w:rsid w:val="0099659F"/>
    <w:rsid w:val="009A0168"/>
    <w:rsid w:val="009A28C8"/>
    <w:rsid w:val="009B2E02"/>
    <w:rsid w:val="009B3050"/>
    <w:rsid w:val="009B377A"/>
    <w:rsid w:val="009B52FD"/>
    <w:rsid w:val="009B5DD1"/>
    <w:rsid w:val="009B6D80"/>
    <w:rsid w:val="009C6A84"/>
    <w:rsid w:val="009C7783"/>
    <w:rsid w:val="009D380C"/>
    <w:rsid w:val="009D44F6"/>
    <w:rsid w:val="009D539D"/>
    <w:rsid w:val="009D76AE"/>
    <w:rsid w:val="009E5C9E"/>
    <w:rsid w:val="009E6386"/>
    <w:rsid w:val="009E74FF"/>
    <w:rsid w:val="009F3A1B"/>
    <w:rsid w:val="009F7411"/>
    <w:rsid w:val="00A00DEB"/>
    <w:rsid w:val="00A04C79"/>
    <w:rsid w:val="00A0617B"/>
    <w:rsid w:val="00A06303"/>
    <w:rsid w:val="00A11BEF"/>
    <w:rsid w:val="00A12044"/>
    <w:rsid w:val="00A127E9"/>
    <w:rsid w:val="00A16F7B"/>
    <w:rsid w:val="00A255E5"/>
    <w:rsid w:val="00A26879"/>
    <w:rsid w:val="00A300C8"/>
    <w:rsid w:val="00A34B4D"/>
    <w:rsid w:val="00A40FC2"/>
    <w:rsid w:val="00A4224E"/>
    <w:rsid w:val="00A439C0"/>
    <w:rsid w:val="00A525E3"/>
    <w:rsid w:val="00A555D0"/>
    <w:rsid w:val="00A5612B"/>
    <w:rsid w:val="00A601B2"/>
    <w:rsid w:val="00A61B13"/>
    <w:rsid w:val="00A63C55"/>
    <w:rsid w:val="00A66D78"/>
    <w:rsid w:val="00A80676"/>
    <w:rsid w:val="00A87A14"/>
    <w:rsid w:val="00A97164"/>
    <w:rsid w:val="00A97C64"/>
    <w:rsid w:val="00AA3770"/>
    <w:rsid w:val="00AA4991"/>
    <w:rsid w:val="00AA4A30"/>
    <w:rsid w:val="00AB247C"/>
    <w:rsid w:val="00AB6B3D"/>
    <w:rsid w:val="00AC3E6F"/>
    <w:rsid w:val="00AC3F65"/>
    <w:rsid w:val="00AC6BB0"/>
    <w:rsid w:val="00AD0245"/>
    <w:rsid w:val="00AD2D91"/>
    <w:rsid w:val="00AD355C"/>
    <w:rsid w:val="00AD5C64"/>
    <w:rsid w:val="00AD65B4"/>
    <w:rsid w:val="00AD7E33"/>
    <w:rsid w:val="00AE4E70"/>
    <w:rsid w:val="00AE541A"/>
    <w:rsid w:val="00AE5582"/>
    <w:rsid w:val="00AE5B91"/>
    <w:rsid w:val="00AF15C8"/>
    <w:rsid w:val="00AF4FD8"/>
    <w:rsid w:val="00AF5704"/>
    <w:rsid w:val="00B05203"/>
    <w:rsid w:val="00B1106D"/>
    <w:rsid w:val="00B1448A"/>
    <w:rsid w:val="00B16474"/>
    <w:rsid w:val="00B16C2F"/>
    <w:rsid w:val="00B16CEF"/>
    <w:rsid w:val="00B22167"/>
    <w:rsid w:val="00B2454B"/>
    <w:rsid w:val="00B26546"/>
    <w:rsid w:val="00B273BE"/>
    <w:rsid w:val="00B35242"/>
    <w:rsid w:val="00B366F3"/>
    <w:rsid w:val="00B43BC2"/>
    <w:rsid w:val="00B44641"/>
    <w:rsid w:val="00B44C0F"/>
    <w:rsid w:val="00B45ECE"/>
    <w:rsid w:val="00B47D6B"/>
    <w:rsid w:val="00B54635"/>
    <w:rsid w:val="00B6188B"/>
    <w:rsid w:val="00B61ABC"/>
    <w:rsid w:val="00B636E9"/>
    <w:rsid w:val="00B82B4B"/>
    <w:rsid w:val="00B85B1F"/>
    <w:rsid w:val="00BA6688"/>
    <w:rsid w:val="00BB51B3"/>
    <w:rsid w:val="00BB56A3"/>
    <w:rsid w:val="00BC7C92"/>
    <w:rsid w:val="00BD0CAA"/>
    <w:rsid w:val="00BD1348"/>
    <w:rsid w:val="00BD2469"/>
    <w:rsid w:val="00BD3978"/>
    <w:rsid w:val="00BD4DC7"/>
    <w:rsid w:val="00BD64BB"/>
    <w:rsid w:val="00BE3493"/>
    <w:rsid w:val="00BE7B49"/>
    <w:rsid w:val="00BF3B2B"/>
    <w:rsid w:val="00C0095A"/>
    <w:rsid w:val="00C043BE"/>
    <w:rsid w:val="00C13101"/>
    <w:rsid w:val="00C13993"/>
    <w:rsid w:val="00C17635"/>
    <w:rsid w:val="00C177E1"/>
    <w:rsid w:val="00C23C79"/>
    <w:rsid w:val="00C26846"/>
    <w:rsid w:val="00C33BB4"/>
    <w:rsid w:val="00C351AF"/>
    <w:rsid w:val="00C41C61"/>
    <w:rsid w:val="00C4261B"/>
    <w:rsid w:val="00C46C99"/>
    <w:rsid w:val="00C50887"/>
    <w:rsid w:val="00C51469"/>
    <w:rsid w:val="00C553AF"/>
    <w:rsid w:val="00C55979"/>
    <w:rsid w:val="00C61F4C"/>
    <w:rsid w:val="00C77A2E"/>
    <w:rsid w:val="00C8353C"/>
    <w:rsid w:val="00C854A0"/>
    <w:rsid w:val="00C859A0"/>
    <w:rsid w:val="00C85BC3"/>
    <w:rsid w:val="00C87946"/>
    <w:rsid w:val="00C977A5"/>
    <w:rsid w:val="00CA0578"/>
    <w:rsid w:val="00CA1E7E"/>
    <w:rsid w:val="00CA275C"/>
    <w:rsid w:val="00CA37FD"/>
    <w:rsid w:val="00CA4DC8"/>
    <w:rsid w:val="00CA6B38"/>
    <w:rsid w:val="00CB1659"/>
    <w:rsid w:val="00CB1C10"/>
    <w:rsid w:val="00CB5DFE"/>
    <w:rsid w:val="00CC0221"/>
    <w:rsid w:val="00CC2687"/>
    <w:rsid w:val="00CC27C1"/>
    <w:rsid w:val="00CC3D1C"/>
    <w:rsid w:val="00CC4614"/>
    <w:rsid w:val="00CE037C"/>
    <w:rsid w:val="00CE1250"/>
    <w:rsid w:val="00CE2671"/>
    <w:rsid w:val="00CE2DB2"/>
    <w:rsid w:val="00CE3FEC"/>
    <w:rsid w:val="00CF3031"/>
    <w:rsid w:val="00CF3E94"/>
    <w:rsid w:val="00CF5884"/>
    <w:rsid w:val="00CF58E9"/>
    <w:rsid w:val="00D001D8"/>
    <w:rsid w:val="00D04B6C"/>
    <w:rsid w:val="00D0555C"/>
    <w:rsid w:val="00D060CD"/>
    <w:rsid w:val="00D12CC5"/>
    <w:rsid w:val="00D15336"/>
    <w:rsid w:val="00D20B69"/>
    <w:rsid w:val="00D228D3"/>
    <w:rsid w:val="00D26326"/>
    <w:rsid w:val="00D32C7A"/>
    <w:rsid w:val="00D341C3"/>
    <w:rsid w:val="00D349F9"/>
    <w:rsid w:val="00D36110"/>
    <w:rsid w:val="00D45535"/>
    <w:rsid w:val="00D46BB3"/>
    <w:rsid w:val="00D514CA"/>
    <w:rsid w:val="00D51FDD"/>
    <w:rsid w:val="00D54505"/>
    <w:rsid w:val="00D61155"/>
    <w:rsid w:val="00D74157"/>
    <w:rsid w:val="00D761FB"/>
    <w:rsid w:val="00D76497"/>
    <w:rsid w:val="00D807D9"/>
    <w:rsid w:val="00D8438D"/>
    <w:rsid w:val="00D876CC"/>
    <w:rsid w:val="00D8777C"/>
    <w:rsid w:val="00D94325"/>
    <w:rsid w:val="00D96CCB"/>
    <w:rsid w:val="00DA0B66"/>
    <w:rsid w:val="00DB5B1E"/>
    <w:rsid w:val="00DC7ADF"/>
    <w:rsid w:val="00DD6D7B"/>
    <w:rsid w:val="00DD7A84"/>
    <w:rsid w:val="00DE0B2A"/>
    <w:rsid w:val="00DE15D1"/>
    <w:rsid w:val="00DE2707"/>
    <w:rsid w:val="00DF0410"/>
    <w:rsid w:val="00DF0986"/>
    <w:rsid w:val="00DF1FB9"/>
    <w:rsid w:val="00DF2CA6"/>
    <w:rsid w:val="00DF6954"/>
    <w:rsid w:val="00E078AB"/>
    <w:rsid w:val="00E135BA"/>
    <w:rsid w:val="00E208D1"/>
    <w:rsid w:val="00E2529E"/>
    <w:rsid w:val="00E32756"/>
    <w:rsid w:val="00E37DC3"/>
    <w:rsid w:val="00E41892"/>
    <w:rsid w:val="00E424F5"/>
    <w:rsid w:val="00E52981"/>
    <w:rsid w:val="00E53E4C"/>
    <w:rsid w:val="00E5461E"/>
    <w:rsid w:val="00E601B2"/>
    <w:rsid w:val="00E7180F"/>
    <w:rsid w:val="00E8695C"/>
    <w:rsid w:val="00E93EB3"/>
    <w:rsid w:val="00EA35CE"/>
    <w:rsid w:val="00EA406F"/>
    <w:rsid w:val="00EA633B"/>
    <w:rsid w:val="00EB24AD"/>
    <w:rsid w:val="00EB2E26"/>
    <w:rsid w:val="00EB4CE7"/>
    <w:rsid w:val="00EB7421"/>
    <w:rsid w:val="00EB7D29"/>
    <w:rsid w:val="00EC675A"/>
    <w:rsid w:val="00ED3DFD"/>
    <w:rsid w:val="00ED5DC0"/>
    <w:rsid w:val="00ED6D38"/>
    <w:rsid w:val="00EE0D79"/>
    <w:rsid w:val="00EE1635"/>
    <w:rsid w:val="00EE6235"/>
    <w:rsid w:val="00EE6E2D"/>
    <w:rsid w:val="00EF26CA"/>
    <w:rsid w:val="00EF3EEE"/>
    <w:rsid w:val="00F14D6C"/>
    <w:rsid w:val="00F170A6"/>
    <w:rsid w:val="00F176BA"/>
    <w:rsid w:val="00F17A59"/>
    <w:rsid w:val="00F23E5B"/>
    <w:rsid w:val="00F32719"/>
    <w:rsid w:val="00F35625"/>
    <w:rsid w:val="00F35BC7"/>
    <w:rsid w:val="00F36296"/>
    <w:rsid w:val="00F4101A"/>
    <w:rsid w:val="00F502F6"/>
    <w:rsid w:val="00F506D3"/>
    <w:rsid w:val="00F53A1D"/>
    <w:rsid w:val="00F53E71"/>
    <w:rsid w:val="00F5521F"/>
    <w:rsid w:val="00F6084D"/>
    <w:rsid w:val="00F61409"/>
    <w:rsid w:val="00F754BB"/>
    <w:rsid w:val="00F77926"/>
    <w:rsid w:val="00F82354"/>
    <w:rsid w:val="00F83200"/>
    <w:rsid w:val="00F870A1"/>
    <w:rsid w:val="00F87996"/>
    <w:rsid w:val="00F91975"/>
    <w:rsid w:val="00F9303C"/>
    <w:rsid w:val="00FB1787"/>
    <w:rsid w:val="00FB2B37"/>
    <w:rsid w:val="00FB345D"/>
    <w:rsid w:val="00FB6DB7"/>
    <w:rsid w:val="00FB7A54"/>
    <w:rsid w:val="00FC1816"/>
    <w:rsid w:val="00FD3A78"/>
    <w:rsid w:val="00FD613B"/>
    <w:rsid w:val="00FE1FC8"/>
    <w:rsid w:val="00FE615E"/>
    <w:rsid w:val="00FE7C92"/>
    <w:rsid w:val="00FF7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5C938"/>
  <w15:chartTrackingRefBased/>
  <w15:docId w15:val="{E65AE55B-3E90-4028-AA07-C00916D47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154"/>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ssue-underline">
    <w:name w:val="issue-underline"/>
    <w:basedOn w:val="DefaultParagraphFont"/>
    <w:rsid w:val="00B85B1F"/>
  </w:style>
  <w:style w:type="character" w:styleId="Hyperlink">
    <w:name w:val="Hyperlink"/>
    <w:basedOn w:val="DefaultParagraphFont"/>
    <w:uiPriority w:val="99"/>
    <w:unhideWhenUsed/>
    <w:qFormat/>
    <w:rsid w:val="007A4CF8"/>
    <w:rPr>
      <w:color w:val="0563C1" w:themeColor="hyperlink"/>
      <w:u w:val="single"/>
    </w:rPr>
  </w:style>
  <w:style w:type="character" w:styleId="UnresolvedMention">
    <w:name w:val="Unresolved Mention"/>
    <w:basedOn w:val="DefaultParagraphFont"/>
    <w:uiPriority w:val="99"/>
    <w:semiHidden/>
    <w:unhideWhenUsed/>
    <w:rsid w:val="007A4CF8"/>
    <w:rPr>
      <w:color w:val="605E5C"/>
      <w:shd w:val="clear" w:color="auto" w:fill="E1DFDD"/>
    </w:rPr>
  </w:style>
  <w:style w:type="paragraph" w:styleId="NormalWeb">
    <w:name w:val="Normal (Web)"/>
    <w:basedOn w:val="Normal"/>
    <w:uiPriority w:val="99"/>
    <w:unhideWhenUsed/>
    <w:qFormat/>
    <w:rsid w:val="000A1EFB"/>
    <w:pPr>
      <w:spacing w:before="100" w:beforeAutospacing="1" w:after="100" w:afterAutospacing="1"/>
    </w:pPr>
    <w:rPr>
      <w:sz w:val="24"/>
      <w:szCs w:val="24"/>
      <w:lang w:val="en-US" w:eastAsia="en-US"/>
    </w:rPr>
  </w:style>
  <w:style w:type="paragraph" w:customStyle="1" w:styleId="pb-2">
    <w:name w:val="pb-2"/>
    <w:basedOn w:val="Normal"/>
    <w:rsid w:val="009D76AE"/>
    <w:pPr>
      <w:spacing w:before="100" w:beforeAutospacing="1" w:after="100" w:afterAutospacing="1"/>
    </w:pPr>
    <w:rPr>
      <w:sz w:val="24"/>
      <w:szCs w:val="24"/>
    </w:rPr>
  </w:style>
  <w:style w:type="paragraph" w:styleId="Header">
    <w:name w:val="header"/>
    <w:basedOn w:val="Normal"/>
    <w:link w:val="HeaderChar"/>
    <w:uiPriority w:val="99"/>
    <w:unhideWhenUsed/>
    <w:rsid w:val="00AE4E70"/>
    <w:pPr>
      <w:tabs>
        <w:tab w:val="center" w:pos="4513"/>
        <w:tab w:val="right" w:pos="9026"/>
      </w:tabs>
    </w:pPr>
  </w:style>
  <w:style w:type="character" w:customStyle="1" w:styleId="HeaderChar">
    <w:name w:val="Header Char"/>
    <w:basedOn w:val="DefaultParagraphFont"/>
    <w:link w:val="Header"/>
    <w:uiPriority w:val="99"/>
    <w:rsid w:val="00AE4E70"/>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AE4E70"/>
    <w:pPr>
      <w:tabs>
        <w:tab w:val="center" w:pos="4513"/>
        <w:tab w:val="right" w:pos="9026"/>
      </w:tabs>
    </w:pPr>
  </w:style>
  <w:style w:type="character" w:customStyle="1" w:styleId="FooterChar">
    <w:name w:val="Footer Char"/>
    <w:basedOn w:val="DefaultParagraphFont"/>
    <w:link w:val="Footer"/>
    <w:uiPriority w:val="99"/>
    <w:rsid w:val="00AE4E70"/>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628398">
      <w:bodyDiv w:val="1"/>
      <w:marLeft w:val="0"/>
      <w:marRight w:val="0"/>
      <w:marTop w:val="0"/>
      <w:marBottom w:val="0"/>
      <w:divBdr>
        <w:top w:val="none" w:sz="0" w:space="0" w:color="auto"/>
        <w:left w:val="none" w:sz="0" w:space="0" w:color="auto"/>
        <w:bottom w:val="none" w:sz="0" w:space="0" w:color="auto"/>
        <w:right w:val="none" w:sz="0" w:space="0" w:color="auto"/>
      </w:divBdr>
    </w:div>
    <w:div w:id="1074468213">
      <w:bodyDiv w:val="1"/>
      <w:marLeft w:val="0"/>
      <w:marRight w:val="0"/>
      <w:marTop w:val="0"/>
      <w:marBottom w:val="0"/>
      <w:divBdr>
        <w:top w:val="none" w:sz="0" w:space="0" w:color="auto"/>
        <w:left w:val="none" w:sz="0" w:space="0" w:color="auto"/>
        <w:bottom w:val="none" w:sz="0" w:space="0" w:color="auto"/>
        <w:right w:val="none" w:sz="0" w:space="0" w:color="auto"/>
      </w:divBdr>
    </w:div>
    <w:div w:id="1317370016">
      <w:bodyDiv w:val="1"/>
      <w:marLeft w:val="0"/>
      <w:marRight w:val="0"/>
      <w:marTop w:val="0"/>
      <w:marBottom w:val="0"/>
      <w:divBdr>
        <w:top w:val="none" w:sz="0" w:space="0" w:color="auto"/>
        <w:left w:val="none" w:sz="0" w:space="0" w:color="auto"/>
        <w:bottom w:val="none" w:sz="0" w:space="0" w:color="auto"/>
        <w:right w:val="none" w:sz="0" w:space="0" w:color="auto"/>
      </w:divBdr>
    </w:div>
    <w:div w:id="1613629418">
      <w:bodyDiv w:val="1"/>
      <w:marLeft w:val="0"/>
      <w:marRight w:val="0"/>
      <w:marTop w:val="0"/>
      <w:marBottom w:val="0"/>
      <w:divBdr>
        <w:top w:val="none" w:sz="0" w:space="0" w:color="auto"/>
        <w:left w:val="none" w:sz="0" w:space="0" w:color="auto"/>
        <w:bottom w:val="none" w:sz="0" w:space="0" w:color="auto"/>
        <w:right w:val="none" w:sz="0" w:space="0" w:color="auto"/>
      </w:divBdr>
    </w:div>
    <w:div w:id="1721007600">
      <w:bodyDiv w:val="1"/>
      <w:marLeft w:val="0"/>
      <w:marRight w:val="0"/>
      <w:marTop w:val="0"/>
      <w:marBottom w:val="0"/>
      <w:divBdr>
        <w:top w:val="none" w:sz="0" w:space="0" w:color="auto"/>
        <w:left w:val="none" w:sz="0" w:space="0" w:color="auto"/>
        <w:bottom w:val="none" w:sz="0" w:space="0" w:color="auto"/>
        <w:right w:val="none" w:sz="0" w:space="0" w:color="auto"/>
      </w:divBdr>
    </w:div>
    <w:div w:id="1951665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hmicfrs.justiceinspectorates.gov.uk/uploads/understanding-the-difference-the-initial-police-response-to-hate-crime.pdf" TargetMode="External"/><Relationship Id="rId13" Type="http://schemas.openxmlformats.org/officeDocument/2006/relationships/hyperlink" Target="https://www.economicsobservatory.com/did-the-vote-for-brexit-lead-to-a-rise-in-hate-crime//" TargetMode="External"/><Relationship Id="rId3" Type="http://schemas.openxmlformats.org/officeDocument/2006/relationships/webSettings" Target="webSettings.xml"/><Relationship Id="rId7" Type="http://schemas.openxmlformats.org/officeDocument/2006/relationships/hyperlink" Target="https://assets.publishing.service.gov.uk/media/5a7ec42240f0b6230268b67b/HateCrimeActionPlanProgressReport.pdf" TargetMode="External"/><Relationship Id="rId12" Type="http://schemas.openxmlformats.org/officeDocument/2006/relationships/hyperlink" Target="https://www.cps.gov.uk/sites/default/files/documents/publications/Hate-Crime-what-it-is-and-how-to-support-victims-and-witnesses.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ps.gov.uk/sites/default/files/documents/publications/Hate-Crime-what-it-is-and-how-to-support-victims-and-witnesses.pdf" TargetMode="External"/><Relationship Id="rId11" Type="http://schemas.openxmlformats.org/officeDocument/2006/relationships/hyperlink" Target="https://www.gov.uk/government/publications/inclusive-britain-update-report/inclusive-britain-update-report//"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lawcom.gov.uk/project/hate-crime//" TargetMode="External"/><Relationship Id="rId4" Type="http://schemas.openxmlformats.org/officeDocument/2006/relationships/footnotes" Target="footnotes.xml"/><Relationship Id="rId9" Type="http://schemas.openxmlformats.org/officeDocument/2006/relationships/hyperlink" Target="https://assets.publishing.service.gov.uk/media/5e6b8adf86650c72748487ab/successes-and-challenges-horr115.pdf" TargetMode="External"/><Relationship Id="rId14" Type="http://schemas.openxmlformats.org/officeDocument/2006/relationships/hyperlink" Target="https://www.theguardian.com/society/2021/oct/12/hate-crimes-in-england-and-wales-up-9-since-covid-pandemic-beg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3735</Words>
  <Characters>21293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6</cp:revision>
  <dcterms:created xsi:type="dcterms:W3CDTF">2024-01-12T17:25:00Z</dcterms:created>
  <dcterms:modified xsi:type="dcterms:W3CDTF">2024-01-12T17:40:00Z</dcterms:modified>
</cp:coreProperties>
</file>