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013B83">
      <w:pPr>
        <w:pStyle w:val="38"/>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drawing>
          <wp:inline distT="0" distB="0" distL="0" distR="0">
            <wp:extent cx="3977640" cy="2369820"/>
            <wp:effectExtent l="0" t="0" r="3810" b="0"/>
            <wp:docPr id="2125467494" name="Picture 1" descr="A white backgroun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125467494" name="Picture 1" descr="A white background with black text&#10;&#10;Description automatically generated"/>
                    <pic:cNvPicPr/>
                  </pic:nvPicPr>
                  <pic:blipFill>
                    <a:blip r:embed="rId8"/>
                    <a:srcRect l="5440" t="3040" r="52960" b="73120"/>
                    <a:stretch>
                      <a:fillRect/>
                    </a:stretch>
                  </pic:blipFill>
                  <pic:spPr>
                    <a:xfrm>
                      <a:off x="0" y="0"/>
                      <a:ext cx="3978538" cy="2370355"/>
                    </a:xfrm>
                    <a:prstGeom prst="rect">
                      <a:avLst/>
                    </a:prstGeom>
                    <a:noFill/>
                    <a:ln>
                      <a:noFill/>
                      <a:prstDash val="solid"/>
                    </a:ln>
                  </pic:spPr>
                </pic:pic>
              </a:graphicData>
            </a:graphic>
          </wp:inline>
        </w:drawing>
      </w:r>
    </w:p>
    <w:p w14:paraId="7A658CAC">
      <w:pPr>
        <w:pStyle w:val="38"/>
        <w:spacing w:line="360" w:lineRule="auto"/>
        <w:rPr>
          <w:rFonts w:hint="default" w:ascii="Arial" w:hAnsi="Arial" w:cs="Arial"/>
          <w:color w:val="000000" w:themeColor="text1"/>
          <w:sz w:val="22"/>
          <w:szCs w:val="22"/>
          <w14:textFill>
            <w14:solidFill>
              <w14:schemeClr w14:val="tx1"/>
            </w14:solidFill>
          </w14:textFill>
        </w:rPr>
      </w:pPr>
    </w:p>
    <w:p w14:paraId="518453CE">
      <w:pPr>
        <w:pStyle w:val="38"/>
        <w:spacing w:line="360" w:lineRule="auto"/>
        <w:rPr>
          <w:rFonts w:hint="default" w:ascii="Arial" w:hAnsi="Arial" w:cs="Arial"/>
          <w:color w:val="000000" w:themeColor="text1"/>
          <w:sz w:val="22"/>
          <w:szCs w:val="22"/>
          <w14:textFill>
            <w14:solidFill>
              <w14:schemeClr w14:val="tx1"/>
            </w14:solidFill>
          </w14:textFill>
        </w:rPr>
      </w:pPr>
    </w:p>
    <w:p w14:paraId="50E618EF">
      <w:pPr>
        <w:pStyle w:val="38"/>
        <w:spacing w:line="360" w:lineRule="auto"/>
        <w:rPr>
          <w:rFonts w:hint="default" w:ascii="Arial" w:hAnsi="Arial" w:cs="Arial"/>
          <w:color w:val="000000" w:themeColor="text1"/>
          <w:sz w:val="22"/>
          <w:szCs w:val="22"/>
          <w14:textFill>
            <w14:solidFill>
              <w14:schemeClr w14:val="tx1"/>
            </w14:solidFill>
          </w14:textFill>
        </w:rPr>
      </w:pPr>
    </w:p>
    <w:p w14:paraId="50E618F0">
      <w:pPr>
        <w:pStyle w:val="38"/>
        <w:spacing w:line="360" w:lineRule="auto"/>
        <w:rPr>
          <w:rFonts w:hint="default" w:ascii="Arial" w:hAnsi="Arial" w:cs="Arial"/>
          <w:color w:val="000000" w:themeColor="text1"/>
          <w:sz w:val="22"/>
          <w:szCs w:val="22"/>
          <w14:textFill>
            <w14:solidFill>
              <w14:schemeClr w14:val="tx1"/>
            </w14:solidFill>
          </w14:textFill>
        </w:rPr>
      </w:pPr>
      <w:r>
        <w:rPr>
          <w:rStyle w:val="39"/>
          <w:rFonts w:hint="default" w:ascii="Arial" w:hAnsi="Arial" w:cs="Arial"/>
          <w:b/>
          <w:bCs/>
          <w:color w:val="000000" w:themeColor="text1"/>
          <w:sz w:val="22"/>
          <w:szCs w:val="22"/>
          <w14:textFill>
            <w14:solidFill>
              <w14:schemeClr w14:val="tx1"/>
            </w14:solidFill>
          </w14:textFill>
        </w:rPr>
        <w:t>Student name: Katarina Dydnanska</w:t>
      </w:r>
    </w:p>
    <w:p w14:paraId="50E618F1">
      <w:pPr>
        <w:pStyle w:val="38"/>
        <w:spacing w:line="360" w:lineRule="auto"/>
        <w:rPr>
          <w:rFonts w:hint="default" w:ascii="Arial" w:hAnsi="Arial" w:cs="Arial"/>
          <w:color w:val="000000" w:themeColor="text1"/>
          <w:sz w:val="22"/>
          <w:szCs w:val="22"/>
          <w14:textFill>
            <w14:solidFill>
              <w14:schemeClr w14:val="tx1"/>
            </w14:solidFill>
          </w14:textFill>
        </w:rPr>
      </w:pPr>
      <w:r>
        <w:rPr>
          <w:rStyle w:val="39"/>
          <w:rFonts w:hint="default" w:ascii="Arial" w:hAnsi="Arial" w:cs="Arial"/>
          <w:b/>
          <w:bCs/>
          <w:color w:val="000000" w:themeColor="text1"/>
          <w:sz w:val="22"/>
          <w:szCs w:val="22"/>
          <w14:textFill>
            <w14:solidFill>
              <w14:schemeClr w14:val="tx1"/>
            </w14:solidFill>
          </w14:textFill>
        </w:rPr>
        <w:t>Student ID: 2247512</w:t>
      </w:r>
    </w:p>
    <w:p w14:paraId="50E618F2">
      <w:pPr>
        <w:pStyle w:val="38"/>
        <w:spacing w:line="360" w:lineRule="auto"/>
        <w:rPr>
          <w:rFonts w:hint="default" w:ascii="Arial" w:hAnsi="Arial" w:cs="Arial"/>
          <w:b/>
          <w:bCs/>
          <w:color w:val="000000" w:themeColor="text1"/>
          <w:sz w:val="22"/>
          <w:szCs w:val="22"/>
          <w14:textFill>
            <w14:solidFill>
              <w14:schemeClr w14:val="tx1"/>
            </w14:solidFill>
          </w14:textFill>
        </w:rPr>
      </w:pPr>
      <w:r>
        <w:rPr>
          <w:rStyle w:val="39"/>
          <w:rFonts w:hint="default" w:ascii="Arial" w:hAnsi="Arial" w:cs="Arial"/>
          <w:b/>
          <w:bCs/>
          <w:color w:val="000000" w:themeColor="text1"/>
          <w:sz w:val="22"/>
          <w:szCs w:val="22"/>
          <w14:textFill>
            <w14:solidFill>
              <w14:schemeClr w14:val="tx1"/>
            </w14:solidFill>
          </w14:textFill>
        </w:rPr>
        <w:t>Module code:</w:t>
      </w:r>
      <w:bookmarkStart w:id="0" w:name="_GoBack"/>
      <w:r>
        <w:rPr>
          <w:rStyle w:val="39"/>
          <w:rFonts w:hint="default" w:ascii="Arial" w:hAnsi="Arial" w:cs="Arial"/>
          <w:b/>
          <w:bCs/>
          <w:color w:val="000000" w:themeColor="text1"/>
          <w:sz w:val="22"/>
          <w:szCs w:val="22"/>
          <w14:textFill>
            <w14:solidFill>
              <w14:schemeClr w14:val="tx1"/>
            </w14:solidFill>
          </w14:textFill>
        </w:rPr>
        <w:t xml:space="preserve"> </w:t>
      </w:r>
      <w:r>
        <w:rPr>
          <w:rFonts w:hint="default" w:ascii="Arial" w:hAnsi="Arial" w:eastAsia="SimSun" w:cs="Arial"/>
          <w:b/>
          <w:bCs/>
          <w:color w:val="000000" w:themeColor="text1"/>
          <w:sz w:val="24"/>
          <w:szCs w:val="24"/>
          <w14:textFill>
            <w14:solidFill>
              <w14:schemeClr w14:val="tx1"/>
            </w14:solidFill>
          </w14:textFill>
        </w:rPr>
        <w:t>LCBB6006</w:t>
      </w:r>
    </w:p>
    <w:p w14:paraId="50E618F3">
      <w:pPr>
        <w:pStyle w:val="38"/>
        <w:spacing w:line="360" w:lineRule="auto"/>
        <w:rPr>
          <w:rFonts w:hint="default" w:ascii="Arial" w:hAnsi="Arial" w:cs="Arial"/>
          <w:b/>
          <w:bCs/>
          <w:color w:val="000000" w:themeColor="text1"/>
          <w:sz w:val="22"/>
          <w:szCs w:val="22"/>
          <w14:textFill>
            <w14:solidFill>
              <w14:schemeClr w14:val="tx1"/>
            </w14:solidFill>
          </w14:textFill>
        </w:rPr>
      </w:pPr>
      <w:r>
        <w:rPr>
          <w:rStyle w:val="39"/>
          <w:rFonts w:hint="default" w:ascii="Arial" w:hAnsi="Arial" w:cs="Arial"/>
          <w:b/>
          <w:bCs/>
          <w:color w:val="000000" w:themeColor="text1"/>
          <w:sz w:val="22"/>
          <w:szCs w:val="22"/>
          <w14:textFill>
            <w14:solidFill>
              <w14:schemeClr w14:val="tx1"/>
            </w14:solidFill>
          </w14:textFill>
        </w:rPr>
        <w:t>Module name:</w:t>
      </w:r>
      <w:r>
        <w:rPr>
          <w:rStyle w:val="39"/>
          <w:rFonts w:hint="default" w:ascii="Arial" w:hAnsi="Arial" w:cs="Arial"/>
          <w:b/>
          <w:bCs/>
          <w:color w:val="000000" w:themeColor="text1"/>
          <w:sz w:val="22"/>
          <w:szCs w:val="22"/>
          <w14:textFill>
            <w14:solidFill>
              <w14:schemeClr w14:val="tx1"/>
            </w14:solidFill>
          </w14:textFill>
        </w:rPr>
        <w:t xml:space="preserve"> </w:t>
      </w:r>
      <w:r>
        <w:rPr>
          <w:rFonts w:hint="default" w:ascii="Arial" w:hAnsi="Arial" w:eastAsia="SimSun" w:cs="Arial"/>
          <w:b/>
          <w:bCs/>
          <w:color w:val="000000" w:themeColor="text1"/>
          <w:sz w:val="24"/>
          <w:szCs w:val="24"/>
          <w14:textFill>
            <w14:solidFill>
              <w14:schemeClr w14:val="tx1"/>
            </w14:solidFill>
          </w14:textFill>
        </w:rPr>
        <w:t>Project Management</w:t>
      </w:r>
    </w:p>
    <w:bookmarkEnd w:id="0"/>
    <w:p w14:paraId="50E618F4">
      <w:pPr>
        <w:rPr>
          <w:rFonts w:hint="default" w:ascii="Arial" w:hAnsi="Arial" w:cs="Arial"/>
          <w:b/>
          <w:bCs/>
          <w:color w:val="000000" w:themeColor="text1"/>
          <w:sz w:val="22"/>
          <w:szCs w:val="22"/>
          <w14:textFill>
            <w14:solidFill>
              <w14:schemeClr w14:val="tx1"/>
            </w14:solidFill>
          </w14:textFill>
        </w:rPr>
      </w:pPr>
      <w:r>
        <w:rPr>
          <w:rStyle w:val="39"/>
          <w:rFonts w:hint="default" w:ascii="Arial" w:hAnsi="Arial" w:cs="Arial"/>
          <w:b/>
          <w:bCs/>
          <w:color w:val="000000" w:themeColor="text1"/>
          <w:sz w:val="22"/>
          <w:szCs w:val="22"/>
          <w14:textFill>
            <w14:solidFill>
              <w14:schemeClr w14:val="tx1"/>
            </w14:solidFill>
          </w14:textFill>
        </w:rPr>
        <w:t xml:space="preserve">Lecture: </w:t>
      </w:r>
      <w:r>
        <w:rPr>
          <w:rFonts w:hint="default" w:ascii="Arial" w:hAnsi="Arial" w:cs="Arial"/>
          <w:b/>
          <w:bCs/>
          <w:color w:val="000000" w:themeColor="text1"/>
          <w:sz w:val="22"/>
          <w:szCs w:val="22"/>
          <w14:textFill>
            <w14:solidFill>
              <w14:schemeClr w14:val="tx1"/>
            </w14:solidFill>
          </w14:textFill>
        </w:rPr>
        <w:t>Zainab Atta</w:t>
      </w:r>
    </w:p>
    <w:p w14:paraId="59865D1C">
      <w:pPr>
        <w:rPr>
          <w:rFonts w:hint="default" w:ascii="Arial" w:hAnsi="Arial" w:cs="Arial"/>
          <w:b/>
          <w:bCs/>
          <w:color w:val="000000" w:themeColor="text1"/>
          <w:sz w:val="22"/>
          <w:szCs w:val="22"/>
          <w14:textFill>
            <w14:solidFill>
              <w14:schemeClr w14:val="tx1"/>
            </w14:solidFill>
          </w14:textFill>
        </w:rPr>
      </w:pPr>
    </w:p>
    <w:p w14:paraId="50E618F5">
      <w:pPr>
        <w:rPr>
          <w:rFonts w:hint="default" w:ascii="Arial" w:hAnsi="Arial" w:cs="Arial"/>
          <w:b/>
          <w:bCs/>
          <w:color w:val="000000" w:themeColor="text1"/>
          <w:sz w:val="22"/>
          <w:szCs w:val="22"/>
          <w14:textFill>
            <w14:solidFill>
              <w14:schemeClr w14:val="tx1"/>
            </w14:solidFill>
          </w14:textFill>
        </w:rPr>
      </w:pPr>
    </w:p>
    <w:p w14:paraId="50E618F6">
      <w:pPr>
        <w:rPr>
          <w:rFonts w:hint="default" w:ascii="Arial" w:hAnsi="Arial" w:cs="Arial"/>
          <w:b/>
          <w:bCs/>
          <w:color w:val="000000" w:themeColor="text1"/>
          <w:sz w:val="22"/>
          <w:szCs w:val="22"/>
          <w14:textFill>
            <w14:solidFill>
              <w14:schemeClr w14:val="tx1"/>
            </w14:solidFill>
          </w14:textFill>
        </w:rPr>
      </w:pPr>
    </w:p>
    <w:p w14:paraId="50E618F7">
      <w:pPr>
        <w:rPr>
          <w:rFonts w:hint="default" w:ascii="Arial" w:hAnsi="Arial" w:cs="Arial"/>
          <w:b/>
          <w:bCs/>
          <w:color w:val="000000" w:themeColor="text1"/>
          <w:sz w:val="22"/>
          <w:szCs w:val="22"/>
          <w14:textFill>
            <w14:solidFill>
              <w14:schemeClr w14:val="tx1"/>
            </w14:solidFill>
          </w14:textFill>
        </w:rPr>
      </w:pPr>
    </w:p>
    <w:p w14:paraId="5459CE99">
      <w:pPr>
        <w:rPr>
          <w:rFonts w:hint="default" w:ascii="Arial" w:hAnsi="Arial" w:cs="Arial"/>
          <w:b/>
          <w:bCs/>
          <w:color w:val="000000" w:themeColor="text1"/>
          <w:sz w:val="22"/>
          <w:szCs w:val="22"/>
          <w14:textFill>
            <w14:solidFill>
              <w14:schemeClr w14:val="tx1"/>
            </w14:solidFill>
          </w14:textFill>
        </w:rPr>
      </w:pPr>
    </w:p>
    <w:p w14:paraId="50E618F9">
      <w:pPr>
        <w:rPr>
          <w:rFonts w:hint="default" w:ascii="Arial" w:hAnsi="Arial" w:cs="Arial"/>
          <w:b/>
          <w:bCs/>
          <w:color w:val="000000" w:themeColor="text1"/>
          <w:sz w:val="22"/>
          <w:szCs w:val="22"/>
          <w14:textFill>
            <w14:solidFill>
              <w14:schemeClr w14:val="tx1"/>
            </w14:solidFill>
          </w14:textFill>
        </w:rPr>
      </w:pPr>
    </w:p>
    <w:p w14:paraId="50E61900">
      <w:pPr>
        <w:rPr>
          <w:rFonts w:hint="default" w:ascii="Arial" w:hAnsi="Arial" w:cs="Arial"/>
          <w:b/>
          <w:bCs/>
          <w:color w:val="000000" w:themeColor="text1"/>
          <w:sz w:val="22"/>
          <w:szCs w:val="22"/>
          <w14:textFill>
            <w14:solidFill>
              <w14:schemeClr w14:val="tx1"/>
            </w14:solidFill>
          </w14:textFill>
        </w:rPr>
      </w:pPr>
    </w:p>
    <w:p w14:paraId="5B86C998">
      <w:pPr>
        <w:rPr>
          <w:rFonts w:hint="default" w:ascii="Arial" w:hAnsi="Arial" w:cs="Arial"/>
          <w:b/>
          <w:bCs/>
          <w:color w:val="000000" w:themeColor="text1"/>
          <w:sz w:val="22"/>
          <w:szCs w:val="22"/>
          <w14:textFill>
            <w14:solidFill>
              <w14:schemeClr w14:val="tx1"/>
            </w14:solidFill>
          </w14:textFill>
        </w:rPr>
      </w:pPr>
    </w:p>
    <w:p w14:paraId="187056DF">
      <w:pPr>
        <w:rPr>
          <w:rFonts w:hint="default" w:ascii="Arial" w:hAnsi="Arial" w:cs="Arial"/>
          <w:b/>
          <w:bCs/>
          <w:color w:val="000000" w:themeColor="text1"/>
          <w:sz w:val="22"/>
          <w:szCs w:val="22"/>
          <w14:textFill>
            <w14:solidFill>
              <w14:schemeClr w14:val="tx1"/>
            </w14:solidFill>
          </w14:textFill>
        </w:rPr>
      </w:pPr>
    </w:p>
    <w:p w14:paraId="1F619DED">
      <w:pPr>
        <w:rPr>
          <w:rFonts w:hint="default" w:ascii="Arial" w:hAnsi="Arial" w:cs="Arial"/>
          <w:b/>
          <w:bCs/>
          <w:color w:val="000000" w:themeColor="text1"/>
          <w:sz w:val="22"/>
          <w:szCs w:val="22"/>
          <w14:textFill>
            <w14:solidFill>
              <w14:schemeClr w14:val="tx1"/>
            </w14:solidFill>
          </w14:textFill>
        </w:rPr>
      </w:pPr>
    </w:p>
    <w:p w14:paraId="7DD67C9E">
      <w:pPr>
        <w:rPr>
          <w:rFonts w:hint="default" w:ascii="Arial" w:hAnsi="Arial" w:cs="Arial"/>
          <w:b/>
          <w:bCs/>
          <w:color w:val="000000" w:themeColor="text1"/>
          <w:sz w:val="22"/>
          <w:szCs w:val="22"/>
          <w14:textFill>
            <w14:solidFill>
              <w14:schemeClr w14:val="tx1"/>
            </w14:solidFill>
          </w14:textFill>
        </w:rPr>
      </w:pPr>
    </w:p>
    <w:p w14:paraId="2DD43651">
      <w:pPr>
        <w:pStyle w:val="17"/>
        <w:keepNext w:val="0"/>
        <w:keepLines w:val="0"/>
        <w:widowControl/>
        <w:suppressLineNumbers w:val="0"/>
        <w:bidi w:val="0"/>
        <w:spacing w:before="0" w:beforeAutospacing="1" w:after="0" w:afterAutospacing="1"/>
        <w:ind w:left="0" w:right="0"/>
        <w:jc w:val="both"/>
        <w:rPr>
          <w:rFonts w:hint="default" w:ascii="Arial" w:hAnsi="Arial" w:cs="Arial"/>
          <w:b/>
          <w:bCs/>
          <w:color w:val="000000" w:themeColor="text1"/>
          <w:sz w:val="22"/>
          <w:szCs w:val="22"/>
          <w14:textFill>
            <w14:solidFill>
              <w14:schemeClr w14:val="tx1"/>
            </w14:solidFill>
          </w14:textFill>
        </w:rPr>
      </w:pPr>
    </w:p>
    <w:p w14:paraId="1A5DCA72">
      <w:pPr>
        <w:pStyle w:val="17"/>
        <w:keepNext w:val="0"/>
        <w:keepLines w:val="0"/>
        <w:widowControl/>
        <w:suppressLineNumbers w:val="0"/>
        <w:bidi w:val="0"/>
        <w:spacing w:before="0" w:beforeAutospacing="1" w:after="0" w:afterAutospacing="1"/>
        <w:ind w:left="0" w:right="0"/>
        <w:jc w:val="center"/>
        <w:rPr>
          <w:rFonts w:hint="default" w:ascii="Arial" w:hAnsi="Arial" w:cs="Arial"/>
          <w:b/>
          <w:bCs/>
          <w:color w:val="000000" w:themeColor="text1"/>
          <w:sz w:val="22"/>
          <w:szCs w:val="22"/>
          <w14:textFill>
            <w14:solidFill>
              <w14:schemeClr w14:val="tx1"/>
            </w14:solidFill>
          </w14:textFill>
        </w:rPr>
      </w:pPr>
      <w:r>
        <w:rPr>
          <w:rFonts w:hint="default" w:ascii="Arial" w:hAnsi="Arial" w:cs="Arial"/>
          <w:b/>
          <w:bCs/>
          <w:color w:val="000000" w:themeColor="text1"/>
          <w:sz w:val="22"/>
          <w:szCs w:val="22"/>
          <w14:textFill>
            <w14:solidFill>
              <w14:schemeClr w14:val="tx1"/>
            </w14:solidFill>
          </w14:textFill>
        </w:rPr>
        <w:t>Project plan for a breakfast club promoting healthy lifestyle, exercise, and protein-rich meals with a magical hour of free access</w:t>
      </w:r>
    </w:p>
    <w:p w14:paraId="369C1C33">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1. Introduction</w:t>
      </w:r>
    </w:p>
    <w:p w14:paraId="2B10FD5B">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importance of a good breakfast has long been recognized as being key to improving concentration in class and other cognitive functions. Adults and teachers are encouraged to eat breakfast since it is linked to better academic performance, improved health, better sleep patterns, and reduced risk of unhealthy behaviours. Research shows breakfast consumption is particularly low amongst teenagers, especially with a working or absent parent . Following an evidence-based breakfast club model would increase practical access and meet the criteria of a structured evidence-based plan to increase effectiveness. Breakfast clubs increase opportunities and access. An evidence-based model, offering a good range and variety of food over time, and coordinated with existing policies and programmes could have a positive impact.</w:t>
      </w:r>
    </w:p>
    <w:p w14:paraId="13C3149D">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A clear outline of the context indicates a compelling need. The overall aim would be to promote a more balanced breakfast and regular physical activity. The target audience is local primary and secondary pupils, with a particular focus on those from single-parent or working households. The breakfast club is a response to a direct local request. Food is a key obstacle for attendance at morning sports. Local primary teachers have also expressed more general concern about breakfast provision and physical activity levels. The proposal includes additional textual content sought in completing school food policy.</w:t>
      </w:r>
    </w:p>
    <w:p w14:paraId="4D4A7E1C">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need and urgency for increased healthy eating models and regular physical exercise remains clearly evident as a core problem. There is a clear connection between poor diet and mental health problems as well as poor academic attainment. Ensuring better access to a balanced morning meal, especially amongst the target pupils, and developing better and more regular exercise habits could contribute to the evidence-based need for a breakfast club. Providing some additional straightforward materials to assist in an initial setting-up phase of the breakfast club could also be beneficial. The intended impact is to support an increase in healthier breakfast meals and physical exercise.</w:t>
      </w:r>
    </w:p>
    <w:p w14:paraId="68DDF8B2">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2. Aim, objectives, and scope</w:t>
      </w:r>
    </w:p>
    <w:p w14:paraId="3CA2726D">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breakfast club should promote a healthier lifestyle by integrating exercise into the service and providing meals high in protein. The expected benefits include enabling participants to increase or maintain their protein intake, creating a sense of community that leads to healthy lifestyle adherence, promoting the local exercise community, and normalising breakfast consumption. The primary outcomes expected are to provide a breakfast for members exercising locally and to reintegrate breakfast into the morning routine of those who have stopped eating breakfast.</w:t>
      </w:r>
    </w:p>
    <w:p w14:paraId="23EB857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Specific, measurable objectives are expected to include: </w:t>
      </w:r>
    </w:p>
    <w:p w14:paraId="7D3F6C47">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 Provide breakfast for at least fifteen guests four times per week for one month within nine months of the project’s initiation. </w:t>
      </w:r>
    </w:p>
    <w:p w14:paraId="552D5E8D">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 Reinstate breakfast into the morning routine of at least five of those who have previously omitted breakfast from their routine for five consecutive weeks within six months of the project’s initiation. </w:t>
      </w:r>
    </w:p>
    <w:p w14:paraId="07ADF89E">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Creatively support and promote the local exercise community through provision of a suitable breakfast four times per week for at least four months.</w:t>
      </w:r>
    </w:p>
    <w:p w14:paraId="4F365959">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3. Outputs and deliverables</w:t>
      </w:r>
    </w:p>
    <w:p w14:paraId="770EE377">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breakfast club will deliver the following outputs and deliverables, with specified results and standards.</w:t>
      </w:r>
    </w:p>
    <w:p w14:paraId="194C6E08">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A broad framework (e.g., objectives, terminology, standards, governance, risks) enables evaluation and traceability of associated activities. An accompanying video invites participation and clarifies scope, audience, location, format, risks, and accounting.</w:t>
      </w:r>
    </w:p>
    <w:p w14:paraId="39303B34">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initiative aims to boost attendance, punctuality, and health, contributing to the organisation’s goal of promoting lifelong healthy lifestyles by offering students food and drink before classes. Nutritional quality serves as a proxy indicator for benefits . Recognising vertebrate biology, dietary requirements, and behaviour, the plan proposes unrestricted access to animal protein within a predetermined time-frame.</w:t>
      </w:r>
    </w:p>
    <w:p w14:paraId="62536D2C">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A breakfast club is recognised to offer a tangible product with predictable benefits, facilitating evaluation of engagement and preparation for potential follow-up study. Furthermore, breakfast provision meets broad needs, including hunger, warmth, chemical balance, and social contact, while addressing more specific requirements related to health, well-being, re-engagement, and inclusion.</w:t>
      </w:r>
    </w:p>
    <w:p w14:paraId="047F6642">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4. Work Breakdown Structure</w:t>
      </w:r>
    </w:p>
    <w:p w14:paraId="13FC4467">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Within the breakfast club project, the prominent external benefit to be realized is representation in the local community. Increasing community visibility enables other programs, services, grants, and outreach initiatives to reach the intended target group more effectively .</w:t>
      </w:r>
    </w:p>
    <w:p w14:paraId="1E636483">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intent of providing a safe venue for youth to gather also extends to the promotion of the Healthy Active Living approach under the leadership of the vice-principal in nutrition and activity education. Proper nutrition and increased opportunity for activity are common, relevant conditions but have an added stimulus when appropriate youth-safe locations exist; in such circumstances, the community has a greater opportunity to focus on total health.</w:t>
      </w:r>
    </w:p>
    <w:p w14:paraId="46DE2E6D">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upper limit of external benefits sought will include youth surveys. Rapt attention on the part of the student when surveys on breakfast club early morning activities and campus maintenance are conducted has raised the need for youth input again. The community can determine whether sufficient interest exists to warrant a clearer indication of youth involvement through surveys in collaboration with the proper internal persons. An effective communication system currently exists between the community and the principal's office when student complaints and observations occur.</w:t>
      </w:r>
    </w:p>
    <w:p w14:paraId="04ECC57D">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evening video offering presented to students in local classrooms indicates that decision-making processes can promote youth collaboration in a sincere manner. Club leadership with a caring interest may also expand these opportunities further in coordination with the community. Interest not tied to the breakfast offering remains open for exploration while links to other credit-music or animation organizations presently exist.</w:t>
      </w:r>
    </w:p>
    <w:p w14:paraId="4E9409A0">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p>
    <w:p w14:paraId="4AE90837">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5. Activities, sub-activities, and tasks</w:t>
      </w:r>
    </w:p>
    <w:p w14:paraId="701D194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first activity is a breakfast club promoting a healthy lifestyle called Breakfast Club Magic Hour, starting with a project timeline and application name selection. Next, we will create a menu database and digitalize breakfast recipes for easier future management. Test and upload recipes to generate a daily meal menu, publishing all information on the app and the school’s website for awareness. The app will be available on Android and iOS to ensure accessibility for students. We will incorporate feedback and discussion features to engage students with school chefs. Various marketing strategies, both digital and traditional, will be used to promote Breakfast Club Magic Hour and raise nutritional awareness. Before launching an environmental project, we will gather data on necessary equipment, containers, and food types. A separate bin system will be constructed for food waste. We will also consult with chefs about kitchen training for club members. Cooking demonstrations will be considered to enhance students’ cooking knowledge. Progress on the app will be monitored, and after its release, we will propose a new lunch club to promote nutritious lunch ideas and enhance students' knowledge in nutrition. The lunch club will suggest recipes without involvement from the menu engineers or cooking department during the project's development.</w:t>
      </w:r>
    </w:p>
    <w:p w14:paraId="6BDC64E3">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6. Deliverables and milestones</w:t>
      </w:r>
    </w:p>
    <w:p w14:paraId="00AD2D26">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project primarily focuses on delivering breakfast food and drinks along with a space for consumption and physical activity. These will take place on-site, limited to 60 minutes. A designated desk will provide food and drinks, allowing simultaneous exercise. The breakfast is open to faculty, staff, and students to promote healthy eating. Access depends on exercise participation, with breakfast allocated before classes to maximize attendance. Registration is mandatory for the breakfast club. Light music and sound will enhance the atmosphere, and a nutritionist from the Department of Health will oversee the menu. Activities will start on the target date outlined in the pre-class schedule, with advertising during student orientation week. Feedback will be collected to ensure quality and guide future improvements. The club aims to extend beyond the college, requiring clear achievement measures to assess progress. Self-sufficiency is expected over time. An analysis will explore providing breakfast supplies for external events, linking to National Awareness Week. Regular discussions will involve students in demonstrations that promote nutrition without strict restrictions. Time slots for breakfast will be released 2 to 3 times a week, depending on survey results for flexibility. A school food audit and evaluation of participation and healthy eating education were conducted during the survey, with drafts created for questionnaires and discussions to prioritize scheme design. Evaluation plays a crucial role in monitoring progress and sharing knowledge in this area.</w:t>
      </w:r>
    </w:p>
    <w:p w14:paraId="3132797D">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7. Resources and assignments</w:t>
      </w:r>
    </w:p>
    <w:p w14:paraId="7C61ABBE">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Personnel roles and responsibilities</w:t>
      </w:r>
    </w:p>
    <w:p w14:paraId="21A55B67">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breakfast club will employ the following team members (minimum requirements in parentheses): club manager (a minimum of five years of demonstrated relevant experience), breakfast staff (a minimum of two years of demonstrated relevant experience), and health and well-being club staff (a minimum of two years of demonstrated relevant experience).</w:t>
      </w:r>
    </w:p>
    <w:p w14:paraId="1FD51C2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Manager: 8 hours %20 per week and provides all breakfasts with a potential gross cost of $5 per week per club member. Breakfast : 2 hours per week and four out of twelve club days. Health and Well-Being Coach: Train volunteers to encourage youth to set personal goals, maintain focus on physical activity, and offer tips and recipes for healthy breakfasts. Club Leader: 2 hours per week and provides breakfast. Well-Being Coach: Training sessions, nutrtion information, and follow-up contact. Travelling to/from recreational facilities with prepared breakfast items delivered Club Leader: Clubs are at culinary centres needing volunteers to provide meals and transportation.</w:t>
      </w:r>
    </w:p>
    <w:p w14:paraId="3DEB2D1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Facilities, equipment, and materials</w:t>
      </w:r>
    </w:p>
    <w:p w14:paraId="506C78A7">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Facilities and equipment in addition to cooking and food preparation equipment and transport, prepare breakfast items at home.transfer items to clubhouse, prepare breakfast. Club leader and a health &amp; well-being coach can prepare breakfast items at a culinary centre and travel to and from.</w:t>
      </w:r>
    </w:p>
    <w:p w14:paraId="2738F168">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Required materials include breakfast items, transport containers and delivery bags. Quantities of breakfast items (tins of baked beans, loaves of bread, as requested) are not known.</w:t>
      </w:r>
    </w:p>
    <w:p w14:paraId="6092EC43">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Time and budget considerations</w:t>
      </w:r>
    </w:p>
    <w:p w14:paraId="6A913A18">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breakfast club pilot is recommended to be run for 12 weeks usually afternoons to schedule a longer session to encourage greater participation. Decision whether to continue, modify, or terminate the programme would follow. Total expense layout needs monitoring and would include:</w:t>
      </w:r>
    </w:p>
    <w:p w14:paraId="36F2DB6B">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Breakfast: $40 per week when seeting-up or when changing the club. - Health and well-being trainer: $120–160 depending on the number of sessions.</w:t>
      </w:r>
    </w:p>
    <w:p w14:paraId="39AF0DB8">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8. Risk and quality considerations</w:t>
      </w:r>
    </w:p>
    <w:p w14:paraId="132F3D16">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Breakfast is a key meal which supports a healthy lifestyle and regular exercise. Breakfast clubs can help meet this need by providing healthy and nutritious breakfasts, such as protein and calcium-rich foods including milk, yogurt, eggs and beans .</w:t>
      </w:r>
    </w:p>
    <w:p w14:paraId="4EAFFB16">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Evidence suggests that eating a protein-rich breakfast can improve mood, reduce fatigue and enhance attention. Incorporating exercise into a morning routine can also provide significant physical and mental health benefits. A regular, energetic start to the day can improve time management and create a more productive morning routine. Breakfast clubs can help establish these energising routines by providing free access to lessons or supervised exercise in a safe environment.</w:t>
      </w:r>
    </w:p>
    <w:p w14:paraId="4DE83574">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9. Monitoring, evaluation, and governance</w:t>
      </w:r>
    </w:p>
    <w:p w14:paraId="7411CEAA">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Monitoring and evaluation are essential to ensure the success of a healthier breakfast club. Regular review includes recording attendance, surveying opinions from the school community, and discussing the operation with stakeholders. Evaluation determines whether the club meets its aims, such as providing healthier options and improving attendance or concentration. Promotion works best by making the club fun, tasty, and well presented. Engagement with the school community is strengthened by involving the school council or SNAG, and by careful consideration of funding sources and operational planning. Health and safety issues require attention to allergies and appropriate food options. Integration with other school food projects is facilitated by offering complementary healthy menu options, displaying menus, and creating a welcoming environment .</w:t>
      </w:r>
    </w:p>
    <w:p w14:paraId="1F97345E">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p>
    <w:p w14:paraId="14935789">
      <w:pPr>
        <w:pStyle w:val="2"/>
        <w:keepNext w:val="0"/>
        <w:keepLines w:val="0"/>
        <w:widowControl/>
        <w:suppressLineNumbers w:val="0"/>
        <w:bidi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10. Conclusion</w:t>
      </w:r>
    </w:p>
    <w:p w14:paraId="078AEED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To activate a sustainable breakfast club that enhances physical fitness and food literacy while complying with UK food standards, only nutritious food and drink will be offered from a set rota during its 40-week operation. Leaders believe this policy reinforces the club's message. Many pupils currently engage in fitness activities from 08:00 to 08:30, but the club operates from 08:30 to 09:00. Collaborating with local gyms that provide free access before 09:00 could allow the breakfast club to start at 09:00 and modify its schedule.</w:t>
      </w:r>
    </w:p>
    <w:p w14:paraId="65200FCB">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Anticipated impacts include encouraging positive health habits early, opening a hot-drinks breakfast club, generating sustainable lessons, fostering community bonds, and enhancing club participation in external events. Prioritizing pupil wellbeing, especially in fitness, wellness, and food hygiene, is essential. Breakfast-club pupils attend after-school lessons less frequently than those without this provision. Lessons from the DfE’s holiday-activities programme highlight the need for additional early-morning activities. An ideal breakfast club should optimize pupil attendance, broaden participation, and establish a multi-activities design aligned with the national agenda and UK school food standards.</w:t>
      </w:r>
    </w:p>
    <w:p w14:paraId="175A4561">
      <w:pPr>
        <w:pStyle w:val="17"/>
        <w:keepNext w:val="0"/>
        <w:keepLines w:val="0"/>
        <w:widowControl/>
        <w:suppressLineNumbers w:val="0"/>
        <w:bidi w:val="0"/>
        <w:spacing w:before="0" w:beforeAutospacing="1" w:after="0" w:afterAutospacing="1"/>
        <w:ind w:left="0" w:right="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To develop lines of action aligned with such intentions, a first step is continuing breakfast provision with a rest of up to one hour between morning exercise and the first session. In this context, fitness-related breakfast clubs featuring nutritionally balanced items are deemed fulfilling, and also align closely with pupil requests. All current providers support an extension of targeted breakfast-club arrangements.</w:t>
      </w:r>
    </w:p>
    <w:p w14:paraId="3320C870">
      <w:pPr>
        <w:rPr>
          <w:rFonts w:hint="default" w:ascii="Arial" w:hAnsi="Arial" w:cs="Arial"/>
          <w:color w:val="000000" w:themeColor="text1"/>
          <w:sz w:val="22"/>
          <w:szCs w:val="22"/>
          <w14:textFill>
            <w14:solidFill>
              <w14:schemeClr w14:val="tx1"/>
            </w14:solidFill>
          </w14:textFill>
        </w:rPr>
      </w:pPr>
    </w:p>
    <w:p w14:paraId="69EFBACE">
      <w:pPr>
        <w:rPr>
          <w:rFonts w:hint="default" w:ascii="Arial" w:hAnsi="Arial" w:cs="Arial"/>
          <w:color w:val="000000" w:themeColor="text1"/>
          <w:sz w:val="22"/>
          <w:szCs w:val="22"/>
          <w14:textFill>
            <w14:solidFill>
              <w14:schemeClr w14:val="tx1"/>
            </w14:solidFill>
          </w14:textFill>
        </w:rPr>
      </w:pPr>
    </w:p>
    <w:p w14:paraId="1EB24D72">
      <w:pPr>
        <w:rPr>
          <w:rFonts w:hint="default" w:ascii="Arial" w:hAnsi="Arial" w:cs="Arial"/>
          <w:color w:val="000000" w:themeColor="text1"/>
          <w:sz w:val="22"/>
          <w:szCs w:val="22"/>
          <w14:textFill>
            <w14:solidFill>
              <w14:schemeClr w14:val="tx1"/>
            </w14:solidFill>
          </w14:textFill>
        </w:rPr>
      </w:pPr>
    </w:p>
    <w:p w14:paraId="030F1E45">
      <w:pPr>
        <w:rPr>
          <w:rFonts w:hint="default" w:ascii="Arial" w:hAnsi="Arial" w:cs="Arial"/>
          <w:color w:val="000000" w:themeColor="text1"/>
          <w:sz w:val="22"/>
          <w:szCs w:val="22"/>
          <w14:textFill>
            <w14:solidFill>
              <w14:schemeClr w14:val="tx1"/>
            </w14:solidFill>
          </w14:textFill>
        </w:rPr>
      </w:pPr>
    </w:p>
    <w:p w14:paraId="5652F3FA">
      <w:pPr>
        <w:rPr>
          <w:rFonts w:hint="default" w:ascii="Arial" w:hAnsi="Arial" w:cs="Arial"/>
          <w:color w:val="000000" w:themeColor="text1"/>
          <w:sz w:val="22"/>
          <w:szCs w:val="22"/>
          <w14:textFill>
            <w14:solidFill>
              <w14:schemeClr w14:val="tx1"/>
            </w14:solidFill>
          </w14:textFill>
        </w:rPr>
      </w:pPr>
    </w:p>
    <w:p w14:paraId="60CA61FF">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44CFBDC6">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133637D6">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0B653A35">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1080E7CA">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2C86667C">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7F925FD0">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0DEDC752">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651181DB">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13EF5512">
      <w:pPr>
        <w:pStyle w:val="4"/>
        <w:keepNext w:val="0"/>
        <w:keepLines w:val="0"/>
        <w:widowControl/>
        <w:suppressLineNumbers w:val="0"/>
        <w:rPr>
          <w:rFonts w:hint="default" w:ascii="Arial" w:hAnsi="Arial" w:cs="Arial"/>
          <w:color w:val="000000" w:themeColor="text1"/>
          <w14:textFill>
            <w14:solidFill>
              <w14:schemeClr w14:val="tx1"/>
            </w14:solidFill>
          </w14:textFill>
        </w:rPr>
      </w:pPr>
    </w:p>
    <w:p w14:paraId="5B9B2BD3">
      <w:pPr>
        <w:pStyle w:val="4"/>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Reference List</w:t>
      </w:r>
    </w:p>
    <w:p w14:paraId="6A7F02EF">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Adolphus, K., Lawton, C.L. and Dye, L. (2013) </w:t>
      </w:r>
      <w:r>
        <w:rPr>
          <w:rStyle w:val="13"/>
          <w:rFonts w:hint="default" w:ascii="Arial" w:hAnsi="Arial" w:cs="Arial"/>
          <w:color w:val="000000" w:themeColor="text1"/>
          <w14:textFill>
            <w14:solidFill>
              <w14:schemeClr w14:val="tx1"/>
            </w14:solidFill>
          </w14:textFill>
        </w:rPr>
        <w:t>The effects of breakfast on behavior and academic performance in children and adolescents</w:t>
      </w:r>
      <w:r>
        <w:rPr>
          <w:rFonts w:hint="default" w:ascii="Arial" w:hAnsi="Arial" w:cs="Arial"/>
          <w:color w:val="000000" w:themeColor="text1"/>
          <w14:textFill>
            <w14:solidFill>
              <w14:schemeClr w14:val="tx1"/>
            </w14:solidFill>
          </w14:textFill>
        </w:rPr>
        <w:t>. Frontiers in Human Neuroscience, 7, p.425.</w:t>
      </w:r>
    </w:p>
    <w:p w14:paraId="1EBAE1A8">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British Nutrition Foundation (2023) </w:t>
      </w:r>
      <w:r>
        <w:rPr>
          <w:rStyle w:val="13"/>
          <w:rFonts w:hint="default" w:ascii="Arial" w:hAnsi="Arial" w:cs="Arial"/>
          <w:color w:val="000000" w:themeColor="text1"/>
          <w14:textFill>
            <w14:solidFill>
              <w14:schemeClr w14:val="tx1"/>
            </w14:solidFill>
          </w14:textFill>
        </w:rPr>
        <w:t>Healthy eating</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"https://www.nutrition.org.uk/"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https://www.nutrition.org.uk/</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6DAA0129">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Department for Education (2023) </w:t>
      </w:r>
      <w:r>
        <w:rPr>
          <w:rStyle w:val="13"/>
          <w:rFonts w:hint="default" w:ascii="Arial" w:hAnsi="Arial" w:cs="Arial"/>
          <w:color w:val="000000" w:themeColor="text1"/>
          <w14:textFill>
            <w14:solidFill>
              <w14:schemeClr w14:val="tx1"/>
            </w14:solidFill>
          </w14:textFill>
        </w:rPr>
        <w:t>School food in England</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"https://www.gov.uk/government/publications/school-food-standards-resources-for-schools"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https://www.gov.uk/government/publications/school-food-standards-resources-for-schools</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26377AA0">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Department of Health and Social Care (2019) </w:t>
      </w:r>
      <w:r>
        <w:rPr>
          <w:rStyle w:val="13"/>
          <w:rFonts w:hint="default" w:ascii="Arial" w:hAnsi="Arial" w:cs="Arial"/>
          <w:color w:val="000000" w:themeColor="text1"/>
          <w14:textFill>
            <w14:solidFill>
              <w14:schemeClr w14:val="tx1"/>
            </w14:solidFill>
          </w14:textFill>
        </w:rPr>
        <w:t>The Eatwell Guide</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"https://www.gov.uk/government/publications/the-eatwell-guide"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https://www.gov.uk/government/publications/the-eatwell-guide</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5C268B07">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Education Endowment Foundation (2021) </w:t>
      </w:r>
      <w:r>
        <w:rPr>
          <w:rStyle w:val="13"/>
          <w:rFonts w:hint="default" w:ascii="Arial" w:hAnsi="Arial" w:cs="Arial"/>
          <w:color w:val="000000" w:themeColor="text1"/>
          <w14:textFill>
            <w14:solidFill>
              <w14:schemeClr w14:val="tx1"/>
            </w14:solidFill>
          </w14:textFill>
        </w:rPr>
        <w:t>Improving behaviour in schools</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"https://educationendowmentfoundation.org.uk"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https://educationendowmentfoundation.org.uk</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56A8374E">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Food Standards Agency (2024) </w:t>
      </w:r>
      <w:r>
        <w:rPr>
          <w:rStyle w:val="13"/>
          <w:rFonts w:hint="default" w:ascii="Arial" w:hAnsi="Arial" w:cs="Arial"/>
          <w:color w:val="000000" w:themeColor="text1"/>
          <w14:textFill>
            <w14:solidFill>
              <w14:schemeClr w14:val="tx1"/>
            </w14:solidFill>
          </w14:textFill>
        </w:rPr>
        <w:t>Food safety for schools</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"https://www.food.gov.uk"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https://www.food.gov.uk</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4C1589BE">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Graham, J.W., Russo, R. and Defeyter, M.A. (2015) </w:t>
      </w:r>
      <w:r>
        <w:rPr>
          <w:rStyle w:val="13"/>
          <w:rFonts w:hint="default" w:ascii="Arial" w:hAnsi="Arial" w:cs="Arial"/>
          <w:color w:val="000000" w:themeColor="text1"/>
          <w14:textFill>
            <w14:solidFill>
              <w14:schemeClr w14:val="tx1"/>
            </w14:solidFill>
          </w14:textFill>
        </w:rPr>
        <w:t>The advantages and disadvantages of breakfast clubs according to parents, children, and school staff in the North East of England</w:t>
      </w:r>
      <w:r>
        <w:rPr>
          <w:rFonts w:hint="default" w:ascii="Arial" w:hAnsi="Arial" w:cs="Arial"/>
          <w:color w:val="000000" w:themeColor="text1"/>
          <w14:textFill>
            <w14:solidFill>
              <w14:schemeClr w14:val="tx1"/>
            </w14:solidFill>
          </w14:textFill>
        </w:rPr>
        <w:t>. Frontiers in Public Health, 3, p.156.</w:t>
      </w:r>
    </w:p>
    <w:p w14:paraId="039638D3">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Maslow, A.H. (1943) ‘A theory of human motivation’, </w:t>
      </w:r>
      <w:r>
        <w:rPr>
          <w:rStyle w:val="13"/>
          <w:rFonts w:hint="default" w:ascii="Arial" w:hAnsi="Arial" w:cs="Arial"/>
          <w:color w:val="000000" w:themeColor="text1"/>
          <w14:textFill>
            <w14:solidFill>
              <w14:schemeClr w14:val="tx1"/>
            </w14:solidFill>
          </w14:textFill>
        </w:rPr>
        <w:t>Psychological Review</w:t>
      </w:r>
      <w:r>
        <w:rPr>
          <w:rFonts w:hint="default" w:ascii="Arial" w:hAnsi="Arial" w:cs="Arial"/>
          <w:color w:val="000000" w:themeColor="text1"/>
          <w14:textFill>
            <w14:solidFill>
              <w14:schemeClr w14:val="tx1"/>
            </w14:solidFill>
          </w14:textFill>
        </w:rPr>
        <w:t>, 50(4), pp. 370–396.</w:t>
      </w:r>
    </w:p>
    <w:p w14:paraId="24C9BA08">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Meredith, J.R., Mantel, S.J. and Shafer, S.M. (2021) </w:t>
      </w:r>
      <w:r>
        <w:rPr>
          <w:rStyle w:val="13"/>
          <w:rFonts w:hint="default" w:ascii="Arial" w:hAnsi="Arial" w:cs="Arial"/>
          <w:color w:val="000000" w:themeColor="text1"/>
          <w14:textFill>
            <w14:solidFill>
              <w14:schemeClr w14:val="tx1"/>
            </w14:solidFill>
          </w14:textFill>
        </w:rPr>
        <w:t>Project Management: A Strategic Managerial Approach</w:t>
      </w:r>
      <w:r>
        <w:rPr>
          <w:rFonts w:hint="default" w:ascii="Arial" w:hAnsi="Arial" w:cs="Arial"/>
          <w:color w:val="000000" w:themeColor="text1"/>
          <w14:textFill>
            <w14:solidFill>
              <w14:schemeClr w14:val="tx1"/>
            </w14:solidFill>
          </w14:textFill>
        </w:rPr>
        <w:t>. 11th edn. Hoboken, NJ: John Wiley &amp; Sons.</w:t>
      </w:r>
    </w:p>
    <w:p w14:paraId="4B9D6B25">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Project Management Institute (2021) </w:t>
      </w:r>
      <w:r>
        <w:rPr>
          <w:rStyle w:val="13"/>
          <w:rFonts w:hint="default" w:ascii="Arial" w:hAnsi="Arial" w:cs="Arial"/>
          <w:color w:val="000000" w:themeColor="text1"/>
          <w14:textFill>
            <w14:solidFill>
              <w14:schemeClr w14:val="tx1"/>
            </w14:solidFill>
          </w14:textFill>
        </w:rPr>
        <w:t>A Guide to the Project Management Body of Knowledge (PMBOK® Guide)</w:t>
      </w:r>
      <w:r>
        <w:rPr>
          <w:rFonts w:hint="default" w:ascii="Arial" w:hAnsi="Arial" w:cs="Arial"/>
          <w:color w:val="000000" w:themeColor="text1"/>
          <w14:textFill>
            <w14:solidFill>
              <w14:schemeClr w14:val="tx1"/>
            </w14:solidFill>
          </w14:textFill>
        </w:rPr>
        <w:t>. 7th edn. Newtown Square, PA: Project Management Institute.</w:t>
      </w:r>
    </w:p>
    <w:p w14:paraId="1954D904">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Public Health England (2018) </w:t>
      </w:r>
      <w:r>
        <w:rPr>
          <w:rStyle w:val="13"/>
          <w:rFonts w:hint="default" w:ascii="Arial" w:hAnsi="Arial" w:cs="Arial"/>
          <w:color w:val="000000" w:themeColor="text1"/>
          <w14:textFill>
            <w14:solidFill>
              <w14:schemeClr w14:val="tx1"/>
            </w14:solidFill>
          </w14:textFill>
        </w:rPr>
        <w:t>Health matters: Obesity and the food environment</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"https://www.gov.uk/government/publications/health-matters-obesity-and-the-food-environment"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https://www.gov.uk/government/publications/health-matters-obesity-and-the-food-environment</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744F3F6C">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School Food Plan (2014) </w:t>
      </w:r>
      <w:r>
        <w:rPr>
          <w:rStyle w:val="13"/>
          <w:rFonts w:hint="default" w:ascii="Arial" w:hAnsi="Arial" w:cs="Arial"/>
          <w:color w:val="000000" w:themeColor="text1"/>
          <w14:textFill>
            <w14:solidFill>
              <w14:schemeClr w14:val="tx1"/>
            </w14:solidFill>
          </w14:textFill>
        </w:rPr>
        <w:t>The School Food Plan</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"https://www.schoolfoodplan.com"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https://www.schoolfoodplan.com</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p w14:paraId="20CFB466">
      <w:pPr>
        <w:pStyle w:val="17"/>
        <w:keepNext w:val="0"/>
        <w:keepLines w:val="0"/>
        <w:widowControl/>
        <w:suppressLineNumbers w:val="0"/>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t xml:space="preserve">United Nations (2015) </w:t>
      </w:r>
      <w:r>
        <w:rPr>
          <w:rStyle w:val="13"/>
          <w:rFonts w:hint="default" w:ascii="Arial" w:hAnsi="Arial" w:cs="Arial"/>
          <w:color w:val="000000" w:themeColor="text1"/>
          <w14:textFill>
            <w14:solidFill>
              <w14:schemeClr w14:val="tx1"/>
            </w14:solidFill>
          </w14:textFill>
        </w:rPr>
        <w:t>Transforming our world: The 2030 Agenda for Sustainable Development</w:t>
      </w:r>
      <w:r>
        <w:rPr>
          <w:rFonts w:hint="default" w:ascii="Arial" w:hAnsi="Arial" w:cs="Arial"/>
          <w:color w:val="000000" w:themeColor="text1"/>
          <w14:textFill>
            <w14:solidFill>
              <w14:schemeClr w14:val="tx1"/>
            </w14:solidFill>
          </w14:textFill>
        </w:rPr>
        <w:t>. New York: United Nations.</w:t>
      </w:r>
    </w:p>
    <w:p w14:paraId="5ABA6DD3">
      <w:pPr>
        <w:pStyle w:val="17"/>
        <w:keepNext w:val="0"/>
        <w:keepLines w:val="0"/>
        <w:widowControl/>
        <w:suppressLineNumbers w:val="0"/>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14:textFill>
            <w14:solidFill>
              <w14:schemeClr w14:val="tx1"/>
            </w14:solidFill>
          </w14:textFill>
        </w:rPr>
        <w:t xml:space="preserve">World Health Organization (2020) </w:t>
      </w:r>
      <w:r>
        <w:rPr>
          <w:rStyle w:val="13"/>
          <w:rFonts w:hint="default" w:ascii="Arial" w:hAnsi="Arial" w:cs="Arial"/>
          <w:color w:val="000000" w:themeColor="text1"/>
          <w14:textFill>
            <w14:solidFill>
              <w14:schemeClr w14:val="tx1"/>
            </w14:solidFill>
          </w14:textFill>
        </w:rPr>
        <w:t>Healthy diet</w:t>
      </w:r>
      <w:r>
        <w:rPr>
          <w:rFonts w:hint="default" w:ascii="Arial" w:hAnsi="Arial" w:cs="Arial"/>
          <w:color w:val="000000" w:themeColor="text1"/>
          <w14:textFill>
            <w14:solidFill>
              <w14:schemeClr w14:val="tx1"/>
            </w14:solidFill>
          </w14:textFill>
        </w:rPr>
        <w:t xml:space="preserve">. Available at: </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"https://www.who.int/news-room/fact-sheets/detail/healthy-diet" \t "_new" </w:instrText>
      </w:r>
      <w:r>
        <w:rPr>
          <w:rFonts w:hint="default" w:ascii="Arial" w:hAnsi="Arial" w:cs="Arial"/>
          <w:color w:val="000000" w:themeColor="text1"/>
          <w14:textFill>
            <w14:solidFill>
              <w14:schemeClr w14:val="tx1"/>
            </w14:solidFill>
          </w14:textFill>
        </w:rPr>
        <w:fldChar w:fldCharType="separate"/>
      </w:r>
      <w:r>
        <w:rPr>
          <w:rStyle w:val="16"/>
          <w:rFonts w:hint="default" w:ascii="Arial" w:hAnsi="Arial" w:cs="Arial"/>
          <w:color w:val="000000" w:themeColor="text1"/>
          <w14:textFill>
            <w14:solidFill>
              <w14:schemeClr w14:val="tx1"/>
            </w14:solidFill>
          </w14:textFill>
        </w:rPr>
        <w:t>https://www.who.int/news-room/fact-sheets/detail/healthy-diet</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t xml:space="preserve"> (Accessed: 19 July 2026).</w:t>
      </w:r>
    </w:p>
    <w:sectPr>
      <w:headerReference r:id="rId5" w:type="default"/>
      <w:footerReference r:id="rId6" w:type="default"/>
      <w:pgSz w:w="11906" w:h="16838"/>
      <w:pgMar w:top="1440" w:right="1440" w:bottom="1440" w:left="1440" w:header="708"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087901">
    <w:pPr>
      <w:pStyle w:val="14"/>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033B8F13">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BDCB266">
    <w:pPr>
      <w:pStyle w:val="1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autoHyphenation/>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B44"/>
    <w:rsid w:val="00011813"/>
    <w:rsid w:val="0006018F"/>
    <w:rsid w:val="000624CC"/>
    <w:rsid w:val="0006472D"/>
    <w:rsid w:val="00080B44"/>
    <w:rsid w:val="000871F5"/>
    <w:rsid w:val="000A2CF0"/>
    <w:rsid w:val="000C48C2"/>
    <w:rsid w:val="000D0F75"/>
    <w:rsid w:val="000E1C73"/>
    <w:rsid w:val="000E243E"/>
    <w:rsid w:val="000F02C2"/>
    <w:rsid w:val="00101B7A"/>
    <w:rsid w:val="00123B61"/>
    <w:rsid w:val="00151EC5"/>
    <w:rsid w:val="00152665"/>
    <w:rsid w:val="00152C79"/>
    <w:rsid w:val="0016168E"/>
    <w:rsid w:val="001C2B36"/>
    <w:rsid w:val="001E2684"/>
    <w:rsid w:val="001F50F9"/>
    <w:rsid w:val="0022506D"/>
    <w:rsid w:val="0022771F"/>
    <w:rsid w:val="00232073"/>
    <w:rsid w:val="002616B6"/>
    <w:rsid w:val="002B4FB0"/>
    <w:rsid w:val="0034536A"/>
    <w:rsid w:val="00355D4E"/>
    <w:rsid w:val="003564C2"/>
    <w:rsid w:val="00382499"/>
    <w:rsid w:val="00393F8A"/>
    <w:rsid w:val="003A2A53"/>
    <w:rsid w:val="003D5FDB"/>
    <w:rsid w:val="003F03A7"/>
    <w:rsid w:val="0042504D"/>
    <w:rsid w:val="00433699"/>
    <w:rsid w:val="00467CD8"/>
    <w:rsid w:val="0049564F"/>
    <w:rsid w:val="004D0488"/>
    <w:rsid w:val="004D2564"/>
    <w:rsid w:val="004D64CA"/>
    <w:rsid w:val="005236B7"/>
    <w:rsid w:val="00532F7C"/>
    <w:rsid w:val="0054368A"/>
    <w:rsid w:val="005819DF"/>
    <w:rsid w:val="00586715"/>
    <w:rsid w:val="005A3DE2"/>
    <w:rsid w:val="005B170D"/>
    <w:rsid w:val="005C24D2"/>
    <w:rsid w:val="005F7E3A"/>
    <w:rsid w:val="00602898"/>
    <w:rsid w:val="00611666"/>
    <w:rsid w:val="0062770F"/>
    <w:rsid w:val="006473D8"/>
    <w:rsid w:val="00654D7F"/>
    <w:rsid w:val="00677F1B"/>
    <w:rsid w:val="00680AC3"/>
    <w:rsid w:val="0068548F"/>
    <w:rsid w:val="00685FF1"/>
    <w:rsid w:val="00691A33"/>
    <w:rsid w:val="006B26BA"/>
    <w:rsid w:val="006D34E5"/>
    <w:rsid w:val="006D568A"/>
    <w:rsid w:val="006F17CC"/>
    <w:rsid w:val="00727289"/>
    <w:rsid w:val="00735314"/>
    <w:rsid w:val="00737951"/>
    <w:rsid w:val="007407EA"/>
    <w:rsid w:val="007415F6"/>
    <w:rsid w:val="007646DF"/>
    <w:rsid w:val="0079345C"/>
    <w:rsid w:val="007B5D26"/>
    <w:rsid w:val="00846870"/>
    <w:rsid w:val="0087141D"/>
    <w:rsid w:val="00884340"/>
    <w:rsid w:val="008A0BA4"/>
    <w:rsid w:val="008A3868"/>
    <w:rsid w:val="008D1E7D"/>
    <w:rsid w:val="008E23E8"/>
    <w:rsid w:val="008E7558"/>
    <w:rsid w:val="0094012C"/>
    <w:rsid w:val="00950A83"/>
    <w:rsid w:val="0096537D"/>
    <w:rsid w:val="009703F2"/>
    <w:rsid w:val="00976390"/>
    <w:rsid w:val="009822E7"/>
    <w:rsid w:val="009909D7"/>
    <w:rsid w:val="009E06EA"/>
    <w:rsid w:val="00A04B7C"/>
    <w:rsid w:val="00A26BBD"/>
    <w:rsid w:val="00A30A0B"/>
    <w:rsid w:val="00A46DB1"/>
    <w:rsid w:val="00A57F43"/>
    <w:rsid w:val="00A671F7"/>
    <w:rsid w:val="00A739EF"/>
    <w:rsid w:val="00AE67F2"/>
    <w:rsid w:val="00B0007E"/>
    <w:rsid w:val="00B004EC"/>
    <w:rsid w:val="00B13482"/>
    <w:rsid w:val="00B15C85"/>
    <w:rsid w:val="00B31091"/>
    <w:rsid w:val="00B412FD"/>
    <w:rsid w:val="00B43854"/>
    <w:rsid w:val="00B5313C"/>
    <w:rsid w:val="00B636B3"/>
    <w:rsid w:val="00B800FB"/>
    <w:rsid w:val="00BB0164"/>
    <w:rsid w:val="00BC177E"/>
    <w:rsid w:val="00BF5088"/>
    <w:rsid w:val="00C00AF5"/>
    <w:rsid w:val="00C214E0"/>
    <w:rsid w:val="00C2772C"/>
    <w:rsid w:val="00C33491"/>
    <w:rsid w:val="00C719C5"/>
    <w:rsid w:val="00C81C62"/>
    <w:rsid w:val="00D94BEC"/>
    <w:rsid w:val="00DA742D"/>
    <w:rsid w:val="00DB5AF6"/>
    <w:rsid w:val="00DC71DD"/>
    <w:rsid w:val="00DD7660"/>
    <w:rsid w:val="00E04530"/>
    <w:rsid w:val="00E11C84"/>
    <w:rsid w:val="00E14B8A"/>
    <w:rsid w:val="00E3110A"/>
    <w:rsid w:val="00E76D7B"/>
    <w:rsid w:val="00EB3F1A"/>
    <w:rsid w:val="00EB69AB"/>
    <w:rsid w:val="00F062D0"/>
    <w:rsid w:val="00F15F6E"/>
    <w:rsid w:val="00F377FE"/>
    <w:rsid w:val="00F51430"/>
    <w:rsid w:val="00F9313D"/>
    <w:rsid w:val="00FA120C"/>
    <w:rsid w:val="00FB0A61"/>
    <w:rsid w:val="00FC70C4"/>
    <w:rsid w:val="57FE3B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nhideWhenUsed="0" w:uiPriority="0" w:semiHidden="0" w:name="heading 7"/>
    <w:lsdException w:qFormat="1" w:unhideWhenUsed="0" w:uiPriority="0" w:semiHidden="0" w:name="heading 8"/>
    <w:lsdException w:unhideWhenUsed="0" w:uiPriority="0"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qFormat="1" w:unhideWhenUsed="0" w:uiPriority="0" w:semiHidden="0" w:name="Quote"/>
    <w:lsdException w:qFormat="1" w:unhideWhenUsed="0" w:uiPriority="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76" w:lineRule="auto"/>
    </w:pPr>
    <w:rPr>
      <w:rFonts w:ascii="Aptos" w:hAnsi="Aptos" w:eastAsia="Aptos" w:cs="Times New Roman"/>
      <w:kern w:val="3"/>
      <w:sz w:val="24"/>
      <w:szCs w:val="24"/>
      <w:lang w:val="en-GB" w:eastAsia="en-US" w:bidi="ar-SA"/>
    </w:rPr>
  </w:style>
  <w:style w:type="paragraph" w:styleId="2">
    <w:name w:val="heading 1"/>
    <w:basedOn w:val="1"/>
    <w:next w:val="1"/>
    <w:qFormat/>
    <w:uiPriority w:val="9"/>
    <w:pPr>
      <w:keepNext/>
      <w:keepLines/>
      <w:spacing w:before="360" w:after="80"/>
      <w:outlineLvl w:val="0"/>
    </w:pPr>
    <w:rPr>
      <w:rFonts w:ascii="Aptos Display" w:hAnsi="Aptos Display" w:eastAsia="Times New Roman"/>
      <w:color w:val="0F4761"/>
      <w:sz w:val="40"/>
      <w:szCs w:val="40"/>
    </w:rPr>
  </w:style>
  <w:style w:type="paragraph" w:styleId="3">
    <w:name w:val="heading 2"/>
    <w:basedOn w:val="1"/>
    <w:next w:val="1"/>
    <w:semiHidden/>
    <w:unhideWhenUsed/>
    <w:qFormat/>
    <w:uiPriority w:val="9"/>
    <w:pPr>
      <w:keepNext/>
      <w:keepLines/>
      <w:spacing w:before="160" w:after="80"/>
      <w:outlineLvl w:val="1"/>
    </w:pPr>
    <w:rPr>
      <w:rFonts w:ascii="Aptos Display" w:hAnsi="Aptos Display" w:eastAsia="Times New Roman"/>
      <w:color w:val="0F4761"/>
      <w:sz w:val="32"/>
      <w:szCs w:val="32"/>
    </w:rPr>
  </w:style>
  <w:style w:type="paragraph" w:styleId="4">
    <w:name w:val="heading 3"/>
    <w:basedOn w:val="1"/>
    <w:next w:val="1"/>
    <w:semiHidden/>
    <w:unhideWhenUsed/>
    <w:qFormat/>
    <w:uiPriority w:val="9"/>
    <w:pPr>
      <w:keepNext/>
      <w:keepLines/>
      <w:spacing w:before="160" w:after="80"/>
      <w:outlineLvl w:val="2"/>
    </w:pPr>
    <w:rPr>
      <w:rFonts w:eastAsia="Times New Roman"/>
      <w:color w:val="0F4761"/>
      <w:sz w:val="28"/>
      <w:szCs w:val="28"/>
    </w:rPr>
  </w:style>
  <w:style w:type="paragraph" w:styleId="5">
    <w:name w:val="heading 4"/>
    <w:basedOn w:val="1"/>
    <w:next w:val="1"/>
    <w:semiHidden/>
    <w:unhideWhenUsed/>
    <w:qFormat/>
    <w:uiPriority w:val="9"/>
    <w:pPr>
      <w:keepNext/>
      <w:keepLines/>
      <w:spacing w:before="80" w:after="40"/>
      <w:outlineLvl w:val="3"/>
    </w:pPr>
    <w:rPr>
      <w:rFonts w:eastAsia="Times New Roman"/>
      <w:i/>
      <w:iCs/>
      <w:color w:val="0F4761"/>
    </w:rPr>
  </w:style>
  <w:style w:type="paragraph" w:styleId="6">
    <w:name w:val="heading 5"/>
    <w:basedOn w:val="1"/>
    <w:next w:val="1"/>
    <w:semiHidden/>
    <w:unhideWhenUsed/>
    <w:qFormat/>
    <w:uiPriority w:val="9"/>
    <w:pPr>
      <w:keepNext/>
      <w:keepLines/>
      <w:spacing w:before="80" w:after="40"/>
      <w:outlineLvl w:val="4"/>
    </w:pPr>
    <w:rPr>
      <w:rFonts w:eastAsia="Times New Roman"/>
      <w:color w:val="0F4761"/>
    </w:rPr>
  </w:style>
  <w:style w:type="paragraph" w:styleId="7">
    <w:name w:val="heading 6"/>
    <w:basedOn w:val="1"/>
    <w:next w:val="1"/>
    <w:semiHidden/>
    <w:unhideWhenUsed/>
    <w:qFormat/>
    <w:uiPriority w:val="9"/>
    <w:pPr>
      <w:keepNext/>
      <w:keepLines/>
      <w:spacing w:before="40" w:after="0"/>
      <w:outlineLvl w:val="5"/>
    </w:pPr>
    <w:rPr>
      <w:rFonts w:eastAsia="Times New Roman"/>
      <w:i/>
      <w:iCs/>
      <w:color w:val="595959"/>
    </w:rPr>
  </w:style>
  <w:style w:type="paragraph" w:styleId="8">
    <w:name w:val="heading 7"/>
    <w:basedOn w:val="1"/>
    <w:next w:val="1"/>
    <w:qFormat/>
    <w:uiPriority w:val="0"/>
    <w:pPr>
      <w:keepNext/>
      <w:keepLines/>
      <w:spacing w:before="40" w:after="0"/>
      <w:outlineLvl w:val="6"/>
    </w:pPr>
    <w:rPr>
      <w:rFonts w:eastAsia="Times New Roman"/>
      <w:color w:val="595959"/>
    </w:rPr>
  </w:style>
  <w:style w:type="paragraph" w:styleId="9">
    <w:name w:val="heading 8"/>
    <w:basedOn w:val="1"/>
    <w:next w:val="1"/>
    <w:qFormat/>
    <w:uiPriority w:val="0"/>
    <w:pPr>
      <w:keepNext/>
      <w:keepLines/>
      <w:spacing w:after="0"/>
      <w:outlineLvl w:val="7"/>
    </w:pPr>
    <w:rPr>
      <w:rFonts w:eastAsia="Times New Roman"/>
      <w:i/>
      <w:iCs/>
      <w:color w:val="272727"/>
    </w:rPr>
  </w:style>
  <w:style w:type="paragraph" w:styleId="10">
    <w:name w:val="heading 9"/>
    <w:basedOn w:val="1"/>
    <w:next w:val="1"/>
    <w:uiPriority w:val="0"/>
    <w:pPr>
      <w:keepNext/>
      <w:keepLines/>
      <w:spacing w:after="0"/>
      <w:outlineLvl w:val="8"/>
    </w:pPr>
    <w:rPr>
      <w:rFonts w:eastAsia="Times New Roman"/>
      <w:color w:val="272727"/>
    </w:rPr>
  </w:style>
  <w:style w:type="character" w:default="1" w:styleId="11">
    <w:name w:val="Default Paragraph Font"/>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qFormat/>
    <w:uiPriority w:val="0"/>
    <w:pPr>
      <w:tabs>
        <w:tab w:val="center" w:pos="4513"/>
        <w:tab w:val="right" w:pos="9026"/>
      </w:tabs>
      <w:spacing w:after="0" w:line="240" w:lineRule="auto"/>
    </w:pPr>
  </w:style>
  <w:style w:type="paragraph" w:styleId="15">
    <w:name w:val="header"/>
    <w:basedOn w:val="1"/>
    <w:qFormat/>
    <w:uiPriority w:val="0"/>
    <w:pPr>
      <w:tabs>
        <w:tab w:val="center" w:pos="4513"/>
        <w:tab w:val="right" w:pos="9026"/>
      </w:tabs>
      <w:spacing w:after="0" w:line="240" w:lineRule="auto"/>
    </w:pPr>
  </w:style>
  <w:style w:type="character" w:styleId="16">
    <w:name w:val="Hyperlink"/>
    <w:basedOn w:val="11"/>
    <w:uiPriority w:val="0"/>
    <w:rPr>
      <w:color w:val="467886"/>
      <w:u w:val="single"/>
    </w:rPr>
  </w:style>
  <w:style w:type="paragraph" w:styleId="17">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18">
    <w:name w:val="Subtitle"/>
    <w:basedOn w:val="1"/>
    <w:next w:val="1"/>
    <w:qFormat/>
    <w:uiPriority w:val="11"/>
    <w:rPr>
      <w:rFonts w:eastAsia="Times New Roman"/>
      <w:color w:val="595959"/>
      <w:spacing w:val="15"/>
      <w:sz w:val="28"/>
      <w:szCs w:val="28"/>
    </w:rPr>
  </w:style>
  <w:style w:type="paragraph" w:styleId="19">
    <w:name w:val="Title"/>
    <w:basedOn w:val="1"/>
    <w:next w:val="1"/>
    <w:qFormat/>
    <w:uiPriority w:val="10"/>
    <w:pPr>
      <w:spacing w:after="80" w:line="240" w:lineRule="auto"/>
      <w:contextualSpacing/>
    </w:pPr>
    <w:rPr>
      <w:rFonts w:ascii="Aptos Display" w:hAnsi="Aptos Display" w:eastAsia="Times New Roman"/>
      <w:spacing w:val="-10"/>
      <w:sz w:val="56"/>
      <w:szCs w:val="56"/>
    </w:rPr>
  </w:style>
  <w:style w:type="character" w:customStyle="1" w:styleId="20">
    <w:name w:val="Heading 1 Char"/>
    <w:basedOn w:val="11"/>
    <w:qFormat/>
    <w:uiPriority w:val="9"/>
    <w:rPr>
      <w:rFonts w:ascii="Aptos Display" w:hAnsi="Aptos Display" w:eastAsia="Times New Roman" w:cs="Times New Roman"/>
      <w:color w:val="0F4761"/>
      <w:sz w:val="40"/>
      <w:szCs w:val="40"/>
    </w:rPr>
  </w:style>
  <w:style w:type="character" w:customStyle="1" w:styleId="21">
    <w:name w:val="Heading 2 Char"/>
    <w:basedOn w:val="11"/>
    <w:qFormat/>
    <w:uiPriority w:val="0"/>
    <w:rPr>
      <w:rFonts w:ascii="Aptos Display" w:hAnsi="Aptos Display" w:eastAsia="Times New Roman" w:cs="Times New Roman"/>
      <w:color w:val="0F4761"/>
      <w:sz w:val="32"/>
      <w:szCs w:val="32"/>
    </w:rPr>
  </w:style>
  <w:style w:type="character" w:customStyle="1" w:styleId="22">
    <w:name w:val="Heading 3 Char"/>
    <w:basedOn w:val="11"/>
    <w:qFormat/>
    <w:uiPriority w:val="0"/>
    <w:rPr>
      <w:rFonts w:eastAsia="Times New Roman" w:cs="Times New Roman"/>
      <w:color w:val="0F4761"/>
      <w:sz w:val="28"/>
      <w:szCs w:val="28"/>
    </w:rPr>
  </w:style>
  <w:style w:type="character" w:customStyle="1" w:styleId="23">
    <w:name w:val="Heading 4 Char"/>
    <w:basedOn w:val="11"/>
    <w:qFormat/>
    <w:uiPriority w:val="0"/>
    <w:rPr>
      <w:rFonts w:eastAsia="Times New Roman" w:cs="Times New Roman"/>
      <w:i/>
      <w:iCs/>
      <w:color w:val="0F4761"/>
    </w:rPr>
  </w:style>
  <w:style w:type="character" w:customStyle="1" w:styleId="24">
    <w:name w:val="Heading 5 Char"/>
    <w:basedOn w:val="11"/>
    <w:qFormat/>
    <w:uiPriority w:val="0"/>
    <w:rPr>
      <w:rFonts w:eastAsia="Times New Roman" w:cs="Times New Roman"/>
      <w:color w:val="0F4761"/>
    </w:rPr>
  </w:style>
  <w:style w:type="character" w:customStyle="1" w:styleId="25">
    <w:name w:val="Heading 6 Char"/>
    <w:basedOn w:val="11"/>
    <w:uiPriority w:val="0"/>
    <w:rPr>
      <w:rFonts w:eastAsia="Times New Roman" w:cs="Times New Roman"/>
      <w:i/>
      <w:iCs/>
      <w:color w:val="595959"/>
    </w:rPr>
  </w:style>
  <w:style w:type="character" w:customStyle="1" w:styleId="26">
    <w:name w:val="Heading 7 Char"/>
    <w:basedOn w:val="11"/>
    <w:qFormat/>
    <w:uiPriority w:val="0"/>
    <w:rPr>
      <w:rFonts w:eastAsia="Times New Roman" w:cs="Times New Roman"/>
      <w:color w:val="595959"/>
    </w:rPr>
  </w:style>
  <w:style w:type="character" w:customStyle="1" w:styleId="27">
    <w:name w:val="Heading 8 Char"/>
    <w:basedOn w:val="11"/>
    <w:qFormat/>
    <w:uiPriority w:val="0"/>
    <w:rPr>
      <w:rFonts w:eastAsia="Times New Roman" w:cs="Times New Roman"/>
      <w:i/>
      <w:iCs/>
      <w:color w:val="272727"/>
    </w:rPr>
  </w:style>
  <w:style w:type="character" w:customStyle="1" w:styleId="28">
    <w:name w:val="Heading 9 Char"/>
    <w:basedOn w:val="11"/>
    <w:qFormat/>
    <w:uiPriority w:val="0"/>
    <w:rPr>
      <w:rFonts w:eastAsia="Times New Roman" w:cs="Times New Roman"/>
      <w:color w:val="272727"/>
    </w:rPr>
  </w:style>
  <w:style w:type="character" w:customStyle="1" w:styleId="29">
    <w:name w:val="Title Char"/>
    <w:basedOn w:val="11"/>
    <w:uiPriority w:val="0"/>
    <w:rPr>
      <w:rFonts w:ascii="Aptos Display" w:hAnsi="Aptos Display" w:eastAsia="Times New Roman" w:cs="Times New Roman"/>
      <w:spacing w:val="-10"/>
      <w:kern w:val="3"/>
      <w:sz w:val="56"/>
      <w:szCs w:val="56"/>
    </w:rPr>
  </w:style>
  <w:style w:type="character" w:customStyle="1" w:styleId="30">
    <w:name w:val="Subtitle Char"/>
    <w:basedOn w:val="11"/>
    <w:qFormat/>
    <w:uiPriority w:val="0"/>
    <w:rPr>
      <w:rFonts w:eastAsia="Times New Roman" w:cs="Times New Roman"/>
      <w:color w:val="595959"/>
      <w:spacing w:val="15"/>
      <w:sz w:val="28"/>
      <w:szCs w:val="28"/>
    </w:rPr>
  </w:style>
  <w:style w:type="paragraph" w:styleId="31">
    <w:name w:val="Quote"/>
    <w:basedOn w:val="1"/>
    <w:next w:val="1"/>
    <w:qFormat/>
    <w:uiPriority w:val="0"/>
    <w:pPr>
      <w:spacing w:before="160"/>
      <w:jc w:val="center"/>
    </w:pPr>
    <w:rPr>
      <w:i/>
      <w:iCs/>
      <w:color w:val="404040"/>
    </w:rPr>
  </w:style>
  <w:style w:type="character" w:customStyle="1" w:styleId="32">
    <w:name w:val="Quote Char"/>
    <w:basedOn w:val="11"/>
    <w:qFormat/>
    <w:uiPriority w:val="0"/>
    <w:rPr>
      <w:i/>
      <w:iCs/>
      <w:color w:val="404040"/>
    </w:rPr>
  </w:style>
  <w:style w:type="paragraph" w:styleId="33">
    <w:name w:val="List Paragraph"/>
    <w:basedOn w:val="1"/>
    <w:qFormat/>
    <w:uiPriority w:val="0"/>
    <w:pPr>
      <w:ind w:left="720"/>
      <w:contextualSpacing/>
    </w:pPr>
  </w:style>
  <w:style w:type="character" w:customStyle="1" w:styleId="34">
    <w:name w:val="Intense Emphasis"/>
    <w:basedOn w:val="11"/>
    <w:qFormat/>
    <w:uiPriority w:val="0"/>
    <w:rPr>
      <w:i/>
      <w:iCs/>
      <w:color w:val="0F4761"/>
    </w:rPr>
  </w:style>
  <w:style w:type="paragraph" w:styleId="35">
    <w:name w:val="Intense Quote"/>
    <w:basedOn w:val="1"/>
    <w:next w:val="1"/>
    <w:qFormat/>
    <w:uiPriority w:val="0"/>
    <w:pPr>
      <w:pBdr>
        <w:top w:val="single" w:color="0F4761" w:sz="4" w:space="10"/>
        <w:bottom w:val="single" w:color="0F4761" w:sz="4" w:space="10"/>
      </w:pBdr>
      <w:spacing w:before="360" w:after="360"/>
      <w:ind w:left="864" w:right="864"/>
      <w:jc w:val="center"/>
    </w:pPr>
    <w:rPr>
      <w:i/>
      <w:iCs/>
      <w:color w:val="0F4761"/>
    </w:rPr>
  </w:style>
  <w:style w:type="character" w:customStyle="1" w:styleId="36">
    <w:name w:val="Intense Quote Char"/>
    <w:basedOn w:val="11"/>
    <w:qFormat/>
    <w:uiPriority w:val="0"/>
    <w:rPr>
      <w:i/>
      <w:iCs/>
      <w:color w:val="0F4761"/>
    </w:rPr>
  </w:style>
  <w:style w:type="character" w:customStyle="1" w:styleId="37">
    <w:name w:val="Intense Reference"/>
    <w:basedOn w:val="11"/>
    <w:uiPriority w:val="0"/>
    <w:rPr>
      <w:b/>
      <w:bCs/>
      <w:smallCaps/>
      <w:color w:val="0F4761"/>
      <w:spacing w:val="5"/>
    </w:rPr>
  </w:style>
  <w:style w:type="paragraph" w:customStyle="1" w:styleId="38">
    <w:name w:val="cvgsua"/>
    <w:basedOn w:val="1"/>
    <w:qFormat/>
    <w:uiPriority w:val="0"/>
    <w:pPr>
      <w:spacing w:before="100" w:after="100" w:line="240" w:lineRule="auto"/>
    </w:pPr>
    <w:rPr>
      <w:rFonts w:ascii="Times New Roman" w:hAnsi="Times New Roman" w:eastAsia="Times New Roman"/>
      <w:kern w:val="0"/>
      <w:lang w:eastAsia="en-GB"/>
    </w:rPr>
  </w:style>
  <w:style w:type="character" w:customStyle="1" w:styleId="39">
    <w:name w:val="oypena"/>
    <w:basedOn w:val="11"/>
    <w:qFormat/>
    <w:uiPriority w:val="0"/>
  </w:style>
  <w:style w:type="character" w:customStyle="1" w:styleId="40">
    <w:name w:val="Header Char"/>
    <w:basedOn w:val="11"/>
    <w:qFormat/>
    <w:uiPriority w:val="0"/>
  </w:style>
  <w:style w:type="character" w:customStyle="1" w:styleId="41">
    <w:name w:val="Footer Char"/>
    <w:basedOn w:val="11"/>
    <w:qFormat/>
    <w:uiPriority w:val="0"/>
  </w:style>
  <w:style w:type="paragraph" w:styleId="42">
    <w:name w:val="No Spacing"/>
    <w:qFormat/>
    <w:uiPriority w:val="0"/>
    <w:pPr>
      <w:suppressAutoHyphens/>
      <w:autoSpaceDN w:val="0"/>
      <w:spacing w:after="0" w:line="240" w:lineRule="auto"/>
    </w:pPr>
    <w:rPr>
      <w:rFonts w:ascii="Aptos" w:hAnsi="Aptos" w:eastAsia="Times New Roman" w:cs="Times New Roman"/>
      <w:kern w:val="0"/>
      <w:sz w:val="22"/>
      <w:szCs w:val="22"/>
      <w:lang w:val="en-GB" w:eastAsia="en-GB" w:bidi="ar-SA"/>
    </w:rPr>
  </w:style>
  <w:style w:type="character" w:customStyle="1" w:styleId="43">
    <w:name w:val="No Spacing Char"/>
    <w:basedOn w:val="11"/>
    <w:qFormat/>
    <w:uiPriority w:val="0"/>
    <w:rPr>
      <w:rFonts w:eastAsia="Times New Roman"/>
      <w:kern w:val="0"/>
      <w:sz w:val="22"/>
      <w:szCs w:val="22"/>
      <w:lang w:eastAsia="en-GB"/>
    </w:rPr>
  </w:style>
  <w:style w:type="character" w:customStyle="1" w:styleId="44">
    <w:name w:val="Unresolved Mention"/>
    <w:basedOn w:val="11"/>
    <w:qFormat/>
    <w:uiPriority w:val="0"/>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E90E0-A91D-4CC6-B95D-E42DC309BB6F}">
  <ds:schemaRefs/>
</ds:datastoreItem>
</file>

<file path=docProps/app.xml><?xml version="1.0" encoding="utf-8"?>
<Properties xmlns="http://schemas.openxmlformats.org/officeDocument/2006/extended-properties" xmlns:vt="http://schemas.openxmlformats.org/officeDocument/2006/docPropsVTypes">
  <Template>Normal.dotm</Template>
  <Pages>7</Pages>
  <Words>1412</Words>
  <Characters>9065</Characters>
  <Lines>1519</Lines>
  <Paragraphs>391</Paragraphs>
  <TotalTime>13</TotalTime>
  <ScaleCrop>false</ScaleCrop>
  <LinksUpToDate>false</LinksUpToDate>
  <CharactersWithSpaces>10442</CharactersWithSpaces>
  <Application>WPS Office_12.1.0.27458_F1E327BC-269C-435d-A152-05C5408002CA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2025-11-29T02:19:00Z</dcterms:created>
  <dc:creator>Katarína Dydňanská</dc:creator>
  <cp:lastModifiedBy>Katarína Dydňanská</cp:lastModifiedBy>
  <dcterms:modified xsi:type="dcterms:W3CDTF">2026-07-19T12:19:51Z</dcterms:modified>
  <cp:revision>37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eyJoZGlkIjoiOWVmYTRmY2U2OWJkZjRkNDk1OWYzMzI5MWM5M2Y0YmUiLCJ1c2VySWQiOiIzNzI4MTQ1MDY4NDIwIn0=</vt:lpwstr>
  </property>
  <property fmtid="{D5CDD505-2E9C-101B-9397-08002B2CF9AE}" pid="3" name="KSOProductBuildVer">
    <vt:lpwstr>1033-12.1.0.27458</vt:lpwstr>
  </property>
  <property fmtid="{D5CDD505-2E9C-101B-9397-08002B2CF9AE}" pid="4" name="ICV">
    <vt:lpwstr>FCD44D04918D44099ABF14F549FF3058_13</vt:lpwstr>
  </property>
</Properties>
</file>