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8C3D64" w14:textId="77777777" w:rsidR="00DF211C" w:rsidRDefault="00BB0E3B">
      <w:r>
        <w:rPr>
          <w:noProof/>
          <w:lang w:eastAsia="en-GB"/>
        </w:rPr>
        <mc:AlternateContent>
          <mc:Choice Requires="wps">
            <w:drawing>
              <wp:anchor distT="0" distB="0" distL="114300" distR="114300" simplePos="0" relativeHeight="251663360" behindDoc="1" locked="0" layoutInCell="1" allowOverlap="1" wp14:anchorId="7FEEE7CF" wp14:editId="0B3FF8CC">
                <wp:simplePos x="0" y="0"/>
                <wp:positionH relativeFrom="page">
                  <wp:align>center</wp:align>
                </wp:positionH>
                <wp:positionV relativeFrom="page">
                  <wp:align>center</wp:align>
                </wp:positionV>
                <wp:extent cx="7383780" cy="9555480"/>
                <wp:effectExtent l="0" t="0" r="7620" b="7620"/>
                <wp:wrapNone/>
                <wp:docPr id="1"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rgbClr val="DAE3F3"/>
                            </a:gs>
                            <a:gs pos="100000">
                              <a:srgbClr val="8FAADC"/>
                            </a:gs>
                          </a:gsLst>
                          <a:lin ang="5400000"/>
                        </a:gradFill>
                        <a:ln cap="flat">
                          <a:noFill/>
                          <a:prstDash val="solid"/>
                        </a:ln>
                      </wps:spPr>
                      <wps:txbx>
                        <w:txbxContent>
                          <w:p w14:paraId="657F7E9A" w14:textId="77777777" w:rsidR="00DF211C" w:rsidRDefault="00DF211C"/>
                        </w:txbxContent>
                      </wps:txbx>
                      <wps:bodyPr vert="horz" wrap="square" lIns="274320" tIns="45720" rIns="274320" bIns="45720" anchor="ctr" anchorCtr="0" compatLnSpc="1">
                        <a:noAutofit/>
                      </wps:bodyPr>
                    </wps:wsp>
                  </a:graphicData>
                </a:graphic>
              </wp:anchor>
            </w:drawing>
          </mc:Choice>
          <mc:Fallback>
            <w:pict>
              <v:rect w14:anchorId="7FEEE7CF" id="Rectangle 466" o:spid="_x0000_s1026" style="position:absolute;margin-left:0;margin-top:0;width:581.4pt;height:752.4pt;z-index:-251653120;visibility:visible;mso-wrap-style:square;mso-wrap-distance-left:9pt;mso-wrap-distance-top:0;mso-wrap-distance-right:9pt;mso-wrap-distance-bottom:0;mso-position-horizontal:center;mso-position-horizontal-relative:page;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" fillcolor="#dae3f3" stroked="f">
                <v:fill color2="#8faadc" focus="100%" type="gradient">
                  <o:fill v:ext="view" type="gradientUnscaled"/>
                </v:fill>
                <v:textbox inset="21.6pt,,21.6pt">
                  <w:txbxContent>
                    <w:p w14:paraId="657F7E9A" w14:textId="77777777" w:rsidR="00DF211C" w:rsidRDefault="00DF211C"/>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03862AE" wp14:editId="7E2E8C5E">
                <wp:simplePos x="0" y="0"/>
                <wp:positionH relativeFrom="page">
                  <wp:posOffset>3439799</wp:posOffset>
                </wp:positionH>
                <wp:positionV relativeFrom="page">
                  <wp:posOffset>267333</wp:posOffset>
                </wp:positionV>
                <wp:extent cx="2797177" cy="3207386"/>
                <wp:effectExtent l="0" t="0" r="3173" b="0"/>
                <wp:wrapNone/>
                <wp:docPr id="2" name="Rectangle 467"/>
                <wp:cNvGraphicFramePr/>
                <a:graphic xmlns:a="http://schemas.openxmlformats.org/drawingml/2006/main">
                  <a:graphicData uri="http://schemas.microsoft.com/office/word/2010/wordprocessingShape">
                    <wps:wsp>
                      <wps:cNvSpPr/>
                      <wps:spPr>
                        <a:xfrm>
                          <a:off x="0" y="0"/>
                          <a:ext cx="2797177" cy="3207386"/>
                        </a:xfrm>
                        <a:prstGeom prst="rect">
                          <a:avLst/>
                        </a:prstGeom>
                        <a:solidFill>
                          <a:srgbClr val="44546A"/>
                        </a:solidFill>
                        <a:ln cap="flat">
                          <a:noFill/>
                          <a:prstDash val="solid"/>
                        </a:ln>
                      </wps:spPr>
                      <wps:txbx>
                        <w:txbxContent>
                          <w:p w14:paraId="219F7F82" w14:textId="77777777" w:rsidR="00DF211C" w:rsidRDefault="00BB0E3B">
                            <w:pPr>
                              <w:spacing w:before="240"/>
                              <w:jc w:val="center"/>
                            </w:pPr>
                            <w:r>
                              <w:rPr>
                                <w:color w:val="FFFFFF"/>
                              </w:rPr>
                              <w:t xml:space="preserve">     </w:t>
                            </w:r>
                          </w:p>
                        </w:txbxContent>
                      </wps:txbx>
                      <wps:bodyPr vert="horz" wrap="square" lIns="182880" tIns="182880" rIns="182880" bIns="365760" anchor="b" anchorCtr="0" compatLnSpc="1">
                        <a:noAutofit/>
                      </wps:bodyPr>
                    </wps:wsp>
                  </a:graphicData>
                </a:graphic>
              </wp:anchor>
            </w:drawing>
          </mc:Choice>
          <mc:Fallback>
            <w:pict>
              <v:rect w14:anchorId="303862AE" id="Rectangle 467" o:spid="_x0000_s1027" style="position:absolute;margin-left:270.85pt;margin-top:21.05pt;width:220.25pt;height:252.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" fillcolor="#44546a" stroked="f">
                <v:textbox inset="14.4pt,14.4pt,14.4pt,28.8pt">
                  <w:txbxContent>
                    <w:p w14:paraId="219F7F82" w14:textId="77777777" w:rsidR="00DF211C" w:rsidRDefault="00BB0E3B">
                      <w:pPr>
                        <w:spacing w:before="240"/>
                        <w:jc w:val="center"/>
                      </w:pPr>
                      <w:r>
                        <w:rPr>
                          <w:color w:val="FFFFFF"/>
                        </w:rPr>
                        <w:t xml:space="preserve">     </w:t>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ACBE636" wp14:editId="5B4B8D64">
                <wp:simplePos x="0" y="0"/>
                <wp:positionH relativeFrom="page">
                  <wp:posOffset>3326760</wp:posOffset>
                </wp:positionH>
                <wp:positionV relativeFrom="page">
                  <wp:posOffset>267333</wp:posOffset>
                </wp:positionV>
                <wp:extent cx="2999744" cy="7463790"/>
                <wp:effectExtent l="0" t="0" r="10156" b="22860"/>
                <wp:wrapNone/>
                <wp:docPr id="3" name="Rectangle 468"/>
                <wp:cNvGraphicFramePr/>
                <a:graphic xmlns:a="http://schemas.openxmlformats.org/drawingml/2006/main">
                  <a:graphicData uri="http://schemas.microsoft.com/office/word/2010/wordprocessingShape">
                    <wps:wsp>
                      <wps:cNvSpPr/>
                      <wps:spPr>
                        <a:xfrm>
                          <a:off x="0" y="0"/>
                          <a:ext cx="2999744" cy="7463790"/>
                        </a:xfrm>
                        <a:prstGeom prst="rect">
                          <a:avLst/>
                        </a:prstGeom>
                        <a:solidFill>
                          <a:srgbClr val="FFFFFF"/>
                        </a:solidFill>
                        <a:ln w="15873" cap="flat">
                          <a:solidFill>
                            <a:srgbClr val="767171"/>
                          </a:solidFill>
                          <a:prstDash val="solid"/>
                          <a:miter/>
                        </a:ln>
                      </wps:spPr>
                      <wps:bodyPr lIns="0" tIns="0" rIns="0" bIns="0"/>
                    </wps:wsp>
                  </a:graphicData>
                </a:graphic>
              </wp:anchor>
            </w:drawing>
          </mc:Choice>
          <mc:Fallback>
            <w:pict>
              <v:rect w14:anchorId="7EE1323D" id="Rectangle 468" o:spid="_x0000_s1026" style="position:absolute;margin-left:261.95pt;margin-top:21.05pt;width:236.2pt;height:587.7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" strokecolor="#767171" strokeweight=".44092mm">
                <v:textbox inset="0,0,0,0"/>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C7C251E" wp14:editId="41A8F067">
                <wp:simplePos x="0" y="0"/>
                <wp:positionH relativeFrom="page">
                  <wp:posOffset>3439799</wp:posOffset>
                </wp:positionH>
                <wp:positionV relativeFrom="page">
                  <wp:posOffset>7377434</wp:posOffset>
                </wp:positionV>
                <wp:extent cx="2797177" cy="118113"/>
                <wp:effectExtent l="0" t="0" r="3173" b="0"/>
                <wp:wrapNone/>
                <wp:docPr id="4" name="Rectangle 469"/>
                <wp:cNvGraphicFramePr/>
                <a:graphic xmlns:a="http://schemas.openxmlformats.org/drawingml/2006/main">
                  <a:graphicData uri="http://schemas.microsoft.com/office/word/2010/wordprocessingShape">
                    <wps:wsp>
                      <wps:cNvSpPr/>
                      <wps:spPr>
                        <a:xfrm>
                          <a:off x="0" y="0"/>
                          <a:ext cx="2797177" cy="118113"/>
                        </a:xfrm>
                        <a:prstGeom prst="rect">
                          <a:avLst/>
                        </a:prstGeom>
                        <a:solidFill>
                          <a:srgbClr val="4472C4"/>
                        </a:solidFill>
                        <a:ln cap="flat">
                          <a:noFill/>
                          <a:prstDash val="solid"/>
                        </a:ln>
                      </wps:spPr>
                      <wps:bodyPr lIns="0" tIns="0" rIns="0" bIns="0"/>
                    </wps:wsp>
                  </a:graphicData>
                </a:graphic>
              </wp:anchor>
            </w:drawing>
          </mc:Choice>
          <mc:Fallback>
            <w:pict>
              <v:rect w14:anchorId="1A2DF9ED" id="Rectangle 469" o:spid="_x0000_s1026" style="position:absolute;margin-left:270.85pt;margin-top:580.9pt;width:220.25pt;height:9.3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" fillcolor="#4472c4" stroked="f">
                <v:textbox inset="0,0,0,0"/>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091B66AE" wp14:editId="7B3ECAB8">
                <wp:simplePos x="0" y="0"/>
                <wp:positionH relativeFrom="page">
                  <wp:posOffset>3439799</wp:posOffset>
                </wp:positionH>
                <wp:positionV relativeFrom="page">
                  <wp:posOffset>3742053</wp:posOffset>
                </wp:positionV>
                <wp:extent cx="2721611" cy="1125855"/>
                <wp:effectExtent l="0" t="0" r="0" b="0"/>
                <wp:wrapSquare wrapText="bothSides"/>
                <wp:docPr id="5" name="Text Box 470"/>
                <wp:cNvGraphicFramePr/>
                <a:graphic xmlns:a="http://schemas.openxmlformats.org/drawingml/2006/main">
                  <a:graphicData uri="http://schemas.microsoft.com/office/word/2010/wordprocessingShape">
                    <wps:wsp>
                      <wps:cNvSpPr txBox="1"/>
                      <wps:spPr>
                        <a:xfrm>
                          <a:off x="0" y="0"/>
                          <a:ext cx="2721611" cy="1125855"/>
                        </a:xfrm>
                        <a:prstGeom prst="rect">
                          <a:avLst/>
                        </a:prstGeom>
                        <a:noFill/>
                        <a:ln>
                          <a:noFill/>
                          <a:prstDash/>
                        </a:ln>
                      </wps:spPr>
                      <wps:txbx>
                        <w:txbxContent>
                          <w:p w14:paraId="29D75C72" w14:textId="77777777" w:rsidR="00DF211C" w:rsidRDefault="00BB0E3B">
                            <w:r>
                              <w:rPr>
                                <w:rFonts w:ascii="Calibri Light" w:eastAsia="Times New Roman" w:hAnsi="Calibri Light"/>
                                <w:color w:val="4472C4"/>
                                <w:sz w:val="72"/>
                                <w:szCs w:val="72"/>
                              </w:rPr>
                              <w:t>Criminal Law</w:t>
                            </w:r>
                          </w:p>
                          <w:p w14:paraId="460246DF" w14:textId="77777777" w:rsidR="00DF211C" w:rsidRDefault="00BB0E3B">
                            <w:r>
                              <w:rPr>
                                <w:rFonts w:ascii="Calibri Light" w:eastAsia="Times New Roman" w:hAnsi="Calibri Light"/>
                                <w:color w:val="44546A"/>
                                <w:sz w:val="32"/>
                                <w:szCs w:val="32"/>
                              </w:rPr>
                              <w:t>Assignment 1</w:t>
                            </w:r>
                          </w:p>
                        </w:txbxContent>
                      </wps:txbx>
                      <wps:bodyPr vert="horz" wrap="square" lIns="91440" tIns="45720" rIns="91440" bIns="45720" anchor="t" anchorCtr="0" compatLnSpc="1">
                        <a:spAutoFit/>
                      </wps:bodyPr>
                    </wps:wsp>
                  </a:graphicData>
                </a:graphic>
              </wp:anchor>
            </w:drawing>
          </mc:Choice>
          <mc:Fallback>
            <w:pict>
              <v:shapetype w14:anchorId="091B66AE" id="_x0000_t202" coordsize="21600,21600" o:spt="202" path="m,l,21600r21600,l21600,xe">
                <v:stroke joinstyle="miter"/>
                <v:path gradientshapeok="t" o:connecttype="rect"/>
              </v:shapetype>
              <v:shape id="Text Box 470" o:spid="_x0000_s1028" type="#_x0000_t202" style="position:absolute;margin-left:270.85pt;margin-top:294.65pt;width:214.3pt;height:88.6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" filled="f" stroked="f">
                <v:textbox style="mso-fit-shape-to-text:t">
                  <w:txbxContent>
                    <w:p w14:paraId="29D75C72" w14:textId="77777777" w:rsidR="00DF211C" w:rsidRDefault="00BB0E3B">
                      <w:r>
                        <w:rPr>
                          <w:rFonts w:ascii="Calibri Light" w:eastAsia="Times New Roman" w:hAnsi="Calibri Light"/>
                          <w:color w:val="4472C4"/>
                          <w:sz w:val="72"/>
                          <w:szCs w:val="72"/>
                        </w:rPr>
                        <w:t>Criminal Law</w:t>
                      </w:r>
                    </w:p>
                    <w:p w14:paraId="460246DF" w14:textId="77777777" w:rsidR="00DF211C" w:rsidRDefault="00BB0E3B">
                      <w:r>
                        <w:rPr>
                          <w:rFonts w:ascii="Calibri Light" w:eastAsia="Times New Roman" w:hAnsi="Calibri Light"/>
                          <w:color w:val="44546A"/>
                          <w:sz w:val="32"/>
                          <w:szCs w:val="32"/>
                        </w:rPr>
                        <w:t>Assignment 1</w:t>
                      </w:r>
                    </w:p>
                  </w:txbxContent>
                </v:textbox>
                <w10:wrap type="square" anchorx="page" anchory="page"/>
              </v:shape>
            </w:pict>
          </mc:Fallback>
        </mc:AlternateContent>
      </w:r>
    </w:p>
    <w:p w14:paraId="561BF6A0" w14:textId="77777777" w:rsidR="00DF211C" w:rsidRDefault="00BB0E3B">
      <w:r>
        <w:rPr>
          <w:noProof/>
          <w:lang w:eastAsia="en-GB"/>
        </w:rPr>
        <mc:AlternateContent>
          <mc:Choice Requires="wps">
            <w:drawing>
              <wp:anchor distT="0" distB="0" distL="114300" distR="114300" simplePos="0" relativeHeight="251665408" behindDoc="0" locked="0" layoutInCell="1" allowOverlap="1" wp14:anchorId="32F3E6D0" wp14:editId="51EA77AD">
                <wp:simplePos x="0" y="0"/>
                <wp:positionH relativeFrom="column">
                  <wp:posOffset>2543175</wp:posOffset>
                </wp:positionH>
                <wp:positionV relativeFrom="paragraph">
                  <wp:posOffset>5753103</wp:posOffset>
                </wp:positionV>
                <wp:extent cx="2343150" cy="352428"/>
                <wp:effectExtent l="0" t="0" r="19050" b="28572"/>
                <wp:wrapNone/>
                <wp:docPr id="6" name="Text Box 1"/>
                <wp:cNvGraphicFramePr/>
                <a:graphic xmlns:a="http://schemas.openxmlformats.org/drawingml/2006/main">
                  <a:graphicData uri="http://schemas.microsoft.com/office/word/2010/wordprocessingShape">
                    <wps:wsp>
                      <wps:cNvSpPr txBox="1"/>
                      <wps:spPr>
                        <a:xfrm>
                          <a:off x="0" y="0"/>
                          <a:ext cx="2343150" cy="352428"/>
                        </a:xfrm>
                        <a:prstGeom prst="rect">
                          <a:avLst/>
                        </a:prstGeom>
                        <a:solidFill>
                          <a:srgbClr val="FFFFFF"/>
                        </a:solidFill>
                        <a:ln w="6345">
                          <a:solidFill>
                            <a:srgbClr val="FFFFFF"/>
                          </a:solidFill>
                          <a:prstDash val="solid"/>
                        </a:ln>
                      </wps:spPr>
                      <wps:txbx>
                        <w:txbxContent>
                          <w:p w14:paraId="3ABBADA6" w14:textId="77777777" w:rsidR="00DF211C" w:rsidRDefault="00BB0E3B">
                            <w:pPr>
                              <w:rPr>
                                <w:b/>
                                <w:bCs/>
                                <w:color w:val="4472C4"/>
                                <w:sz w:val="32"/>
                                <w:szCs w:val="32"/>
                              </w:rPr>
                            </w:pPr>
                            <w:r>
                              <w:rPr>
                                <w:b/>
                                <w:bCs/>
                                <w:color w:val="4472C4"/>
                                <w:sz w:val="32"/>
                                <w:szCs w:val="32"/>
                              </w:rPr>
                              <w:t>ID- 2008158</w:t>
                            </w:r>
                          </w:p>
                        </w:txbxContent>
                      </wps:txbx>
                      <wps:bodyPr vert="horz" wrap="square" lIns="91440" tIns="45720" rIns="91440" bIns="45720" anchor="t" anchorCtr="0" compatLnSpc="1">
                        <a:noAutofit/>
                      </wps:bodyPr>
                    </wps:wsp>
                  </a:graphicData>
                </a:graphic>
              </wp:anchor>
            </w:drawing>
          </mc:Choice>
          <mc:Fallback>
            <w:pict>
              <v:shape w14:anchorId="32F3E6D0" id="Text Box 1" o:spid="_x0000_s1029" type="#_x0000_t202" style="position:absolute;margin-left:200.25pt;margin-top:453pt;width:184.5pt;height:27.7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" strokecolor="white" strokeweight=".17625mm">
                <v:textbox>
                  <w:txbxContent>
                    <w:p w14:paraId="3ABBADA6" w14:textId="77777777" w:rsidR="00DF211C" w:rsidRDefault="00BB0E3B">
                      <w:pPr>
                        <w:rPr>
                          <w:b/>
                          <w:bCs/>
                          <w:color w:val="4472C4"/>
                          <w:sz w:val="32"/>
                          <w:szCs w:val="32"/>
                        </w:rPr>
                      </w:pPr>
                      <w:r>
                        <w:rPr>
                          <w:b/>
                          <w:bCs/>
                          <w:color w:val="4472C4"/>
                          <w:sz w:val="32"/>
                          <w:szCs w:val="32"/>
                        </w:rPr>
                        <w:t>ID- 2008158</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2AFE17F1" wp14:editId="70E94832">
                <wp:simplePos x="0" y="0"/>
                <wp:positionH relativeFrom="page">
                  <wp:posOffset>3449317</wp:posOffset>
                </wp:positionH>
                <wp:positionV relativeFrom="page">
                  <wp:posOffset>6675750</wp:posOffset>
                </wp:positionV>
                <wp:extent cx="2797177" cy="268605"/>
                <wp:effectExtent l="0" t="0" r="0" b="0"/>
                <wp:wrapSquare wrapText="bothSides"/>
                <wp:docPr id="7" name="Text Box 465"/>
                <wp:cNvGraphicFramePr/>
                <a:graphic xmlns:a="http://schemas.openxmlformats.org/drawingml/2006/main">
                  <a:graphicData uri="http://schemas.microsoft.com/office/word/2010/wordprocessingShape">
                    <wps:wsp>
                      <wps:cNvSpPr txBox="1"/>
                      <wps:spPr>
                        <a:xfrm>
                          <a:off x="0" y="0"/>
                          <a:ext cx="2797177" cy="268605"/>
                        </a:xfrm>
                        <a:prstGeom prst="rect">
                          <a:avLst/>
                        </a:prstGeom>
                        <a:noFill/>
                        <a:ln>
                          <a:noFill/>
                          <a:prstDash/>
                        </a:ln>
                      </wps:spPr>
                      <wps:txbx>
                        <w:txbxContent>
                          <w:p w14:paraId="50B32166" w14:textId="77777777" w:rsidR="00DF211C" w:rsidRDefault="00BB0E3B">
                            <w:pPr>
                              <w:pStyle w:val="NoSpacing"/>
                            </w:pPr>
                            <w:r>
                              <w:rPr>
                                <w:b/>
                                <w:bCs/>
                                <w:color w:val="44546A"/>
                                <w:sz w:val="28"/>
                                <w:szCs w:val="28"/>
                              </w:rPr>
                              <w:t>Courtney Smith</w:t>
                            </w:r>
                          </w:p>
                        </w:txbxContent>
                      </wps:txbx>
                      <wps:bodyPr vert="horz" wrap="square" lIns="91440" tIns="45720" rIns="91440" bIns="45720" anchor="b" anchorCtr="0" compatLnSpc="1">
                        <a:spAutoFit/>
                      </wps:bodyPr>
                    </wps:wsp>
                  </a:graphicData>
                </a:graphic>
              </wp:anchor>
            </w:drawing>
          </mc:Choice>
          <mc:Fallback>
            <w:pict>
              <v:shape w14:anchorId="2AFE17F1" id="Text Box 465" o:spid="_x0000_s1030" type="#_x0000_t202" style="position:absolute;margin-left:271.6pt;margin-top:525.65pt;width:220.25pt;height:21.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" filled="f" stroked="f">
                <v:textbox style="mso-fit-shape-to-text:t">
                  <w:txbxContent>
                    <w:p w14:paraId="50B32166" w14:textId="77777777" w:rsidR="00DF211C" w:rsidRDefault="00BB0E3B">
                      <w:pPr>
                        <w:pStyle w:val="NoSpacing"/>
                      </w:pPr>
                      <w:r>
                        <w:rPr>
                          <w:b/>
                          <w:bCs/>
                          <w:color w:val="44546A"/>
                          <w:sz w:val="28"/>
                          <w:szCs w:val="28"/>
                        </w:rPr>
                        <w:t>Courtney Smith</w:t>
                      </w:r>
                    </w:p>
                  </w:txbxContent>
                </v:textbox>
                <w10:wrap type="square" anchorx="page" anchory="page"/>
              </v:shape>
            </w:pict>
          </mc:Fallback>
        </mc:AlternateContent>
      </w:r>
    </w:p>
    <w:p w14:paraId="09D1350A" w14:textId="77777777" w:rsidR="00DF211C" w:rsidRDefault="00DF211C">
      <w:pPr>
        <w:spacing w:line="480" w:lineRule="auto"/>
        <w:rPr>
          <w:sz w:val="24"/>
          <w:szCs w:val="24"/>
        </w:rPr>
      </w:pPr>
    </w:p>
    <w:p w14:paraId="39EC7D1A" w14:textId="77777777" w:rsidR="00DF211C" w:rsidRDefault="00DF211C">
      <w:pPr>
        <w:spacing w:line="480" w:lineRule="auto"/>
        <w:rPr>
          <w:sz w:val="24"/>
          <w:szCs w:val="24"/>
        </w:rPr>
      </w:pPr>
    </w:p>
    <w:p w14:paraId="40881853" w14:textId="77777777" w:rsidR="00DF211C" w:rsidRDefault="00DF211C">
      <w:pPr>
        <w:spacing w:line="480" w:lineRule="auto"/>
        <w:rPr>
          <w:sz w:val="24"/>
          <w:szCs w:val="24"/>
        </w:rPr>
      </w:pPr>
    </w:p>
    <w:p w14:paraId="401A05BD" w14:textId="77777777" w:rsidR="00DF211C" w:rsidRDefault="00DF211C">
      <w:pPr>
        <w:spacing w:line="480" w:lineRule="auto"/>
        <w:rPr>
          <w:sz w:val="24"/>
          <w:szCs w:val="24"/>
        </w:rPr>
      </w:pPr>
    </w:p>
    <w:p w14:paraId="415AF87B" w14:textId="77777777" w:rsidR="00DF211C" w:rsidRDefault="00DF211C">
      <w:pPr>
        <w:spacing w:line="480" w:lineRule="auto"/>
        <w:rPr>
          <w:sz w:val="24"/>
          <w:szCs w:val="24"/>
        </w:rPr>
      </w:pPr>
    </w:p>
    <w:p w14:paraId="59FB51D6" w14:textId="77777777" w:rsidR="00DF211C" w:rsidRDefault="00DF211C">
      <w:pPr>
        <w:spacing w:line="480" w:lineRule="auto"/>
        <w:rPr>
          <w:sz w:val="24"/>
          <w:szCs w:val="24"/>
        </w:rPr>
      </w:pPr>
    </w:p>
    <w:p w14:paraId="197F5FB4" w14:textId="77777777" w:rsidR="00DF211C" w:rsidRDefault="00DF211C">
      <w:pPr>
        <w:spacing w:line="480" w:lineRule="auto"/>
        <w:rPr>
          <w:sz w:val="24"/>
          <w:szCs w:val="24"/>
        </w:rPr>
      </w:pPr>
    </w:p>
    <w:p w14:paraId="46873184" w14:textId="77777777" w:rsidR="00DF211C" w:rsidRDefault="00DF211C">
      <w:pPr>
        <w:spacing w:line="480" w:lineRule="auto"/>
        <w:rPr>
          <w:sz w:val="24"/>
          <w:szCs w:val="24"/>
        </w:rPr>
      </w:pPr>
    </w:p>
    <w:p w14:paraId="4B83667A" w14:textId="77777777" w:rsidR="00DF211C" w:rsidRDefault="00DF211C">
      <w:pPr>
        <w:spacing w:line="480" w:lineRule="auto"/>
        <w:rPr>
          <w:sz w:val="24"/>
          <w:szCs w:val="24"/>
        </w:rPr>
      </w:pPr>
    </w:p>
    <w:p w14:paraId="0AFF21C7" w14:textId="77777777" w:rsidR="00DF211C" w:rsidRDefault="00DF211C">
      <w:pPr>
        <w:spacing w:line="480" w:lineRule="auto"/>
        <w:rPr>
          <w:sz w:val="24"/>
          <w:szCs w:val="24"/>
        </w:rPr>
      </w:pPr>
    </w:p>
    <w:p w14:paraId="78BF7F65" w14:textId="77777777" w:rsidR="00DF211C" w:rsidRDefault="00DF211C">
      <w:pPr>
        <w:spacing w:line="480" w:lineRule="auto"/>
        <w:rPr>
          <w:sz w:val="24"/>
          <w:szCs w:val="24"/>
        </w:rPr>
      </w:pPr>
    </w:p>
    <w:p w14:paraId="6587370E" w14:textId="77777777" w:rsidR="00DF211C" w:rsidRDefault="00DF211C">
      <w:pPr>
        <w:spacing w:line="480" w:lineRule="auto"/>
        <w:rPr>
          <w:sz w:val="24"/>
          <w:szCs w:val="24"/>
        </w:rPr>
      </w:pPr>
    </w:p>
    <w:p w14:paraId="0F580D8C" w14:textId="77777777" w:rsidR="00DF211C" w:rsidRDefault="00DF211C">
      <w:pPr>
        <w:spacing w:line="480" w:lineRule="auto"/>
        <w:rPr>
          <w:sz w:val="24"/>
          <w:szCs w:val="24"/>
        </w:rPr>
      </w:pPr>
    </w:p>
    <w:p w14:paraId="400C7832" w14:textId="77777777" w:rsidR="00DF211C" w:rsidRDefault="00DF211C">
      <w:pPr>
        <w:spacing w:line="480" w:lineRule="auto"/>
        <w:rPr>
          <w:sz w:val="24"/>
          <w:szCs w:val="24"/>
        </w:rPr>
      </w:pPr>
    </w:p>
    <w:p w14:paraId="396BE2D1" w14:textId="77777777" w:rsidR="00DF211C" w:rsidRDefault="00DF211C">
      <w:pPr>
        <w:spacing w:line="480" w:lineRule="auto"/>
        <w:rPr>
          <w:sz w:val="24"/>
          <w:szCs w:val="24"/>
        </w:rPr>
      </w:pPr>
    </w:p>
    <w:p w14:paraId="7AE93ECB" w14:textId="77777777" w:rsidR="00DF211C" w:rsidRDefault="00DF211C">
      <w:pPr>
        <w:spacing w:line="480" w:lineRule="auto"/>
        <w:rPr>
          <w:sz w:val="24"/>
          <w:szCs w:val="24"/>
        </w:rPr>
      </w:pPr>
    </w:p>
    <w:p w14:paraId="611AEDE7" w14:textId="77777777" w:rsidR="00DF211C" w:rsidRDefault="00DF211C">
      <w:pPr>
        <w:spacing w:line="480" w:lineRule="auto"/>
        <w:rPr>
          <w:sz w:val="24"/>
          <w:szCs w:val="24"/>
        </w:rPr>
      </w:pPr>
    </w:p>
    <w:p w14:paraId="61259002" w14:textId="77777777" w:rsidR="00DF211C" w:rsidRDefault="00DF211C">
      <w:pPr>
        <w:spacing w:line="480" w:lineRule="auto"/>
        <w:rPr>
          <w:sz w:val="24"/>
          <w:szCs w:val="24"/>
        </w:rPr>
      </w:pPr>
    </w:p>
    <w:p w14:paraId="79127570" w14:textId="4703071F" w:rsidR="00DF211C" w:rsidRDefault="00BB0E3B">
      <w:pPr>
        <w:spacing w:line="480" w:lineRule="auto"/>
      </w:pPr>
      <w:r>
        <w:rPr>
          <w:sz w:val="24"/>
          <w:szCs w:val="24"/>
        </w:rPr>
        <w:lastRenderedPageBreak/>
        <w:t xml:space="preserve">Non-fatal offences are offences that take the form of an attack which is directed at another person but does not result in death but results in Injury, College Law (2014). There are five types of non-fatal offences, under section 47 is assault occasioning bodily harm, this is said to be the least serious offence against the person where an Injury is caused. Secondly, grievous bodily harm comes under section 20, however, grievous bodily harm with intent comes under section 18, </w:t>
      </w:r>
      <w:r w:rsidR="001D4451">
        <w:rPr>
          <w:sz w:val="24"/>
          <w:szCs w:val="24"/>
        </w:rPr>
        <w:t>(</w:t>
      </w:r>
      <w:r>
        <w:rPr>
          <w:sz w:val="24"/>
          <w:szCs w:val="24"/>
        </w:rPr>
        <w:t xml:space="preserve">Finch (2010) and </w:t>
      </w:r>
      <w:proofErr w:type="spellStart"/>
      <w:r>
        <w:rPr>
          <w:sz w:val="24"/>
          <w:szCs w:val="24"/>
        </w:rPr>
        <w:t>Horder</w:t>
      </w:r>
      <w:proofErr w:type="spellEnd"/>
      <w:r>
        <w:rPr>
          <w:sz w:val="24"/>
          <w:szCs w:val="24"/>
        </w:rPr>
        <w:t xml:space="preserve"> (1994)</w:t>
      </w:r>
      <w:r w:rsidR="001D4451">
        <w:rPr>
          <w:sz w:val="24"/>
          <w:szCs w:val="24"/>
        </w:rPr>
        <w:t>)</w:t>
      </w:r>
      <w:r>
        <w:rPr>
          <w:sz w:val="24"/>
          <w:szCs w:val="24"/>
        </w:rPr>
        <w:t xml:space="preserve">. Finally, under section 39 of the Criminal Justice Act (1988) is assault and battery. These non-fatal offences have been said to be no longer fit for purpose. The Offences Against the Person Act 1961 was described by </w:t>
      </w:r>
      <w:commentRangeStart w:id="0"/>
      <w:r>
        <w:rPr>
          <w:sz w:val="24"/>
          <w:szCs w:val="24"/>
        </w:rPr>
        <w:t xml:space="preserve">Professor </w:t>
      </w:r>
      <w:r w:rsidR="001D4451">
        <w:rPr>
          <w:sz w:val="24"/>
          <w:szCs w:val="24"/>
        </w:rPr>
        <w:t xml:space="preserve">John </w:t>
      </w:r>
      <w:r>
        <w:rPr>
          <w:sz w:val="24"/>
          <w:szCs w:val="24"/>
        </w:rPr>
        <w:t>C</w:t>
      </w:r>
      <w:r w:rsidR="001D4451">
        <w:rPr>
          <w:sz w:val="24"/>
          <w:szCs w:val="24"/>
        </w:rPr>
        <w:t xml:space="preserve">yril Smith </w:t>
      </w:r>
      <w:r>
        <w:rPr>
          <w:sz w:val="24"/>
          <w:szCs w:val="24"/>
        </w:rPr>
        <w:t xml:space="preserve"> </w:t>
      </w:r>
      <w:commentRangeEnd w:id="0"/>
      <w:r w:rsidR="00C7748F">
        <w:rPr>
          <w:rStyle w:val="CommentReference"/>
        </w:rPr>
        <w:commentReference w:id="0"/>
      </w:r>
      <w:r>
        <w:rPr>
          <w:sz w:val="24"/>
          <w:szCs w:val="24"/>
        </w:rPr>
        <w:t xml:space="preserve">as a ‘rag bag of offences’ which was put together with no attempt, </w:t>
      </w:r>
      <w:r w:rsidR="001D4451">
        <w:rPr>
          <w:sz w:val="24"/>
          <w:szCs w:val="24"/>
        </w:rPr>
        <w:t>(</w:t>
      </w:r>
      <w:commentRangeStart w:id="1"/>
      <w:r>
        <w:rPr>
          <w:sz w:val="24"/>
          <w:szCs w:val="24"/>
        </w:rPr>
        <w:t>Heath (2015)</w:t>
      </w:r>
      <w:r w:rsidR="001D4451">
        <w:rPr>
          <w:sz w:val="24"/>
          <w:szCs w:val="24"/>
        </w:rPr>
        <w:t>)</w:t>
      </w:r>
      <w:r>
        <w:rPr>
          <w:sz w:val="24"/>
          <w:szCs w:val="24"/>
        </w:rPr>
        <w:t xml:space="preserve">. </w:t>
      </w:r>
      <w:commentRangeEnd w:id="1"/>
      <w:r w:rsidR="00C7748F">
        <w:rPr>
          <w:rStyle w:val="CommentReference"/>
        </w:rPr>
        <w:commentReference w:id="1"/>
      </w:r>
      <w:r>
        <w:rPr>
          <w:sz w:val="24"/>
          <w:szCs w:val="24"/>
        </w:rPr>
        <w:t>This indicates that the 1961 Act is massively outdated and does not have a clear structure. Therefore, the act needs to be updated.</w:t>
      </w:r>
    </w:p>
    <w:p w14:paraId="54304C49" w14:textId="3F4FFEF0" w:rsidR="00DF211C" w:rsidRDefault="00BB0E3B">
      <w:pPr>
        <w:spacing w:line="480" w:lineRule="auto"/>
      </w:pPr>
      <w:r>
        <w:rPr>
          <w:sz w:val="24"/>
          <w:szCs w:val="24"/>
        </w:rPr>
        <w:t xml:space="preserve">It has been said that non-fatal offences are no longer fit for purpose and </w:t>
      </w:r>
      <w:proofErr w:type="gramStart"/>
      <w:r>
        <w:rPr>
          <w:sz w:val="24"/>
          <w:szCs w:val="24"/>
        </w:rPr>
        <w:t>are in need of</w:t>
      </w:r>
      <w:proofErr w:type="gramEnd"/>
      <w:r>
        <w:rPr>
          <w:sz w:val="24"/>
          <w:szCs w:val="24"/>
        </w:rPr>
        <w:t xml:space="preserve"> reform. The language used within the Offences Against the Person Act (1961) is seen as complicated and outdated and often described as misleading. For example, In the case of DPP v Smith (1961) the House of Lords stated that the word “Grievous” should be given its ordinary meaning, such as ‘</w:t>
      </w:r>
      <w:proofErr w:type="gramStart"/>
      <w:r>
        <w:rPr>
          <w:sz w:val="24"/>
          <w:szCs w:val="24"/>
        </w:rPr>
        <w:t>really serious’</w:t>
      </w:r>
      <w:proofErr w:type="gramEnd"/>
      <w:r>
        <w:rPr>
          <w:sz w:val="24"/>
          <w:szCs w:val="24"/>
        </w:rPr>
        <w:t>,</w:t>
      </w:r>
      <w:r w:rsidR="001D4451">
        <w:rPr>
          <w:sz w:val="24"/>
          <w:szCs w:val="24"/>
        </w:rPr>
        <w:t xml:space="preserve"> </w:t>
      </w:r>
      <w:r w:rsidR="00F568E6">
        <w:rPr>
          <w:sz w:val="24"/>
          <w:szCs w:val="24"/>
        </w:rPr>
        <w:t>(</w:t>
      </w:r>
      <w:commentRangeStart w:id="2"/>
      <w:r>
        <w:rPr>
          <w:sz w:val="24"/>
          <w:szCs w:val="24"/>
        </w:rPr>
        <w:t>Wiley (1964)</w:t>
      </w:r>
      <w:r w:rsidR="00F568E6">
        <w:rPr>
          <w:sz w:val="24"/>
          <w:szCs w:val="24"/>
        </w:rPr>
        <w:t>)</w:t>
      </w:r>
      <w:r>
        <w:rPr>
          <w:sz w:val="24"/>
          <w:szCs w:val="24"/>
        </w:rPr>
        <w:t xml:space="preserve">. </w:t>
      </w:r>
      <w:commentRangeEnd w:id="2"/>
      <w:r w:rsidR="00F70314">
        <w:rPr>
          <w:rStyle w:val="CommentReference"/>
        </w:rPr>
        <w:commentReference w:id="2"/>
      </w:r>
      <w:r>
        <w:rPr>
          <w:sz w:val="24"/>
          <w:szCs w:val="24"/>
        </w:rPr>
        <w:t>This suggests that the language used within the Act is outdated and, therefore, needs to be updated. R v Janjua (1961) was a Court of Appeal case which states that in the 21</w:t>
      </w:r>
      <w:r>
        <w:rPr>
          <w:sz w:val="24"/>
          <w:szCs w:val="24"/>
          <w:vertAlign w:val="superscript"/>
        </w:rPr>
        <w:t>st</w:t>
      </w:r>
      <w:r>
        <w:rPr>
          <w:sz w:val="24"/>
          <w:szCs w:val="24"/>
        </w:rPr>
        <w:t xml:space="preserve"> century there were only two categories of harm, serious and non-serious. The adjective ‘really’ simply suggests that the harm must be ‘serious’, the harm does not mean for it to be ‘life-threatening or permanent’, London Criminal Courts Solicitors Association (1998). In R v </w:t>
      </w:r>
      <w:proofErr w:type="spellStart"/>
      <w:r>
        <w:rPr>
          <w:sz w:val="24"/>
          <w:szCs w:val="24"/>
        </w:rPr>
        <w:t>Bollom</w:t>
      </w:r>
      <w:proofErr w:type="spellEnd"/>
      <w:r>
        <w:rPr>
          <w:sz w:val="24"/>
          <w:szCs w:val="24"/>
        </w:rPr>
        <w:t xml:space="preserve"> (2004), it validates what is grievous harm to one person, it says “such as a baby, does not mean grievous harm to another, such as an adult”, Jefferson (2012).</w:t>
      </w:r>
    </w:p>
    <w:p w14:paraId="5BEB7D6F" w14:textId="2EAF4F23" w:rsidR="00DF211C" w:rsidRDefault="00BB0E3B">
      <w:pPr>
        <w:spacing w:line="480" w:lineRule="auto"/>
      </w:pPr>
      <w:r>
        <w:rPr>
          <w:sz w:val="24"/>
          <w:szCs w:val="24"/>
        </w:rPr>
        <w:lastRenderedPageBreak/>
        <w:t xml:space="preserve"> In comparison, the word ‘malicious’ is not generally used and has needed interpretation by </w:t>
      </w:r>
      <w:r w:rsidR="00F70314">
        <w:rPr>
          <w:sz w:val="24"/>
          <w:szCs w:val="24"/>
        </w:rPr>
        <w:t>t</w:t>
      </w:r>
      <w:r>
        <w:rPr>
          <w:sz w:val="24"/>
          <w:szCs w:val="24"/>
        </w:rPr>
        <w:t xml:space="preserve">he courts, </w:t>
      </w:r>
      <w:r w:rsidRPr="00C40D6D">
        <w:rPr>
          <w:b/>
          <w:bCs/>
          <w:sz w:val="24"/>
          <w:szCs w:val="24"/>
        </w:rPr>
        <w:t>Law Commission (2015: p3</w:t>
      </w:r>
      <w:r w:rsidR="00CB5BEE" w:rsidRPr="00C40D6D">
        <w:rPr>
          <w:b/>
          <w:bCs/>
          <w:sz w:val="24"/>
          <w:szCs w:val="24"/>
        </w:rPr>
        <w:t>5b</w:t>
      </w:r>
      <w:r w:rsidRPr="00C40D6D">
        <w:rPr>
          <w:b/>
          <w:bCs/>
          <w:sz w:val="24"/>
          <w:szCs w:val="24"/>
        </w:rPr>
        <w:t>).</w:t>
      </w:r>
      <w:r>
        <w:rPr>
          <w:sz w:val="24"/>
          <w:szCs w:val="24"/>
        </w:rPr>
        <w:t xml:space="preserve"> </w:t>
      </w:r>
      <w:commentRangeStart w:id="3"/>
      <w:r>
        <w:rPr>
          <w:sz w:val="24"/>
          <w:szCs w:val="24"/>
        </w:rPr>
        <w:t xml:space="preserve">It has been interpreted </w:t>
      </w:r>
      <w:r w:rsidR="001D4451">
        <w:rPr>
          <w:sz w:val="24"/>
          <w:szCs w:val="24"/>
        </w:rPr>
        <w:t>differently to what you would expect</w:t>
      </w:r>
      <w:r>
        <w:rPr>
          <w:sz w:val="24"/>
          <w:szCs w:val="24"/>
        </w:rPr>
        <w:t xml:space="preserve">. </w:t>
      </w:r>
      <w:commentRangeEnd w:id="3"/>
      <w:r w:rsidR="00F70314">
        <w:rPr>
          <w:rStyle w:val="CommentReference"/>
        </w:rPr>
        <w:commentReference w:id="3"/>
      </w:r>
      <w:r>
        <w:rPr>
          <w:sz w:val="24"/>
          <w:szCs w:val="24"/>
        </w:rPr>
        <w:t>In the case Cunningham (1957) the word ‘malicious’ was interpreted as evil or hatred, whereas, in legal terms malicious means intention or reckless</w:t>
      </w:r>
      <w:r w:rsidR="00F568E6">
        <w:rPr>
          <w:sz w:val="24"/>
          <w:szCs w:val="24"/>
        </w:rPr>
        <w:t xml:space="preserve">. </w:t>
      </w:r>
      <w:r>
        <w:rPr>
          <w:sz w:val="24"/>
          <w:szCs w:val="24"/>
        </w:rPr>
        <w:t xml:space="preserve">To further support this argument, the term “bodily” has been an old fashion term used by the Law Commission. Lord Steyn had raised that the ‘Victorian legislator would </w:t>
      </w:r>
      <w:commentRangeStart w:id="4"/>
      <w:r>
        <w:rPr>
          <w:sz w:val="24"/>
          <w:szCs w:val="24"/>
        </w:rPr>
        <w:t>not have in mind psychiatric illness’ referring to the words “grievous bodily harm”, O’Hanlon (1997</w:t>
      </w:r>
      <w:commentRangeEnd w:id="4"/>
      <w:r w:rsidR="00F70314">
        <w:rPr>
          <w:rStyle w:val="CommentReference"/>
        </w:rPr>
        <w:commentReference w:id="4"/>
      </w:r>
      <w:r>
        <w:rPr>
          <w:sz w:val="24"/>
          <w:szCs w:val="24"/>
        </w:rPr>
        <w:t xml:space="preserve">). In the cases Ireland v Burstow (1997) and R v Costanza (1997), it had </w:t>
      </w:r>
      <w:r>
        <w:rPr>
          <w:b/>
          <w:bCs/>
          <w:sz w:val="24"/>
          <w:szCs w:val="24"/>
        </w:rPr>
        <w:t>specified</w:t>
      </w:r>
      <w:r>
        <w:rPr>
          <w:sz w:val="24"/>
          <w:szCs w:val="24"/>
        </w:rPr>
        <w:t xml:space="preserve"> that silence can amount to assault, it does not need to be threatening words, in this case, the applicant was convicted of assault occasioning actual bodily harm for making silent telephone calls, Legal Information Institute (1992). It was also held in R v Ireland (1998) and R v Burstow (1998) that fear, panic, or distress can result in actual bodily harm, Herring (2014-p337). This indicates that the Victorian approach is no longer necessary and the language in the OAPA 1861 needs to be updated, O’Hanlon (1997).</w:t>
      </w:r>
    </w:p>
    <w:p w14:paraId="74380142" w14:textId="2959852D" w:rsidR="00DF211C" w:rsidRDefault="00BB0E3B">
      <w:pPr>
        <w:spacing w:line="480" w:lineRule="auto"/>
      </w:pPr>
      <w:r>
        <w:rPr>
          <w:sz w:val="24"/>
          <w:szCs w:val="24"/>
        </w:rPr>
        <w:t>The OAPA is unclear and has a misleading hierarchy of offences. Section 20 of the act is far more serious than section 47, however, both section 20 and 47 have the same maximum custodial sentence of five years. This has resulted</w:t>
      </w:r>
      <w:r>
        <w:rPr>
          <w:b/>
          <w:bCs/>
          <w:color w:val="FF0000"/>
          <w:sz w:val="24"/>
          <w:szCs w:val="24"/>
        </w:rPr>
        <w:t xml:space="preserve"> in</w:t>
      </w:r>
      <w:r>
        <w:rPr>
          <w:color w:val="FF0000"/>
          <w:sz w:val="24"/>
          <w:szCs w:val="24"/>
        </w:rPr>
        <w:t xml:space="preserve"> </w:t>
      </w:r>
      <w:r>
        <w:rPr>
          <w:sz w:val="24"/>
          <w:szCs w:val="24"/>
        </w:rPr>
        <w:t>confusion amongst prosecutors who must make the decision on whether to charge for a lesser offence depending on the seriousness of the injury, Law Commission (2014)</w:t>
      </w:r>
      <w:commentRangeStart w:id="5"/>
      <w:r>
        <w:rPr>
          <w:sz w:val="24"/>
          <w:szCs w:val="24"/>
        </w:rPr>
        <w:t xml:space="preserve">. </w:t>
      </w:r>
      <w:commentRangeEnd w:id="5"/>
      <w:r w:rsidR="00F70314">
        <w:rPr>
          <w:rStyle w:val="CommentReference"/>
        </w:rPr>
        <w:commentReference w:id="5"/>
      </w:r>
      <w:r>
        <w:rPr>
          <w:sz w:val="24"/>
          <w:szCs w:val="24"/>
        </w:rPr>
        <w:t xml:space="preserve">Therefore, judging the problems the act is facing, it is important that they update the offences and ensure justice is fair, </w:t>
      </w:r>
      <w:proofErr w:type="spellStart"/>
      <w:r>
        <w:rPr>
          <w:sz w:val="24"/>
          <w:szCs w:val="24"/>
        </w:rPr>
        <w:t>Eugenicos</w:t>
      </w:r>
      <w:proofErr w:type="spellEnd"/>
      <w:r>
        <w:rPr>
          <w:sz w:val="24"/>
          <w:szCs w:val="24"/>
        </w:rPr>
        <w:t xml:space="preserve"> (2017). In relation to sectio</w:t>
      </w:r>
      <w:commentRangeStart w:id="6"/>
      <w:r>
        <w:rPr>
          <w:sz w:val="24"/>
          <w:szCs w:val="24"/>
        </w:rPr>
        <w:t>n</w:t>
      </w:r>
      <w:commentRangeEnd w:id="6"/>
      <w:r w:rsidR="00F70314">
        <w:rPr>
          <w:rStyle w:val="CommentReference"/>
        </w:rPr>
        <w:commentReference w:id="6"/>
      </w:r>
      <w:r w:rsidR="00F568E6">
        <w:rPr>
          <w:sz w:val="24"/>
          <w:szCs w:val="24"/>
        </w:rPr>
        <w:t xml:space="preserve">s </w:t>
      </w:r>
      <w:r>
        <w:rPr>
          <w:sz w:val="24"/>
          <w:szCs w:val="24"/>
        </w:rPr>
        <w:t xml:space="preserve">20 and 47 the terminology used is said to mean the same thing which causes confusion. The section 20 act uses the word ‘inflict’ but section 18 uses the word ‘causes’. </w:t>
      </w:r>
      <w:commentRangeStart w:id="7"/>
      <w:r w:rsidRPr="007249DE">
        <w:rPr>
          <w:b/>
          <w:bCs/>
          <w:sz w:val="24"/>
          <w:szCs w:val="24"/>
        </w:rPr>
        <w:t>Case law</w:t>
      </w:r>
      <w:r>
        <w:rPr>
          <w:sz w:val="24"/>
          <w:szCs w:val="24"/>
        </w:rPr>
        <w:t xml:space="preserve"> </w:t>
      </w:r>
      <w:commentRangeEnd w:id="7"/>
      <w:r w:rsidR="00F70314">
        <w:rPr>
          <w:rStyle w:val="CommentReference"/>
        </w:rPr>
        <w:commentReference w:id="7"/>
      </w:r>
      <w:r>
        <w:rPr>
          <w:sz w:val="24"/>
          <w:szCs w:val="24"/>
        </w:rPr>
        <w:t xml:space="preserve">has found that inflict and cause mean the same thing. Therefore, there is no need to use different terminology. Overall, due to the misleading </w:t>
      </w:r>
      <w:r>
        <w:rPr>
          <w:sz w:val="24"/>
          <w:szCs w:val="24"/>
        </w:rPr>
        <w:lastRenderedPageBreak/>
        <w:t>hierarchy of offences, there has been proposed changes to the offences. A new offence of “aggravated assault” has been introduced which is intended to put a gap between existing offences</w:t>
      </w:r>
      <w:r w:rsidR="007249DE">
        <w:rPr>
          <w:sz w:val="24"/>
          <w:szCs w:val="24"/>
        </w:rPr>
        <w:t>,</w:t>
      </w:r>
      <w:r w:rsidR="00CB5BEE">
        <w:rPr>
          <w:sz w:val="24"/>
          <w:szCs w:val="24"/>
        </w:rPr>
        <w:t xml:space="preserve"> (</w:t>
      </w:r>
      <w:proofErr w:type="spellStart"/>
      <w:r w:rsidR="007249DE" w:rsidRPr="007249DE">
        <w:rPr>
          <w:sz w:val="24"/>
          <w:szCs w:val="24"/>
        </w:rPr>
        <w:t>Eugenicos</w:t>
      </w:r>
      <w:proofErr w:type="spellEnd"/>
      <w:r w:rsidR="007249DE">
        <w:rPr>
          <w:sz w:val="24"/>
          <w:szCs w:val="24"/>
        </w:rPr>
        <w:t xml:space="preserve"> (2017-p28)</w:t>
      </w:r>
      <w:r w:rsidR="00CB5BEE">
        <w:t>).</w:t>
      </w:r>
    </w:p>
    <w:p w14:paraId="23953D6F" w14:textId="2C48C974" w:rsidR="00DF211C" w:rsidRDefault="00BB0E3B">
      <w:pPr>
        <w:spacing w:line="480" w:lineRule="auto"/>
      </w:pPr>
      <w:r>
        <w:rPr>
          <w:sz w:val="24"/>
          <w:szCs w:val="24"/>
        </w:rPr>
        <w:t xml:space="preserve">It has been argued that when a minor injury occurs the Crown Prosecution Service normally charges the defendant with common assault, forgetting the fact that harm could fall within section 47. An example of a case where common assault occurred is </w:t>
      </w:r>
      <w:bookmarkStart w:id="8" w:name="_Hlk63775211"/>
      <w:proofErr w:type="spellStart"/>
      <w:r>
        <w:rPr>
          <w:sz w:val="24"/>
          <w:szCs w:val="24"/>
        </w:rPr>
        <w:t>Misalati</w:t>
      </w:r>
      <w:proofErr w:type="spellEnd"/>
      <w:r>
        <w:rPr>
          <w:sz w:val="24"/>
          <w:szCs w:val="24"/>
        </w:rPr>
        <w:t xml:space="preserve"> (2017</w:t>
      </w:r>
      <w:bookmarkEnd w:id="8"/>
      <w:r>
        <w:rPr>
          <w:sz w:val="24"/>
          <w:szCs w:val="24"/>
        </w:rPr>
        <w:t xml:space="preserve">), this is where the defendant had spat towards the victim, it was held that although there was no actual violence, spitting is classed as assault whether it </w:t>
      </w:r>
      <w:proofErr w:type="gramStart"/>
      <w:r>
        <w:rPr>
          <w:sz w:val="24"/>
          <w:szCs w:val="24"/>
        </w:rPr>
        <w:t>makes contact with</w:t>
      </w:r>
      <w:proofErr w:type="gramEnd"/>
      <w:r>
        <w:rPr>
          <w:sz w:val="24"/>
          <w:szCs w:val="24"/>
        </w:rPr>
        <w:t xml:space="preserve"> the victim or causes fear to the victim. This will result an arrest, CPS (2020). There are several offences such as minor bar fights where the CPS need to deal with these types of injuries through the Magistrates Court. If </w:t>
      </w:r>
      <w:r w:rsidR="00F568E6">
        <w:rPr>
          <w:sz w:val="24"/>
          <w:szCs w:val="24"/>
        </w:rPr>
        <w:t>ch</w:t>
      </w:r>
      <w:r>
        <w:rPr>
          <w:sz w:val="24"/>
          <w:szCs w:val="24"/>
        </w:rPr>
        <w:t xml:space="preserve">arged with ABH, the trial becomes triable either way. However, changing common assault is an issue, the maximum penalty for common assault is six months imprisonment. In theory, most cases passed by the Crown Court are for six months or less. When in the magistrate court the maximum sentence is six months, </w:t>
      </w:r>
      <w:r w:rsidR="00CB5BEE" w:rsidRPr="00C40D6D">
        <w:rPr>
          <w:b/>
          <w:bCs/>
          <w:sz w:val="24"/>
          <w:szCs w:val="24"/>
        </w:rPr>
        <w:t xml:space="preserve">Law Commission </w:t>
      </w:r>
      <w:r w:rsidRPr="00C40D6D">
        <w:rPr>
          <w:b/>
          <w:bCs/>
          <w:sz w:val="24"/>
          <w:szCs w:val="24"/>
        </w:rPr>
        <w:t>(2015</w:t>
      </w:r>
      <w:r w:rsidR="00C40D6D" w:rsidRPr="00C40D6D">
        <w:rPr>
          <w:b/>
          <w:bCs/>
          <w:sz w:val="24"/>
          <w:szCs w:val="24"/>
        </w:rPr>
        <w:t>a-p2</w:t>
      </w:r>
      <w:r w:rsidRPr="00C40D6D">
        <w:rPr>
          <w:b/>
          <w:bCs/>
          <w:sz w:val="24"/>
          <w:szCs w:val="24"/>
        </w:rPr>
        <w:t>).</w:t>
      </w:r>
      <w:r>
        <w:rPr>
          <w:sz w:val="24"/>
          <w:szCs w:val="24"/>
        </w:rPr>
        <w:t xml:space="preserve"> In certain circumstances, this sentence might not be suitable to punish the defendant. Therefore, a new offence should be introduced to ensure there is a gap between common assault and assault</w:t>
      </w:r>
      <w:r>
        <w:rPr>
          <w:b/>
          <w:bCs/>
          <w:sz w:val="24"/>
          <w:szCs w:val="24"/>
        </w:rPr>
        <w:t>, Stavros (2016).</w:t>
      </w:r>
      <w:r>
        <w:rPr>
          <w:sz w:val="24"/>
          <w:szCs w:val="24"/>
        </w:rPr>
        <w:t xml:space="preserve"> The commission thinks the new aggravated assault offence will help to deal with minor injuries. Such a short sentence would not be right, so it would be a maximum penalty of twelve months imprisonment. This will make the justice service much fairer</w:t>
      </w:r>
      <w:r w:rsidR="00CB5BEE">
        <w:rPr>
          <w:sz w:val="24"/>
          <w:szCs w:val="24"/>
        </w:rPr>
        <w:t>, Law Commission (2015a)</w:t>
      </w:r>
      <w:r w:rsidR="00CB5BEE">
        <w:t>.</w:t>
      </w:r>
    </w:p>
    <w:p w14:paraId="2F6299ED" w14:textId="29AD46F5" w:rsidR="00DF211C" w:rsidRDefault="00BB0E3B">
      <w:pPr>
        <w:spacing w:line="480" w:lineRule="auto"/>
        <w:rPr>
          <w:sz w:val="24"/>
          <w:szCs w:val="24"/>
        </w:rPr>
      </w:pPr>
      <w:r>
        <w:rPr>
          <w:sz w:val="24"/>
          <w:szCs w:val="24"/>
        </w:rPr>
        <w:t xml:space="preserve">A further problem that makes non-fatal offences no longer fit for purpose is that the commission fails to highlight the difference between the two terms of blameworthiness. For people in society to understand the offences, the offences need to be labelled accurately, </w:t>
      </w:r>
      <w:r>
        <w:rPr>
          <w:sz w:val="24"/>
          <w:szCs w:val="24"/>
        </w:rPr>
        <w:lastRenderedPageBreak/>
        <w:t>Stavros (2016b). The Act does not have a clear structure. For instance, under the current law, assault consists of acting intentionally or recklessly. On the other hand, battery requires physical and unlawful contact between the defendant and the victim. This shows the difference between the two common offences. Assault and common assault can be used correspondently, however, the fact that ‘battery’ is hardly used in modern language it can be misleading. In the case of R v Thomas (1985), it was held that touching the hem of a girl’s skirt while she is wearing it was like touching the girl herself. As a result, to unlawful physical contact, it can amount to battery, Ward (1998: p337). However, if you hurt or interfere</w:t>
      </w:r>
      <w:r w:rsidR="00F568E6">
        <w:rPr>
          <w:sz w:val="24"/>
          <w:szCs w:val="24"/>
        </w:rPr>
        <w:t xml:space="preserve"> w</w:t>
      </w:r>
      <w:r>
        <w:rPr>
          <w:sz w:val="24"/>
          <w:szCs w:val="24"/>
        </w:rPr>
        <w:t>ith the comfort of the victim it amounts to ABH. At first, you can see a clear distinction between the two offences, they both require actus reus, however, they still cause uncertainty. In the case R v Chan-</w:t>
      </w:r>
      <w:proofErr w:type="spellStart"/>
      <w:r>
        <w:rPr>
          <w:sz w:val="24"/>
          <w:szCs w:val="24"/>
        </w:rPr>
        <w:t>Fook</w:t>
      </w:r>
      <w:proofErr w:type="spellEnd"/>
      <w:r>
        <w:rPr>
          <w:sz w:val="24"/>
          <w:szCs w:val="24"/>
        </w:rPr>
        <w:t xml:space="preserve"> (1994), it was held that the offence can cover psychological injury, but this must be confirmed by a medical expert, Reed (1995).</w:t>
      </w:r>
    </w:p>
    <w:p w14:paraId="74B7E153" w14:textId="79F90AAB" w:rsidR="00DF211C" w:rsidRDefault="00BB0E3B">
      <w:pPr>
        <w:spacing w:line="480" w:lineRule="auto"/>
      </w:pPr>
      <w:r>
        <w:rPr>
          <w:sz w:val="24"/>
          <w:szCs w:val="24"/>
        </w:rPr>
        <w:t xml:space="preserve">  In comparison, the case facts in R v Miller (1954) also outline that the harm can be physical or psychological harm, this can involve cutting someone’s hair as seen in DPP V Smith (2006). As a result of this, there have been arguments that battery carries a maximum sentence of six months whereas ABH is five months. Therefore, it clearly shows that the offences are not being labelled correctly. They fail to provide clear </w:t>
      </w:r>
      <w:r w:rsidR="00F568E6">
        <w:rPr>
          <w:sz w:val="24"/>
          <w:szCs w:val="24"/>
        </w:rPr>
        <w:t>structure</w:t>
      </w:r>
      <w:r>
        <w:rPr>
          <w:sz w:val="24"/>
          <w:szCs w:val="24"/>
        </w:rPr>
        <w:t xml:space="preserve"> </w:t>
      </w:r>
      <w:r>
        <w:rPr>
          <w:b/>
          <w:bCs/>
          <w:sz w:val="24"/>
          <w:szCs w:val="24"/>
        </w:rPr>
        <w:t xml:space="preserve">because of this, </w:t>
      </w:r>
      <w:r>
        <w:rPr>
          <w:sz w:val="24"/>
          <w:szCs w:val="24"/>
        </w:rPr>
        <w:t xml:space="preserve">the commission had suggested that battery should be labelled as ‘physical assault’ and the label for assault would be ‘threatened assault’, Stavros (2016- pp190a). In relation to Assault, it is important that offences are labelled fairly to ensure there is a balanced response to any law-breaking. Where there is a duty to act battery can also be committed by an omission. In </w:t>
      </w:r>
      <w:bookmarkStart w:id="9" w:name="_Hlk63772331"/>
      <w:r>
        <w:rPr>
          <w:sz w:val="24"/>
          <w:szCs w:val="24"/>
        </w:rPr>
        <w:t>DPP v Santander Bermudez (2004)</w:t>
      </w:r>
      <w:bookmarkEnd w:id="9"/>
      <w:r>
        <w:rPr>
          <w:sz w:val="24"/>
          <w:szCs w:val="24"/>
        </w:rPr>
        <w:t xml:space="preserve">, a man was asked if he had any needles or sharps on him when an officer was searching him, he failed to Inform the officer </w:t>
      </w:r>
      <w:r>
        <w:rPr>
          <w:sz w:val="24"/>
          <w:szCs w:val="24"/>
        </w:rPr>
        <w:lastRenderedPageBreak/>
        <w:t xml:space="preserve">and she happened to prick her finger on a hypodermic needle, he was convicted of ABH as he had reasonably foreseen the risk. </w:t>
      </w:r>
    </w:p>
    <w:p w14:paraId="4D4C3140" w14:textId="5C8886E5" w:rsidR="00DF211C" w:rsidRDefault="00BB0E3B">
      <w:pPr>
        <w:spacing w:line="480" w:lineRule="auto"/>
        <w:rPr>
          <w:sz w:val="24"/>
          <w:szCs w:val="24"/>
        </w:rPr>
      </w:pPr>
      <w:r>
        <w:rPr>
          <w:sz w:val="24"/>
          <w:szCs w:val="24"/>
        </w:rPr>
        <w:t xml:space="preserve">Another problem relating to the OAPA Act 1861 is that some offences under the Act are unnecessary. The unnecessary offences include setting a spring gun or mantrap to destroy life, or cause GBH, not providing food to servants or apprentices obstructing a person escaping a ship. These offences are not required today, these types of offences will be covered by different offences such as false imprisonment, assault, or battery. This is a problem because the 1861 Act still follows the Victorian approach, which is very outdated, therefore, these offences are no longer necessary, </w:t>
      </w:r>
      <w:r w:rsidRPr="002E3C1A">
        <w:rPr>
          <w:b/>
          <w:bCs/>
          <w:sz w:val="24"/>
          <w:szCs w:val="24"/>
        </w:rPr>
        <w:t>Law Commission (2015-p5</w:t>
      </w:r>
      <w:r w:rsidR="00CB5BEE" w:rsidRPr="002E3C1A">
        <w:rPr>
          <w:b/>
          <w:bCs/>
          <w:sz w:val="24"/>
          <w:szCs w:val="24"/>
        </w:rPr>
        <w:t>b</w:t>
      </w:r>
      <w:r w:rsidRPr="002E3C1A">
        <w:rPr>
          <w:b/>
          <w:bCs/>
          <w:sz w:val="24"/>
          <w:szCs w:val="24"/>
        </w:rPr>
        <w:t>).</w:t>
      </w:r>
    </w:p>
    <w:p w14:paraId="7F0A4714" w14:textId="77777777" w:rsidR="00DF211C" w:rsidRDefault="00BB0E3B">
      <w:pPr>
        <w:spacing w:line="480" w:lineRule="auto"/>
        <w:rPr>
          <w:sz w:val="24"/>
          <w:szCs w:val="24"/>
        </w:rPr>
      </w:pPr>
      <w:r>
        <w:rPr>
          <w:sz w:val="24"/>
          <w:szCs w:val="24"/>
        </w:rPr>
        <w:t xml:space="preserve">There are many reforms that are needed in this area of law, however, there have been arguments that it does not need reform. The Bar Council and the Criminal Bar association believe that case law has already established the theoretical and legal meanings. They believe that unnecessary offences are gradually changing. However, many people disagree with this as they think the current law needs to be replaced to prevent further confusion, </w:t>
      </w:r>
      <w:proofErr w:type="spellStart"/>
      <w:r>
        <w:rPr>
          <w:sz w:val="24"/>
          <w:szCs w:val="24"/>
        </w:rPr>
        <w:t>Eugenicos</w:t>
      </w:r>
      <w:proofErr w:type="spellEnd"/>
      <w:r>
        <w:rPr>
          <w:sz w:val="24"/>
          <w:szCs w:val="24"/>
        </w:rPr>
        <w:t xml:space="preserve"> (2017). </w:t>
      </w:r>
    </w:p>
    <w:p w14:paraId="4855BA82" w14:textId="259B2D6E" w:rsidR="00DF211C" w:rsidRDefault="00BB0E3B">
      <w:pPr>
        <w:spacing w:line="480" w:lineRule="auto"/>
        <w:rPr>
          <w:sz w:val="24"/>
          <w:szCs w:val="24"/>
        </w:rPr>
      </w:pPr>
      <w:r>
        <w:rPr>
          <w:sz w:val="24"/>
          <w:szCs w:val="24"/>
        </w:rPr>
        <w:t xml:space="preserve">Furthermore, there have been many previous attempts to reform this area of law. Since 1980 there have been six reform documents on this area of law which were published by Government bodies, </w:t>
      </w:r>
      <w:r w:rsidRPr="002E3C1A">
        <w:rPr>
          <w:b/>
          <w:bCs/>
          <w:sz w:val="24"/>
          <w:szCs w:val="24"/>
        </w:rPr>
        <w:t>Law Commission (2015</w:t>
      </w:r>
      <w:r w:rsidR="002E3C1A" w:rsidRPr="002E3C1A">
        <w:rPr>
          <w:b/>
          <w:bCs/>
          <w:sz w:val="24"/>
          <w:szCs w:val="24"/>
        </w:rPr>
        <w:t>-p6</w:t>
      </w:r>
      <w:r w:rsidR="00CB5BEE" w:rsidRPr="002E3C1A">
        <w:rPr>
          <w:b/>
          <w:bCs/>
          <w:sz w:val="24"/>
          <w:szCs w:val="24"/>
        </w:rPr>
        <w:t>b</w:t>
      </w:r>
      <w:r w:rsidRPr="002E3C1A">
        <w:rPr>
          <w:b/>
          <w:bCs/>
          <w:sz w:val="24"/>
          <w:szCs w:val="24"/>
        </w:rPr>
        <w:t>).</w:t>
      </w:r>
      <w:r>
        <w:rPr>
          <w:sz w:val="24"/>
          <w:szCs w:val="24"/>
        </w:rPr>
        <w:t xml:space="preserve"> The 2015 consultation paper that was produced by the law commission (2015) had proposed that they should use the Home Office’s 1998 draft Bill to make some amendments. They had stated that this area of law needs reform, therefore, they have put together some recommendations. The plan was for the Home office draft bill 1998 to replace the outdated Offences Against the Person Act 1861, this bill outlines a more structured approach to the offences. One recommendation </w:t>
      </w:r>
      <w:r>
        <w:rPr>
          <w:sz w:val="24"/>
          <w:szCs w:val="24"/>
        </w:rPr>
        <w:lastRenderedPageBreak/>
        <w:t xml:space="preserve">that has been brought into action was to add a new summary- only offence of aggravated offence which carries a maximum sentence of 12months. It was also suggested to expand on offences up to 10 years. These offences included threatening to kill, threats that cause serious injury and threats to rape, The Law Commission Reforming the law (2021). They also recommended that the language should be updated. For example, the words in relation to felony and misdemeanour should be removed. Outdated offences within the Act should be replaced by a more ‘comprehensive modern statue on offences against the person’, </w:t>
      </w:r>
      <w:r w:rsidRPr="002E3C1A">
        <w:rPr>
          <w:b/>
          <w:bCs/>
          <w:sz w:val="24"/>
          <w:szCs w:val="24"/>
        </w:rPr>
        <w:t>Law Commission (2015</w:t>
      </w:r>
      <w:r w:rsidR="002E3C1A" w:rsidRPr="002E3C1A">
        <w:rPr>
          <w:b/>
          <w:bCs/>
          <w:sz w:val="24"/>
          <w:szCs w:val="24"/>
        </w:rPr>
        <w:t>-41b</w:t>
      </w:r>
      <w:r>
        <w:rPr>
          <w:sz w:val="24"/>
          <w:szCs w:val="24"/>
        </w:rPr>
        <w:t>). Lastly, the Law Commission suggested using the offences of recklessly causing serious injury and intentionally causing injury. These are the hierarchy of offences in the draft bill, Law Commission (2015</w:t>
      </w:r>
      <w:r w:rsidR="00CB5BEE">
        <w:rPr>
          <w:sz w:val="24"/>
          <w:szCs w:val="24"/>
        </w:rPr>
        <w:t>b</w:t>
      </w:r>
      <w:r>
        <w:rPr>
          <w:sz w:val="24"/>
          <w:szCs w:val="24"/>
        </w:rPr>
        <w:t>).</w:t>
      </w:r>
    </w:p>
    <w:p w14:paraId="1BE0EAF7" w14:textId="266A7907" w:rsidR="00DF211C" w:rsidRDefault="00BB0E3B">
      <w:pPr>
        <w:spacing w:line="480" w:lineRule="auto"/>
      </w:pPr>
      <w:r>
        <w:rPr>
          <w:sz w:val="24"/>
          <w:szCs w:val="24"/>
        </w:rPr>
        <w:t xml:space="preserve">By using the Home Office Draft bill (1998), we will see a significant improvement on the current law. The new violence offences have been widely supported by the 1998 bill. The offences will result in a much fairer and accurate decisions in relation to what is alleged to the defendant, Law Commission of </w:t>
      </w:r>
      <w:proofErr w:type="gramStart"/>
      <w:r>
        <w:rPr>
          <w:sz w:val="24"/>
          <w:szCs w:val="24"/>
        </w:rPr>
        <w:t>England</w:t>
      </w:r>
      <w:proofErr w:type="gramEnd"/>
      <w:r>
        <w:rPr>
          <w:sz w:val="24"/>
          <w:szCs w:val="24"/>
        </w:rPr>
        <w:t xml:space="preserve"> and Wales (2015</w:t>
      </w:r>
      <w:r w:rsidR="00CB5BEE">
        <w:rPr>
          <w:sz w:val="24"/>
          <w:szCs w:val="24"/>
        </w:rPr>
        <w:t>c</w:t>
      </w:r>
      <w:r>
        <w:rPr>
          <w:sz w:val="24"/>
          <w:szCs w:val="24"/>
        </w:rPr>
        <w:t>).</w:t>
      </w:r>
    </w:p>
    <w:p w14:paraId="1EA2C220" w14:textId="3091E800" w:rsidR="00DF211C" w:rsidRDefault="00BB0E3B">
      <w:pPr>
        <w:spacing w:line="480" w:lineRule="auto"/>
        <w:rPr>
          <w:sz w:val="24"/>
          <w:szCs w:val="24"/>
        </w:rPr>
      </w:pPr>
      <w:r>
        <w:rPr>
          <w:sz w:val="24"/>
          <w:szCs w:val="24"/>
        </w:rPr>
        <w:t>Overall, Lord Chief Justice had noted that the reform is overdue in this area</w:t>
      </w:r>
      <w:commentRangeStart w:id="10"/>
      <w:r>
        <w:rPr>
          <w:sz w:val="24"/>
          <w:szCs w:val="24"/>
        </w:rPr>
        <w:t xml:space="preserve">, </w:t>
      </w:r>
      <w:commentRangeEnd w:id="10"/>
      <w:r w:rsidR="00F02592">
        <w:rPr>
          <w:rStyle w:val="CommentReference"/>
        </w:rPr>
        <w:commentReference w:id="10"/>
      </w:r>
      <w:r>
        <w:rPr>
          <w:sz w:val="24"/>
          <w:szCs w:val="24"/>
        </w:rPr>
        <w:t xml:space="preserve">Law Commission (2015).  John Atherton, of the National Bench Chairmen’s Forum, had noted that he had read the 1861 Act and was shocked about the outdated use of words and phrases. He said reading it was “akin to </w:t>
      </w:r>
      <w:commentRangeStart w:id="11"/>
      <w:r>
        <w:rPr>
          <w:sz w:val="24"/>
          <w:szCs w:val="24"/>
        </w:rPr>
        <w:t xml:space="preserve">plaiting fog.” </w:t>
      </w:r>
      <w:commentRangeEnd w:id="11"/>
      <w:r w:rsidR="00F02592">
        <w:rPr>
          <w:rStyle w:val="CommentReference"/>
        </w:rPr>
        <w:commentReference w:id="11"/>
      </w:r>
      <w:r w:rsidR="00664F1E">
        <w:rPr>
          <w:sz w:val="24"/>
          <w:szCs w:val="24"/>
        </w:rPr>
        <w:t>,</w:t>
      </w:r>
      <w:r w:rsidR="00664F1E" w:rsidRPr="00664F1E">
        <w:t xml:space="preserve"> </w:t>
      </w:r>
      <w:r w:rsidR="00664F1E" w:rsidRPr="00664F1E">
        <w:rPr>
          <w:sz w:val="24"/>
          <w:szCs w:val="24"/>
        </w:rPr>
        <w:t>Law Commission Reforming the Law (2021?).</w:t>
      </w:r>
      <w:r w:rsidR="00664F1E">
        <w:rPr>
          <w:sz w:val="24"/>
          <w:szCs w:val="24"/>
        </w:rPr>
        <w:t xml:space="preserve"> T</w:t>
      </w:r>
      <w:r>
        <w:rPr>
          <w:sz w:val="24"/>
          <w:szCs w:val="24"/>
        </w:rPr>
        <w:t>his indicates that the non-fatal offences are no longer fit for purpose and in need of reform</w:t>
      </w:r>
      <w:r w:rsidR="00664F1E">
        <w:rPr>
          <w:sz w:val="24"/>
          <w:szCs w:val="24"/>
        </w:rPr>
        <w:t xml:space="preserve">. </w:t>
      </w:r>
      <w:r>
        <w:rPr>
          <w:sz w:val="24"/>
          <w:szCs w:val="24"/>
        </w:rPr>
        <w:t>Judges and juries have had problems with the current law as it is now 1</w:t>
      </w:r>
      <w:r w:rsidR="00F568E6">
        <w:rPr>
          <w:sz w:val="24"/>
          <w:szCs w:val="24"/>
        </w:rPr>
        <w:t>60 y</w:t>
      </w:r>
      <w:r>
        <w:rPr>
          <w:sz w:val="24"/>
          <w:szCs w:val="24"/>
        </w:rPr>
        <w:t xml:space="preserve">ears old. Therefore, it is extremely important that the </w:t>
      </w:r>
      <w:commentRangeStart w:id="12"/>
      <w:r>
        <w:rPr>
          <w:sz w:val="24"/>
          <w:szCs w:val="24"/>
        </w:rPr>
        <w:t>OATP</w:t>
      </w:r>
      <w:r w:rsidR="00F568E6">
        <w:rPr>
          <w:sz w:val="24"/>
          <w:szCs w:val="24"/>
        </w:rPr>
        <w:t>A</w:t>
      </w:r>
      <w:r>
        <w:rPr>
          <w:sz w:val="24"/>
          <w:szCs w:val="24"/>
        </w:rPr>
        <w:t xml:space="preserve"> </w:t>
      </w:r>
      <w:commentRangeEnd w:id="12"/>
      <w:r w:rsidR="00F02592">
        <w:rPr>
          <w:rStyle w:val="CommentReference"/>
        </w:rPr>
        <w:commentReference w:id="12"/>
      </w:r>
      <w:r>
        <w:rPr>
          <w:sz w:val="24"/>
          <w:szCs w:val="24"/>
        </w:rPr>
        <w:t xml:space="preserve">1861 gets replaced with the Home Office’s 1998 draft Bill. To conclude, the OAPA is still unclear and needs to be replaced with </w:t>
      </w:r>
      <w:r>
        <w:rPr>
          <w:sz w:val="24"/>
          <w:szCs w:val="24"/>
        </w:rPr>
        <w:lastRenderedPageBreak/>
        <w:t>new legislation to ensure this area of law is fit for purpose. This will make the law much fairer and up to date with a clear hierarchy of offences to enable a fair trial.</w:t>
      </w:r>
    </w:p>
    <w:p w14:paraId="64FE0889" w14:textId="77777777" w:rsidR="00DF211C" w:rsidRDefault="00DF211C">
      <w:pPr>
        <w:rPr>
          <w:b/>
          <w:bCs/>
          <w:sz w:val="36"/>
          <w:szCs w:val="36"/>
          <w:u w:val="single"/>
        </w:rPr>
      </w:pPr>
    </w:p>
    <w:p w14:paraId="009A517B" w14:textId="77777777" w:rsidR="00DF211C" w:rsidRDefault="00DF211C">
      <w:pPr>
        <w:rPr>
          <w:b/>
          <w:bCs/>
          <w:sz w:val="36"/>
          <w:szCs w:val="36"/>
          <w:u w:val="single"/>
        </w:rPr>
      </w:pPr>
    </w:p>
    <w:p w14:paraId="3B3489C4" w14:textId="77777777" w:rsidR="00DF211C" w:rsidRDefault="00DF211C">
      <w:pPr>
        <w:rPr>
          <w:b/>
          <w:bCs/>
          <w:sz w:val="36"/>
          <w:szCs w:val="36"/>
          <w:u w:val="single"/>
        </w:rPr>
      </w:pPr>
    </w:p>
    <w:p w14:paraId="6995F2E0" w14:textId="77777777" w:rsidR="00DF211C" w:rsidRDefault="00DF211C">
      <w:pPr>
        <w:rPr>
          <w:b/>
          <w:bCs/>
          <w:sz w:val="36"/>
          <w:szCs w:val="36"/>
          <w:u w:val="single"/>
        </w:rPr>
      </w:pPr>
    </w:p>
    <w:p w14:paraId="38937C67" w14:textId="77777777" w:rsidR="00DF211C" w:rsidRDefault="00DF211C">
      <w:pPr>
        <w:rPr>
          <w:b/>
          <w:bCs/>
          <w:sz w:val="36"/>
          <w:szCs w:val="36"/>
          <w:u w:val="single"/>
        </w:rPr>
      </w:pPr>
    </w:p>
    <w:p w14:paraId="0D184D05" w14:textId="77777777" w:rsidR="00DF211C" w:rsidRDefault="00DF211C">
      <w:pPr>
        <w:rPr>
          <w:b/>
          <w:bCs/>
          <w:sz w:val="36"/>
          <w:szCs w:val="36"/>
          <w:u w:val="single"/>
        </w:rPr>
      </w:pPr>
    </w:p>
    <w:p w14:paraId="784F64DF" w14:textId="77777777" w:rsidR="00DF211C" w:rsidRDefault="00DF211C">
      <w:pPr>
        <w:rPr>
          <w:b/>
          <w:bCs/>
          <w:sz w:val="36"/>
          <w:szCs w:val="36"/>
          <w:u w:val="single"/>
        </w:rPr>
      </w:pPr>
    </w:p>
    <w:p w14:paraId="18DDB7B9" w14:textId="77777777" w:rsidR="00DF211C" w:rsidRDefault="00DF211C">
      <w:pPr>
        <w:rPr>
          <w:b/>
          <w:bCs/>
          <w:sz w:val="36"/>
          <w:szCs w:val="36"/>
          <w:u w:val="single"/>
        </w:rPr>
      </w:pPr>
    </w:p>
    <w:p w14:paraId="0CDDFFAA" w14:textId="77777777" w:rsidR="00DF211C" w:rsidRDefault="00DF211C">
      <w:pPr>
        <w:rPr>
          <w:b/>
          <w:bCs/>
          <w:sz w:val="36"/>
          <w:szCs w:val="36"/>
          <w:u w:val="single"/>
        </w:rPr>
      </w:pPr>
    </w:p>
    <w:p w14:paraId="3BA5CCDD" w14:textId="77777777" w:rsidR="00DF211C" w:rsidRDefault="00DF211C">
      <w:pPr>
        <w:rPr>
          <w:b/>
          <w:bCs/>
          <w:sz w:val="36"/>
          <w:szCs w:val="36"/>
          <w:u w:val="single"/>
        </w:rPr>
      </w:pPr>
    </w:p>
    <w:p w14:paraId="62B10549" w14:textId="77777777" w:rsidR="00DF211C" w:rsidRDefault="00DF211C">
      <w:pPr>
        <w:rPr>
          <w:b/>
          <w:bCs/>
          <w:sz w:val="36"/>
          <w:szCs w:val="36"/>
          <w:u w:val="single"/>
        </w:rPr>
      </w:pPr>
    </w:p>
    <w:p w14:paraId="3C24BAE7" w14:textId="77777777" w:rsidR="00DF211C" w:rsidRDefault="00DF211C">
      <w:pPr>
        <w:rPr>
          <w:b/>
          <w:bCs/>
          <w:sz w:val="36"/>
          <w:szCs w:val="36"/>
          <w:u w:val="single"/>
        </w:rPr>
      </w:pPr>
    </w:p>
    <w:p w14:paraId="682313A5" w14:textId="77777777" w:rsidR="00DF211C" w:rsidRDefault="00DF211C">
      <w:pPr>
        <w:rPr>
          <w:b/>
          <w:bCs/>
          <w:sz w:val="36"/>
          <w:szCs w:val="36"/>
          <w:u w:val="single"/>
        </w:rPr>
      </w:pPr>
    </w:p>
    <w:p w14:paraId="24B59814" w14:textId="77777777" w:rsidR="00DF211C" w:rsidRDefault="00DF211C">
      <w:pPr>
        <w:rPr>
          <w:b/>
          <w:bCs/>
          <w:sz w:val="36"/>
          <w:szCs w:val="36"/>
          <w:u w:val="single"/>
        </w:rPr>
      </w:pPr>
    </w:p>
    <w:p w14:paraId="659809C2" w14:textId="77777777" w:rsidR="00DF211C" w:rsidRDefault="00DF211C">
      <w:pPr>
        <w:rPr>
          <w:b/>
          <w:bCs/>
          <w:sz w:val="36"/>
          <w:szCs w:val="36"/>
          <w:u w:val="single"/>
        </w:rPr>
      </w:pPr>
    </w:p>
    <w:p w14:paraId="14BB5728" w14:textId="77777777" w:rsidR="00DF211C" w:rsidRDefault="00DF211C">
      <w:pPr>
        <w:rPr>
          <w:b/>
          <w:bCs/>
          <w:sz w:val="36"/>
          <w:szCs w:val="36"/>
          <w:u w:val="single"/>
        </w:rPr>
      </w:pPr>
    </w:p>
    <w:p w14:paraId="720B60C9" w14:textId="77777777" w:rsidR="00DF211C" w:rsidRDefault="00DF211C">
      <w:pPr>
        <w:rPr>
          <w:b/>
          <w:bCs/>
          <w:sz w:val="36"/>
          <w:szCs w:val="36"/>
          <w:u w:val="single"/>
        </w:rPr>
      </w:pPr>
    </w:p>
    <w:p w14:paraId="398CF542" w14:textId="77777777" w:rsidR="00DF211C" w:rsidRDefault="00DF211C">
      <w:pPr>
        <w:rPr>
          <w:b/>
          <w:bCs/>
          <w:sz w:val="36"/>
          <w:szCs w:val="36"/>
          <w:u w:val="single"/>
        </w:rPr>
      </w:pPr>
    </w:p>
    <w:p w14:paraId="6FA9B0BA" w14:textId="77777777" w:rsidR="00DF211C" w:rsidRDefault="00DF211C">
      <w:pPr>
        <w:rPr>
          <w:b/>
          <w:bCs/>
          <w:sz w:val="36"/>
          <w:szCs w:val="36"/>
          <w:u w:val="single"/>
        </w:rPr>
      </w:pPr>
    </w:p>
    <w:p w14:paraId="5BEDC1E9" w14:textId="77777777" w:rsidR="00DF211C" w:rsidRDefault="00DF211C">
      <w:pPr>
        <w:rPr>
          <w:b/>
          <w:bCs/>
          <w:sz w:val="36"/>
          <w:szCs w:val="36"/>
          <w:u w:val="single"/>
        </w:rPr>
      </w:pPr>
    </w:p>
    <w:p w14:paraId="4B34E8AD" w14:textId="77777777" w:rsidR="00DF211C" w:rsidRDefault="00DF211C">
      <w:pPr>
        <w:rPr>
          <w:b/>
          <w:bCs/>
          <w:sz w:val="36"/>
          <w:szCs w:val="36"/>
          <w:u w:val="single"/>
        </w:rPr>
      </w:pPr>
    </w:p>
    <w:p w14:paraId="47CF174E" w14:textId="77777777" w:rsidR="00DF211C" w:rsidRDefault="00BB0E3B">
      <w:pPr>
        <w:rPr>
          <w:b/>
          <w:bCs/>
          <w:sz w:val="36"/>
          <w:szCs w:val="36"/>
          <w:u w:val="single"/>
        </w:rPr>
      </w:pPr>
      <w:r>
        <w:rPr>
          <w:b/>
          <w:bCs/>
          <w:sz w:val="36"/>
          <w:szCs w:val="36"/>
          <w:u w:val="single"/>
        </w:rPr>
        <w:lastRenderedPageBreak/>
        <w:t xml:space="preserve">References </w:t>
      </w:r>
    </w:p>
    <w:p w14:paraId="6EBDD8BC" w14:textId="77777777" w:rsidR="00DF211C" w:rsidRDefault="00DF211C"/>
    <w:p w14:paraId="71387C56" w14:textId="77777777" w:rsidR="00D912EE" w:rsidRDefault="00D912EE">
      <w:pPr>
        <w:pStyle w:val="ListParagraph"/>
        <w:numPr>
          <w:ilvl w:val="0"/>
          <w:numId w:val="1"/>
        </w:numPr>
      </w:pPr>
      <w:r>
        <w:rPr>
          <w:sz w:val="24"/>
          <w:szCs w:val="24"/>
        </w:rPr>
        <w:t>College Law (2014), ‘Non-fatal offences against person’, Available at:</w:t>
      </w:r>
      <w:commentRangeStart w:id="13"/>
      <w:r>
        <w:rPr>
          <w:rStyle w:val="Hyperlink"/>
          <w:sz w:val="24"/>
          <w:szCs w:val="24"/>
        </w:rPr>
        <w:fldChar w:fldCharType="begin"/>
      </w:r>
      <w:r>
        <w:rPr>
          <w:rStyle w:val="Hyperlink"/>
          <w:sz w:val="24"/>
          <w:szCs w:val="24"/>
        </w:rPr>
        <w:instrText xml:space="preserve"> HYPERLINK  "https://www.collegelaw.co.uk/criminal-law/non_fatal_offences/index.html#:~:text=Non%20fatal%20offences%20are%20offences,tin%20injury%20but%20not%20death" </w:instrText>
      </w:r>
      <w:r>
        <w:rPr>
          <w:rStyle w:val="Hyperlink"/>
          <w:sz w:val="24"/>
          <w:szCs w:val="24"/>
        </w:rPr>
        <w:fldChar w:fldCharType="separate"/>
      </w:r>
      <w:r>
        <w:rPr>
          <w:rStyle w:val="Hyperlink"/>
          <w:sz w:val="24"/>
          <w:szCs w:val="24"/>
        </w:rPr>
        <w:t>https://www.collegelaw.co.uk/criminal-law/non_fatal_offences/index.html#:~:text=Non%20fatal%20offences%20are%20offences,tin%20injury%20but%</w:t>
      </w:r>
      <w:bookmarkStart w:id="14" w:name="_Hlt63076462"/>
      <w:bookmarkStart w:id="15" w:name="_Hlt63076463"/>
      <w:r>
        <w:rPr>
          <w:rStyle w:val="Hyperlink"/>
          <w:sz w:val="24"/>
          <w:szCs w:val="24"/>
        </w:rPr>
        <w:t>2</w:t>
      </w:r>
      <w:bookmarkEnd w:id="14"/>
      <w:bookmarkEnd w:id="15"/>
      <w:r>
        <w:rPr>
          <w:rStyle w:val="Hyperlink"/>
          <w:sz w:val="24"/>
          <w:szCs w:val="24"/>
        </w:rPr>
        <w:t>0not%20death</w:t>
      </w:r>
      <w:r>
        <w:rPr>
          <w:rStyle w:val="Hyperlink"/>
          <w:sz w:val="24"/>
          <w:szCs w:val="24"/>
        </w:rPr>
        <w:fldChar w:fldCharType="end"/>
      </w:r>
      <w:commentRangeEnd w:id="13"/>
      <w:r>
        <w:rPr>
          <w:rStyle w:val="CommentReference"/>
        </w:rPr>
        <w:commentReference w:id="13"/>
      </w:r>
      <w:r>
        <w:rPr>
          <w:sz w:val="24"/>
          <w:szCs w:val="24"/>
        </w:rPr>
        <w:t xml:space="preserve"> , (Accessed date:26/01/21)</w:t>
      </w:r>
    </w:p>
    <w:p w14:paraId="1F06DEF6" w14:textId="77777777" w:rsidR="00D912EE" w:rsidRDefault="00D912EE">
      <w:pPr>
        <w:pStyle w:val="ListParagraph"/>
        <w:numPr>
          <w:ilvl w:val="0"/>
          <w:numId w:val="1"/>
        </w:numPr>
      </w:pPr>
      <w:r>
        <w:t xml:space="preserve">CPS (2020), ‘Offences against the Person, incorporating the Charging Standard’, Available at: </w:t>
      </w:r>
      <w:hyperlink r:id="rId10" w:history="1">
        <w:r>
          <w:rPr>
            <w:rStyle w:val="Hyperlink"/>
          </w:rPr>
          <w:t>http</w:t>
        </w:r>
        <w:bookmarkStart w:id="16" w:name="_Hlt63775332"/>
        <w:r>
          <w:rPr>
            <w:rStyle w:val="Hyperlink"/>
          </w:rPr>
          <w:t>s</w:t>
        </w:r>
        <w:bookmarkEnd w:id="16"/>
        <w:r>
          <w:rPr>
            <w:rStyle w:val="Hyperlink"/>
          </w:rPr>
          <w:t>://www.cps.gov.uk/legal-guidance/off</w:t>
        </w:r>
        <w:r>
          <w:rPr>
            <w:rStyle w:val="Hyperlink"/>
          </w:rPr>
          <w:t>e</w:t>
        </w:r>
        <w:r>
          <w:rPr>
            <w:rStyle w:val="Hyperlink"/>
          </w:rPr>
          <w:t>nces-against-person-incorporating-charging-standard</w:t>
        </w:r>
      </w:hyperlink>
      <w:r>
        <w:t xml:space="preserve"> , (Accessed date: 06/02/21).</w:t>
      </w:r>
    </w:p>
    <w:p w14:paraId="65A4569C" w14:textId="77777777" w:rsidR="00D912EE" w:rsidRDefault="00D912EE">
      <w:pPr>
        <w:pStyle w:val="ListParagraph"/>
        <w:numPr>
          <w:ilvl w:val="0"/>
          <w:numId w:val="1"/>
        </w:numPr>
      </w:pPr>
      <w:r w:rsidRPr="00D26413">
        <w:t>Demetriou</w:t>
      </w:r>
      <w:r>
        <w:t xml:space="preserve"> S (2016), ‘Reviewing the Law Commission’s Recommendations on the “Offences against the Person” 2015 Report (Part I)’, Available at: </w:t>
      </w:r>
      <w:hyperlink r:id="rId11" w:history="1">
        <w:r>
          <w:rPr>
            <w:rStyle w:val="Hyperlink"/>
          </w:rPr>
          <w:t>https://lawpolitics</w:t>
        </w:r>
        <w:bookmarkStart w:id="17" w:name="_Hlt63274072"/>
        <w:bookmarkStart w:id="18" w:name="_Hlt63274073"/>
        <w:r>
          <w:rPr>
            <w:rStyle w:val="Hyperlink"/>
          </w:rPr>
          <w:t>a</w:t>
        </w:r>
        <w:bookmarkEnd w:id="17"/>
        <w:bookmarkEnd w:id="18"/>
        <w:r>
          <w:rPr>
            <w:rStyle w:val="Hyperlink"/>
          </w:rPr>
          <w:t>nd</w:t>
        </w:r>
        <w:r>
          <w:rPr>
            <w:rStyle w:val="Hyperlink"/>
          </w:rPr>
          <w:t>s</w:t>
        </w:r>
        <w:r>
          <w:rPr>
            <w:rStyle w:val="Hyperlink"/>
          </w:rPr>
          <w:t>ociology.wordpress.com/2016/02/03/reviewi</w:t>
        </w:r>
        <w:bookmarkStart w:id="19" w:name="_Hlt64302040"/>
        <w:r>
          <w:rPr>
            <w:rStyle w:val="Hyperlink"/>
          </w:rPr>
          <w:t>n</w:t>
        </w:r>
        <w:bookmarkEnd w:id="19"/>
        <w:r>
          <w:rPr>
            <w:rStyle w:val="Hyperlink"/>
          </w:rPr>
          <w:t>g-law-commissions-recommendations</w:t>
        </w:r>
        <w:bookmarkStart w:id="20" w:name="_Hlt64301467"/>
        <w:r>
          <w:rPr>
            <w:rStyle w:val="Hyperlink"/>
          </w:rPr>
          <w:t>-</w:t>
        </w:r>
        <w:bookmarkEnd w:id="20"/>
        <w:r>
          <w:rPr>
            <w:rStyle w:val="Hyperlink"/>
          </w:rPr>
          <w:t>o</w:t>
        </w:r>
        <w:bookmarkStart w:id="21" w:name="_Hlt64301651"/>
        <w:r>
          <w:rPr>
            <w:rStyle w:val="Hyperlink"/>
          </w:rPr>
          <w:t>n</w:t>
        </w:r>
        <w:bookmarkEnd w:id="21"/>
        <w:r>
          <w:rPr>
            <w:rStyle w:val="Hyperlink"/>
          </w:rPr>
          <w:t>-the</w:t>
        </w:r>
        <w:bookmarkStart w:id="22" w:name="_Hlt64301106"/>
        <w:r>
          <w:rPr>
            <w:rStyle w:val="Hyperlink"/>
          </w:rPr>
          <w:t>-</w:t>
        </w:r>
        <w:bookmarkEnd w:id="22"/>
        <w:r>
          <w:rPr>
            <w:rStyle w:val="Hyperlink"/>
          </w:rPr>
          <w:t>o</w:t>
        </w:r>
        <w:r>
          <w:rPr>
            <w:rStyle w:val="Hyperlink"/>
          </w:rPr>
          <w:t>ffences-agains</w:t>
        </w:r>
        <w:bookmarkStart w:id="23" w:name="_Hlt64301140"/>
        <w:r>
          <w:rPr>
            <w:rStyle w:val="Hyperlink"/>
          </w:rPr>
          <w:t>t</w:t>
        </w:r>
        <w:bookmarkEnd w:id="23"/>
        <w:r>
          <w:rPr>
            <w:rStyle w:val="Hyperlink"/>
          </w:rPr>
          <w:t>-th</w:t>
        </w:r>
        <w:r>
          <w:rPr>
            <w:rStyle w:val="Hyperlink"/>
          </w:rPr>
          <w:t>e</w:t>
        </w:r>
        <w:r>
          <w:rPr>
            <w:rStyle w:val="Hyperlink"/>
          </w:rPr>
          <w:t>-person-2015-report-part-i/</w:t>
        </w:r>
      </w:hyperlink>
      <w:r>
        <w:t xml:space="preserve"> , Accessed date: 03/02/21</w:t>
      </w:r>
    </w:p>
    <w:p w14:paraId="6C9B974E" w14:textId="77777777" w:rsidR="00D912EE" w:rsidRDefault="00D912EE">
      <w:pPr>
        <w:pStyle w:val="ListParagraph"/>
        <w:numPr>
          <w:ilvl w:val="0"/>
          <w:numId w:val="1"/>
        </w:numPr>
      </w:pPr>
      <w:proofErr w:type="spellStart"/>
      <w:r>
        <w:rPr>
          <w:sz w:val="24"/>
          <w:szCs w:val="24"/>
        </w:rPr>
        <w:t>Eugenicos</w:t>
      </w:r>
      <w:proofErr w:type="spellEnd"/>
      <w:r>
        <w:rPr>
          <w:sz w:val="24"/>
          <w:szCs w:val="24"/>
        </w:rPr>
        <w:t xml:space="preserve"> AM (2017), ‘Should We Reform the Offences Against the Person Act 1861?’, Vol. 81(1), pp. 26-32, Available at: </w:t>
      </w:r>
      <w:hyperlink r:id="rId12" w:history="1">
        <w:r>
          <w:rPr>
            <w:rStyle w:val="Hyperlink"/>
            <w:sz w:val="24"/>
            <w:szCs w:val="24"/>
          </w:rPr>
          <w:t>https:</w:t>
        </w:r>
        <w:bookmarkStart w:id="24" w:name="_Hlt62654632"/>
        <w:r>
          <w:rPr>
            <w:rStyle w:val="Hyperlink"/>
            <w:sz w:val="24"/>
            <w:szCs w:val="24"/>
          </w:rPr>
          <w:t>/</w:t>
        </w:r>
        <w:bookmarkEnd w:id="24"/>
        <w:r>
          <w:rPr>
            <w:rStyle w:val="Hyperlink"/>
            <w:sz w:val="24"/>
            <w:szCs w:val="24"/>
          </w:rPr>
          <w:t>/journals</w:t>
        </w:r>
        <w:bookmarkStart w:id="25" w:name="_Hlt63076694"/>
        <w:r>
          <w:rPr>
            <w:rStyle w:val="Hyperlink"/>
            <w:sz w:val="24"/>
            <w:szCs w:val="24"/>
          </w:rPr>
          <w:t>-</w:t>
        </w:r>
        <w:bookmarkEnd w:id="25"/>
        <w:r>
          <w:rPr>
            <w:rStyle w:val="Hyperlink"/>
            <w:sz w:val="24"/>
            <w:szCs w:val="24"/>
          </w:rPr>
          <w:t>s</w:t>
        </w:r>
        <w:r>
          <w:rPr>
            <w:rStyle w:val="Hyperlink"/>
            <w:sz w:val="24"/>
            <w:szCs w:val="24"/>
          </w:rPr>
          <w:t>a</w:t>
        </w:r>
        <w:r>
          <w:rPr>
            <w:rStyle w:val="Hyperlink"/>
            <w:sz w:val="24"/>
            <w:szCs w:val="24"/>
          </w:rPr>
          <w:t>gepub-com.ezproxy.uwtsd.ac.uk/d</w:t>
        </w:r>
        <w:r>
          <w:rPr>
            <w:rStyle w:val="Hyperlink"/>
            <w:sz w:val="24"/>
            <w:szCs w:val="24"/>
          </w:rPr>
          <w:t>o</w:t>
        </w:r>
        <w:r>
          <w:rPr>
            <w:rStyle w:val="Hyperlink"/>
            <w:sz w:val="24"/>
            <w:szCs w:val="24"/>
          </w:rPr>
          <w:t>i/pdf/10.1177/0022018316685478</w:t>
        </w:r>
      </w:hyperlink>
      <w:r>
        <w:rPr>
          <w:sz w:val="24"/>
          <w:szCs w:val="24"/>
        </w:rPr>
        <w:t xml:space="preserve"> , (Accessed date:28/01/21)</w:t>
      </w:r>
    </w:p>
    <w:p w14:paraId="2808761C" w14:textId="77777777" w:rsidR="00D912EE" w:rsidRDefault="00D912EE">
      <w:pPr>
        <w:pStyle w:val="ListParagraph"/>
        <w:numPr>
          <w:ilvl w:val="0"/>
          <w:numId w:val="1"/>
        </w:numPr>
      </w:pPr>
      <w:r>
        <w:t>Heath (2015), ‘Empty offences’, The law Society, Available at:</w:t>
      </w:r>
      <w:hyperlink r:id="rId13" w:history="1">
        <w:r>
          <w:rPr>
            <w:rStyle w:val="Hyperlink"/>
          </w:rPr>
          <w:t>https://www.lawgazette.co</w:t>
        </w:r>
        <w:bookmarkStart w:id="26" w:name="_Hlt63775227"/>
        <w:r>
          <w:rPr>
            <w:rStyle w:val="Hyperlink"/>
          </w:rPr>
          <w:t>.</w:t>
        </w:r>
        <w:bookmarkEnd w:id="26"/>
        <w:r>
          <w:rPr>
            <w:rStyle w:val="Hyperlink"/>
          </w:rPr>
          <w:t>uk/feedback/em</w:t>
        </w:r>
        <w:r>
          <w:rPr>
            <w:rStyle w:val="Hyperlink"/>
          </w:rPr>
          <w:t>p</w:t>
        </w:r>
        <w:r>
          <w:rPr>
            <w:rStyle w:val="Hyperlink"/>
          </w:rPr>
          <w:t>ty-offences/5049499.article</w:t>
        </w:r>
      </w:hyperlink>
      <w:r>
        <w:rPr>
          <w:rStyle w:val="Hyperlink"/>
        </w:rPr>
        <w:t xml:space="preserve"> , </w:t>
      </w:r>
      <w:r>
        <w:rPr>
          <w:rStyle w:val="Hyperlink"/>
          <w:color w:val="auto"/>
          <w:u w:val="none"/>
        </w:rPr>
        <w:t>(Accessed date: 05/02/21)</w:t>
      </w:r>
    </w:p>
    <w:p w14:paraId="67A7E3DD" w14:textId="77777777" w:rsidR="00D912EE" w:rsidRDefault="00D912EE">
      <w:pPr>
        <w:pStyle w:val="ListParagraph"/>
        <w:numPr>
          <w:ilvl w:val="0"/>
          <w:numId w:val="1"/>
        </w:numPr>
      </w:pPr>
      <w:r>
        <w:t>Herring J (2014), ‘Criminal Law’, Sixth Edition, Published by: Oxford University Press.</w:t>
      </w:r>
    </w:p>
    <w:p w14:paraId="2EDD915E" w14:textId="77777777" w:rsidR="00D912EE" w:rsidRDefault="00D912EE">
      <w:pPr>
        <w:pStyle w:val="ListParagraph"/>
        <w:numPr>
          <w:ilvl w:val="0"/>
          <w:numId w:val="1"/>
        </w:numPr>
      </w:pPr>
      <w:proofErr w:type="spellStart"/>
      <w:r>
        <w:rPr>
          <w:sz w:val="24"/>
          <w:szCs w:val="24"/>
        </w:rPr>
        <w:t>Horder</w:t>
      </w:r>
      <w:proofErr w:type="spellEnd"/>
      <w:r>
        <w:rPr>
          <w:sz w:val="24"/>
          <w:szCs w:val="24"/>
        </w:rPr>
        <w:t xml:space="preserve"> J (1994), ‘Rethinking Non-Fatal Offences against the Person’, Vol. 14, pp. 335-351,  Available at: </w:t>
      </w:r>
      <w:hyperlink r:id="rId14" w:anchor="metadata_info_tab_contents" w:history="1">
        <w:r>
          <w:rPr>
            <w:rStyle w:val="Hyperlink"/>
            <w:sz w:val="24"/>
            <w:szCs w:val="24"/>
          </w:rPr>
          <w:t>https:/</w:t>
        </w:r>
        <w:r>
          <w:rPr>
            <w:rStyle w:val="Hyperlink"/>
            <w:sz w:val="24"/>
            <w:szCs w:val="24"/>
          </w:rPr>
          <w:t>/</w:t>
        </w:r>
        <w:r>
          <w:rPr>
            <w:rStyle w:val="Hyperlink"/>
            <w:sz w:val="24"/>
            <w:szCs w:val="24"/>
          </w:rPr>
          <w:t>www-jstor-org.ezproxy.uw</w:t>
        </w:r>
        <w:bookmarkStart w:id="27" w:name="_Hlt62654248"/>
        <w:bookmarkStart w:id="28" w:name="_Hlt62654249"/>
        <w:r>
          <w:rPr>
            <w:rStyle w:val="Hyperlink"/>
            <w:sz w:val="24"/>
            <w:szCs w:val="24"/>
          </w:rPr>
          <w:t>t</w:t>
        </w:r>
        <w:bookmarkEnd w:id="27"/>
        <w:bookmarkEnd w:id="28"/>
        <w:r>
          <w:rPr>
            <w:rStyle w:val="Hyperlink"/>
            <w:sz w:val="24"/>
            <w:szCs w:val="24"/>
          </w:rPr>
          <w:t>sd.ac.uk/stab</w:t>
        </w:r>
        <w:bookmarkStart w:id="29" w:name="_Hlt63076798"/>
        <w:r>
          <w:rPr>
            <w:rStyle w:val="Hyperlink"/>
            <w:sz w:val="24"/>
            <w:szCs w:val="24"/>
          </w:rPr>
          <w:t>l</w:t>
        </w:r>
        <w:bookmarkEnd w:id="29"/>
        <w:r>
          <w:rPr>
            <w:rStyle w:val="Hyperlink"/>
            <w:sz w:val="24"/>
            <w:szCs w:val="24"/>
          </w:rPr>
          <w:t>e/764735?seq=1#metadata_info_tab_contents</w:t>
        </w:r>
      </w:hyperlink>
      <w:r>
        <w:rPr>
          <w:sz w:val="24"/>
          <w:szCs w:val="24"/>
        </w:rPr>
        <w:t>,  (Accessed date: 27/01/21).</w:t>
      </w:r>
    </w:p>
    <w:p w14:paraId="051E9533" w14:textId="77777777" w:rsidR="00D912EE" w:rsidRDefault="00D912EE">
      <w:pPr>
        <w:pStyle w:val="ListParagraph"/>
        <w:numPr>
          <w:ilvl w:val="0"/>
          <w:numId w:val="1"/>
        </w:numPr>
      </w:pPr>
      <w:r>
        <w:t>Jeffers</w:t>
      </w:r>
      <w:commentRangeStart w:id="30"/>
      <w:r>
        <w:t>on</w:t>
      </w:r>
      <w:commentRangeEnd w:id="30"/>
      <w:r>
        <w:rPr>
          <w:rStyle w:val="CommentReference"/>
        </w:rPr>
        <w:commentReference w:id="30"/>
      </w:r>
      <w:r>
        <w:t xml:space="preserve"> (2012), ‘Offences against the Person: Into the 21st Century’, Available at:</w:t>
      </w:r>
      <w:r w:rsidRPr="00103E51">
        <w:t xml:space="preserve"> </w:t>
      </w:r>
      <w:hyperlink r:id="rId15" w:history="1">
        <w:r w:rsidRPr="00D352CB">
          <w:rPr>
            <w:rStyle w:val="Hyperlink"/>
          </w:rPr>
          <w:t>https://journals-sagepub-com.ezproxy.uwtsd.ac.uk/doi/pdf/10.1350/jcla.2012.76.6.805</w:t>
        </w:r>
      </w:hyperlink>
      <w:r>
        <w:t xml:space="preserve"> </w:t>
      </w:r>
      <w:r>
        <w:rPr>
          <w:rStyle w:val="Hyperlink"/>
        </w:rPr>
        <w:t xml:space="preserve">, </w:t>
      </w:r>
      <w:r>
        <w:rPr>
          <w:rStyle w:val="Hyperlink"/>
          <w:color w:val="auto"/>
          <w:u w:val="none"/>
        </w:rPr>
        <w:t xml:space="preserve">Accessed date: </w:t>
      </w:r>
      <w:proofErr w:type="gramStart"/>
      <w:r>
        <w:rPr>
          <w:rStyle w:val="Hyperlink"/>
          <w:color w:val="auto"/>
          <w:u w:val="none"/>
        </w:rPr>
        <w:t>30/01/21</w:t>
      </w:r>
      <w:proofErr w:type="gramEnd"/>
    </w:p>
    <w:p w14:paraId="014E7509" w14:textId="77777777" w:rsidR="00D912EE" w:rsidRDefault="00D912EE">
      <w:pPr>
        <w:pStyle w:val="ListParagraph"/>
        <w:numPr>
          <w:ilvl w:val="0"/>
          <w:numId w:val="1"/>
        </w:numPr>
      </w:pPr>
      <w:r>
        <w:rPr>
          <w:sz w:val="24"/>
          <w:szCs w:val="24"/>
        </w:rPr>
        <w:t xml:space="preserve">Law Commission (2014), ‘Reform Offences Against the Person, A Scoping Consultation Paper’, Available at: </w:t>
      </w:r>
      <w:hyperlink r:id="rId16" w:history="1">
        <w:r>
          <w:rPr>
            <w:rStyle w:val="Hyperlink"/>
            <w:sz w:val="24"/>
            <w:szCs w:val="24"/>
          </w:rPr>
          <w:t>https:/</w:t>
        </w:r>
        <w:bookmarkStart w:id="31" w:name="_Hlt63076827"/>
        <w:bookmarkStart w:id="32" w:name="_Hlt63076828"/>
        <w:r>
          <w:rPr>
            <w:rStyle w:val="Hyperlink"/>
            <w:sz w:val="24"/>
            <w:szCs w:val="24"/>
          </w:rPr>
          <w:t>/</w:t>
        </w:r>
        <w:bookmarkEnd w:id="31"/>
        <w:bookmarkEnd w:id="32"/>
        <w:r>
          <w:rPr>
            <w:rStyle w:val="Hyperlink"/>
            <w:sz w:val="24"/>
            <w:szCs w:val="24"/>
          </w:rPr>
          <w:t>s3-e</w:t>
        </w:r>
        <w:r>
          <w:rPr>
            <w:rStyle w:val="Hyperlink"/>
            <w:sz w:val="24"/>
            <w:szCs w:val="24"/>
          </w:rPr>
          <w:t>u</w:t>
        </w:r>
        <w:r>
          <w:rPr>
            <w:rStyle w:val="Hyperlink"/>
            <w:sz w:val="24"/>
            <w:szCs w:val="24"/>
          </w:rPr>
          <w:t>-</w:t>
        </w:r>
        <w:r>
          <w:rPr>
            <w:rStyle w:val="Hyperlink"/>
            <w:sz w:val="24"/>
            <w:szCs w:val="24"/>
          </w:rPr>
          <w:t>w</w:t>
        </w:r>
        <w:r>
          <w:rPr>
            <w:rStyle w:val="Hyperlink"/>
            <w:sz w:val="24"/>
            <w:szCs w:val="24"/>
          </w:rPr>
          <w:t>est-2.amazonaw</w:t>
        </w:r>
        <w:r>
          <w:rPr>
            <w:rStyle w:val="Hyperlink"/>
            <w:sz w:val="24"/>
            <w:szCs w:val="24"/>
          </w:rPr>
          <w:t>s</w:t>
        </w:r>
        <w:r>
          <w:rPr>
            <w:rStyle w:val="Hyperlink"/>
            <w:sz w:val="24"/>
            <w:szCs w:val="24"/>
          </w:rPr>
          <w:t>.com/lawcom-prod-storage-11jsxou24uy7q/uploads/2015/06/cp217_offences_against_the_person_summary.pdf</w:t>
        </w:r>
      </w:hyperlink>
      <w:r>
        <w:rPr>
          <w:sz w:val="24"/>
          <w:szCs w:val="24"/>
        </w:rPr>
        <w:t>, (Accessed date: 28/01/21)</w:t>
      </w:r>
    </w:p>
    <w:p w14:paraId="39EC93E4" w14:textId="77777777" w:rsidR="00D912EE" w:rsidRDefault="00D912EE">
      <w:pPr>
        <w:pStyle w:val="ListParagraph"/>
        <w:numPr>
          <w:ilvl w:val="0"/>
          <w:numId w:val="1"/>
        </w:numPr>
      </w:pPr>
      <w:r>
        <w:rPr>
          <w:sz w:val="24"/>
          <w:szCs w:val="24"/>
        </w:rPr>
        <w:t xml:space="preserve">Law Commission (2015a), ‘OFFENCES AGAINST THE PERSON:OVERVIEW’, </w:t>
      </w:r>
      <w:r w:rsidRPr="00CB5BEE">
        <w:rPr>
          <w:sz w:val="24"/>
          <w:szCs w:val="24"/>
        </w:rPr>
        <w:t xml:space="preserve">Overview of Reform of Offences Against the Person </w:t>
      </w:r>
      <w:r>
        <w:rPr>
          <w:sz w:val="24"/>
          <w:szCs w:val="24"/>
        </w:rPr>
        <w:t xml:space="preserve">,Available at: </w:t>
      </w:r>
      <w:hyperlink r:id="rId17" w:history="1">
        <w:r>
          <w:rPr>
            <w:rStyle w:val="Hyperlink"/>
            <w:sz w:val="24"/>
            <w:szCs w:val="24"/>
          </w:rPr>
          <w:t>http://www.lawcom.gov.uk/app/upload</w:t>
        </w:r>
        <w:r>
          <w:rPr>
            <w:rStyle w:val="Hyperlink"/>
            <w:sz w:val="24"/>
            <w:szCs w:val="24"/>
          </w:rPr>
          <w:t>s</w:t>
        </w:r>
        <w:r>
          <w:rPr>
            <w:rStyle w:val="Hyperlink"/>
            <w:sz w:val="24"/>
            <w:szCs w:val="24"/>
          </w:rPr>
          <w:t>/2015</w:t>
        </w:r>
        <w:r>
          <w:rPr>
            <w:rStyle w:val="Hyperlink"/>
            <w:sz w:val="24"/>
            <w:szCs w:val="24"/>
          </w:rPr>
          <w:t>/</w:t>
        </w:r>
        <w:r>
          <w:rPr>
            <w:rStyle w:val="Hyperlink"/>
            <w:sz w:val="24"/>
            <w:szCs w:val="24"/>
          </w:rPr>
          <w:t>11/lc3</w:t>
        </w:r>
        <w:r>
          <w:rPr>
            <w:rStyle w:val="Hyperlink"/>
            <w:sz w:val="24"/>
            <w:szCs w:val="24"/>
          </w:rPr>
          <w:t>6</w:t>
        </w:r>
        <w:r>
          <w:rPr>
            <w:rStyle w:val="Hyperlink"/>
            <w:sz w:val="24"/>
            <w:szCs w:val="24"/>
          </w:rPr>
          <w:t>1_o</w:t>
        </w:r>
        <w:bookmarkStart w:id="33" w:name="_Hlt62654893"/>
        <w:r>
          <w:rPr>
            <w:rStyle w:val="Hyperlink"/>
            <w:sz w:val="24"/>
            <w:szCs w:val="24"/>
          </w:rPr>
          <w:t>f</w:t>
        </w:r>
        <w:bookmarkStart w:id="34" w:name="_Hlt64300037"/>
        <w:bookmarkStart w:id="35" w:name="_Hlt64300038"/>
        <w:bookmarkEnd w:id="33"/>
        <w:r>
          <w:rPr>
            <w:rStyle w:val="Hyperlink"/>
            <w:sz w:val="24"/>
            <w:szCs w:val="24"/>
          </w:rPr>
          <w:t>f</w:t>
        </w:r>
        <w:bookmarkEnd w:id="34"/>
        <w:bookmarkEnd w:id="35"/>
        <w:r>
          <w:rPr>
            <w:rStyle w:val="Hyperlink"/>
            <w:sz w:val="24"/>
            <w:szCs w:val="24"/>
          </w:rPr>
          <w:t>ences_against_the_person_overview_new.pdf</w:t>
        </w:r>
      </w:hyperlink>
      <w:r>
        <w:rPr>
          <w:sz w:val="24"/>
          <w:szCs w:val="24"/>
        </w:rPr>
        <w:t xml:space="preserve"> , (Accessed date:27/01/21)</w:t>
      </w:r>
    </w:p>
    <w:p w14:paraId="43F25F75" w14:textId="77777777" w:rsidR="00D912EE" w:rsidRDefault="00D912EE">
      <w:pPr>
        <w:pStyle w:val="ListParagraph"/>
        <w:numPr>
          <w:ilvl w:val="0"/>
          <w:numId w:val="1"/>
        </w:numPr>
      </w:pPr>
      <w:r>
        <w:t xml:space="preserve">Law Commission of England and Wales (2015c), </w:t>
      </w:r>
      <w:proofErr w:type="spellStart"/>
      <w:r>
        <w:t>Youtube</w:t>
      </w:r>
      <w:proofErr w:type="spellEnd"/>
      <w:r>
        <w:t>, Available at: ‘</w:t>
      </w:r>
      <w:hyperlink r:id="rId18" w:history="1">
        <w:r>
          <w:rPr>
            <w:rStyle w:val="Hyperlink"/>
          </w:rPr>
          <w:t>https://www.youtube.com/watch?v=diWKWOdY8IQ</w:t>
        </w:r>
      </w:hyperlink>
      <w:r>
        <w:t xml:space="preserve"> , (Accessed date: 09/02/21)</w:t>
      </w:r>
    </w:p>
    <w:p w14:paraId="4444D156" w14:textId="77777777" w:rsidR="00D912EE" w:rsidRDefault="00D912EE">
      <w:pPr>
        <w:pStyle w:val="ListParagraph"/>
        <w:numPr>
          <w:ilvl w:val="0"/>
          <w:numId w:val="1"/>
        </w:numPr>
      </w:pPr>
      <w:r>
        <w:lastRenderedPageBreak/>
        <w:t xml:space="preserve">Law Commission Reforming the law (2021), ‘Offences against the Person’, Available at: </w:t>
      </w:r>
      <w:hyperlink r:id="rId19" w:history="1">
        <w:r>
          <w:rPr>
            <w:rStyle w:val="Hyperlink"/>
          </w:rPr>
          <w:t>https://www.lawcom.gov.uk/project/</w:t>
        </w:r>
        <w:r>
          <w:rPr>
            <w:rStyle w:val="Hyperlink"/>
          </w:rPr>
          <w:t>o</w:t>
        </w:r>
        <w:r>
          <w:rPr>
            <w:rStyle w:val="Hyperlink"/>
          </w:rPr>
          <w:t>ffences-</w:t>
        </w:r>
        <w:r>
          <w:rPr>
            <w:rStyle w:val="Hyperlink"/>
          </w:rPr>
          <w:t>a</w:t>
        </w:r>
        <w:r>
          <w:rPr>
            <w:rStyle w:val="Hyperlink"/>
          </w:rPr>
          <w:t>g</w:t>
        </w:r>
        <w:r>
          <w:rPr>
            <w:rStyle w:val="Hyperlink"/>
          </w:rPr>
          <w:t>a</w:t>
        </w:r>
        <w:r>
          <w:rPr>
            <w:rStyle w:val="Hyperlink"/>
          </w:rPr>
          <w:t>inst-the-person/</w:t>
        </w:r>
      </w:hyperlink>
      <w:r>
        <w:t xml:space="preserve"> , Accessed date: </w:t>
      </w:r>
      <w:proofErr w:type="gramStart"/>
      <w:r>
        <w:t>03/02/21</w:t>
      </w:r>
      <w:proofErr w:type="gramEnd"/>
    </w:p>
    <w:p w14:paraId="1F1FB52C" w14:textId="77777777" w:rsidR="00D912EE" w:rsidRDefault="00D912EE">
      <w:pPr>
        <w:pStyle w:val="ListParagraph"/>
        <w:numPr>
          <w:ilvl w:val="0"/>
          <w:numId w:val="1"/>
        </w:numPr>
      </w:pPr>
      <w:r>
        <w:t xml:space="preserve">Legal Information Institute (1992), ‘R. v. Ireland; R. v. Burstow’, Available at: </w:t>
      </w:r>
      <w:hyperlink r:id="rId20" w:anchor=":~:text=v.-,Burstow,silent%20telephone%20calls%20to%20them" w:history="1">
        <w:r>
          <w:rPr>
            <w:rStyle w:val="Hyperlink"/>
          </w:rPr>
          <w:t>https://www.law.cornell.edu/women-</w:t>
        </w:r>
        <w:bookmarkStart w:id="36" w:name="_Hlt63273812"/>
        <w:r>
          <w:rPr>
            <w:rStyle w:val="Hyperlink"/>
          </w:rPr>
          <w:t>a</w:t>
        </w:r>
        <w:bookmarkEnd w:id="36"/>
        <w:r>
          <w:rPr>
            <w:rStyle w:val="Hyperlink"/>
          </w:rPr>
          <w:t>nd-justice/resource/r_v_ireland_r_v_burstow#:~:text=v.-,Burstow,silent%20telephone%20calls%20to%20them</w:t>
        </w:r>
      </w:hyperlink>
      <w:r>
        <w:t>., Accessed date: 02/02/21.</w:t>
      </w:r>
    </w:p>
    <w:p w14:paraId="1E76262A" w14:textId="77777777" w:rsidR="00D912EE" w:rsidRDefault="00D912EE">
      <w:pPr>
        <w:pStyle w:val="ListParagraph"/>
        <w:numPr>
          <w:ilvl w:val="0"/>
          <w:numId w:val="1"/>
        </w:numPr>
      </w:pPr>
      <w:r>
        <w:t xml:space="preserve">London’s Criminal Courts Solicitors Association (1998), ‘R V NADEEM AHMED JANJUA’, Available at: </w:t>
      </w:r>
      <w:hyperlink r:id="rId21" w:history="1">
        <w:r>
          <w:rPr>
            <w:rStyle w:val="Hyperlink"/>
          </w:rPr>
          <w:t>https://www.lccsa.org.uk/r-v-nadeem-ahmed-janjua-r-v-mifta-cho</w:t>
        </w:r>
        <w:bookmarkStart w:id="37" w:name="_Hlt63194989"/>
        <w:r>
          <w:rPr>
            <w:rStyle w:val="Hyperlink"/>
          </w:rPr>
          <w:t>u</w:t>
        </w:r>
        <w:bookmarkEnd w:id="37"/>
        <w:r>
          <w:rPr>
            <w:rStyle w:val="Hyperlink"/>
          </w:rPr>
          <w:t>dur</w:t>
        </w:r>
        <w:r>
          <w:rPr>
            <w:rStyle w:val="Hyperlink"/>
          </w:rPr>
          <w:t>y</w:t>
        </w:r>
        <w:r>
          <w:rPr>
            <w:rStyle w:val="Hyperlink"/>
          </w:rPr>
          <w:t>-1998/</w:t>
        </w:r>
      </w:hyperlink>
      <w:r>
        <w:t xml:space="preserve"> , Accessed date: 29/01/21</w:t>
      </w:r>
      <w:commentRangeStart w:id="38"/>
      <w:commentRangeEnd w:id="38"/>
      <w:r>
        <w:rPr>
          <w:rStyle w:val="CommentReference"/>
        </w:rPr>
        <w:commentReference w:id="38"/>
      </w:r>
    </w:p>
    <w:p w14:paraId="35A2D02E" w14:textId="77777777" w:rsidR="00D912EE" w:rsidRDefault="00D912EE">
      <w:pPr>
        <w:pStyle w:val="ListParagraph"/>
        <w:numPr>
          <w:ilvl w:val="0"/>
          <w:numId w:val="1"/>
        </w:numPr>
      </w:pPr>
      <w:r>
        <w:t xml:space="preserve">Munro V E (2011), ‘On responsible relationships and irresponsible sex – criminalising the reckless transmission of HIV R v </w:t>
      </w:r>
      <w:proofErr w:type="spellStart"/>
      <w:r>
        <w:t>Dica</w:t>
      </w:r>
      <w:proofErr w:type="spellEnd"/>
      <w:r>
        <w:t xml:space="preserve"> and R v </w:t>
      </w:r>
      <w:proofErr w:type="spellStart"/>
      <w:r>
        <w:t>Konzani</w:t>
      </w:r>
      <w:proofErr w:type="spellEnd"/>
      <w:r>
        <w:t xml:space="preserve">’, Available at: </w:t>
      </w:r>
      <w:hyperlink r:id="rId22" w:history="1">
        <w:r>
          <w:rPr>
            <w:rStyle w:val="Hyperlink"/>
          </w:rPr>
          <w:t>https://www.researchgate.net/profile/Vanessa_Munro/publication/228128033_On_Responsible_Relationships_and_Irresponsible_Sex</w:t>
        </w:r>
        <w:bookmarkStart w:id="39" w:name="_Hlt63619781"/>
        <w:bookmarkStart w:id="40" w:name="_Hlt63619782"/>
        <w:r>
          <w:rPr>
            <w:rStyle w:val="Hyperlink"/>
          </w:rPr>
          <w:t>_</w:t>
        </w:r>
        <w:bookmarkEnd w:id="39"/>
        <w:bookmarkEnd w:id="40"/>
        <w:r>
          <w:rPr>
            <w:rStyle w:val="Hyperlink"/>
          </w:rPr>
          <w:t>-_Criminalising_the_Reckless_Transmission_of_HIV_R_v_Dica_and_R_v_Konzani/links/02e7e52a720c01c5b0000000/O</w:t>
        </w:r>
        <w:r>
          <w:rPr>
            <w:rStyle w:val="Hyperlink"/>
          </w:rPr>
          <w:t>n</w:t>
        </w:r>
        <w:r>
          <w:rPr>
            <w:rStyle w:val="Hyperlink"/>
          </w:rPr>
          <w:t>-Responsible-Relationships-and-Irresponsible-Sex-Criminalising-the-Reckless-Transmission-of-HIV-R-v-Dica-and-R-v-Konzani.pdf</w:t>
        </w:r>
      </w:hyperlink>
      <w:r>
        <w:t xml:space="preserve"> , (Accessed date: 07/02/21)</w:t>
      </w:r>
    </w:p>
    <w:p w14:paraId="42195405" w14:textId="77777777" w:rsidR="00D912EE" w:rsidRDefault="00D912EE">
      <w:pPr>
        <w:pStyle w:val="ListParagraph"/>
        <w:numPr>
          <w:ilvl w:val="0"/>
          <w:numId w:val="1"/>
        </w:numPr>
      </w:pPr>
      <w:r>
        <w:rPr>
          <w:sz w:val="24"/>
          <w:szCs w:val="24"/>
        </w:rPr>
        <w:t xml:space="preserve">O’Hanlon K (1997), ‘ Law report: Purely psychiatric injury was capable of amounting to bodily harm’, Published by: Independent, Available at: </w:t>
      </w:r>
      <w:hyperlink r:id="rId23" w:history="1">
        <w:r>
          <w:rPr>
            <w:rStyle w:val="Hyperlink"/>
            <w:sz w:val="24"/>
            <w:szCs w:val="24"/>
          </w:rPr>
          <w:t>https://www.ind</w:t>
        </w:r>
        <w:bookmarkStart w:id="41" w:name="_Hlt62655096"/>
        <w:r>
          <w:rPr>
            <w:rStyle w:val="Hyperlink"/>
            <w:sz w:val="24"/>
            <w:szCs w:val="24"/>
          </w:rPr>
          <w:t>e</w:t>
        </w:r>
        <w:bookmarkEnd w:id="41"/>
        <w:r>
          <w:rPr>
            <w:rStyle w:val="Hyperlink"/>
            <w:sz w:val="24"/>
            <w:szCs w:val="24"/>
          </w:rPr>
          <w:t>pendent.co.uk/news/peo</w:t>
        </w:r>
        <w:r>
          <w:rPr>
            <w:rStyle w:val="Hyperlink"/>
            <w:sz w:val="24"/>
            <w:szCs w:val="24"/>
          </w:rPr>
          <w:t>p</w:t>
        </w:r>
        <w:r>
          <w:rPr>
            <w:rStyle w:val="Hyperlink"/>
            <w:sz w:val="24"/>
            <w:szCs w:val="24"/>
          </w:rPr>
          <w:t>le/law-report-purely-psychiatric-injury-was-capable-of-amounting-to-bodily-harm</w:t>
        </w:r>
        <w:bookmarkStart w:id="42" w:name="_Hlt63250926"/>
        <w:r>
          <w:rPr>
            <w:rStyle w:val="Hyperlink"/>
            <w:sz w:val="24"/>
            <w:szCs w:val="24"/>
          </w:rPr>
          <w:t>-</w:t>
        </w:r>
        <w:bookmarkEnd w:id="42"/>
        <w:r>
          <w:rPr>
            <w:rStyle w:val="Hyperlink"/>
            <w:sz w:val="24"/>
            <w:szCs w:val="24"/>
          </w:rPr>
          <w:t>1253269.htm</w:t>
        </w:r>
        <w:r>
          <w:rPr>
            <w:rStyle w:val="Hyperlink"/>
            <w:sz w:val="24"/>
            <w:szCs w:val="24"/>
          </w:rPr>
          <w:t>l</w:t>
        </w:r>
      </w:hyperlink>
      <w:r>
        <w:rPr>
          <w:sz w:val="24"/>
          <w:szCs w:val="24"/>
        </w:rPr>
        <w:t xml:space="preserve"> , (Accessed date:27/01/21).</w:t>
      </w:r>
    </w:p>
    <w:p w14:paraId="60B91F74" w14:textId="77777777" w:rsidR="00D912EE" w:rsidRDefault="00D912EE">
      <w:pPr>
        <w:pStyle w:val="ListParagraph"/>
        <w:numPr>
          <w:ilvl w:val="0"/>
          <w:numId w:val="1"/>
        </w:numPr>
      </w:pPr>
      <w:commentRangeStart w:id="43"/>
      <w:r>
        <w:rPr>
          <w:sz w:val="24"/>
          <w:szCs w:val="24"/>
        </w:rPr>
        <w:t xml:space="preserve">Oxbridge notes (2010), ‘R v Cunningham [1957]’ Available at: </w:t>
      </w:r>
      <w:hyperlink r:id="rId24" w:history="1">
        <w:r>
          <w:rPr>
            <w:rStyle w:val="Hyperlink"/>
            <w:sz w:val="24"/>
            <w:szCs w:val="24"/>
          </w:rPr>
          <w:t>https://www.oxbridgenotes.co.uk/law_cases/</w:t>
        </w:r>
        <w:bookmarkStart w:id="44" w:name="_Hlt62655220"/>
        <w:r>
          <w:rPr>
            <w:rStyle w:val="Hyperlink"/>
            <w:sz w:val="24"/>
            <w:szCs w:val="24"/>
          </w:rPr>
          <w:t>r</w:t>
        </w:r>
        <w:bookmarkEnd w:id="44"/>
        <w:r>
          <w:rPr>
            <w:rStyle w:val="Hyperlink"/>
            <w:sz w:val="24"/>
            <w:szCs w:val="24"/>
          </w:rPr>
          <w:t>-v-cunningham</w:t>
        </w:r>
      </w:hyperlink>
      <w:r>
        <w:rPr>
          <w:sz w:val="24"/>
          <w:szCs w:val="24"/>
        </w:rPr>
        <w:t>, (Accessed date:28/01/21)</w:t>
      </w:r>
      <w:commentRangeEnd w:id="43"/>
      <w:r>
        <w:rPr>
          <w:rStyle w:val="CommentReference"/>
        </w:rPr>
        <w:commentReference w:id="43"/>
      </w:r>
    </w:p>
    <w:p w14:paraId="38F8849A" w14:textId="77777777" w:rsidR="00D912EE" w:rsidRDefault="00D912EE">
      <w:pPr>
        <w:pStyle w:val="ListParagraph"/>
        <w:numPr>
          <w:ilvl w:val="0"/>
          <w:numId w:val="1"/>
        </w:numPr>
      </w:pPr>
      <w:r>
        <w:rPr>
          <w:sz w:val="24"/>
          <w:szCs w:val="24"/>
        </w:rPr>
        <w:t xml:space="preserve">Oxford University Press (2016), ‘SMITH v CHIEF SUPERINTENDENT OF WOKING POLICE STATION (1983) 76 Cr App R 234 (DC)’ , Available at: </w:t>
      </w:r>
      <w:hyperlink r:id="rId25" w:history="1">
        <w:r>
          <w:rPr>
            <w:rStyle w:val="Hyperlink"/>
            <w:sz w:val="24"/>
            <w:szCs w:val="24"/>
          </w:rPr>
          <w:t>https://global.oup.co</w:t>
        </w:r>
        <w:bookmarkStart w:id="45" w:name="_Hlt62655013"/>
        <w:r>
          <w:rPr>
            <w:rStyle w:val="Hyperlink"/>
            <w:sz w:val="24"/>
            <w:szCs w:val="24"/>
          </w:rPr>
          <w:t>m</w:t>
        </w:r>
        <w:bookmarkEnd w:id="45"/>
        <w:r>
          <w:rPr>
            <w:rStyle w:val="Hyperlink"/>
            <w:sz w:val="24"/>
            <w:szCs w:val="24"/>
          </w:rPr>
          <w:t>/uk/orc/law/criminal/hea</w:t>
        </w:r>
        <w:r>
          <w:rPr>
            <w:rStyle w:val="Hyperlink"/>
            <w:sz w:val="24"/>
            <w:szCs w:val="24"/>
          </w:rPr>
          <w:t>t</w:t>
        </w:r>
        <w:r>
          <w:rPr>
            <w:rStyle w:val="Hyperlink"/>
            <w:sz w:val="24"/>
            <w:szCs w:val="24"/>
          </w:rPr>
          <w:t>on4e/resources/casematerial/bychapter/ch04/</w:t>
        </w:r>
      </w:hyperlink>
      <w:r>
        <w:rPr>
          <w:sz w:val="24"/>
          <w:szCs w:val="24"/>
        </w:rPr>
        <w:t xml:space="preserve"> , (Accessed date:28/01/21).</w:t>
      </w:r>
    </w:p>
    <w:p w14:paraId="3103CB28" w14:textId="77777777" w:rsidR="00D912EE" w:rsidRDefault="00D912EE">
      <w:pPr>
        <w:pStyle w:val="ListParagraph"/>
        <w:numPr>
          <w:ilvl w:val="0"/>
          <w:numId w:val="1"/>
        </w:numPr>
      </w:pPr>
      <w:r>
        <w:t xml:space="preserve">Reed A (1995), ‘Offences Against the Person: The Need Of Reform, Vol 59, Issue 2, Published by SAGE, Available at: </w:t>
      </w:r>
      <w:hyperlink r:id="rId26" w:history="1">
        <w:r>
          <w:rPr>
            <w:rStyle w:val="Hyperlink"/>
          </w:rPr>
          <w:t>https://journals.sagep</w:t>
        </w:r>
        <w:r>
          <w:rPr>
            <w:rStyle w:val="Hyperlink"/>
          </w:rPr>
          <w:t>u</w:t>
        </w:r>
        <w:r>
          <w:rPr>
            <w:rStyle w:val="Hyperlink"/>
          </w:rPr>
          <w:t>b.com/doi/abs/10.</w:t>
        </w:r>
        <w:bookmarkStart w:id="46" w:name="_Hlt64544827"/>
        <w:bookmarkStart w:id="47" w:name="_Hlt64544828"/>
        <w:r>
          <w:rPr>
            <w:rStyle w:val="Hyperlink"/>
          </w:rPr>
          <w:t>1</w:t>
        </w:r>
        <w:bookmarkEnd w:id="46"/>
        <w:bookmarkEnd w:id="47"/>
        <w:r>
          <w:rPr>
            <w:rStyle w:val="Hyperlink"/>
          </w:rPr>
          <w:t>177/002201839</w:t>
        </w:r>
        <w:bookmarkStart w:id="48" w:name="_Hlt63274323"/>
        <w:r>
          <w:rPr>
            <w:rStyle w:val="Hyperlink"/>
          </w:rPr>
          <w:t>5</w:t>
        </w:r>
        <w:bookmarkEnd w:id="48"/>
        <w:r>
          <w:rPr>
            <w:rStyle w:val="Hyperlink"/>
          </w:rPr>
          <w:t>05900205?journalCode=clja</w:t>
        </w:r>
      </w:hyperlink>
      <w:r>
        <w:t xml:space="preserve"> , Accessed date-03/02/21</w:t>
      </w:r>
    </w:p>
    <w:p w14:paraId="799594BF" w14:textId="77777777" w:rsidR="00D912EE" w:rsidRDefault="00D912EE" w:rsidP="00F568E6">
      <w:pPr>
        <w:pStyle w:val="ListParagraph"/>
        <w:numPr>
          <w:ilvl w:val="0"/>
          <w:numId w:val="1"/>
        </w:numPr>
      </w:pPr>
      <w:r>
        <w:rPr>
          <w:sz w:val="24"/>
          <w:szCs w:val="24"/>
        </w:rPr>
        <w:t xml:space="preserve"> </w:t>
      </w:r>
      <w:commentRangeStart w:id="49"/>
      <w:r>
        <w:rPr>
          <w:sz w:val="24"/>
          <w:szCs w:val="24"/>
        </w:rPr>
        <w:t>Stavros D (2016a), ‘Not Giving Up the Fight: A Review of the Law Commission’s Scoping Report on Non-fatal Offences Against the Person’, Vol. 80(3),pp.188–200, Available at:</w:t>
      </w:r>
      <w:hyperlink r:id="rId27" w:history="1">
        <w:r>
          <w:rPr>
            <w:rStyle w:val="Hyperlink"/>
            <w:sz w:val="24"/>
            <w:szCs w:val="24"/>
          </w:rPr>
          <w:t>https://journals-sagepu</w:t>
        </w:r>
        <w:bookmarkStart w:id="50" w:name="_Hlt62670777"/>
        <w:r>
          <w:rPr>
            <w:rStyle w:val="Hyperlink"/>
            <w:sz w:val="24"/>
            <w:szCs w:val="24"/>
          </w:rPr>
          <w:t>b</w:t>
        </w:r>
        <w:bookmarkEnd w:id="50"/>
        <w:r>
          <w:rPr>
            <w:rStyle w:val="Hyperlink"/>
            <w:sz w:val="24"/>
            <w:szCs w:val="24"/>
          </w:rPr>
          <w:t>-com.ezproxy.</w:t>
        </w:r>
        <w:bookmarkStart w:id="51" w:name="_Hlt64300215"/>
        <w:r>
          <w:rPr>
            <w:rStyle w:val="Hyperlink"/>
            <w:sz w:val="24"/>
            <w:szCs w:val="24"/>
          </w:rPr>
          <w:t>u</w:t>
        </w:r>
        <w:bookmarkEnd w:id="51"/>
        <w:r>
          <w:rPr>
            <w:rStyle w:val="Hyperlink"/>
            <w:sz w:val="24"/>
            <w:szCs w:val="24"/>
          </w:rPr>
          <w:t>wtsd.a</w:t>
        </w:r>
        <w:bookmarkStart w:id="52" w:name="_Hlt64301763"/>
        <w:r>
          <w:rPr>
            <w:rStyle w:val="Hyperlink"/>
            <w:sz w:val="24"/>
            <w:szCs w:val="24"/>
          </w:rPr>
          <w:t>c</w:t>
        </w:r>
        <w:bookmarkEnd w:id="52"/>
        <w:r>
          <w:rPr>
            <w:rStyle w:val="Hyperlink"/>
            <w:sz w:val="24"/>
            <w:szCs w:val="24"/>
          </w:rPr>
          <w:t>.uk/doi/p</w:t>
        </w:r>
        <w:r>
          <w:rPr>
            <w:rStyle w:val="Hyperlink"/>
            <w:sz w:val="24"/>
            <w:szCs w:val="24"/>
          </w:rPr>
          <w:t>d</w:t>
        </w:r>
        <w:r>
          <w:rPr>
            <w:rStyle w:val="Hyperlink"/>
            <w:sz w:val="24"/>
            <w:szCs w:val="24"/>
          </w:rPr>
          <w:t>f</w:t>
        </w:r>
        <w:bookmarkStart w:id="53" w:name="_Hlt64301065"/>
        <w:r>
          <w:rPr>
            <w:rStyle w:val="Hyperlink"/>
            <w:sz w:val="24"/>
            <w:szCs w:val="24"/>
          </w:rPr>
          <w:t>/</w:t>
        </w:r>
        <w:bookmarkStart w:id="54" w:name="_Hlt62677498"/>
        <w:bookmarkStart w:id="55" w:name="_Hlt62677499"/>
        <w:bookmarkEnd w:id="53"/>
        <w:r>
          <w:rPr>
            <w:rStyle w:val="Hyperlink"/>
            <w:sz w:val="24"/>
            <w:szCs w:val="24"/>
          </w:rPr>
          <w:t>1</w:t>
        </w:r>
        <w:bookmarkEnd w:id="54"/>
        <w:bookmarkEnd w:id="55"/>
        <w:r>
          <w:rPr>
            <w:rStyle w:val="Hyperlink"/>
            <w:sz w:val="24"/>
            <w:szCs w:val="24"/>
          </w:rPr>
          <w:t>0.11</w:t>
        </w:r>
        <w:bookmarkStart w:id="56" w:name="_Hlt63076497"/>
        <w:bookmarkStart w:id="57" w:name="_Hlt63076498"/>
        <w:r>
          <w:rPr>
            <w:rStyle w:val="Hyperlink"/>
            <w:sz w:val="24"/>
            <w:szCs w:val="24"/>
          </w:rPr>
          <w:t>7</w:t>
        </w:r>
        <w:bookmarkEnd w:id="56"/>
        <w:bookmarkEnd w:id="57"/>
        <w:r>
          <w:rPr>
            <w:rStyle w:val="Hyperlink"/>
            <w:sz w:val="24"/>
            <w:szCs w:val="24"/>
          </w:rPr>
          <w:t>7/002</w:t>
        </w:r>
        <w:bookmarkStart w:id="58" w:name="_Hlt64301038"/>
        <w:r>
          <w:rPr>
            <w:rStyle w:val="Hyperlink"/>
            <w:sz w:val="24"/>
            <w:szCs w:val="24"/>
          </w:rPr>
          <w:t>2</w:t>
        </w:r>
        <w:bookmarkEnd w:id="58"/>
        <w:r>
          <w:rPr>
            <w:rStyle w:val="Hyperlink"/>
            <w:sz w:val="24"/>
            <w:szCs w:val="24"/>
          </w:rPr>
          <w:t>018316646656</w:t>
        </w:r>
      </w:hyperlink>
      <w:r>
        <w:rPr>
          <w:sz w:val="24"/>
          <w:szCs w:val="24"/>
        </w:rPr>
        <w:t>, (Accessed date: 27/01/21)</w:t>
      </w:r>
      <w:commentRangeEnd w:id="49"/>
      <w:r>
        <w:rPr>
          <w:rStyle w:val="CommentReference"/>
        </w:rPr>
        <w:commentReference w:id="49"/>
      </w:r>
    </w:p>
    <w:p w14:paraId="7A784DB5" w14:textId="77777777" w:rsidR="00D912EE" w:rsidRDefault="00D912EE">
      <w:pPr>
        <w:pStyle w:val="ListParagraph"/>
        <w:numPr>
          <w:ilvl w:val="0"/>
          <w:numId w:val="1"/>
        </w:numPr>
      </w:pPr>
      <w:r>
        <w:rPr>
          <w:sz w:val="24"/>
          <w:szCs w:val="24"/>
        </w:rPr>
        <w:t xml:space="preserve">The Law Commission (2015b), ‘Reform of Offences Against the Person’, Available at: </w:t>
      </w:r>
      <w:hyperlink r:id="rId28" w:history="1">
        <w:r>
          <w:rPr>
            <w:rStyle w:val="Hyperlink"/>
            <w:sz w:val="24"/>
            <w:szCs w:val="24"/>
          </w:rPr>
          <w:t>http://www.lawcom.gov.uk/app/uploa</w:t>
        </w:r>
        <w:bookmarkStart w:id="59" w:name="_Hlt63249488"/>
        <w:r>
          <w:rPr>
            <w:rStyle w:val="Hyperlink"/>
            <w:sz w:val="24"/>
            <w:szCs w:val="24"/>
          </w:rPr>
          <w:t>d</w:t>
        </w:r>
        <w:bookmarkEnd w:id="59"/>
        <w:r>
          <w:rPr>
            <w:rStyle w:val="Hyperlink"/>
            <w:sz w:val="24"/>
            <w:szCs w:val="24"/>
          </w:rPr>
          <w:t>s/2015</w:t>
        </w:r>
        <w:bookmarkStart w:id="60" w:name="_Hlt62654770"/>
        <w:r>
          <w:rPr>
            <w:rStyle w:val="Hyperlink"/>
            <w:sz w:val="24"/>
            <w:szCs w:val="24"/>
          </w:rPr>
          <w:t>/</w:t>
        </w:r>
        <w:bookmarkEnd w:id="60"/>
        <w:r>
          <w:rPr>
            <w:rStyle w:val="Hyperlink"/>
            <w:sz w:val="24"/>
            <w:szCs w:val="24"/>
          </w:rPr>
          <w:t>11</w:t>
        </w:r>
        <w:r>
          <w:rPr>
            <w:rStyle w:val="Hyperlink"/>
            <w:sz w:val="24"/>
            <w:szCs w:val="24"/>
          </w:rPr>
          <w:t>/</w:t>
        </w:r>
        <w:r>
          <w:rPr>
            <w:rStyle w:val="Hyperlink"/>
            <w:sz w:val="24"/>
            <w:szCs w:val="24"/>
          </w:rPr>
          <w:t>51950-LC-H</w:t>
        </w:r>
        <w:r>
          <w:rPr>
            <w:rStyle w:val="Hyperlink"/>
            <w:sz w:val="24"/>
            <w:szCs w:val="24"/>
          </w:rPr>
          <w:t>C</w:t>
        </w:r>
        <w:bookmarkStart w:id="61" w:name="_Hlt63542119"/>
        <w:bookmarkStart w:id="62" w:name="_Hlt63542120"/>
        <w:r>
          <w:rPr>
            <w:rStyle w:val="Hyperlink"/>
            <w:sz w:val="24"/>
            <w:szCs w:val="24"/>
          </w:rPr>
          <w:t>5</w:t>
        </w:r>
        <w:bookmarkEnd w:id="61"/>
        <w:bookmarkEnd w:id="62"/>
        <w:r>
          <w:rPr>
            <w:rStyle w:val="Hyperlink"/>
            <w:sz w:val="24"/>
            <w:szCs w:val="24"/>
          </w:rPr>
          <w:t>55_We</w:t>
        </w:r>
        <w:r>
          <w:rPr>
            <w:rStyle w:val="Hyperlink"/>
            <w:sz w:val="24"/>
            <w:szCs w:val="24"/>
          </w:rPr>
          <w:t>b</w:t>
        </w:r>
        <w:r>
          <w:rPr>
            <w:rStyle w:val="Hyperlink"/>
            <w:sz w:val="24"/>
            <w:szCs w:val="24"/>
          </w:rPr>
          <w:t>.pdf</w:t>
        </w:r>
      </w:hyperlink>
      <w:r>
        <w:rPr>
          <w:sz w:val="24"/>
          <w:szCs w:val="24"/>
        </w:rPr>
        <w:t>, (Accessed date: 27/01/21).</w:t>
      </w:r>
    </w:p>
    <w:p w14:paraId="744A0F5D" w14:textId="77777777" w:rsidR="00D912EE" w:rsidRDefault="00D912EE">
      <w:pPr>
        <w:pStyle w:val="ListParagraph"/>
        <w:numPr>
          <w:ilvl w:val="0"/>
          <w:numId w:val="1"/>
        </w:numPr>
      </w:pPr>
      <w:r>
        <w:rPr>
          <w:sz w:val="24"/>
          <w:szCs w:val="24"/>
        </w:rPr>
        <w:t xml:space="preserve">Ward R (1988), ‘Indecent Assault in the House of Lords’, Vol. 47, pp. 336-338, Available at: </w:t>
      </w:r>
      <w:hyperlink r:id="rId29" w:anchor="metadata_info_tab_contents" w:history="1">
        <w:r>
          <w:rPr>
            <w:rStyle w:val="Hyperlink"/>
            <w:sz w:val="24"/>
            <w:szCs w:val="24"/>
          </w:rPr>
          <w:t>https://ww</w:t>
        </w:r>
        <w:bookmarkStart w:id="63" w:name="_Hlt64544444"/>
        <w:bookmarkStart w:id="64" w:name="_Hlt64544445"/>
        <w:r>
          <w:rPr>
            <w:rStyle w:val="Hyperlink"/>
            <w:sz w:val="24"/>
            <w:szCs w:val="24"/>
          </w:rPr>
          <w:t>w</w:t>
        </w:r>
        <w:bookmarkEnd w:id="63"/>
        <w:bookmarkEnd w:id="64"/>
        <w:r>
          <w:rPr>
            <w:rStyle w:val="Hyperlink"/>
            <w:sz w:val="24"/>
            <w:szCs w:val="24"/>
          </w:rPr>
          <w:t>-jstor-</w:t>
        </w:r>
        <w:r>
          <w:rPr>
            <w:rStyle w:val="Hyperlink"/>
            <w:sz w:val="24"/>
            <w:szCs w:val="24"/>
          </w:rPr>
          <w:lastRenderedPageBreak/>
          <w:t>org.ezproxy.uwtsd.ac.uk/stable/4507189?seq=2#metadata_info_tab_contents</w:t>
        </w:r>
      </w:hyperlink>
      <w:r>
        <w:rPr>
          <w:sz w:val="24"/>
          <w:szCs w:val="24"/>
        </w:rPr>
        <w:t xml:space="preserve"> , (Accessed date:28/01/21).</w:t>
      </w:r>
    </w:p>
    <w:p w14:paraId="583C514E" w14:textId="77777777" w:rsidR="00D912EE" w:rsidRDefault="00D912EE">
      <w:pPr>
        <w:pStyle w:val="ListParagraph"/>
        <w:numPr>
          <w:ilvl w:val="0"/>
          <w:numId w:val="1"/>
        </w:numPr>
      </w:pPr>
      <w:r>
        <w:t xml:space="preserve">Wiley (1964), ‘The Modern Law Review’, Vol. 27, p717-720, Available at: </w:t>
      </w:r>
      <w:hyperlink r:id="rId30" w:anchor="metadata_info_tab_contents" w:history="1">
        <w:r>
          <w:rPr>
            <w:rStyle w:val="Hyperlink"/>
          </w:rPr>
          <w:t>https://www-jstor-org.ezproxy.uwtsd.ac.uk/stable/1093343?seq=1#metadata_info_tab_contents</w:t>
        </w:r>
      </w:hyperlink>
      <w:r>
        <w:t xml:space="preserve"> , Accessed date:02/02/21.</w:t>
      </w:r>
    </w:p>
    <w:p w14:paraId="04C05DEA" w14:textId="77777777" w:rsidR="00DF211C" w:rsidRDefault="00DF211C"/>
    <w:p w14:paraId="62DF8FF4" w14:textId="77777777" w:rsidR="00DF211C" w:rsidRDefault="00DF211C"/>
    <w:p w14:paraId="35A27B74" w14:textId="77777777" w:rsidR="00DF211C" w:rsidRDefault="00DF211C"/>
    <w:p w14:paraId="3566D5A0" w14:textId="77777777" w:rsidR="00DF211C" w:rsidRDefault="00BB0E3B">
      <w:r>
        <w:t>Case Law:</w:t>
      </w:r>
    </w:p>
    <w:p w14:paraId="451E35B7" w14:textId="77777777" w:rsidR="00DF211C" w:rsidRDefault="00BB0E3B">
      <w:pPr>
        <w:pStyle w:val="ListParagraph"/>
        <w:numPr>
          <w:ilvl w:val="0"/>
          <w:numId w:val="2"/>
        </w:numPr>
      </w:pPr>
      <w:r>
        <w:t>Cunningham (1957)</w:t>
      </w:r>
    </w:p>
    <w:p w14:paraId="32FF781C" w14:textId="77777777" w:rsidR="00DF211C" w:rsidRDefault="00BB0E3B">
      <w:pPr>
        <w:pStyle w:val="ListParagraph"/>
        <w:numPr>
          <w:ilvl w:val="0"/>
          <w:numId w:val="2"/>
        </w:numPr>
        <w:spacing w:before="240"/>
      </w:pPr>
      <w:r>
        <w:t>DPP v Santander Bermudez (2004)</w:t>
      </w:r>
    </w:p>
    <w:p w14:paraId="0DAFA0B8" w14:textId="77777777" w:rsidR="00DF211C" w:rsidRDefault="00BB0E3B">
      <w:pPr>
        <w:pStyle w:val="ListParagraph"/>
        <w:numPr>
          <w:ilvl w:val="0"/>
          <w:numId w:val="2"/>
        </w:numPr>
      </w:pPr>
      <w:r>
        <w:t>DPP v Smith (1961)</w:t>
      </w:r>
    </w:p>
    <w:p w14:paraId="25B55E74" w14:textId="77777777" w:rsidR="00DF211C" w:rsidRDefault="00BB0E3B">
      <w:pPr>
        <w:pStyle w:val="ListParagraph"/>
        <w:numPr>
          <w:ilvl w:val="0"/>
          <w:numId w:val="2"/>
        </w:numPr>
        <w:spacing w:before="240"/>
      </w:pPr>
      <w:r>
        <w:t>DPP V Smith (2006).</w:t>
      </w:r>
    </w:p>
    <w:p w14:paraId="39F5570A" w14:textId="77777777" w:rsidR="00DF211C" w:rsidRDefault="00BB0E3B">
      <w:pPr>
        <w:pStyle w:val="ListParagraph"/>
        <w:numPr>
          <w:ilvl w:val="0"/>
          <w:numId w:val="2"/>
        </w:numPr>
      </w:pPr>
      <w:r>
        <w:t xml:space="preserve">Ireland v Burstow (1997) </w:t>
      </w:r>
    </w:p>
    <w:p w14:paraId="1418FEBD" w14:textId="4232F508" w:rsidR="00DF211C" w:rsidRDefault="00BB0E3B" w:rsidP="00F568E6">
      <w:pPr>
        <w:pStyle w:val="ListParagraph"/>
        <w:numPr>
          <w:ilvl w:val="0"/>
          <w:numId w:val="2"/>
        </w:numPr>
        <w:spacing w:before="240"/>
      </w:pPr>
      <w:proofErr w:type="spellStart"/>
      <w:r>
        <w:t>Misalati</w:t>
      </w:r>
      <w:proofErr w:type="spellEnd"/>
      <w:r>
        <w:t xml:space="preserve"> (</w:t>
      </w:r>
      <w:commentRangeStart w:id="65"/>
      <w:r>
        <w:t>2017</w:t>
      </w:r>
      <w:commentRangeEnd w:id="65"/>
      <w:r w:rsidR="00C7748F">
        <w:rPr>
          <w:rStyle w:val="CommentReference"/>
        </w:rPr>
        <w:commentReference w:id="65"/>
      </w:r>
      <w:r w:rsidR="00F568E6">
        <w:t>)</w:t>
      </w:r>
    </w:p>
    <w:p w14:paraId="1DF165EA" w14:textId="77777777" w:rsidR="00DF211C" w:rsidRDefault="00BB0E3B">
      <w:pPr>
        <w:pStyle w:val="ListParagraph"/>
        <w:numPr>
          <w:ilvl w:val="0"/>
          <w:numId w:val="2"/>
        </w:numPr>
      </w:pPr>
      <w:r>
        <w:t xml:space="preserve">R v </w:t>
      </w:r>
      <w:proofErr w:type="spellStart"/>
      <w:r>
        <w:t>Bollom</w:t>
      </w:r>
      <w:proofErr w:type="spellEnd"/>
      <w:r>
        <w:t xml:space="preserve"> (2004)</w:t>
      </w:r>
    </w:p>
    <w:p w14:paraId="50DF7FE6" w14:textId="77777777" w:rsidR="00DF211C" w:rsidRDefault="00BB0E3B">
      <w:pPr>
        <w:pStyle w:val="ListParagraph"/>
        <w:numPr>
          <w:ilvl w:val="0"/>
          <w:numId w:val="2"/>
        </w:numPr>
      </w:pPr>
      <w:r>
        <w:t>R v Burstow (1998)</w:t>
      </w:r>
    </w:p>
    <w:p w14:paraId="293A75BE" w14:textId="77777777" w:rsidR="00DF211C" w:rsidRDefault="00BB0E3B">
      <w:pPr>
        <w:pStyle w:val="ListParagraph"/>
        <w:numPr>
          <w:ilvl w:val="0"/>
          <w:numId w:val="2"/>
        </w:numPr>
        <w:spacing w:before="240"/>
      </w:pPr>
      <w:r>
        <w:t>R v Chan-</w:t>
      </w:r>
      <w:proofErr w:type="spellStart"/>
      <w:r>
        <w:t>Fook</w:t>
      </w:r>
      <w:proofErr w:type="spellEnd"/>
      <w:r>
        <w:t xml:space="preserve"> (1994), </w:t>
      </w:r>
    </w:p>
    <w:p w14:paraId="42C3D609" w14:textId="77777777" w:rsidR="00DF211C" w:rsidRDefault="00BB0E3B">
      <w:pPr>
        <w:pStyle w:val="ListParagraph"/>
        <w:numPr>
          <w:ilvl w:val="0"/>
          <w:numId w:val="2"/>
        </w:numPr>
      </w:pPr>
      <w:r>
        <w:t>R v Costanza (1997)</w:t>
      </w:r>
    </w:p>
    <w:p w14:paraId="6DF6F334" w14:textId="6B0D5250" w:rsidR="00DF211C" w:rsidRDefault="00BB0E3B">
      <w:pPr>
        <w:pStyle w:val="ListParagraph"/>
        <w:numPr>
          <w:ilvl w:val="0"/>
          <w:numId w:val="2"/>
        </w:numPr>
        <w:spacing w:before="240"/>
      </w:pPr>
      <w:r>
        <w:t xml:space="preserve">R v </w:t>
      </w:r>
      <w:proofErr w:type="spellStart"/>
      <w:r>
        <w:t>Dica</w:t>
      </w:r>
      <w:proofErr w:type="spellEnd"/>
      <w:r>
        <w:t xml:space="preserve"> (2003)</w:t>
      </w:r>
    </w:p>
    <w:p w14:paraId="35DD0D39" w14:textId="77777777" w:rsidR="00DF211C" w:rsidRDefault="00BB0E3B">
      <w:pPr>
        <w:pStyle w:val="ListParagraph"/>
        <w:numPr>
          <w:ilvl w:val="0"/>
          <w:numId w:val="2"/>
        </w:numPr>
      </w:pPr>
      <w:r>
        <w:t xml:space="preserve">R v Ireland (1998) </w:t>
      </w:r>
    </w:p>
    <w:p w14:paraId="7C511CF1" w14:textId="77777777" w:rsidR="00DF211C" w:rsidRDefault="00BB0E3B">
      <w:pPr>
        <w:pStyle w:val="ListParagraph"/>
        <w:numPr>
          <w:ilvl w:val="0"/>
          <w:numId w:val="2"/>
        </w:numPr>
      </w:pPr>
      <w:r>
        <w:t>R v Janjua (1961)</w:t>
      </w:r>
    </w:p>
    <w:p w14:paraId="4ED05691" w14:textId="37EF0966" w:rsidR="00DF211C" w:rsidRDefault="00BB0E3B">
      <w:pPr>
        <w:pStyle w:val="ListParagraph"/>
        <w:numPr>
          <w:ilvl w:val="0"/>
          <w:numId w:val="2"/>
        </w:numPr>
        <w:spacing w:before="240"/>
      </w:pPr>
      <w:r>
        <w:t>R v Miller (1</w:t>
      </w:r>
      <w:commentRangeStart w:id="66"/>
      <w:r>
        <w:t>954</w:t>
      </w:r>
      <w:commentRangeEnd w:id="66"/>
      <w:r w:rsidR="00C7748F">
        <w:rPr>
          <w:rStyle w:val="CommentReference"/>
        </w:rPr>
        <w:commentReference w:id="66"/>
      </w:r>
      <w:r w:rsidR="00F568E6">
        <w:t>)</w:t>
      </w:r>
    </w:p>
    <w:p w14:paraId="2995CCD2" w14:textId="77777777" w:rsidR="00DF211C" w:rsidRDefault="00BB0E3B">
      <w:pPr>
        <w:pStyle w:val="ListParagraph"/>
        <w:numPr>
          <w:ilvl w:val="0"/>
          <w:numId w:val="2"/>
        </w:numPr>
        <w:spacing w:before="240"/>
      </w:pPr>
      <w:r>
        <w:t>R v Thomas (1985)</w:t>
      </w:r>
    </w:p>
    <w:p w14:paraId="72DF6D73" w14:textId="4A02DE0C" w:rsidR="00DF211C" w:rsidRDefault="00BB0E3B">
      <w:pPr>
        <w:pStyle w:val="ListParagraph"/>
        <w:numPr>
          <w:ilvl w:val="0"/>
          <w:numId w:val="2"/>
        </w:numPr>
      </w:pPr>
      <w:r>
        <w:t>Smith v Chief Superintende</w:t>
      </w:r>
      <w:commentRangeStart w:id="67"/>
      <w:r>
        <w:t>nt</w:t>
      </w:r>
      <w:commentRangeEnd w:id="67"/>
      <w:r w:rsidR="00C7748F">
        <w:rPr>
          <w:rStyle w:val="CommentReference"/>
        </w:rPr>
        <w:commentReference w:id="67"/>
      </w:r>
      <w:r w:rsidR="00D912EE">
        <w:t xml:space="preserve"> (1983)</w:t>
      </w:r>
    </w:p>
    <w:p w14:paraId="0076DAD4" w14:textId="77777777" w:rsidR="00DF211C" w:rsidRDefault="00DF211C"/>
    <w:p w14:paraId="6AB5A8D7" w14:textId="77777777" w:rsidR="00DF211C" w:rsidRDefault="00DF211C"/>
    <w:p w14:paraId="561B384A" w14:textId="77777777" w:rsidR="00DF211C" w:rsidRDefault="00DF211C"/>
    <w:p w14:paraId="6D4B61AC" w14:textId="77777777" w:rsidR="00DF211C" w:rsidRDefault="00DF211C"/>
    <w:sectPr w:rsidR="00DF211C">
      <w:pgSz w:w="11906" w:h="16838"/>
      <w:pgMar w:top="1440" w:right="1440" w:bottom="1440" w:left="1440" w:header="720" w:footer="720" w:gutter="0"/>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Laura Knight" w:date="2021-02-22T12:01:00Z" w:initials="LK">
    <w:p w14:paraId="2B011BB8" w14:textId="77777777" w:rsidR="00C7748F" w:rsidRDefault="00C7748F">
      <w:pPr>
        <w:pStyle w:val="CommentText"/>
      </w:pPr>
      <w:r>
        <w:rPr>
          <w:rStyle w:val="CommentReference"/>
        </w:rPr>
        <w:annotationRef/>
      </w:r>
      <w:r>
        <w:t xml:space="preserve">You need to name this person in full and accurately reference the source. </w:t>
      </w:r>
    </w:p>
  </w:comment>
  <w:comment w:id="1" w:author="Laura Knight" w:date="2021-02-22T12:02:00Z" w:initials="LK">
    <w:p w14:paraId="649137EF" w14:textId="77777777" w:rsidR="00C7748F" w:rsidRDefault="00C7748F">
      <w:pPr>
        <w:pStyle w:val="CommentText"/>
      </w:pPr>
      <w:r>
        <w:rPr>
          <w:rStyle w:val="CommentReference"/>
        </w:rPr>
        <w:annotationRef/>
      </w:r>
      <w:r>
        <w:t>Incorrect citation. Also, revise your use of brackets here.</w:t>
      </w:r>
    </w:p>
  </w:comment>
  <w:comment w:id="2" w:author="Laura Knight" w:date="2021-02-22T12:02:00Z" w:initials="LK">
    <w:p w14:paraId="321BC0B7" w14:textId="77777777" w:rsidR="00F70314" w:rsidRDefault="00F70314">
      <w:pPr>
        <w:pStyle w:val="CommentText"/>
      </w:pPr>
      <w:r>
        <w:rPr>
          <w:rStyle w:val="CommentReference"/>
        </w:rPr>
        <w:annotationRef/>
      </w:r>
      <w:r>
        <w:t>Bracket the entirety of the citation.</w:t>
      </w:r>
    </w:p>
  </w:comment>
  <w:comment w:id="3" w:author="Laura Knight" w:date="2021-02-22T12:05:00Z" w:initials="LK">
    <w:p w14:paraId="6DBCEDBE" w14:textId="77777777" w:rsidR="00F70314" w:rsidRDefault="00F70314">
      <w:pPr>
        <w:pStyle w:val="CommentText"/>
      </w:pPr>
      <w:r>
        <w:rPr>
          <w:rStyle w:val="CommentReference"/>
        </w:rPr>
        <w:annotationRef/>
      </w:r>
      <w:r>
        <w:t>Rephrase this sentence as it is difficult to read.</w:t>
      </w:r>
    </w:p>
  </w:comment>
  <w:comment w:id="4" w:author="Laura Knight" w:date="2021-02-22T12:06:00Z" w:initials="LK">
    <w:p w14:paraId="13DF6146" w14:textId="77777777" w:rsidR="00F70314" w:rsidRDefault="00F70314">
      <w:pPr>
        <w:pStyle w:val="CommentText"/>
      </w:pPr>
      <w:r>
        <w:rPr>
          <w:rStyle w:val="CommentReference"/>
        </w:rPr>
        <w:annotationRef/>
      </w:r>
      <w:r>
        <w:t>Page number for quote.</w:t>
      </w:r>
    </w:p>
  </w:comment>
  <w:comment w:id="5" w:author="Laura Knight" w:date="2021-02-22T12:07:00Z" w:initials="LK">
    <w:p w14:paraId="7BA3686F" w14:textId="77777777" w:rsidR="00F70314" w:rsidRDefault="00F70314">
      <w:pPr>
        <w:pStyle w:val="CommentText"/>
      </w:pPr>
      <w:r>
        <w:rPr>
          <w:rStyle w:val="CommentReference"/>
        </w:rPr>
        <w:annotationRef/>
      </w:r>
      <w:r>
        <w:t xml:space="preserve">This is not needed as you have already </w:t>
      </w:r>
      <w:proofErr w:type="gramStart"/>
      <w:r>
        <w:t>made reference</w:t>
      </w:r>
      <w:proofErr w:type="gramEnd"/>
      <w:r>
        <w:t xml:space="preserve"> to this.</w:t>
      </w:r>
    </w:p>
  </w:comment>
  <w:comment w:id="6" w:author="Laura Knight" w:date="2021-02-22T12:08:00Z" w:initials="LK">
    <w:p w14:paraId="46EA5865" w14:textId="77777777" w:rsidR="00F70314" w:rsidRDefault="00F70314">
      <w:pPr>
        <w:pStyle w:val="CommentText"/>
      </w:pPr>
      <w:r>
        <w:rPr>
          <w:rStyle w:val="CommentReference"/>
        </w:rPr>
        <w:annotationRef/>
      </w:r>
      <w:r>
        <w:t>sections</w:t>
      </w:r>
    </w:p>
  </w:comment>
  <w:comment w:id="7" w:author="Laura Knight" w:date="2021-02-22T12:08:00Z" w:initials="LK">
    <w:p w14:paraId="274DEE17" w14:textId="77777777" w:rsidR="00F70314" w:rsidRDefault="00F70314">
      <w:pPr>
        <w:pStyle w:val="CommentText"/>
      </w:pPr>
      <w:r>
        <w:rPr>
          <w:rStyle w:val="CommentReference"/>
        </w:rPr>
        <w:annotationRef/>
      </w:r>
      <w:r>
        <w:t>which case law?</w:t>
      </w:r>
    </w:p>
  </w:comment>
  <w:comment w:id="10" w:author="Laura Knight" w:date="2021-02-22T12:13:00Z" w:initials="LK">
    <w:p w14:paraId="6E1A2C85" w14:textId="77777777" w:rsidR="00F02592" w:rsidRDefault="00F02592">
      <w:pPr>
        <w:pStyle w:val="CommentText"/>
      </w:pPr>
      <w:r>
        <w:rPr>
          <w:rStyle w:val="CommentReference"/>
        </w:rPr>
        <w:annotationRef/>
      </w:r>
      <w:r>
        <w:t xml:space="preserve">Delete </w:t>
      </w:r>
      <w:proofErr w:type="gramStart"/>
      <w:r>
        <w:t>this</w:t>
      </w:r>
      <w:proofErr w:type="gramEnd"/>
    </w:p>
  </w:comment>
  <w:comment w:id="11" w:author="Laura Knight" w:date="2021-02-22T12:13:00Z" w:initials="LK">
    <w:p w14:paraId="7D2AD469" w14:textId="77777777" w:rsidR="00F02592" w:rsidRDefault="00F02592">
      <w:pPr>
        <w:pStyle w:val="CommentText"/>
      </w:pPr>
      <w:r>
        <w:rPr>
          <w:rStyle w:val="CommentReference"/>
        </w:rPr>
        <w:annotationRef/>
      </w:r>
      <w:r>
        <w:t>Source and page number</w:t>
      </w:r>
    </w:p>
  </w:comment>
  <w:comment w:id="12" w:author="Laura Knight" w:date="2021-02-22T12:14:00Z" w:initials="LK">
    <w:p w14:paraId="4AC1DAA1" w14:textId="77777777" w:rsidR="00F02592" w:rsidRDefault="00F02592">
      <w:pPr>
        <w:pStyle w:val="CommentText"/>
      </w:pPr>
      <w:r>
        <w:rPr>
          <w:rStyle w:val="CommentReference"/>
        </w:rPr>
        <w:annotationRef/>
      </w:r>
      <w:proofErr w:type="spellStart"/>
      <w:r>
        <w:t>sp</w:t>
      </w:r>
      <w:proofErr w:type="spellEnd"/>
    </w:p>
  </w:comment>
  <w:comment w:id="13" w:author="Laura Knight" w:date="2021-02-22T12:00:00Z" w:initials="LK">
    <w:p w14:paraId="1D07F42E" w14:textId="77777777" w:rsidR="00D912EE" w:rsidRDefault="00D912EE">
      <w:pPr>
        <w:pStyle w:val="CommentText"/>
      </w:pPr>
      <w:r>
        <w:rPr>
          <w:rStyle w:val="CommentReference"/>
        </w:rPr>
        <w:annotationRef/>
      </w:r>
      <w:r>
        <w:t>This is not a credible source at level 4 and should be avoided.</w:t>
      </w:r>
    </w:p>
  </w:comment>
  <w:comment w:id="30" w:author="Laura Knight" w:date="2021-02-22T11:57:00Z" w:initials="LK">
    <w:p w14:paraId="552F5031" w14:textId="77777777" w:rsidR="00D912EE" w:rsidRDefault="00D912EE">
      <w:pPr>
        <w:pStyle w:val="CommentText"/>
      </w:pPr>
      <w:r>
        <w:rPr>
          <w:rStyle w:val="CommentReference"/>
        </w:rPr>
        <w:annotationRef/>
      </w:r>
      <w:r>
        <w:t>First initial needed</w:t>
      </w:r>
    </w:p>
  </w:comment>
  <w:comment w:id="38" w:author="Laura Knight" w:date="2021-02-22T11:56:00Z" w:initials="LK">
    <w:p w14:paraId="13244C95" w14:textId="77777777" w:rsidR="00D912EE" w:rsidRDefault="00D912EE">
      <w:pPr>
        <w:pStyle w:val="CommentText"/>
      </w:pPr>
      <w:r>
        <w:rPr>
          <w:rStyle w:val="CommentReference"/>
        </w:rPr>
        <w:annotationRef/>
      </w:r>
      <w:r>
        <w:t xml:space="preserve">If these sources are only discussing the judgement in the </w:t>
      </w:r>
      <w:proofErr w:type="gramStart"/>
      <w:r>
        <w:t>cases</w:t>
      </w:r>
      <w:proofErr w:type="gramEnd"/>
      <w:r>
        <w:t xml:space="preserve"> then you do not need to cite them. However, if they are offering additional points then include them. </w:t>
      </w:r>
    </w:p>
  </w:comment>
  <w:comment w:id="43" w:author="Laura Knight" w:date="2021-02-22T11:54:00Z" w:initials="LK">
    <w:p w14:paraId="729AAF5E" w14:textId="77777777" w:rsidR="00D912EE" w:rsidRDefault="00D912EE">
      <w:pPr>
        <w:pStyle w:val="CommentText"/>
      </w:pPr>
      <w:r>
        <w:rPr>
          <w:rStyle w:val="CommentReference"/>
        </w:rPr>
        <w:annotationRef/>
      </w:r>
      <w:r>
        <w:t>Remember with case law, you do not need to state where you have accessed it.</w:t>
      </w:r>
    </w:p>
  </w:comment>
  <w:comment w:id="49" w:author="Laura Knight" w:date="2021-02-22T11:58:00Z" w:initials="LK">
    <w:p w14:paraId="33468EAD" w14:textId="77777777" w:rsidR="00D912EE" w:rsidRDefault="00D912EE">
      <w:pPr>
        <w:pStyle w:val="CommentText"/>
      </w:pPr>
      <w:r>
        <w:rPr>
          <w:rStyle w:val="CommentReference"/>
        </w:rPr>
        <w:annotationRef/>
      </w:r>
      <w:r>
        <w:t xml:space="preserve">3,4 and 5 are the same </w:t>
      </w:r>
      <w:proofErr w:type="gramStart"/>
      <w:r>
        <w:t>source</w:t>
      </w:r>
      <w:proofErr w:type="gramEnd"/>
    </w:p>
  </w:comment>
  <w:comment w:id="65" w:author="Laura Knight" w:date="2021-02-22T11:52:00Z" w:initials="LK">
    <w:p w14:paraId="7755DCC0" w14:textId="77777777" w:rsidR="00C7748F" w:rsidRDefault="00C7748F">
      <w:pPr>
        <w:pStyle w:val="CommentText"/>
      </w:pPr>
      <w:r>
        <w:rPr>
          <w:rStyle w:val="CommentReference"/>
        </w:rPr>
        <w:annotationRef/>
      </w:r>
      <w:r>
        <w:t>Bracket here</w:t>
      </w:r>
    </w:p>
  </w:comment>
  <w:comment w:id="66" w:author="Laura Knight" w:date="2021-02-22T11:53:00Z" w:initials="LK">
    <w:p w14:paraId="3402B95F" w14:textId="77777777" w:rsidR="00C7748F" w:rsidRDefault="00C7748F">
      <w:pPr>
        <w:pStyle w:val="CommentText"/>
      </w:pPr>
      <w:r>
        <w:rPr>
          <w:rStyle w:val="CommentReference"/>
        </w:rPr>
        <w:annotationRef/>
      </w:r>
      <w:r>
        <w:t>Bracket</w:t>
      </w:r>
    </w:p>
    <w:p w14:paraId="678E42A8" w14:textId="77777777" w:rsidR="00C7748F" w:rsidRDefault="00C7748F">
      <w:pPr>
        <w:pStyle w:val="CommentText"/>
      </w:pPr>
    </w:p>
  </w:comment>
  <w:comment w:id="67" w:author="Laura Knight" w:date="2021-02-22T11:53:00Z" w:initials="LK">
    <w:p w14:paraId="57A01C5E" w14:textId="77777777" w:rsidR="00C7748F" w:rsidRDefault="00C7748F">
      <w:pPr>
        <w:pStyle w:val="CommentText"/>
      </w:pPr>
      <w:r>
        <w:rPr>
          <w:rStyle w:val="CommentReference"/>
        </w:rPr>
        <w:annotationRef/>
      </w:r>
      <w:r>
        <w:t>year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B011BB8" w15:done="0"/>
  <w15:commentEx w15:paraId="649137EF" w15:done="0"/>
  <w15:commentEx w15:paraId="321BC0B7" w15:done="0"/>
  <w15:commentEx w15:paraId="6DBCEDBE" w15:done="0"/>
  <w15:commentEx w15:paraId="13DF6146" w15:done="0"/>
  <w15:commentEx w15:paraId="7BA3686F" w15:done="0"/>
  <w15:commentEx w15:paraId="46EA5865" w15:done="0"/>
  <w15:commentEx w15:paraId="274DEE17" w15:done="0"/>
  <w15:commentEx w15:paraId="6E1A2C85" w15:done="0"/>
  <w15:commentEx w15:paraId="7D2AD469" w15:done="0"/>
  <w15:commentEx w15:paraId="4AC1DAA1" w15:done="0"/>
  <w15:commentEx w15:paraId="1D07F42E" w15:done="0"/>
  <w15:commentEx w15:paraId="552F5031" w15:done="0"/>
  <w15:commentEx w15:paraId="13244C95" w15:done="0"/>
  <w15:commentEx w15:paraId="729AAF5E" w15:done="0"/>
  <w15:commentEx w15:paraId="33468EAD" w15:done="0"/>
  <w15:commentEx w15:paraId="7755DCC0" w15:done="0"/>
  <w15:commentEx w15:paraId="678E42A8" w15:done="0"/>
  <w15:commentEx w15:paraId="57A01C5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B011BB8" w16cid:durableId="23DE20C3"/>
  <w16cid:commentId w16cid:paraId="649137EF" w16cid:durableId="23DE20C4"/>
  <w16cid:commentId w16cid:paraId="321BC0B7" w16cid:durableId="23DE20C5"/>
  <w16cid:commentId w16cid:paraId="6DBCEDBE" w16cid:durableId="23DE20C6"/>
  <w16cid:commentId w16cid:paraId="13DF6146" w16cid:durableId="23DE20C8"/>
  <w16cid:commentId w16cid:paraId="7BA3686F" w16cid:durableId="23DE20C9"/>
  <w16cid:commentId w16cid:paraId="46EA5865" w16cid:durableId="23DE20CA"/>
  <w16cid:commentId w16cid:paraId="274DEE17" w16cid:durableId="23DE20CB"/>
  <w16cid:commentId w16cid:paraId="6E1A2C85" w16cid:durableId="23DE20D1"/>
  <w16cid:commentId w16cid:paraId="7D2AD469" w16cid:durableId="23DE20D2"/>
  <w16cid:commentId w16cid:paraId="4AC1DAA1" w16cid:durableId="23DE20D4"/>
  <w16cid:commentId w16cid:paraId="1D07F42E" w16cid:durableId="23DE20D5"/>
  <w16cid:commentId w16cid:paraId="552F5031" w16cid:durableId="23DE20D9"/>
  <w16cid:commentId w16cid:paraId="13244C95" w16cid:durableId="23DE20DB"/>
  <w16cid:commentId w16cid:paraId="729AAF5E" w16cid:durableId="23DE3A0A"/>
  <w16cid:commentId w16cid:paraId="33468EAD" w16cid:durableId="23DE3A09"/>
  <w16cid:commentId w16cid:paraId="7755DCC0" w16cid:durableId="23DE20DE"/>
  <w16cid:commentId w16cid:paraId="678E42A8" w16cid:durableId="23DE20DF"/>
  <w16cid:commentId w16cid:paraId="57A01C5E" w16cid:durableId="23DE20E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C88686" w14:textId="77777777" w:rsidR="008E2ED2" w:rsidRDefault="00BB0E3B">
      <w:pPr>
        <w:spacing w:after="0"/>
      </w:pPr>
      <w:r>
        <w:separator/>
      </w:r>
    </w:p>
  </w:endnote>
  <w:endnote w:type="continuationSeparator" w:id="0">
    <w:p w14:paraId="3AFDD2A4" w14:textId="77777777" w:rsidR="008E2ED2" w:rsidRDefault="00BB0E3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CACD6" w14:textId="77777777" w:rsidR="008E2ED2" w:rsidRDefault="00BB0E3B">
      <w:pPr>
        <w:spacing w:after="0"/>
      </w:pPr>
      <w:r>
        <w:rPr>
          <w:color w:val="000000"/>
        </w:rPr>
        <w:separator/>
      </w:r>
    </w:p>
  </w:footnote>
  <w:footnote w:type="continuationSeparator" w:id="0">
    <w:p w14:paraId="7E437E2D" w14:textId="77777777" w:rsidR="008E2ED2" w:rsidRDefault="00BB0E3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1A14BF"/>
    <w:multiLevelType w:val="multilevel"/>
    <w:tmpl w:val="4290F3EA"/>
    <w:lvl w:ilvl="0">
      <w:start w:val="1"/>
      <w:numFmt w:val="decimal"/>
      <w:lvlText w:val="%1."/>
      <w:lvlJc w:val="left"/>
      <w:pPr>
        <w:ind w:left="720" w:hanging="360"/>
      </w:pPr>
      <w:rPr>
        <w:rFonts w:ascii="Calibri" w:eastAsia="Calibri" w:hAnsi="Calibri" w:cs="Times New Roman"/>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5F32659"/>
    <w:multiLevelType w:val="multilevel"/>
    <w:tmpl w:val="C37C1D4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aura Knight">
    <w15:presenceInfo w15:providerId="Windows Live" w15:userId="d3cc9c452fbb1af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11C"/>
    <w:rsid w:val="00103E51"/>
    <w:rsid w:val="001D4451"/>
    <w:rsid w:val="002E3C1A"/>
    <w:rsid w:val="00664F1E"/>
    <w:rsid w:val="007249DE"/>
    <w:rsid w:val="008E2ED2"/>
    <w:rsid w:val="00BB0E3B"/>
    <w:rsid w:val="00C40D6D"/>
    <w:rsid w:val="00C7748F"/>
    <w:rsid w:val="00CB5BEE"/>
    <w:rsid w:val="00D02219"/>
    <w:rsid w:val="00D26413"/>
    <w:rsid w:val="00D912EE"/>
    <w:rsid w:val="00DF211C"/>
    <w:rsid w:val="00F02592"/>
    <w:rsid w:val="00F568E6"/>
    <w:rsid w:val="00F70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B7C97"/>
  <w15:docId w15:val="{B1278262-0399-4C20-A31F-6BAD0BDD1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character" w:styleId="Hyperlink">
    <w:name w:val="Hyperlink"/>
    <w:basedOn w:val="DefaultParagraphFont"/>
    <w:rPr>
      <w:color w:val="0563C1"/>
      <w:u w:val="single"/>
    </w:rPr>
  </w:style>
  <w:style w:type="character" w:customStyle="1" w:styleId="UnresolvedMention1">
    <w:name w:val="Unresolved Mention1"/>
    <w:basedOn w:val="DefaultParagraphFont"/>
    <w:rPr>
      <w:color w:val="605E5C"/>
      <w:shd w:val="clear" w:color="auto" w:fill="E1DFDD"/>
    </w:rPr>
  </w:style>
  <w:style w:type="paragraph" w:styleId="ListParagraph">
    <w:name w:val="List Paragraph"/>
    <w:basedOn w:val="Normal"/>
    <w:pPr>
      <w:ind w:left="720"/>
    </w:pPr>
  </w:style>
  <w:style w:type="character" w:styleId="FollowedHyperlink">
    <w:name w:val="FollowedHyperlink"/>
    <w:basedOn w:val="DefaultParagraphFont"/>
    <w:rPr>
      <w:color w:val="954F72"/>
      <w:u w:val="single"/>
    </w:rPr>
  </w:style>
  <w:style w:type="character" w:styleId="CommentReference">
    <w:name w:val="annotation reference"/>
    <w:basedOn w:val="DefaultParagraphFont"/>
    <w:uiPriority w:val="99"/>
    <w:semiHidden/>
    <w:unhideWhenUsed/>
    <w:rsid w:val="00C7748F"/>
    <w:rPr>
      <w:sz w:val="16"/>
      <w:szCs w:val="16"/>
    </w:rPr>
  </w:style>
  <w:style w:type="paragraph" w:styleId="CommentText">
    <w:name w:val="annotation text"/>
    <w:basedOn w:val="Normal"/>
    <w:link w:val="CommentTextChar"/>
    <w:uiPriority w:val="99"/>
    <w:semiHidden/>
    <w:unhideWhenUsed/>
    <w:rsid w:val="00C7748F"/>
    <w:rPr>
      <w:sz w:val="20"/>
      <w:szCs w:val="20"/>
    </w:rPr>
  </w:style>
  <w:style w:type="character" w:customStyle="1" w:styleId="CommentTextChar">
    <w:name w:val="Comment Text Char"/>
    <w:basedOn w:val="DefaultParagraphFont"/>
    <w:link w:val="CommentText"/>
    <w:uiPriority w:val="99"/>
    <w:semiHidden/>
    <w:rsid w:val="00C7748F"/>
    <w:rPr>
      <w:sz w:val="20"/>
      <w:szCs w:val="20"/>
    </w:rPr>
  </w:style>
  <w:style w:type="paragraph" w:styleId="CommentSubject">
    <w:name w:val="annotation subject"/>
    <w:basedOn w:val="CommentText"/>
    <w:next w:val="CommentText"/>
    <w:link w:val="CommentSubjectChar"/>
    <w:uiPriority w:val="99"/>
    <w:semiHidden/>
    <w:unhideWhenUsed/>
    <w:rsid w:val="00C7748F"/>
    <w:rPr>
      <w:b/>
      <w:bCs/>
    </w:rPr>
  </w:style>
  <w:style w:type="character" w:customStyle="1" w:styleId="CommentSubjectChar">
    <w:name w:val="Comment Subject Char"/>
    <w:basedOn w:val="CommentTextChar"/>
    <w:link w:val="CommentSubject"/>
    <w:uiPriority w:val="99"/>
    <w:semiHidden/>
    <w:rsid w:val="00C7748F"/>
    <w:rPr>
      <w:b/>
      <w:bCs/>
      <w:sz w:val="20"/>
      <w:szCs w:val="20"/>
    </w:rPr>
  </w:style>
  <w:style w:type="paragraph" w:styleId="BalloonText">
    <w:name w:val="Balloon Text"/>
    <w:basedOn w:val="Normal"/>
    <w:link w:val="BalloonTextChar"/>
    <w:uiPriority w:val="99"/>
    <w:semiHidden/>
    <w:unhideWhenUsed/>
    <w:rsid w:val="00C7748F"/>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48F"/>
    <w:rPr>
      <w:rFonts w:ascii="Segoe UI" w:hAnsi="Segoe UI" w:cs="Segoe UI"/>
      <w:sz w:val="18"/>
      <w:szCs w:val="18"/>
    </w:rPr>
  </w:style>
  <w:style w:type="character" w:styleId="UnresolvedMention">
    <w:name w:val="Unresolved Mention"/>
    <w:basedOn w:val="DefaultParagraphFont"/>
    <w:uiPriority w:val="99"/>
    <w:semiHidden/>
    <w:unhideWhenUsed/>
    <w:rsid w:val="00103E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lawgazette.co.uk/feedback/empty-offences/5049499.article" TargetMode="External"/><Relationship Id="rId18" Type="http://schemas.openxmlformats.org/officeDocument/2006/relationships/hyperlink" Target="https://www.youtube.com/watch?v=diWKWOdY8IQ" TargetMode="External"/><Relationship Id="rId26" Type="http://schemas.openxmlformats.org/officeDocument/2006/relationships/hyperlink" Target="https://journals.sagepub.com/doi/abs/10.1177/002201839505900205?journalCode=clja" TargetMode="External"/><Relationship Id="rId3" Type="http://schemas.openxmlformats.org/officeDocument/2006/relationships/settings" Target="settings.xml"/><Relationship Id="rId21" Type="http://schemas.openxmlformats.org/officeDocument/2006/relationships/hyperlink" Target="https://www.lccsa.org.uk/r-v-nadeem-ahmed-janjua-r-v-mifta-choudury-1998/" TargetMode="External"/><Relationship Id="rId7" Type="http://schemas.openxmlformats.org/officeDocument/2006/relationships/comments" Target="comments.xml"/><Relationship Id="rId12" Type="http://schemas.openxmlformats.org/officeDocument/2006/relationships/hyperlink" Target="https://journals-sagepub-com.ezproxy.uwtsd.ac.uk/doi/pdf/10.1177/0022018316685478" TargetMode="External"/><Relationship Id="rId17" Type="http://schemas.openxmlformats.org/officeDocument/2006/relationships/hyperlink" Target="http://www.lawcom.gov.uk/app/uploads/2015/11/lc361_offences_against_the_person_overview_new.pdf" TargetMode="External"/><Relationship Id="rId25" Type="http://schemas.openxmlformats.org/officeDocument/2006/relationships/hyperlink" Target="https://global.oup.com/uk/orc/law/criminal/heaton4e/resources/casematerial/bychapter/ch0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3-eu-west-2.amazonaws.com/lawcom-prod-storage-11jsxou24uy7q/uploads/2015/06/cp217_offences_against_the_person_summary.pdf" TargetMode="External"/><Relationship Id="rId20" Type="http://schemas.openxmlformats.org/officeDocument/2006/relationships/hyperlink" Target="https://www.law.cornell.edu/women-and-justice/resource/r_v_ireland_r_v_burstow" TargetMode="External"/><Relationship Id="rId29" Type="http://schemas.openxmlformats.org/officeDocument/2006/relationships/hyperlink" Target="https://www-jstor-org.ezproxy.uwtsd.ac.uk/stable/4507189?seq=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awpoliticsandsociology.wordpress.com/2016/02/03/reviewing-law-commissions-recommendations-on-the-offences-against-the-person-2015-report-part-i/" TargetMode="External"/><Relationship Id="rId24" Type="http://schemas.openxmlformats.org/officeDocument/2006/relationships/hyperlink" Target="https://www.oxbridgenotes.co.uk/law_cases/r-v-cunningham" TargetMode="External"/><Relationship Id="rId32"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journals-sagepub-com.ezproxy.uwtsd.ac.uk/doi/pdf/10.1350/jcla.2012.76.6.805" TargetMode="External"/><Relationship Id="rId23" Type="http://schemas.openxmlformats.org/officeDocument/2006/relationships/hyperlink" Target="https://www.independent.co.uk/news/people/law-report-purely-psychiatric-injury-was-capable-of-amounting-to-bodily-harm-1253269.html" TargetMode="External"/><Relationship Id="rId28" Type="http://schemas.openxmlformats.org/officeDocument/2006/relationships/hyperlink" Target="http://www.lawcom.gov.uk/app/uploads/2015/11/51950-LC-HC555_Web.pdf" TargetMode="External"/><Relationship Id="rId10" Type="http://schemas.openxmlformats.org/officeDocument/2006/relationships/hyperlink" Target="https://www.cps.gov.uk/legal-guidance/offences-against-person-incorporating-charging-standard" TargetMode="External"/><Relationship Id="rId19" Type="http://schemas.openxmlformats.org/officeDocument/2006/relationships/hyperlink" Target="https://www.lawcom.gov.uk/project/offences-against-the-perso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jstor-org.ezproxy.uwtsd.ac.uk/stable/764735?seq=1" TargetMode="External"/><Relationship Id="rId22" Type="http://schemas.openxmlformats.org/officeDocument/2006/relationships/hyperlink" Target="https://www.researchgate.net/profile/Vanessa_Munro/publication/228128033_On_Responsible_Relationships_and_Irresponsible_Sex_-_Criminalising_the_Reckless_Transmission_of_HIV_R_v_Dica_and_R_v_Konzani/links/02e7e52a720c01c5b0000000/On-Responsible-Relationships-and-Irresponsible-Sex-Criminalising-the-Reckless-Transmission-of-HIV-R-v-Dica-and-R-v-Konzani.pdf" TargetMode="External"/><Relationship Id="rId27" Type="http://schemas.openxmlformats.org/officeDocument/2006/relationships/hyperlink" Target="https://journals-sagepub-com.ezproxy.uwtsd.ac.uk/doi/pdf/10.1177/0022018316646656" TargetMode="External"/><Relationship Id="rId30" Type="http://schemas.openxmlformats.org/officeDocument/2006/relationships/hyperlink" Target="https://www-jstor-org.ezproxy.uwtsd.ac.uk/stable/1093343?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3054</Words>
  <Characters>17411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Criminal Law</vt:lpstr>
    </vt:vector>
  </TitlesOfParts>
  <Company/>
  <LinksUpToDate>false</LinksUpToDate>
  <CharactersWithSpaces>20425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Assignment 1</dc:subject>
  <dc:creator>Courtney Smith</dc:creator>
  <dc:description/>
  <cp:lastModifiedBy>Courtney.smith02@hotmail.com</cp:lastModifiedBy>
  <cp:revision>2</cp:revision>
  <dcterms:created xsi:type="dcterms:W3CDTF">2021-02-22T14:12:00Z</dcterms:created>
  <dcterms:modified xsi:type="dcterms:W3CDTF">2021-02-22T14:12:00Z</dcterms:modified>
</cp:coreProperties>
</file>