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85ECA"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506D4822"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26C5581D"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44102BD4"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1130EC2E" w14:textId="75659994" w:rsidR="007E1592" w:rsidRPr="00A67458" w:rsidRDefault="005C2B14" w:rsidP="007E1592">
      <w:pPr>
        <w:spacing w:line="360" w:lineRule="auto"/>
        <w:jc w:val="center"/>
        <w:rPr>
          <w:rFonts w:asciiTheme="minorHAnsi" w:hAnsiTheme="minorHAnsi" w:cstheme="minorHAnsi"/>
          <w:b/>
          <w:bCs/>
          <w:sz w:val="28"/>
          <w:szCs w:val="28"/>
          <w:u w:val="single"/>
        </w:rPr>
      </w:pPr>
      <w:r w:rsidRPr="00A67458">
        <w:rPr>
          <w:rFonts w:asciiTheme="minorHAnsi" w:hAnsiTheme="minorHAnsi" w:cstheme="minorHAnsi"/>
          <w:noProof/>
          <w:sz w:val="28"/>
          <w:szCs w:val="28"/>
        </w:rPr>
        <mc:AlternateContent>
          <mc:Choice Requires="wps">
            <w:drawing>
              <wp:anchor distT="0" distB="0" distL="114300" distR="114300" simplePos="0" relativeHeight="251659264" behindDoc="0" locked="0" layoutInCell="1" allowOverlap="1" wp14:anchorId="0F3621EC" wp14:editId="3FE095E8">
                <wp:simplePos x="0" y="0"/>
                <wp:positionH relativeFrom="column">
                  <wp:posOffset>0</wp:posOffset>
                </wp:positionH>
                <wp:positionV relativeFrom="paragraph">
                  <wp:posOffset>3187700</wp:posOffset>
                </wp:positionV>
                <wp:extent cx="5880100" cy="14986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5880100" cy="149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7DBEAF" id="Rectangle 2" o:spid="_x0000_s1026" style="position:absolute;margin-left:0;margin-top:251pt;width:463pt;height:1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" filled="f" strokecolor="black [3213]" strokeweight="1pt"/>
            </w:pict>
          </mc:Fallback>
        </mc:AlternateContent>
      </w:r>
      <w:r w:rsidR="007E1592" w:rsidRPr="007E1592">
        <w:rPr>
          <w:rFonts w:asciiTheme="minorHAnsi" w:hAnsiTheme="minorHAnsi" w:cstheme="minorHAnsi"/>
          <w:sz w:val="28"/>
          <w:szCs w:val="28"/>
        </w:rPr>
        <w:fldChar w:fldCharType="begin"/>
      </w:r>
      <w:r w:rsidR="007E1592" w:rsidRPr="007E1592">
        <w:rPr>
          <w:rFonts w:asciiTheme="minorHAnsi" w:hAnsiTheme="minorHAnsi" w:cstheme="minorHAnsi"/>
          <w:sz w:val="28"/>
          <w:szCs w:val="28"/>
        </w:rPr>
        <w:instrText xml:space="preserve"> INCLUDEPICTURE "/var/folders/lw/_4pd3p9n57dbp7pqfc_72gwc0000gn/T/com.microsoft.Word/WebArchiveCopyPasteTempFiles/university-of-wales-trinity-saint-david-logo-vector.png" \* MERGEFORMATINET </w:instrText>
      </w:r>
      <w:r w:rsidR="007E1592" w:rsidRPr="007E1592">
        <w:rPr>
          <w:rFonts w:asciiTheme="minorHAnsi" w:hAnsiTheme="minorHAnsi" w:cstheme="minorHAnsi"/>
          <w:sz w:val="28"/>
          <w:szCs w:val="28"/>
        </w:rPr>
        <w:fldChar w:fldCharType="separate"/>
      </w:r>
      <w:r w:rsidR="007E1592" w:rsidRPr="00A67458">
        <w:rPr>
          <w:rFonts w:asciiTheme="minorHAnsi" w:hAnsiTheme="minorHAnsi" w:cstheme="minorHAnsi"/>
          <w:noProof/>
          <w:sz w:val="28"/>
          <w:szCs w:val="28"/>
        </w:rPr>
        <w:drawing>
          <wp:inline distT="0" distB="0" distL="0" distR="0" wp14:anchorId="0A1C5705" wp14:editId="5346D2C2">
            <wp:extent cx="5727700" cy="3181985"/>
            <wp:effectExtent l="0" t="0" r="0" b="5715"/>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181985"/>
                    </a:xfrm>
                    <a:prstGeom prst="rect">
                      <a:avLst/>
                    </a:prstGeom>
                    <a:noFill/>
                    <a:ln>
                      <a:noFill/>
                    </a:ln>
                  </pic:spPr>
                </pic:pic>
              </a:graphicData>
            </a:graphic>
          </wp:inline>
        </w:drawing>
      </w:r>
      <w:r w:rsidR="007E1592" w:rsidRPr="007E1592">
        <w:rPr>
          <w:rFonts w:asciiTheme="minorHAnsi" w:hAnsiTheme="minorHAnsi" w:cstheme="minorHAnsi"/>
          <w:sz w:val="28"/>
          <w:szCs w:val="28"/>
        </w:rPr>
        <w:fldChar w:fldCharType="end"/>
      </w:r>
      <w:r w:rsidR="007E1592" w:rsidRPr="00A67458">
        <w:rPr>
          <w:rFonts w:asciiTheme="minorHAnsi" w:hAnsiTheme="minorHAnsi" w:cstheme="minorHAnsi"/>
          <w:b/>
          <w:bCs/>
          <w:sz w:val="28"/>
          <w:szCs w:val="28"/>
          <w:u w:val="single"/>
        </w:rPr>
        <w:t>What are the Learning experience’s during enhanced provision in the reception class.</w:t>
      </w:r>
    </w:p>
    <w:p w14:paraId="59FB7395" w14:textId="3C7A83FF" w:rsidR="007E1592" w:rsidRPr="00A67458" w:rsidRDefault="007E1592" w:rsidP="007E1592">
      <w:pPr>
        <w:spacing w:line="360" w:lineRule="auto"/>
        <w:jc w:val="center"/>
        <w:rPr>
          <w:rFonts w:asciiTheme="minorHAnsi" w:hAnsiTheme="minorHAnsi" w:cstheme="minorHAnsi"/>
          <w:b/>
          <w:bCs/>
          <w:sz w:val="28"/>
          <w:szCs w:val="28"/>
          <w:u w:val="single"/>
        </w:rPr>
      </w:pPr>
    </w:p>
    <w:p w14:paraId="0B478933" w14:textId="4AC12B64" w:rsidR="007E1592" w:rsidRPr="00A67458" w:rsidRDefault="007E1592" w:rsidP="007E1592">
      <w:pPr>
        <w:spacing w:line="360" w:lineRule="auto"/>
        <w:jc w:val="center"/>
        <w:rPr>
          <w:rFonts w:asciiTheme="minorHAnsi" w:hAnsiTheme="minorHAnsi" w:cstheme="minorHAnsi"/>
          <w:b/>
          <w:bCs/>
          <w:sz w:val="28"/>
          <w:szCs w:val="28"/>
          <w:u w:val="single"/>
        </w:rPr>
      </w:pPr>
      <w:r w:rsidRPr="00A67458">
        <w:rPr>
          <w:rFonts w:asciiTheme="minorHAnsi" w:hAnsiTheme="minorHAnsi" w:cstheme="minorHAnsi"/>
          <w:b/>
          <w:bCs/>
          <w:sz w:val="28"/>
          <w:szCs w:val="28"/>
          <w:u w:val="single"/>
        </w:rPr>
        <w:t xml:space="preserve">Student: </w:t>
      </w:r>
      <w:r w:rsidRPr="00A67458">
        <w:rPr>
          <w:rFonts w:asciiTheme="minorHAnsi" w:hAnsiTheme="minorHAnsi" w:cstheme="minorHAnsi"/>
          <w:b/>
          <w:bCs/>
          <w:sz w:val="28"/>
          <w:szCs w:val="28"/>
        </w:rPr>
        <w:t>Millie Newman</w:t>
      </w:r>
    </w:p>
    <w:p w14:paraId="199FC0A4" w14:textId="68E32E5E" w:rsidR="007E1592" w:rsidRDefault="007E1592" w:rsidP="007E1592">
      <w:pPr>
        <w:spacing w:line="360" w:lineRule="auto"/>
        <w:jc w:val="center"/>
        <w:rPr>
          <w:rFonts w:asciiTheme="minorHAnsi" w:hAnsiTheme="minorHAnsi" w:cstheme="minorHAnsi"/>
          <w:b/>
          <w:bCs/>
          <w:sz w:val="28"/>
          <w:szCs w:val="28"/>
          <w:u w:val="single"/>
        </w:rPr>
      </w:pPr>
    </w:p>
    <w:p w14:paraId="6E76B545" w14:textId="4A1E7A73" w:rsidR="00370C62" w:rsidRPr="0026589F" w:rsidRDefault="00370C62" w:rsidP="007E1592">
      <w:pPr>
        <w:spacing w:line="360" w:lineRule="auto"/>
        <w:jc w:val="center"/>
        <w:rPr>
          <w:rFonts w:asciiTheme="minorHAnsi" w:hAnsiTheme="minorHAnsi" w:cstheme="minorHAnsi"/>
          <w:sz w:val="28"/>
          <w:szCs w:val="28"/>
        </w:rPr>
      </w:pPr>
      <w:r w:rsidRPr="0026589F">
        <w:rPr>
          <w:rFonts w:asciiTheme="minorHAnsi" w:hAnsiTheme="minorHAnsi" w:cstheme="minorHAnsi"/>
          <w:sz w:val="28"/>
          <w:szCs w:val="28"/>
        </w:rPr>
        <w:t xml:space="preserve">Word Count-  </w:t>
      </w:r>
      <w:r w:rsidR="0026589F" w:rsidRPr="0026589F">
        <w:rPr>
          <w:rFonts w:asciiTheme="minorHAnsi" w:hAnsiTheme="minorHAnsi" w:cstheme="minorHAnsi"/>
          <w:sz w:val="28"/>
          <w:szCs w:val="28"/>
        </w:rPr>
        <w:t xml:space="preserve">4269 </w:t>
      </w:r>
    </w:p>
    <w:p w14:paraId="71EDAB71" w14:textId="0E4C61C6" w:rsidR="007E1592" w:rsidRDefault="00046BAE" w:rsidP="0026589F">
      <w:pPr>
        <w:spacing w:line="360" w:lineRule="auto"/>
        <w:jc w:val="center"/>
        <w:rPr>
          <w:rFonts w:asciiTheme="minorHAnsi" w:hAnsiTheme="minorHAnsi" w:cstheme="minorHAnsi"/>
          <w:sz w:val="28"/>
          <w:szCs w:val="28"/>
        </w:rPr>
      </w:pPr>
      <w:r>
        <w:rPr>
          <w:rFonts w:asciiTheme="minorHAnsi" w:hAnsiTheme="minorHAnsi" w:cstheme="minorHAnsi"/>
          <w:sz w:val="28"/>
          <w:szCs w:val="28"/>
        </w:rPr>
        <w:t>ECAD7004</w:t>
      </w:r>
    </w:p>
    <w:p w14:paraId="234FB429" w14:textId="77777777" w:rsidR="0026589F" w:rsidRPr="00A67458" w:rsidRDefault="0026589F" w:rsidP="0026589F">
      <w:pPr>
        <w:spacing w:line="360" w:lineRule="auto"/>
        <w:jc w:val="center"/>
        <w:rPr>
          <w:rFonts w:asciiTheme="minorHAnsi" w:hAnsiTheme="minorHAnsi" w:cstheme="minorHAnsi"/>
          <w:sz w:val="28"/>
          <w:szCs w:val="28"/>
        </w:rPr>
      </w:pPr>
    </w:p>
    <w:p w14:paraId="66F9FD65" w14:textId="4ADB0338" w:rsidR="007E1592" w:rsidRPr="00A67458" w:rsidRDefault="00B151E0" w:rsidP="00B151E0">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Research project submitted in partial fulfilment of the Postgraduate Degree PGCE primary with QTS</w:t>
      </w:r>
    </w:p>
    <w:p w14:paraId="4F174C0A" w14:textId="738D64C7" w:rsidR="00B151E0" w:rsidRPr="00A67458" w:rsidRDefault="00B151E0" w:rsidP="003B5AC8">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At</w:t>
      </w:r>
    </w:p>
    <w:p w14:paraId="1260200E" w14:textId="6E6B7F8A" w:rsidR="00B151E0" w:rsidRPr="00A67458" w:rsidRDefault="00B151E0" w:rsidP="003B5AC8">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University of Wales Trinity Saint David.</w:t>
      </w:r>
    </w:p>
    <w:p w14:paraId="2D08CE6A" w14:textId="166D7521" w:rsidR="00B151E0" w:rsidRPr="00A67458" w:rsidRDefault="00B151E0" w:rsidP="003B5AC8">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Swansea.</w:t>
      </w:r>
    </w:p>
    <w:p w14:paraId="003339E0" w14:textId="77777777" w:rsidR="00B151E0" w:rsidRPr="00A67458" w:rsidRDefault="00B151E0" w:rsidP="003B5AC8">
      <w:pPr>
        <w:spacing w:line="360" w:lineRule="auto"/>
        <w:jc w:val="center"/>
        <w:rPr>
          <w:rFonts w:asciiTheme="minorHAnsi" w:hAnsiTheme="minorHAnsi" w:cstheme="minorHAnsi"/>
          <w:b/>
          <w:bCs/>
          <w:sz w:val="28"/>
          <w:szCs w:val="28"/>
          <w:u w:val="single"/>
        </w:rPr>
      </w:pPr>
    </w:p>
    <w:p w14:paraId="4B45673D" w14:textId="40966A46" w:rsidR="007E1592" w:rsidRPr="00A67458" w:rsidRDefault="007E1592" w:rsidP="003B5AC8">
      <w:pPr>
        <w:spacing w:line="360" w:lineRule="auto"/>
        <w:jc w:val="center"/>
        <w:rPr>
          <w:rFonts w:asciiTheme="minorHAnsi" w:hAnsiTheme="minorHAnsi" w:cstheme="minorHAnsi"/>
          <w:b/>
          <w:bCs/>
          <w:sz w:val="28"/>
          <w:szCs w:val="28"/>
          <w:u w:val="single"/>
        </w:rPr>
      </w:pPr>
    </w:p>
    <w:p w14:paraId="6577D479" w14:textId="411F0604" w:rsidR="007E1592" w:rsidRPr="00A67458" w:rsidRDefault="007E1592" w:rsidP="003B5AC8">
      <w:pPr>
        <w:spacing w:line="360" w:lineRule="auto"/>
        <w:jc w:val="center"/>
        <w:rPr>
          <w:rFonts w:asciiTheme="minorHAnsi" w:hAnsiTheme="minorHAnsi" w:cstheme="minorHAnsi"/>
          <w:b/>
          <w:bCs/>
          <w:sz w:val="28"/>
          <w:szCs w:val="28"/>
          <w:u w:val="single"/>
        </w:rPr>
      </w:pPr>
    </w:p>
    <w:p w14:paraId="5E369C0C" w14:textId="700D54F8" w:rsidR="007E1592" w:rsidRPr="00A67458" w:rsidRDefault="007E1592" w:rsidP="003B5AC8">
      <w:pPr>
        <w:spacing w:line="360" w:lineRule="auto"/>
        <w:jc w:val="center"/>
        <w:rPr>
          <w:rFonts w:asciiTheme="minorHAnsi" w:hAnsiTheme="minorHAnsi" w:cstheme="minorHAnsi"/>
          <w:b/>
          <w:bCs/>
          <w:sz w:val="28"/>
          <w:szCs w:val="28"/>
          <w:u w:val="single"/>
        </w:rPr>
      </w:pPr>
    </w:p>
    <w:p w14:paraId="4A819B6A" w14:textId="69340BF2" w:rsidR="007E1592" w:rsidRPr="00A67458" w:rsidRDefault="007E1592" w:rsidP="003B5AC8">
      <w:pPr>
        <w:spacing w:line="360" w:lineRule="auto"/>
        <w:jc w:val="center"/>
        <w:rPr>
          <w:rFonts w:asciiTheme="minorHAnsi" w:hAnsiTheme="minorHAnsi" w:cstheme="minorHAnsi"/>
          <w:b/>
          <w:bCs/>
          <w:sz w:val="28"/>
          <w:szCs w:val="28"/>
          <w:u w:val="single"/>
        </w:rPr>
      </w:pPr>
    </w:p>
    <w:tbl>
      <w:tblPr>
        <w:tblStyle w:val="TableGrid"/>
        <w:tblpPr w:leftFromText="180" w:rightFromText="180" w:vertAnchor="text" w:horzAnchor="margin" w:tblpXSpec="center" w:tblpY="371"/>
        <w:tblW w:w="11064" w:type="dxa"/>
        <w:tblLook w:val="04A0" w:firstRow="1" w:lastRow="0" w:firstColumn="1" w:lastColumn="0" w:noHBand="0" w:noVBand="1"/>
      </w:tblPr>
      <w:tblGrid>
        <w:gridCol w:w="5532"/>
        <w:gridCol w:w="5532"/>
      </w:tblGrid>
      <w:tr w:rsidR="004A5F64" w:rsidRPr="00A67458" w14:paraId="500B1343" w14:textId="77777777" w:rsidTr="003B6027">
        <w:trPr>
          <w:trHeight w:val="2561"/>
        </w:trPr>
        <w:tc>
          <w:tcPr>
            <w:tcW w:w="5532" w:type="dxa"/>
          </w:tcPr>
          <w:p w14:paraId="50EE57B4" w14:textId="36570B6A" w:rsidR="004A5F64" w:rsidRPr="003B6027" w:rsidRDefault="004A5F64" w:rsidP="003B6027">
            <w:pPr>
              <w:spacing w:line="360" w:lineRule="auto"/>
              <w:jc w:val="center"/>
              <w:rPr>
                <w:rFonts w:asciiTheme="minorHAnsi" w:hAnsiTheme="minorHAnsi" w:cstheme="minorHAnsi"/>
                <w:b/>
                <w:bCs/>
                <w:u w:val="single"/>
              </w:rPr>
            </w:pPr>
            <w:r w:rsidRPr="003B6027">
              <w:rPr>
                <w:rFonts w:asciiTheme="minorHAnsi" w:hAnsiTheme="minorHAnsi" w:cstheme="minorHAnsi"/>
                <w:b/>
                <w:bCs/>
                <w:sz w:val="28"/>
                <w:szCs w:val="28"/>
                <w:u w:val="single"/>
              </w:rPr>
              <w:t xml:space="preserve">Targets </w:t>
            </w:r>
          </w:p>
        </w:tc>
        <w:tc>
          <w:tcPr>
            <w:tcW w:w="5532" w:type="dxa"/>
          </w:tcPr>
          <w:p w14:paraId="62A787A1" w14:textId="445DAB2A" w:rsidR="004A5F64" w:rsidRPr="003B6027" w:rsidRDefault="003B6027" w:rsidP="003B6027">
            <w:pPr>
              <w:spacing w:line="360" w:lineRule="auto"/>
              <w:jc w:val="center"/>
              <w:rPr>
                <w:rFonts w:asciiTheme="minorHAnsi" w:hAnsiTheme="minorHAnsi" w:cstheme="minorHAnsi"/>
                <w:b/>
                <w:bCs/>
                <w:u w:val="single"/>
              </w:rPr>
            </w:pPr>
            <w:r w:rsidRPr="003B6027">
              <w:rPr>
                <w:rFonts w:asciiTheme="minorHAnsi" w:hAnsiTheme="minorHAnsi" w:cstheme="minorHAnsi"/>
                <w:b/>
                <w:bCs/>
                <w:sz w:val="28"/>
                <w:szCs w:val="28"/>
                <w:u w:val="single"/>
              </w:rPr>
              <w:t>What I have done in this assignment</w:t>
            </w:r>
          </w:p>
        </w:tc>
      </w:tr>
      <w:tr w:rsidR="004A5F64" w:rsidRPr="00A67458" w14:paraId="3C3C3BF5" w14:textId="77777777" w:rsidTr="003B6027">
        <w:trPr>
          <w:trHeight w:val="2561"/>
        </w:trPr>
        <w:tc>
          <w:tcPr>
            <w:tcW w:w="5532" w:type="dxa"/>
          </w:tcPr>
          <w:p w14:paraId="09066FE0" w14:textId="77777777" w:rsidR="003B6027" w:rsidRPr="003B6027" w:rsidRDefault="003B6027" w:rsidP="003B6027">
            <w:pPr>
              <w:rPr>
                <w:rFonts w:asciiTheme="minorHAnsi" w:hAnsiTheme="minorHAnsi" w:cstheme="minorHAnsi"/>
              </w:rPr>
            </w:pPr>
            <w:r w:rsidRPr="003B6027">
              <w:rPr>
                <w:rFonts w:asciiTheme="minorHAnsi" w:hAnsiTheme="minorHAnsi" w:cstheme="minorHAnsi"/>
                <w:color w:val="000000"/>
                <w:shd w:val="clear" w:color="auto" w:fill="FFFFFF"/>
              </w:rPr>
              <w:t>To further develop your critical skills, look for opportunities to identify where different authors have different views on a particular theme or topic</w:t>
            </w:r>
          </w:p>
          <w:p w14:paraId="53EEE122" w14:textId="77777777" w:rsidR="004A5F64" w:rsidRPr="003B6027" w:rsidRDefault="004A5F64" w:rsidP="004A5F64">
            <w:pPr>
              <w:spacing w:line="360" w:lineRule="auto"/>
              <w:rPr>
                <w:rFonts w:asciiTheme="minorHAnsi" w:hAnsiTheme="minorHAnsi" w:cstheme="minorHAnsi"/>
                <w:b/>
                <w:bCs/>
                <w:u w:val="single"/>
              </w:rPr>
            </w:pPr>
          </w:p>
        </w:tc>
        <w:tc>
          <w:tcPr>
            <w:tcW w:w="5532" w:type="dxa"/>
          </w:tcPr>
          <w:p w14:paraId="0E3FAF7E" w14:textId="21589B92" w:rsidR="004A5F64" w:rsidRPr="003B6027" w:rsidRDefault="003B6027" w:rsidP="003B6027">
            <w:pPr>
              <w:spacing w:line="360" w:lineRule="auto"/>
              <w:rPr>
                <w:rFonts w:asciiTheme="minorHAnsi" w:hAnsiTheme="minorHAnsi" w:cstheme="minorHAnsi"/>
              </w:rPr>
            </w:pPr>
            <w:r w:rsidRPr="003B6027">
              <w:rPr>
                <w:rFonts w:asciiTheme="minorHAnsi" w:hAnsiTheme="minorHAnsi" w:cstheme="minorHAnsi"/>
              </w:rPr>
              <w:t xml:space="preserve">To develop my critical skills I looked for opportunities to identify where different authors have different views on a particular theme or topic. </w:t>
            </w:r>
          </w:p>
        </w:tc>
      </w:tr>
      <w:tr w:rsidR="004A5F64" w:rsidRPr="00A67458" w14:paraId="12F26A2E" w14:textId="77777777" w:rsidTr="003B6027">
        <w:trPr>
          <w:trHeight w:val="2561"/>
        </w:trPr>
        <w:tc>
          <w:tcPr>
            <w:tcW w:w="5532" w:type="dxa"/>
          </w:tcPr>
          <w:p w14:paraId="35916FC6" w14:textId="77777777" w:rsidR="003B6027" w:rsidRPr="003B6027" w:rsidRDefault="003B6027" w:rsidP="003B6027">
            <w:pPr>
              <w:rPr>
                <w:rFonts w:asciiTheme="minorHAnsi" w:hAnsiTheme="minorHAnsi" w:cstheme="minorHAnsi"/>
              </w:rPr>
            </w:pPr>
            <w:r w:rsidRPr="003B6027">
              <w:rPr>
                <w:rFonts w:asciiTheme="minorHAnsi" w:hAnsiTheme="minorHAnsi" w:cstheme="minorHAnsi"/>
                <w:color w:val="000000"/>
                <w:shd w:val="clear" w:color="auto" w:fill="FFFFFF"/>
              </w:rPr>
              <w:t>Follow the assignment guidance carefully to ensure that you are balancing all the required elements of the assignment. </w:t>
            </w:r>
          </w:p>
          <w:p w14:paraId="6DD4EEE8" w14:textId="77777777" w:rsidR="004A5F64" w:rsidRPr="003B6027" w:rsidRDefault="004A5F64" w:rsidP="004A5F64">
            <w:pPr>
              <w:spacing w:line="360" w:lineRule="auto"/>
              <w:rPr>
                <w:rFonts w:asciiTheme="minorHAnsi" w:hAnsiTheme="minorHAnsi" w:cstheme="minorHAnsi"/>
                <w:b/>
                <w:bCs/>
                <w:u w:val="single"/>
              </w:rPr>
            </w:pPr>
          </w:p>
        </w:tc>
        <w:tc>
          <w:tcPr>
            <w:tcW w:w="5532" w:type="dxa"/>
          </w:tcPr>
          <w:p w14:paraId="1CDE305F" w14:textId="21E91BB7" w:rsidR="004A5F64" w:rsidRPr="003B6027" w:rsidRDefault="003B6027" w:rsidP="00A02713">
            <w:pPr>
              <w:spacing w:line="360" w:lineRule="auto"/>
              <w:jc w:val="both"/>
              <w:rPr>
                <w:rFonts w:asciiTheme="minorHAnsi" w:hAnsiTheme="minorHAnsi" w:cstheme="minorHAnsi"/>
              </w:rPr>
            </w:pPr>
            <w:r w:rsidRPr="003B6027">
              <w:rPr>
                <w:rFonts w:asciiTheme="minorHAnsi" w:hAnsiTheme="minorHAnsi" w:cstheme="minorHAnsi"/>
              </w:rPr>
              <w:t>Followed assignment guidance to carefully ensure that I am</w:t>
            </w:r>
            <w:r w:rsidR="0026589F">
              <w:rPr>
                <w:rFonts w:asciiTheme="minorHAnsi" w:hAnsiTheme="minorHAnsi" w:cstheme="minorHAnsi"/>
              </w:rPr>
              <w:t xml:space="preserve"> </w:t>
            </w:r>
            <w:r w:rsidRPr="003B6027">
              <w:rPr>
                <w:rFonts w:asciiTheme="minorHAnsi" w:hAnsiTheme="minorHAnsi" w:cstheme="minorHAnsi"/>
              </w:rPr>
              <w:t xml:space="preserve">balancing all the required elements of the assignment. </w:t>
            </w:r>
          </w:p>
        </w:tc>
      </w:tr>
    </w:tbl>
    <w:p w14:paraId="3F1C784F" w14:textId="77777777" w:rsidR="007E1592" w:rsidRPr="00A67458" w:rsidRDefault="007E1592" w:rsidP="007E1592">
      <w:pPr>
        <w:spacing w:line="360" w:lineRule="auto"/>
        <w:rPr>
          <w:rFonts w:asciiTheme="minorHAnsi" w:hAnsiTheme="minorHAnsi" w:cstheme="minorHAnsi"/>
          <w:b/>
          <w:bCs/>
          <w:sz w:val="28"/>
          <w:szCs w:val="28"/>
          <w:u w:val="single"/>
        </w:rPr>
      </w:pPr>
    </w:p>
    <w:p w14:paraId="0CDF449D" w14:textId="6C57FF98" w:rsidR="007E1592" w:rsidRPr="00A67458" w:rsidRDefault="007E1592" w:rsidP="003B5AC8">
      <w:pPr>
        <w:spacing w:line="360" w:lineRule="auto"/>
        <w:jc w:val="center"/>
        <w:rPr>
          <w:rFonts w:asciiTheme="minorHAnsi" w:hAnsiTheme="minorHAnsi" w:cstheme="minorHAnsi"/>
          <w:b/>
          <w:bCs/>
          <w:sz w:val="28"/>
          <w:szCs w:val="28"/>
          <w:u w:val="single"/>
        </w:rPr>
      </w:pPr>
    </w:p>
    <w:p w14:paraId="06F54BC7" w14:textId="77777777" w:rsidR="007E1592" w:rsidRPr="00A67458" w:rsidRDefault="007E1592" w:rsidP="003B5AC8">
      <w:pPr>
        <w:spacing w:line="360" w:lineRule="auto"/>
        <w:jc w:val="center"/>
        <w:rPr>
          <w:rFonts w:asciiTheme="minorHAnsi" w:hAnsiTheme="minorHAnsi" w:cstheme="minorHAnsi"/>
          <w:b/>
          <w:bCs/>
          <w:sz w:val="28"/>
          <w:szCs w:val="28"/>
          <w:u w:val="single"/>
        </w:rPr>
      </w:pPr>
    </w:p>
    <w:p w14:paraId="3EB3ECAB" w14:textId="77777777" w:rsidR="00D53201" w:rsidRPr="00A67458" w:rsidRDefault="00D53201" w:rsidP="00D53201">
      <w:pPr>
        <w:spacing w:line="360" w:lineRule="auto"/>
        <w:rPr>
          <w:rFonts w:asciiTheme="minorHAnsi" w:hAnsiTheme="minorHAnsi" w:cstheme="minorHAnsi"/>
          <w:b/>
          <w:bCs/>
          <w:sz w:val="28"/>
          <w:szCs w:val="28"/>
          <w:u w:val="single"/>
        </w:rPr>
      </w:pPr>
    </w:p>
    <w:p w14:paraId="6DE95021" w14:textId="0B68D7F4" w:rsidR="00D53201" w:rsidRPr="00A67458" w:rsidRDefault="00D53201" w:rsidP="003B5AC8">
      <w:pPr>
        <w:spacing w:line="360" w:lineRule="auto"/>
        <w:rPr>
          <w:rFonts w:asciiTheme="minorHAnsi" w:hAnsiTheme="minorHAnsi" w:cstheme="minorHAnsi"/>
          <w:b/>
          <w:bCs/>
          <w:sz w:val="28"/>
          <w:szCs w:val="28"/>
          <w:u w:val="single"/>
        </w:rPr>
      </w:pPr>
    </w:p>
    <w:p w14:paraId="50316A21" w14:textId="12C16090" w:rsidR="007E1592" w:rsidRPr="00A67458" w:rsidRDefault="007E1592" w:rsidP="003B5AC8">
      <w:pPr>
        <w:spacing w:line="360" w:lineRule="auto"/>
        <w:rPr>
          <w:rFonts w:asciiTheme="minorHAnsi" w:hAnsiTheme="minorHAnsi" w:cstheme="minorHAnsi"/>
          <w:b/>
          <w:bCs/>
          <w:sz w:val="28"/>
          <w:szCs w:val="28"/>
          <w:u w:val="single"/>
        </w:rPr>
      </w:pPr>
    </w:p>
    <w:p w14:paraId="1FA22F5C" w14:textId="42404697" w:rsidR="007E1592" w:rsidRPr="00A67458" w:rsidRDefault="007E1592" w:rsidP="003B5AC8">
      <w:pPr>
        <w:spacing w:line="360" w:lineRule="auto"/>
        <w:rPr>
          <w:rFonts w:asciiTheme="minorHAnsi" w:hAnsiTheme="minorHAnsi" w:cstheme="minorHAnsi"/>
          <w:b/>
          <w:bCs/>
          <w:sz w:val="28"/>
          <w:szCs w:val="28"/>
          <w:u w:val="single"/>
        </w:rPr>
      </w:pPr>
    </w:p>
    <w:p w14:paraId="2FBB025F" w14:textId="77777777" w:rsidR="003B6027" w:rsidRPr="00A67458" w:rsidRDefault="003B6027" w:rsidP="003B6027">
      <w:pPr>
        <w:spacing w:line="360" w:lineRule="auto"/>
        <w:rPr>
          <w:rFonts w:asciiTheme="minorHAnsi" w:hAnsiTheme="minorHAnsi" w:cstheme="minorHAnsi"/>
          <w:b/>
          <w:bCs/>
          <w:sz w:val="28"/>
          <w:szCs w:val="28"/>
          <w:u w:val="single"/>
        </w:rPr>
      </w:pPr>
    </w:p>
    <w:p w14:paraId="301BAB00" w14:textId="1EA67366"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Research Context</w:t>
      </w:r>
    </w:p>
    <w:p w14:paraId="1C52288D" w14:textId="7C37B326" w:rsidR="00B019A6"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 xml:space="preserve">The aim of this assignment is to research the learning experiences within a reception class during enhanced provision. </w:t>
      </w:r>
      <w:r w:rsidRPr="00A02713">
        <w:rPr>
          <w:rFonts w:asciiTheme="minorHAnsi" w:hAnsiTheme="minorHAnsi" w:cstheme="minorHAnsi"/>
        </w:rPr>
        <w:t>The school will be referred to as School X in line with British Educational Research Association (BERA,</w:t>
      </w:r>
      <w:r w:rsidR="006B3CA3" w:rsidRPr="00A02713">
        <w:rPr>
          <w:rFonts w:asciiTheme="minorHAnsi" w:hAnsiTheme="minorHAnsi" w:cstheme="minorHAnsi"/>
        </w:rPr>
        <w:t>2018</w:t>
      </w:r>
      <w:r w:rsidRPr="00A02713">
        <w:rPr>
          <w:rFonts w:asciiTheme="minorHAnsi" w:hAnsiTheme="minorHAnsi" w:cstheme="minorHAnsi"/>
        </w:rPr>
        <w:t>) guidelines to keep all information anonymous. School X is based in the Vale of Glamorgan South Wales, there are 700 pupils on roll aged from 3-11 year</w:t>
      </w:r>
      <w:r w:rsidR="00496198" w:rsidRPr="00A02713">
        <w:rPr>
          <w:rFonts w:asciiTheme="minorHAnsi" w:hAnsiTheme="minorHAnsi" w:cstheme="minorHAnsi"/>
        </w:rPr>
        <w:t>s.</w:t>
      </w:r>
      <w:r w:rsidR="00B019A6" w:rsidRPr="00A02713">
        <w:rPr>
          <w:rFonts w:asciiTheme="minorHAnsi" w:hAnsiTheme="minorHAnsi" w:cstheme="minorHAnsi"/>
        </w:rPr>
        <w:t xml:space="preserve"> </w:t>
      </w:r>
    </w:p>
    <w:p w14:paraId="3C03A1E2" w14:textId="77777777" w:rsidR="00B019A6" w:rsidRPr="00A02713" w:rsidRDefault="00B019A6" w:rsidP="00A02713">
      <w:pPr>
        <w:spacing w:line="360" w:lineRule="auto"/>
        <w:rPr>
          <w:rFonts w:asciiTheme="minorHAnsi" w:hAnsiTheme="minorHAnsi" w:cstheme="minorHAnsi"/>
        </w:rPr>
      </w:pPr>
    </w:p>
    <w:p w14:paraId="6D61AE01" w14:textId="37A9BC99" w:rsidR="00D53201"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The research conducted is based in a reception class of 24</w:t>
      </w:r>
      <w:r w:rsidR="00B019A6" w:rsidRPr="00A02713">
        <w:rPr>
          <w:rFonts w:asciiTheme="minorHAnsi" w:hAnsiTheme="minorHAnsi" w:cstheme="minorHAnsi"/>
        </w:rPr>
        <w:t xml:space="preserve"> learners, School X has 3 classes per school year and the enhanced provision is shared across the whole 3 classes. Each class has access to outdoor provision, role play, creative area, Maths provision, literacy provision and which is changed for each topic to enhance learning experiences. </w:t>
      </w:r>
    </w:p>
    <w:p w14:paraId="298C1633" w14:textId="77777777" w:rsidR="00CB1CFD" w:rsidRPr="00A02713" w:rsidRDefault="00CB1CFD" w:rsidP="00A02713">
      <w:pPr>
        <w:spacing w:line="360" w:lineRule="auto"/>
        <w:rPr>
          <w:rFonts w:asciiTheme="minorHAnsi" w:hAnsiTheme="minorHAnsi" w:cstheme="minorHAnsi"/>
        </w:rPr>
      </w:pPr>
    </w:p>
    <w:p w14:paraId="465ECEBA" w14:textId="0CDF0030" w:rsidR="00D53201"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In the context of early years education</w:t>
      </w:r>
      <w:r w:rsidR="00CB1CFD" w:rsidRPr="00A02713">
        <w:rPr>
          <w:rFonts w:asciiTheme="minorHAnsi" w:hAnsiTheme="minorHAnsi" w:cstheme="minorHAnsi"/>
        </w:rPr>
        <w:t xml:space="preserve">, </w:t>
      </w:r>
      <w:r w:rsidRPr="00A02713">
        <w:rPr>
          <w:rFonts w:asciiTheme="minorHAnsi" w:hAnsiTheme="minorHAnsi" w:cstheme="minorHAnsi"/>
        </w:rPr>
        <w:t xml:space="preserve"> enhanced provision focuses on creating enriched learning environments to support learners development and learning outcomes. The foundation phase framework (</w:t>
      </w:r>
      <w:r w:rsidR="000E0FBE" w:rsidRPr="00A02713">
        <w:rPr>
          <w:rFonts w:asciiTheme="minorHAnsi" w:hAnsiTheme="minorHAnsi" w:cstheme="minorHAnsi"/>
        </w:rPr>
        <w:t>Welsh Government,2015</w:t>
      </w:r>
      <w:r w:rsidRPr="00A02713">
        <w:rPr>
          <w:rFonts w:asciiTheme="minorHAnsi" w:hAnsiTheme="minorHAnsi" w:cstheme="minorHAnsi"/>
        </w:rPr>
        <w:t xml:space="preserve">) state that enhanced provision focuses on creating enriched learning environments to support children’s development and learning outcomes. This involves activities designed to stimulate curiosity, creativity and critical thinking, as well as opportunities for social interaction and play-based learning. </w:t>
      </w:r>
    </w:p>
    <w:p w14:paraId="6B9F0E0A" w14:textId="77777777" w:rsidR="006B3CA3" w:rsidRPr="00A02713" w:rsidRDefault="006B3CA3" w:rsidP="00A02713">
      <w:pPr>
        <w:spacing w:line="360" w:lineRule="auto"/>
        <w:rPr>
          <w:rFonts w:asciiTheme="minorHAnsi" w:hAnsiTheme="minorHAnsi" w:cstheme="minorHAnsi"/>
        </w:rPr>
      </w:pPr>
    </w:p>
    <w:p w14:paraId="53611BCC" w14:textId="4B6AFDC8" w:rsidR="00CB1CFD"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 xml:space="preserve">In addition to this statement, </w:t>
      </w:r>
      <w:r w:rsidRPr="00A02713">
        <w:rPr>
          <w:rFonts w:asciiTheme="minorHAnsi" w:hAnsiTheme="minorHAnsi" w:cstheme="minorHAnsi"/>
        </w:rPr>
        <w:t>During an Estyn (2015) inspection one of the recommendations for school X was to provide more opportunities for learners to make choices on</w:t>
      </w:r>
      <w:r w:rsidR="00CB1CFD" w:rsidRPr="00A02713">
        <w:rPr>
          <w:rFonts w:asciiTheme="minorHAnsi" w:hAnsiTheme="minorHAnsi" w:cstheme="minorHAnsi"/>
        </w:rPr>
        <w:t xml:space="preserve"> how </w:t>
      </w:r>
      <w:r w:rsidRPr="00A02713">
        <w:rPr>
          <w:rFonts w:asciiTheme="minorHAnsi" w:hAnsiTheme="minorHAnsi" w:cstheme="minorHAnsi"/>
        </w:rPr>
        <w:t xml:space="preserve">they wanted to learn and </w:t>
      </w:r>
      <w:r w:rsidR="00CB1CFD" w:rsidRPr="00A02713">
        <w:rPr>
          <w:rFonts w:asciiTheme="minorHAnsi" w:hAnsiTheme="minorHAnsi" w:cstheme="minorHAnsi"/>
        </w:rPr>
        <w:t xml:space="preserve">ways in which </w:t>
      </w:r>
      <w:r w:rsidRPr="00A02713">
        <w:rPr>
          <w:rFonts w:asciiTheme="minorHAnsi" w:hAnsiTheme="minorHAnsi" w:cstheme="minorHAnsi"/>
        </w:rPr>
        <w:t xml:space="preserve">they learn through enhanced provision. </w:t>
      </w:r>
    </w:p>
    <w:p w14:paraId="10923AFD" w14:textId="1222A369" w:rsidR="00D53201" w:rsidRPr="00A02713" w:rsidRDefault="00B019A6" w:rsidP="00A02713">
      <w:pPr>
        <w:spacing w:line="360" w:lineRule="auto"/>
        <w:rPr>
          <w:rFonts w:asciiTheme="minorHAnsi" w:hAnsiTheme="minorHAnsi" w:cstheme="minorHAnsi"/>
        </w:rPr>
      </w:pPr>
      <w:r w:rsidRPr="00A02713">
        <w:rPr>
          <w:rFonts w:asciiTheme="minorHAnsi" w:hAnsiTheme="minorHAnsi" w:cstheme="minorHAnsi"/>
        </w:rPr>
        <w:t>With this recommendation in mind</w:t>
      </w:r>
      <w:r w:rsidR="00CB1CFD" w:rsidRPr="00A02713">
        <w:rPr>
          <w:rFonts w:asciiTheme="minorHAnsi" w:hAnsiTheme="minorHAnsi" w:cstheme="minorHAnsi"/>
        </w:rPr>
        <w:t xml:space="preserve">, it could be argued if learners have the opportunity to have free choice of enhanced provision will it impact other areas of progression because the learner could potentially choose the same area of provision every school day. This argument </w:t>
      </w:r>
      <w:r w:rsidRPr="00A02713">
        <w:rPr>
          <w:rFonts w:asciiTheme="minorHAnsi" w:hAnsiTheme="minorHAnsi" w:cstheme="minorHAnsi"/>
        </w:rPr>
        <w:t>informed the decision to conduct the research to offer valuable insights into the effectiveness of tailored educational environments for learners, identifying best practices, implementation of the curriculum for Wales (</w:t>
      </w:r>
      <w:r w:rsidR="0099628D" w:rsidRPr="00A02713">
        <w:rPr>
          <w:rFonts w:asciiTheme="minorHAnsi" w:hAnsiTheme="minorHAnsi" w:cstheme="minorHAnsi"/>
        </w:rPr>
        <w:t>Donaldson,</w:t>
      </w:r>
      <w:r w:rsidRPr="00A02713">
        <w:rPr>
          <w:rFonts w:asciiTheme="minorHAnsi" w:hAnsiTheme="minorHAnsi" w:cstheme="minorHAnsi"/>
        </w:rPr>
        <w:t xml:space="preserve">2015) and </w:t>
      </w:r>
      <w:r w:rsidR="00CB1CFD" w:rsidRPr="00A02713">
        <w:rPr>
          <w:rFonts w:asciiTheme="minorHAnsi" w:hAnsiTheme="minorHAnsi" w:cstheme="minorHAnsi"/>
        </w:rPr>
        <w:t xml:space="preserve">to </w:t>
      </w:r>
      <w:r w:rsidRPr="00A02713">
        <w:rPr>
          <w:rFonts w:asciiTheme="minorHAnsi" w:hAnsiTheme="minorHAnsi" w:cstheme="minorHAnsi"/>
        </w:rPr>
        <w:t>enhance educational outcomes.</w:t>
      </w:r>
    </w:p>
    <w:p w14:paraId="6F42CD6D" w14:textId="77777777" w:rsidR="00CB1CFD" w:rsidRPr="00A02713" w:rsidRDefault="00CB1CFD" w:rsidP="00A02713">
      <w:pPr>
        <w:spacing w:line="360" w:lineRule="auto"/>
        <w:rPr>
          <w:rFonts w:asciiTheme="minorHAnsi" w:hAnsiTheme="minorHAnsi" w:cstheme="minorHAnsi"/>
          <w:b/>
          <w:bCs/>
          <w:u w:val="single"/>
        </w:rPr>
      </w:pPr>
    </w:p>
    <w:p w14:paraId="3F44BFB1" w14:textId="44AD6BA2" w:rsidR="00D7505C"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Literature review  </w:t>
      </w:r>
    </w:p>
    <w:p w14:paraId="0F1E3FB8" w14:textId="2E1D1178" w:rsidR="00D7505C" w:rsidRPr="00A02713" w:rsidRDefault="00D7505C" w:rsidP="00A02713">
      <w:pPr>
        <w:spacing w:line="360" w:lineRule="auto"/>
        <w:rPr>
          <w:rFonts w:asciiTheme="minorHAnsi" w:hAnsiTheme="minorHAnsi" w:cstheme="minorHAnsi"/>
        </w:rPr>
      </w:pPr>
      <w:bookmarkStart w:id="0" w:name="OLE_LINK13"/>
      <w:bookmarkStart w:id="1" w:name="OLE_LINK14"/>
      <w:bookmarkStart w:id="2" w:name="OLE_LINK21"/>
      <w:bookmarkStart w:id="3" w:name="OLE_LINK22"/>
      <w:r w:rsidRPr="00A02713">
        <w:rPr>
          <w:rFonts w:asciiTheme="minorHAnsi" w:hAnsiTheme="minorHAnsi" w:cstheme="minorHAnsi"/>
        </w:rPr>
        <w:t xml:space="preserve">This literature review is based on the research topic of the learning experiences in the reception class during enhanced provision. It will consist of a discussion of literature that relates to the research. </w:t>
      </w:r>
    </w:p>
    <w:p w14:paraId="17BFC593" w14:textId="77777777" w:rsidR="008C4323" w:rsidRPr="00A02713" w:rsidRDefault="008C4323" w:rsidP="00A02713">
      <w:pPr>
        <w:spacing w:line="360" w:lineRule="auto"/>
        <w:rPr>
          <w:rFonts w:asciiTheme="minorHAnsi" w:hAnsiTheme="minorHAnsi" w:cstheme="minorHAnsi"/>
        </w:rPr>
      </w:pPr>
    </w:p>
    <w:p w14:paraId="315977D9" w14:textId="7F62EDA7"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 xml:space="preserve">Enhanced provision in the reception class represents a pedagogical approach aimed at optimizing early years foundation stage (EYFS) education through enriched learning environments (Department for Education,2008) In addition to this enhanced provision in the reception class holds a particular significance within the framework of the Welsh Curriculum (2015), which emphasizes experimental learning, child led exploration and holistic development. </w:t>
      </w:r>
    </w:p>
    <w:p w14:paraId="08E7A8B1" w14:textId="77777777" w:rsidR="00A67458" w:rsidRPr="00A02713" w:rsidRDefault="00A67458" w:rsidP="00A02713">
      <w:pPr>
        <w:spacing w:line="360" w:lineRule="auto"/>
        <w:rPr>
          <w:rFonts w:asciiTheme="minorHAnsi" w:hAnsiTheme="minorHAnsi" w:cstheme="minorHAnsi"/>
        </w:rPr>
      </w:pPr>
    </w:p>
    <w:p w14:paraId="3D4A4577" w14:textId="78797280"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 xml:space="preserve"> </w:t>
      </w:r>
      <w:r w:rsidRPr="00A02713">
        <w:rPr>
          <w:rFonts w:asciiTheme="minorHAnsi" w:hAnsiTheme="minorHAnsi" w:cstheme="minorHAnsi"/>
        </w:rPr>
        <w:t>Research suggests</w:t>
      </w:r>
      <w:r w:rsidRPr="00A02713">
        <w:rPr>
          <w:rFonts w:asciiTheme="minorHAnsi" w:hAnsiTheme="minorHAnsi" w:cstheme="minorHAnsi"/>
        </w:rPr>
        <w:t xml:space="preserve"> (</w:t>
      </w:r>
      <w:r w:rsidR="00A67458" w:rsidRPr="00A02713">
        <w:rPr>
          <w:rFonts w:asciiTheme="minorHAnsi" w:hAnsiTheme="minorHAnsi" w:cstheme="minorHAnsi"/>
        </w:rPr>
        <w:t>Taylor et al, 2015</w:t>
      </w:r>
      <w:r w:rsidRPr="00A02713">
        <w:rPr>
          <w:rFonts w:asciiTheme="minorHAnsi" w:hAnsiTheme="minorHAnsi" w:cstheme="minorHAnsi"/>
        </w:rPr>
        <w:t>)</w:t>
      </w:r>
      <w:r w:rsidRPr="00A02713">
        <w:rPr>
          <w:rFonts w:asciiTheme="minorHAnsi" w:hAnsiTheme="minorHAnsi" w:cstheme="minorHAnsi"/>
        </w:rPr>
        <w:t xml:space="preserve"> that participation in enhanced provision</w:t>
      </w:r>
      <w:r w:rsidRPr="00A02713">
        <w:rPr>
          <w:rFonts w:asciiTheme="minorHAnsi" w:hAnsiTheme="minorHAnsi" w:cstheme="minorHAnsi"/>
        </w:rPr>
        <w:t xml:space="preserve"> </w:t>
      </w:r>
      <w:r w:rsidRPr="00A02713">
        <w:rPr>
          <w:rFonts w:asciiTheme="minorHAnsi" w:hAnsiTheme="minorHAnsi" w:cstheme="minorHAnsi"/>
        </w:rPr>
        <w:t>within the Welsh Curriculum positively influences children's learning outcomes, as evidenced by improved literacy, numeracy, and well-being indicators</w:t>
      </w:r>
      <w:r w:rsidR="005C2B14" w:rsidRPr="00A02713">
        <w:rPr>
          <w:rFonts w:asciiTheme="minorHAnsi" w:hAnsiTheme="minorHAnsi" w:cstheme="minorHAnsi"/>
        </w:rPr>
        <w:t xml:space="preserve"> particularly in EYFS </w:t>
      </w:r>
      <w:r w:rsidRPr="00A02713">
        <w:rPr>
          <w:rFonts w:asciiTheme="minorHAnsi" w:hAnsiTheme="minorHAnsi" w:cstheme="minorHAnsi"/>
        </w:rPr>
        <w:t>(</w:t>
      </w:r>
      <w:r w:rsidR="005C2B14" w:rsidRPr="00A02713">
        <w:rPr>
          <w:rFonts w:asciiTheme="minorHAnsi" w:hAnsiTheme="minorHAnsi" w:cstheme="minorHAnsi"/>
        </w:rPr>
        <w:t>Smith &amp; Brown</w:t>
      </w:r>
      <w:r w:rsidR="00A67458" w:rsidRPr="00A02713">
        <w:rPr>
          <w:rFonts w:asciiTheme="minorHAnsi" w:hAnsiTheme="minorHAnsi" w:cstheme="minorHAnsi"/>
        </w:rPr>
        <w:t>,201</w:t>
      </w:r>
      <w:r w:rsidR="005C2B14" w:rsidRPr="00A02713">
        <w:rPr>
          <w:rFonts w:asciiTheme="minorHAnsi" w:hAnsiTheme="minorHAnsi" w:cstheme="minorHAnsi"/>
        </w:rPr>
        <w:t>9</w:t>
      </w:r>
      <w:r w:rsidR="00A67458" w:rsidRPr="00A02713">
        <w:rPr>
          <w:rFonts w:asciiTheme="minorHAnsi" w:hAnsiTheme="minorHAnsi" w:cstheme="minorHAnsi"/>
        </w:rPr>
        <w:t>)</w:t>
      </w:r>
      <w:r w:rsidRPr="00A02713">
        <w:rPr>
          <w:rFonts w:asciiTheme="minorHAnsi" w:hAnsiTheme="minorHAnsi" w:cstheme="minorHAnsi"/>
        </w:rPr>
        <w:t xml:space="preserve"> By aligning with the principles of the Welsh Curriculum and providing a supportive and inclusive learning environment, enhanced provision contributes to the attainment of key learning outcomes and the promotion of lifelong learning skills among young learners in Wales</w:t>
      </w:r>
      <w:r w:rsidR="005C2B14" w:rsidRPr="00A02713">
        <w:rPr>
          <w:rFonts w:asciiTheme="minorHAnsi" w:hAnsiTheme="minorHAnsi" w:cstheme="minorHAnsi"/>
        </w:rPr>
        <w:t xml:space="preserve"> (Welsh Government 2018)</w:t>
      </w:r>
      <w:r w:rsidRPr="00A02713">
        <w:rPr>
          <w:rFonts w:asciiTheme="minorHAnsi" w:hAnsiTheme="minorHAnsi" w:cstheme="minorHAnsi"/>
        </w:rPr>
        <w:t>.</w:t>
      </w:r>
    </w:p>
    <w:p w14:paraId="610CA607" w14:textId="77777777" w:rsidR="00D7505C" w:rsidRPr="00A02713" w:rsidRDefault="00D7505C" w:rsidP="00A02713">
      <w:pPr>
        <w:spacing w:line="360" w:lineRule="auto"/>
        <w:rPr>
          <w:rFonts w:asciiTheme="minorHAnsi" w:hAnsiTheme="minorHAnsi" w:cstheme="minorHAnsi"/>
        </w:rPr>
      </w:pPr>
    </w:p>
    <w:p w14:paraId="791CCD27" w14:textId="54A5AD03"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Within the context of the Welsh Curriculum, Vygotsky's socio-cultural theory</w:t>
      </w:r>
      <w:r w:rsidR="00A67458" w:rsidRPr="00A02713">
        <w:rPr>
          <w:rFonts w:asciiTheme="minorHAnsi" w:hAnsiTheme="minorHAnsi" w:cstheme="minorHAnsi"/>
        </w:rPr>
        <w:t xml:space="preserve"> (Cole,2018) </w:t>
      </w:r>
      <w:r w:rsidRPr="00A02713">
        <w:rPr>
          <w:rFonts w:asciiTheme="minorHAnsi" w:hAnsiTheme="minorHAnsi" w:cstheme="minorHAnsi"/>
        </w:rPr>
        <w:t xml:space="preserve">underscores the importance of collaborative learning and social interaction in </w:t>
      </w:r>
      <w:r w:rsidR="005C2B14" w:rsidRPr="00A02713">
        <w:rPr>
          <w:rFonts w:asciiTheme="minorHAnsi" w:hAnsiTheme="minorHAnsi" w:cstheme="minorHAnsi"/>
        </w:rPr>
        <w:t xml:space="preserve">a learners </w:t>
      </w:r>
      <w:r w:rsidRPr="00A02713">
        <w:rPr>
          <w:rFonts w:asciiTheme="minorHAnsi" w:hAnsiTheme="minorHAnsi" w:cstheme="minorHAnsi"/>
        </w:rPr>
        <w:t>development. Enhanced provision environments align with this perspective by fostering peer collaboration, dialogue, and co-construction of knowledge, in accordance with the collaborative ethos of the Welsh Curriculum</w:t>
      </w:r>
      <w:r w:rsidRPr="00A02713">
        <w:rPr>
          <w:rFonts w:asciiTheme="minorHAnsi" w:hAnsiTheme="minorHAnsi" w:cstheme="minorHAnsi"/>
        </w:rPr>
        <w:t xml:space="preserve"> (Donaldson,2015)</w:t>
      </w:r>
      <w:r w:rsidRPr="00A02713">
        <w:rPr>
          <w:rFonts w:asciiTheme="minorHAnsi" w:hAnsiTheme="minorHAnsi" w:cstheme="minorHAnsi"/>
        </w:rPr>
        <w:t>.</w:t>
      </w:r>
    </w:p>
    <w:p w14:paraId="1CB6844D" w14:textId="77777777" w:rsidR="00D7505C" w:rsidRPr="00A02713" w:rsidRDefault="00D7505C" w:rsidP="00A02713">
      <w:pPr>
        <w:spacing w:line="360" w:lineRule="auto"/>
        <w:rPr>
          <w:rFonts w:asciiTheme="minorHAnsi" w:hAnsiTheme="minorHAnsi" w:cstheme="minorHAnsi"/>
        </w:rPr>
      </w:pPr>
    </w:p>
    <w:p w14:paraId="51B1DAAD" w14:textId="73B9B575"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The Foundation phase is the developmental statuary curriculum for 3 to 7 year olds in Wales (</w:t>
      </w:r>
      <w:r w:rsidR="00A67458" w:rsidRPr="00A02713">
        <w:rPr>
          <w:rFonts w:asciiTheme="minorHAnsi" w:hAnsiTheme="minorHAnsi" w:cstheme="minorHAnsi"/>
        </w:rPr>
        <w:t>Welsh Government 2015</w:t>
      </w:r>
      <w:r w:rsidRPr="00A02713">
        <w:rPr>
          <w:rFonts w:asciiTheme="minorHAnsi" w:hAnsiTheme="minorHAnsi" w:cstheme="minorHAnsi"/>
        </w:rPr>
        <w:t>). It is based on the principle that early years provision should offer a complete foundation for future learning through a continuous developmental appropriate curriculum (Welsh Government,2018) . According t</w:t>
      </w:r>
      <w:r w:rsidR="005C2B14" w:rsidRPr="00A02713">
        <w:rPr>
          <w:rFonts w:asciiTheme="minorHAnsi" w:hAnsiTheme="minorHAnsi" w:cstheme="minorHAnsi"/>
        </w:rPr>
        <w:t xml:space="preserve">o Smith and Brown (2019) </w:t>
      </w:r>
      <w:r w:rsidRPr="00A02713">
        <w:rPr>
          <w:rFonts w:asciiTheme="minorHAnsi" w:hAnsiTheme="minorHAnsi" w:cstheme="minorHAnsi"/>
        </w:rPr>
        <w:t xml:space="preserve"> </w:t>
      </w:r>
      <w:r w:rsidRPr="00A02713">
        <w:rPr>
          <w:rFonts w:asciiTheme="minorHAnsi" w:hAnsiTheme="minorHAnsi" w:cstheme="minorHAnsi"/>
        </w:rPr>
        <w:lastRenderedPageBreak/>
        <w:t xml:space="preserve">following the correct practice will bring more consistency and continuity to children’s education at an important period in their development. </w:t>
      </w:r>
    </w:p>
    <w:p w14:paraId="7F129DBC" w14:textId="083A1F06" w:rsidR="00D7505C" w:rsidRPr="00A02713" w:rsidRDefault="00D7505C" w:rsidP="00A02713">
      <w:pPr>
        <w:spacing w:line="360" w:lineRule="auto"/>
        <w:rPr>
          <w:rFonts w:asciiTheme="minorHAnsi" w:hAnsiTheme="minorHAnsi" w:cstheme="minorHAnsi"/>
        </w:rPr>
      </w:pPr>
    </w:p>
    <w:p w14:paraId="3456F90E" w14:textId="47F8A149" w:rsidR="00A67458" w:rsidRDefault="00D7505C" w:rsidP="00A02713">
      <w:pPr>
        <w:spacing w:line="360" w:lineRule="auto"/>
        <w:rPr>
          <w:rFonts w:asciiTheme="minorHAnsi" w:hAnsiTheme="minorHAnsi" w:cstheme="minorHAnsi"/>
        </w:rPr>
      </w:pPr>
      <w:r w:rsidRPr="00A02713">
        <w:rPr>
          <w:rFonts w:asciiTheme="minorHAnsi" w:hAnsiTheme="minorHAnsi" w:cstheme="minorHAnsi"/>
        </w:rPr>
        <w:t xml:space="preserve">The Foundation phase guidance </w:t>
      </w:r>
      <w:r w:rsidR="00A67458" w:rsidRPr="00A02713">
        <w:rPr>
          <w:rFonts w:asciiTheme="minorHAnsi" w:hAnsiTheme="minorHAnsi" w:cstheme="minorHAnsi"/>
        </w:rPr>
        <w:t xml:space="preserve">(Welsh Government 2015) </w:t>
      </w:r>
      <w:r w:rsidRPr="00A02713">
        <w:rPr>
          <w:rFonts w:asciiTheme="minorHAnsi" w:hAnsiTheme="minorHAnsi" w:cstheme="minorHAnsi"/>
        </w:rPr>
        <w:t xml:space="preserve">places emphasis on children’s learning by participating in practical activities. </w:t>
      </w:r>
      <w:r w:rsidR="00A67458" w:rsidRPr="00A02713">
        <w:rPr>
          <w:rFonts w:asciiTheme="minorHAnsi" w:hAnsiTheme="minorHAnsi" w:cstheme="minorHAnsi"/>
        </w:rPr>
        <w:t>According to Welsh Government (2008) educational settings are required to provide learners with access to indoor and outdoor provision that are fun, exciting, stimulating and safe to promote children’s development and natural curiosity. In addition to this Waters (2016)</w:t>
      </w:r>
      <w:r w:rsidRPr="00A02713">
        <w:rPr>
          <w:rFonts w:asciiTheme="minorHAnsi" w:hAnsiTheme="minorHAnsi" w:cstheme="minorHAnsi"/>
        </w:rPr>
        <w:t xml:space="preserve"> </w:t>
      </w:r>
      <w:r w:rsidR="00A67458" w:rsidRPr="00A02713">
        <w:rPr>
          <w:rFonts w:asciiTheme="minorHAnsi" w:hAnsiTheme="minorHAnsi" w:cstheme="minorHAnsi"/>
        </w:rPr>
        <w:t xml:space="preserve">believes that </w:t>
      </w:r>
      <w:r w:rsidRPr="00A02713">
        <w:rPr>
          <w:rFonts w:asciiTheme="minorHAnsi" w:hAnsiTheme="minorHAnsi" w:cstheme="minorHAnsi"/>
        </w:rPr>
        <w:t xml:space="preserve">learners should be given opportunities to gain first hand opportunities through play and active involvement rather than formal education and completing work within books. </w:t>
      </w:r>
      <w:r w:rsidR="00A67458" w:rsidRPr="00A02713">
        <w:rPr>
          <w:rFonts w:asciiTheme="minorHAnsi" w:hAnsiTheme="minorHAnsi" w:cstheme="minorHAnsi"/>
        </w:rPr>
        <w:t>Although the Foundation Phase policy (2015) require</w:t>
      </w:r>
      <w:r w:rsidR="005C2B14" w:rsidRPr="00A02713">
        <w:rPr>
          <w:rFonts w:asciiTheme="minorHAnsi" w:hAnsiTheme="minorHAnsi" w:cstheme="minorHAnsi"/>
        </w:rPr>
        <w:t>s</w:t>
      </w:r>
      <w:r w:rsidR="00A67458" w:rsidRPr="00A02713">
        <w:rPr>
          <w:rFonts w:asciiTheme="minorHAnsi" w:hAnsiTheme="minorHAnsi" w:cstheme="minorHAnsi"/>
        </w:rPr>
        <w:t xml:space="preserve"> that there must be a balance between structured learning through child led activities and those directed by practioners. </w:t>
      </w:r>
    </w:p>
    <w:p w14:paraId="2850557C" w14:textId="77777777" w:rsidR="006B119C" w:rsidRPr="00A02713" w:rsidRDefault="006B119C" w:rsidP="00A02713">
      <w:pPr>
        <w:spacing w:line="360" w:lineRule="auto"/>
        <w:rPr>
          <w:rFonts w:asciiTheme="minorHAnsi" w:hAnsiTheme="minorHAnsi" w:cstheme="minorHAnsi"/>
        </w:rPr>
      </w:pPr>
    </w:p>
    <w:p w14:paraId="4F4F17C2" w14:textId="5B1B9FDF" w:rsidR="005C2B14"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The Welsh Government (</w:t>
      </w:r>
      <w:r w:rsidR="00A67458" w:rsidRPr="00A02713">
        <w:rPr>
          <w:rFonts w:asciiTheme="minorHAnsi" w:hAnsiTheme="minorHAnsi" w:cstheme="minorHAnsi"/>
        </w:rPr>
        <w:t>2018</w:t>
      </w:r>
      <w:r w:rsidRPr="00A02713">
        <w:rPr>
          <w:rFonts w:asciiTheme="minorHAnsi" w:hAnsiTheme="minorHAnsi" w:cstheme="minorHAnsi"/>
        </w:rPr>
        <w:t xml:space="preserve">) suggest that the learning opportunities should encourage learners to be creative, imaginative and places the child at the centre of learning. In addition to this statement </w:t>
      </w:r>
      <w:r w:rsidRPr="00A02713">
        <w:rPr>
          <w:rFonts w:asciiTheme="minorHAnsi" w:hAnsiTheme="minorHAnsi" w:cstheme="minorHAnsi"/>
        </w:rPr>
        <w:t>Piaget's constructivist theory</w:t>
      </w:r>
      <w:r w:rsidR="00A67458" w:rsidRPr="00A02713">
        <w:rPr>
          <w:rFonts w:asciiTheme="minorHAnsi" w:hAnsiTheme="minorHAnsi" w:cstheme="minorHAnsi"/>
        </w:rPr>
        <w:t xml:space="preserve"> (1976)</w:t>
      </w:r>
      <w:r w:rsidRPr="00A02713">
        <w:rPr>
          <w:rFonts w:asciiTheme="minorHAnsi" w:hAnsiTheme="minorHAnsi" w:cstheme="minorHAnsi"/>
        </w:rPr>
        <w:t>, which emphasizes active learning and hands-on exploration, resonates with the pedagogical approach advocated by the Welsh Curriculum. Enhanced provision practices, rooted in constructivist principles, empower children to construct their understanding of the world through first</w:t>
      </w:r>
      <w:r w:rsidRPr="00A02713">
        <w:rPr>
          <w:rFonts w:asciiTheme="minorHAnsi" w:hAnsiTheme="minorHAnsi" w:cstheme="minorHAnsi"/>
        </w:rPr>
        <w:t xml:space="preserve"> </w:t>
      </w:r>
      <w:r w:rsidRPr="00A02713">
        <w:rPr>
          <w:rFonts w:asciiTheme="minorHAnsi" w:hAnsiTheme="minorHAnsi" w:cstheme="minorHAnsi"/>
        </w:rPr>
        <w:t>hand experiences, reflective inquiry, and meaningful engagement with their environment.</w:t>
      </w:r>
    </w:p>
    <w:p w14:paraId="4DD11E2E" w14:textId="77777777" w:rsidR="005C2B14" w:rsidRPr="00A02713" w:rsidRDefault="005C2B14" w:rsidP="00A02713">
      <w:pPr>
        <w:spacing w:line="360" w:lineRule="auto"/>
        <w:rPr>
          <w:rFonts w:asciiTheme="minorHAnsi" w:hAnsiTheme="minorHAnsi" w:cstheme="minorHAnsi"/>
        </w:rPr>
      </w:pPr>
    </w:p>
    <w:p w14:paraId="383F7BB7" w14:textId="6A7FA153" w:rsidR="00D7505C" w:rsidRPr="00A02713" w:rsidRDefault="005C2B14" w:rsidP="00A02713">
      <w:pPr>
        <w:spacing w:line="360" w:lineRule="auto"/>
        <w:rPr>
          <w:rFonts w:asciiTheme="minorHAnsi" w:hAnsiTheme="minorHAnsi" w:cstheme="minorHAnsi"/>
        </w:rPr>
      </w:pPr>
      <w:r w:rsidRPr="00A02713">
        <w:rPr>
          <w:rFonts w:asciiTheme="minorHAnsi" w:hAnsiTheme="minorHAnsi" w:cstheme="minorHAnsi"/>
        </w:rPr>
        <w:t>The importance of teacher practices in the effective implementation of enhanced provision cannot be overstated. Skilled teachers play a pivotal role in creating meaningful learning opportunities that cater to the diverse needs of children in reception classes</w:t>
      </w:r>
      <w:r w:rsidRPr="00A02713">
        <w:rPr>
          <w:rFonts w:asciiTheme="minorHAnsi" w:hAnsiTheme="minorHAnsi" w:cstheme="minorHAnsi"/>
        </w:rPr>
        <w:t xml:space="preserve"> (Jones &amp; Smith, 2020)</w:t>
      </w:r>
      <w:r w:rsidRPr="00A02713">
        <w:rPr>
          <w:rFonts w:asciiTheme="minorHAnsi" w:hAnsiTheme="minorHAnsi" w:cstheme="minorHAnsi"/>
        </w:rPr>
        <w:t>. They must possess a deep understanding of child development, pedagogy, and curriculum content to design activities that promote holistic growth</w:t>
      </w:r>
      <w:r w:rsidRPr="00A02713">
        <w:rPr>
          <w:rFonts w:asciiTheme="minorHAnsi" w:hAnsiTheme="minorHAnsi" w:cstheme="minorHAnsi"/>
        </w:rPr>
        <w:t xml:space="preserve"> (Smith &amp; Brown,2019)</w:t>
      </w:r>
      <w:r w:rsidRPr="00A02713">
        <w:rPr>
          <w:rFonts w:asciiTheme="minorHAnsi" w:hAnsiTheme="minorHAnsi" w:cstheme="minorHAnsi"/>
        </w:rPr>
        <w:t>.</w:t>
      </w:r>
      <w:r w:rsidRPr="00A02713">
        <w:rPr>
          <w:rFonts w:asciiTheme="minorHAnsi" w:hAnsiTheme="minorHAnsi" w:cstheme="minorHAnsi"/>
        </w:rPr>
        <w:t xml:space="preserve"> </w:t>
      </w:r>
      <w:r w:rsidRPr="00A02713">
        <w:rPr>
          <w:rFonts w:asciiTheme="minorHAnsi" w:hAnsiTheme="minorHAnsi" w:cstheme="minorHAnsi"/>
        </w:rPr>
        <w:t>However, while acknowledging the significance of teacher practices, it's crucial to recognize the challenges and limitations they face. Time constraints, limited resources, and varying levels of support can hinder teachers' ability to fully implement enhanced provision</w:t>
      </w:r>
      <w:r w:rsidRPr="00A02713">
        <w:rPr>
          <w:rFonts w:asciiTheme="minorHAnsi" w:hAnsiTheme="minorHAnsi" w:cstheme="minorHAnsi"/>
        </w:rPr>
        <w:t xml:space="preserve"> (Johnson,2018)</w:t>
      </w:r>
      <w:r w:rsidRPr="00A02713">
        <w:rPr>
          <w:rFonts w:asciiTheme="minorHAnsi" w:hAnsiTheme="minorHAnsi" w:cstheme="minorHAnsi"/>
        </w:rPr>
        <w:t xml:space="preserve">. Additionally, the effectiveness of teacher practices may vary depending on contextual factors such as school culture, community demographics, and policy mandates. Therefore, ongoing professional development and sustained support systems are imperative </w:t>
      </w:r>
      <w:r w:rsidRPr="00A02713">
        <w:rPr>
          <w:rFonts w:asciiTheme="minorHAnsi" w:hAnsiTheme="minorHAnsi" w:cstheme="minorHAnsi"/>
        </w:rPr>
        <w:lastRenderedPageBreak/>
        <w:t>to empower teachers and maximize the impact of enhanced provision on children's learning outcomes</w:t>
      </w:r>
      <w:r w:rsidRPr="00A02713">
        <w:rPr>
          <w:rFonts w:asciiTheme="minorHAnsi" w:hAnsiTheme="minorHAnsi" w:cstheme="minorHAnsi"/>
        </w:rPr>
        <w:t xml:space="preserve"> (Johnson &amp; Wilson, 2018)</w:t>
      </w:r>
      <w:r w:rsidRPr="00A02713">
        <w:rPr>
          <w:rFonts w:asciiTheme="minorHAnsi" w:hAnsiTheme="minorHAnsi" w:cstheme="minorHAnsi"/>
        </w:rPr>
        <w:t>.</w:t>
      </w:r>
      <w:bookmarkEnd w:id="0"/>
      <w:bookmarkEnd w:id="1"/>
    </w:p>
    <w:bookmarkEnd w:id="2"/>
    <w:bookmarkEnd w:id="3"/>
    <w:p w14:paraId="1B52627C" w14:textId="77777777" w:rsidR="005C2B14" w:rsidRPr="00A02713" w:rsidRDefault="005C2B14" w:rsidP="00A02713">
      <w:pPr>
        <w:spacing w:line="360" w:lineRule="auto"/>
        <w:rPr>
          <w:rFonts w:asciiTheme="minorHAnsi" w:hAnsiTheme="minorHAnsi" w:cstheme="minorHAnsi"/>
        </w:rPr>
      </w:pPr>
    </w:p>
    <w:p w14:paraId="7D3FBCDC" w14:textId="7A200CBB" w:rsidR="00D7505C" w:rsidRPr="00A02713" w:rsidRDefault="00D7505C"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Case Study </w:t>
      </w:r>
    </w:p>
    <w:p w14:paraId="5EA5405A" w14:textId="2CC85FA1" w:rsidR="00C70E21" w:rsidRPr="00A02713" w:rsidRDefault="00C70E21" w:rsidP="00A02713">
      <w:pPr>
        <w:spacing w:line="360" w:lineRule="auto"/>
        <w:rPr>
          <w:rFonts w:asciiTheme="minorHAnsi" w:hAnsiTheme="minorHAnsi" w:cstheme="minorHAnsi"/>
        </w:rPr>
      </w:pPr>
      <w:bookmarkStart w:id="4" w:name="OLE_LINK9"/>
      <w:bookmarkStart w:id="5" w:name="OLE_LINK10"/>
      <w:bookmarkStart w:id="6" w:name="OLE_LINK11"/>
      <w:bookmarkStart w:id="7" w:name="OLE_LINK12"/>
      <w:r w:rsidRPr="00A02713">
        <w:rPr>
          <w:rFonts w:asciiTheme="minorHAnsi" w:hAnsiTheme="minorHAnsi" w:cstheme="minorHAnsi"/>
        </w:rPr>
        <w:t xml:space="preserve">Case study research stands as a </w:t>
      </w:r>
      <w:r w:rsidRPr="00A02713">
        <w:rPr>
          <w:rFonts w:asciiTheme="minorHAnsi" w:hAnsiTheme="minorHAnsi" w:cstheme="minorHAnsi"/>
        </w:rPr>
        <w:t>foundation</w:t>
      </w:r>
      <w:r w:rsidRPr="00A02713">
        <w:rPr>
          <w:rFonts w:asciiTheme="minorHAnsi" w:hAnsiTheme="minorHAnsi" w:cstheme="minorHAnsi"/>
        </w:rPr>
        <w:t xml:space="preserve"> in qualitative inquiry, providing researchers with a powerful tool to delve into complex phenomena within their natural context. Priya (2020) emphasizes its widespread use, attributing its popularity to its ability to capture rich and detailed insights. This sentiment is </w:t>
      </w:r>
      <w:r w:rsidRPr="00A02713">
        <w:rPr>
          <w:rFonts w:asciiTheme="minorHAnsi" w:hAnsiTheme="minorHAnsi" w:cstheme="minorHAnsi"/>
        </w:rPr>
        <w:t>resonated</w:t>
      </w:r>
      <w:r w:rsidRPr="00A02713">
        <w:rPr>
          <w:rFonts w:asciiTheme="minorHAnsi" w:hAnsiTheme="minorHAnsi" w:cstheme="minorHAnsi"/>
        </w:rPr>
        <w:t xml:space="preserve"> by Yin (2014) who defines case study as an inquiry deeply embedded in real-life situations, highlighting its contextual relevance. Gall et al. (</w:t>
      </w:r>
      <w:r w:rsidR="005C2B14" w:rsidRPr="00A02713">
        <w:rPr>
          <w:rFonts w:asciiTheme="minorHAnsi" w:hAnsiTheme="minorHAnsi" w:cstheme="minorHAnsi"/>
        </w:rPr>
        <w:t>1996</w:t>
      </w:r>
      <w:r w:rsidRPr="00A02713">
        <w:rPr>
          <w:rFonts w:asciiTheme="minorHAnsi" w:hAnsiTheme="minorHAnsi" w:cstheme="minorHAnsi"/>
        </w:rPr>
        <w:t xml:space="preserve">) further underscore the depth of understanding attainable through case study research within natural contexts, emphasizing its capacity to </w:t>
      </w:r>
      <w:r w:rsidR="00A02713" w:rsidRPr="00A02713">
        <w:rPr>
          <w:rFonts w:asciiTheme="minorHAnsi" w:hAnsiTheme="minorHAnsi" w:cstheme="minorHAnsi"/>
        </w:rPr>
        <w:t>unpick</w:t>
      </w:r>
      <w:r w:rsidRPr="00A02713">
        <w:rPr>
          <w:rFonts w:asciiTheme="minorHAnsi" w:hAnsiTheme="minorHAnsi" w:cstheme="minorHAnsi"/>
        </w:rPr>
        <w:t xml:space="preserve"> </w:t>
      </w:r>
      <w:r w:rsidR="00A02713" w:rsidRPr="00A02713">
        <w:rPr>
          <w:rFonts w:asciiTheme="minorHAnsi" w:hAnsiTheme="minorHAnsi" w:cstheme="minorHAnsi"/>
        </w:rPr>
        <w:t>complex</w:t>
      </w:r>
      <w:r w:rsidRPr="00A02713">
        <w:rPr>
          <w:rFonts w:asciiTheme="minorHAnsi" w:hAnsiTheme="minorHAnsi" w:cstheme="minorHAnsi"/>
        </w:rPr>
        <w:t xml:space="preserve"> phenomena.</w:t>
      </w:r>
    </w:p>
    <w:p w14:paraId="04A29B8F" w14:textId="77777777" w:rsidR="00C70E21" w:rsidRPr="00A02713" w:rsidRDefault="00C70E21" w:rsidP="00A02713">
      <w:pPr>
        <w:spacing w:line="360" w:lineRule="auto"/>
        <w:rPr>
          <w:rFonts w:asciiTheme="minorHAnsi" w:hAnsiTheme="minorHAnsi" w:cstheme="minorHAnsi"/>
        </w:rPr>
      </w:pPr>
    </w:p>
    <w:p w14:paraId="6D367D29" w14:textId="15F52EEC"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t xml:space="preserve">In a case study, researchers employ </w:t>
      </w:r>
      <w:r w:rsidRPr="00A02713">
        <w:rPr>
          <w:rFonts w:asciiTheme="minorHAnsi" w:hAnsiTheme="minorHAnsi" w:cstheme="minorHAnsi"/>
        </w:rPr>
        <w:t>multiple</w:t>
      </w:r>
      <w:r w:rsidRPr="00A02713">
        <w:rPr>
          <w:rFonts w:asciiTheme="minorHAnsi" w:hAnsiTheme="minorHAnsi" w:cstheme="minorHAnsi"/>
        </w:rPr>
        <w:t xml:space="preserve"> data collection methods, including interviews, observations, document analysis, and participant observations (Priya, 2020). The combination method was used during the data collection of this research project, using observations and interviews with practioners provided the research with very detailed information</w:t>
      </w:r>
      <w:r w:rsidRPr="00A02713">
        <w:rPr>
          <w:rFonts w:asciiTheme="minorHAnsi" w:hAnsiTheme="minorHAnsi" w:cstheme="minorHAnsi"/>
        </w:rPr>
        <w:t xml:space="preserve">. </w:t>
      </w:r>
      <w:r w:rsidRPr="00A02713">
        <w:rPr>
          <w:rFonts w:asciiTheme="minorHAnsi" w:hAnsiTheme="minorHAnsi" w:cstheme="minorHAnsi"/>
        </w:rPr>
        <w:t>This methodological diversity facilitates a comprehensive exploration of the research topic, as each method offers unique perspectives and contributes to the richness of the findings</w:t>
      </w:r>
      <w:r w:rsidRPr="00A02713">
        <w:rPr>
          <w:rFonts w:asciiTheme="minorHAnsi" w:hAnsiTheme="minorHAnsi" w:cstheme="minorHAnsi"/>
        </w:rPr>
        <w:t xml:space="preserve"> (Robson,1993)</w:t>
      </w:r>
      <w:r w:rsidRPr="00A02713">
        <w:rPr>
          <w:rFonts w:asciiTheme="minorHAnsi" w:hAnsiTheme="minorHAnsi" w:cstheme="minorHAnsi"/>
        </w:rPr>
        <w:t xml:space="preserve">. Thomas (2011) supports this </w:t>
      </w:r>
      <w:r w:rsidRPr="00A02713">
        <w:rPr>
          <w:rFonts w:asciiTheme="minorHAnsi" w:hAnsiTheme="minorHAnsi" w:cstheme="minorHAnsi"/>
        </w:rPr>
        <w:t>concept</w:t>
      </w:r>
      <w:r w:rsidRPr="00A02713">
        <w:rPr>
          <w:rFonts w:asciiTheme="minorHAnsi" w:hAnsiTheme="minorHAnsi" w:cstheme="minorHAnsi"/>
        </w:rPr>
        <w:t xml:space="preserve"> by advocating for the triangulation of data from different sources, which enhances the comprehensiveness and validity of the study. Simmons (2009) further accentuates the multifaceted nature of case study research, emphasizing its ability to capture the uniqueness of a subject from multiple angles.</w:t>
      </w:r>
    </w:p>
    <w:p w14:paraId="5E6C8148" w14:textId="77777777" w:rsidR="00C70E21" w:rsidRPr="00A02713" w:rsidRDefault="00C70E21" w:rsidP="00A02713">
      <w:pPr>
        <w:spacing w:line="360" w:lineRule="auto"/>
        <w:rPr>
          <w:rFonts w:asciiTheme="minorHAnsi" w:hAnsiTheme="minorHAnsi" w:cstheme="minorHAnsi"/>
        </w:rPr>
      </w:pPr>
    </w:p>
    <w:p w14:paraId="03A89CDF" w14:textId="77777777"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t>While case study research offers numerous advantages, such as providing detailed insights into complex cases and facilitating a deep understanding of real-life situations (Stake, 1995), it is not without its limitations. One notable disadvantage is the potential for researcher bias and subjectivity, as the researcher’s interpretations and perspectives may influence the findings (Merriam, 2009). Additionally, case studies are often criticized for their limited generalizability, as findings derived from a single case or a small number of cases may not be applicable to broader populations or contexts (Yin, 2014).</w:t>
      </w:r>
    </w:p>
    <w:p w14:paraId="7696D832" w14:textId="77777777" w:rsidR="00C70E21" w:rsidRPr="00A02713" w:rsidRDefault="00C70E21" w:rsidP="00A02713">
      <w:pPr>
        <w:spacing w:line="360" w:lineRule="auto"/>
        <w:rPr>
          <w:rFonts w:asciiTheme="minorHAnsi" w:hAnsiTheme="minorHAnsi" w:cstheme="minorHAnsi"/>
        </w:rPr>
      </w:pPr>
    </w:p>
    <w:p w14:paraId="13F0F76B" w14:textId="77777777"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lastRenderedPageBreak/>
        <w:t>Despite these drawbacks, the benefits of case study research in education are substantial. Merriam (2009) highlights its utility in examining specific educational programs, practices, or individuals to gain insights into teaching and learning processes, policy implementation, and learner outcomes. Furthermore, case studies allow for the exploration of complex educational phenomena in their natural context, enabling researchers to uncover underlying mechanisms and processes that contribute to student success (Gall et al., 2005).</w:t>
      </w:r>
    </w:p>
    <w:p w14:paraId="1E508416" w14:textId="77777777" w:rsidR="00C70E21" w:rsidRPr="00A02713" w:rsidRDefault="00C70E21" w:rsidP="00A02713">
      <w:pPr>
        <w:spacing w:line="360" w:lineRule="auto"/>
        <w:rPr>
          <w:rFonts w:asciiTheme="minorHAnsi" w:hAnsiTheme="minorHAnsi" w:cstheme="minorHAnsi"/>
        </w:rPr>
      </w:pPr>
    </w:p>
    <w:p w14:paraId="378DAC39" w14:textId="7E07088F" w:rsidR="00C70E21" w:rsidRPr="00A02713" w:rsidRDefault="006B119C" w:rsidP="00A02713">
      <w:pPr>
        <w:spacing w:line="360" w:lineRule="auto"/>
        <w:rPr>
          <w:rFonts w:asciiTheme="minorHAnsi" w:hAnsiTheme="minorHAnsi" w:cstheme="minorHAnsi"/>
        </w:rPr>
      </w:pPr>
      <w:r>
        <w:rPr>
          <w:rFonts w:asciiTheme="minorHAnsi" w:hAnsiTheme="minorHAnsi" w:cstheme="minorHAnsi"/>
        </w:rPr>
        <w:t>W</w:t>
      </w:r>
      <w:r w:rsidR="00C70E21" w:rsidRPr="00A02713">
        <w:rPr>
          <w:rFonts w:asciiTheme="minorHAnsi" w:hAnsiTheme="minorHAnsi" w:cstheme="minorHAnsi"/>
        </w:rPr>
        <w:t>hile case study research presents both advantages and disadvantages, its versatility, depth, and contextual relevance make it a valuable approach for exploring complex phenomena in education and beyond</w:t>
      </w:r>
      <w:r w:rsidR="00C70E21" w:rsidRPr="00A02713">
        <w:rPr>
          <w:rFonts w:asciiTheme="minorHAnsi" w:hAnsiTheme="minorHAnsi" w:cstheme="minorHAnsi"/>
        </w:rPr>
        <w:t xml:space="preserve"> (Priya,2020)</w:t>
      </w:r>
      <w:r w:rsidR="00C70E21" w:rsidRPr="00A02713">
        <w:rPr>
          <w:rFonts w:asciiTheme="minorHAnsi" w:hAnsiTheme="minorHAnsi" w:cstheme="minorHAnsi"/>
        </w:rPr>
        <w:t xml:space="preserve">. By </w:t>
      </w:r>
      <w:r w:rsidR="00C70E21" w:rsidRPr="00A02713">
        <w:rPr>
          <w:rFonts w:asciiTheme="minorHAnsi" w:hAnsiTheme="minorHAnsi" w:cstheme="minorHAnsi"/>
        </w:rPr>
        <w:t xml:space="preserve">using </w:t>
      </w:r>
      <w:r w:rsidR="00C70E21" w:rsidRPr="00A02713">
        <w:rPr>
          <w:rFonts w:asciiTheme="minorHAnsi" w:hAnsiTheme="minorHAnsi" w:cstheme="minorHAnsi"/>
        </w:rPr>
        <w:t>diverse data collection methods and triangulating findings, researchers can mitigate potential biases and enhance the validity of their conclusions. Ultimately, case study research holds immense potential for generating actionable insights that inform educational practice and policy development</w:t>
      </w:r>
      <w:r w:rsidR="00C70E21" w:rsidRPr="00A02713">
        <w:rPr>
          <w:rFonts w:asciiTheme="minorHAnsi" w:hAnsiTheme="minorHAnsi" w:cstheme="minorHAnsi"/>
        </w:rPr>
        <w:t xml:space="preserve"> (Merriam,2009)</w:t>
      </w:r>
      <w:r w:rsidR="00C70E21" w:rsidRPr="00A02713">
        <w:rPr>
          <w:rFonts w:asciiTheme="minorHAnsi" w:hAnsiTheme="minorHAnsi" w:cstheme="minorHAnsi"/>
        </w:rPr>
        <w:t>.</w:t>
      </w:r>
    </w:p>
    <w:p w14:paraId="28AF4FC4" w14:textId="77777777" w:rsidR="00C70E21" w:rsidRPr="00A02713" w:rsidRDefault="00C70E21" w:rsidP="00A02713">
      <w:pPr>
        <w:spacing w:line="360" w:lineRule="auto"/>
        <w:rPr>
          <w:rFonts w:asciiTheme="minorHAnsi" w:hAnsiTheme="minorHAnsi" w:cstheme="minorHAnsi"/>
        </w:rPr>
      </w:pPr>
    </w:p>
    <w:bookmarkEnd w:id="4"/>
    <w:bookmarkEnd w:id="5"/>
    <w:bookmarkEnd w:id="6"/>
    <w:bookmarkEnd w:id="7"/>
    <w:p w14:paraId="1243C2B2" w14:textId="110DA45A" w:rsidR="00046BAE"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Research Methods</w:t>
      </w:r>
    </w:p>
    <w:p w14:paraId="771CE33D" w14:textId="77777777" w:rsidR="003B6027" w:rsidRPr="00A02713" w:rsidRDefault="003B6027" w:rsidP="00A02713">
      <w:pPr>
        <w:spacing w:line="360" w:lineRule="auto"/>
        <w:rPr>
          <w:rFonts w:asciiTheme="minorHAnsi" w:hAnsiTheme="minorHAnsi" w:cstheme="minorHAnsi"/>
        </w:rPr>
      </w:pPr>
    </w:p>
    <w:p w14:paraId="4C90DCC3" w14:textId="3C432630" w:rsidR="00046BAE" w:rsidRPr="00A02713" w:rsidRDefault="00046BAE" w:rsidP="00A02713">
      <w:pPr>
        <w:spacing w:line="360" w:lineRule="auto"/>
        <w:rPr>
          <w:rFonts w:asciiTheme="minorHAnsi" w:hAnsiTheme="minorHAnsi" w:cstheme="minorHAnsi"/>
        </w:rPr>
      </w:pPr>
      <w:r w:rsidRPr="00A02713">
        <w:rPr>
          <w:rFonts w:asciiTheme="minorHAnsi" w:hAnsiTheme="minorHAnsi" w:cstheme="minorHAnsi"/>
        </w:rPr>
        <w:t xml:space="preserve">During the inquiry stages of the research project, the use of both observation and interview methods were key tools. According to Creswell (2014), the use of observation and interview methods supports the understanding of human </w:t>
      </w:r>
      <w:r w:rsidRPr="00A02713">
        <w:rPr>
          <w:rFonts w:asciiTheme="minorHAnsi" w:hAnsiTheme="minorHAnsi" w:cstheme="minorHAnsi"/>
        </w:rPr>
        <w:t>behaviour</w:t>
      </w:r>
      <w:r w:rsidRPr="00A02713">
        <w:rPr>
          <w:rFonts w:asciiTheme="minorHAnsi" w:hAnsiTheme="minorHAnsi" w:cstheme="minorHAnsi"/>
        </w:rPr>
        <w:t xml:space="preserve">, social dynamics, and various phenomena across diverse fields of study. The method aligns with the theory of Triangulation, which is often employed in research methodology to achieve a more comprehensive understanding of the phenomenon under study (Denzin &amp; Lincoln, 2018). Triangulation involves the use of multiple data sources, methods, and theories to </w:t>
      </w:r>
      <w:r w:rsidRPr="00A02713">
        <w:rPr>
          <w:rFonts w:asciiTheme="minorHAnsi" w:hAnsiTheme="minorHAnsi" w:cstheme="minorHAnsi"/>
        </w:rPr>
        <w:t>validate</w:t>
      </w:r>
      <w:r w:rsidRPr="00A02713">
        <w:rPr>
          <w:rFonts w:asciiTheme="minorHAnsi" w:hAnsiTheme="minorHAnsi" w:cstheme="minorHAnsi"/>
        </w:rPr>
        <w:t xml:space="preserve"> findings and enhance the reliability of research outcomes. In support of this, Patton (2015) believes that using both observation and interview techniques offers researchers a more comprehensive understanding of the subject under study, allowing for a deeper exploration of complex phenomena and contributing to the richness of research findings.</w:t>
      </w:r>
    </w:p>
    <w:p w14:paraId="2DD594A4" w14:textId="77777777" w:rsidR="00370C62" w:rsidRPr="00A02713" w:rsidRDefault="00370C62" w:rsidP="00A02713">
      <w:pPr>
        <w:spacing w:line="360" w:lineRule="auto"/>
        <w:rPr>
          <w:rFonts w:asciiTheme="minorHAnsi" w:hAnsiTheme="minorHAnsi" w:cstheme="minorHAnsi"/>
          <w:b/>
          <w:bCs/>
          <w:u w:val="single"/>
        </w:rPr>
      </w:pPr>
    </w:p>
    <w:p w14:paraId="33A4C2A9" w14:textId="4BA0B32D" w:rsidR="003B6027" w:rsidRPr="00A02713" w:rsidRDefault="003B6027"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Observation</w:t>
      </w:r>
    </w:p>
    <w:p w14:paraId="7937A33F" w14:textId="11EC3859" w:rsidR="00370C62" w:rsidRPr="00A02713" w:rsidRDefault="00046BAE" w:rsidP="00A02713">
      <w:pPr>
        <w:spacing w:line="360" w:lineRule="auto"/>
        <w:rPr>
          <w:rFonts w:asciiTheme="minorHAnsi" w:hAnsiTheme="minorHAnsi" w:cstheme="minorHAnsi"/>
        </w:rPr>
      </w:pPr>
      <w:bookmarkStart w:id="8" w:name="OLE_LINK27"/>
      <w:bookmarkStart w:id="9" w:name="OLE_LINK28"/>
      <w:r w:rsidRPr="00A02713">
        <w:rPr>
          <w:rFonts w:asciiTheme="minorHAnsi" w:hAnsiTheme="minorHAnsi" w:cstheme="minorHAnsi"/>
        </w:rPr>
        <w:t xml:space="preserve">During the observation stage of the inquiry, meticulous attention was directed towards 24 reception learners of mixed abilities, encompassing a balanced representation of both </w:t>
      </w:r>
      <w:r w:rsidRPr="00A02713">
        <w:rPr>
          <w:rFonts w:asciiTheme="minorHAnsi" w:hAnsiTheme="minorHAnsi" w:cstheme="minorHAnsi"/>
        </w:rPr>
        <w:lastRenderedPageBreak/>
        <w:t>genders, within the enhanced provision areas both inside the classroom and outdoors.</w:t>
      </w:r>
      <w:r w:rsidR="00370C62" w:rsidRPr="00A02713">
        <w:rPr>
          <w:rFonts w:asciiTheme="minorHAnsi" w:hAnsiTheme="minorHAnsi" w:cstheme="minorHAnsi"/>
        </w:rPr>
        <w:t xml:space="preserve"> In addition to this </w:t>
      </w:r>
      <w:r w:rsidR="00370C62" w:rsidRPr="00A02713">
        <w:rPr>
          <w:rFonts w:asciiTheme="minorHAnsi" w:hAnsiTheme="minorHAnsi" w:cstheme="minorHAnsi"/>
        </w:rPr>
        <w:t xml:space="preserve">Johnson &amp; Onwuegbuzie (2004) </w:t>
      </w:r>
      <w:r w:rsidR="00370C62" w:rsidRPr="00A02713">
        <w:rPr>
          <w:rFonts w:asciiTheme="minorHAnsi" w:hAnsiTheme="minorHAnsi" w:cstheme="minorHAnsi"/>
        </w:rPr>
        <w:t xml:space="preserve">believe that </w:t>
      </w:r>
      <w:r w:rsidR="00370C62" w:rsidRPr="00A02713">
        <w:rPr>
          <w:rFonts w:asciiTheme="minorHAnsi" w:hAnsiTheme="minorHAnsi" w:cstheme="minorHAnsi"/>
        </w:rPr>
        <w:t>using a diverse range of participants reduces the risk of bias and enhances the validity of findings. The different aspects of the observations add different perspectives and experiences to a more comprehensive research topic, by strengthening the credibility of the study.</w:t>
      </w:r>
    </w:p>
    <w:p w14:paraId="258A3A84" w14:textId="77777777" w:rsidR="00370C62" w:rsidRPr="00A02713" w:rsidRDefault="00370C62" w:rsidP="00A02713">
      <w:pPr>
        <w:spacing w:line="360" w:lineRule="auto"/>
        <w:rPr>
          <w:rFonts w:asciiTheme="minorHAnsi" w:hAnsiTheme="minorHAnsi" w:cstheme="minorHAnsi"/>
        </w:rPr>
      </w:pPr>
    </w:p>
    <w:p w14:paraId="7148C9DB" w14:textId="667EB247" w:rsidR="00046BAE" w:rsidRPr="00A02713" w:rsidRDefault="00046BAE" w:rsidP="00A02713">
      <w:pPr>
        <w:spacing w:line="360" w:lineRule="auto"/>
        <w:rPr>
          <w:rFonts w:asciiTheme="minorHAnsi" w:hAnsiTheme="minorHAnsi" w:cstheme="minorHAnsi"/>
        </w:rPr>
      </w:pPr>
      <w:r w:rsidRPr="00A02713">
        <w:rPr>
          <w:rFonts w:asciiTheme="minorHAnsi" w:hAnsiTheme="minorHAnsi" w:cstheme="minorHAnsi"/>
        </w:rPr>
        <w:t xml:space="preserve"> The objective was t</w:t>
      </w:r>
      <w:r w:rsidR="00370C62" w:rsidRPr="00A02713">
        <w:rPr>
          <w:rFonts w:asciiTheme="minorHAnsi" w:hAnsiTheme="minorHAnsi" w:cstheme="minorHAnsi"/>
        </w:rPr>
        <w:t>o</w:t>
      </w:r>
      <w:r w:rsidRPr="00A02713">
        <w:rPr>
          <w:rFonts w:asciiTheme="minorHAnsi" w:hAnsiTheme="minorHAnsi" w:cstheme="minorHAnsi"/>
        </w:rPr>
        <w:t xml:space="preserve"> ensure a comprehensive understanding of the children’s behaviours and interactions within varied contexts. </w:t>
      </w:r>
    </w:p>
    <w:p w14:paraId="7F2559A7" w14:textId="77777777" w:rsidR="003B6027" w:rsidRPr="00A02713" w:rsidRDefault="003B6027" w:rsidP="00A02713">
      <w:pPr>
        <w:spacing w:line="360" w:lineRule="auto"/>
        <w:rPr>
          <w:rFonts w:asciiTheme="minorHAnsi" w:hAnsiTheme="minorHAnsi" w:cstheme="minorHAnsi"/>
        </w:rPr>
      </w:pPr>
    </w:p>
    <w:p w14:paraId="48A5C35E" w14:textId="28A32574" w:rsidR="00370C62" w:rsidRPr="00A02713" w:rsidRDefault="00046BAE" w:rsidP="00A02713">
      <w:pPr>
        <w:spacing w:line="360" w:lineRule="auto"/>
        <w:rPr>
          <w:rFonts w:asciiTheme="minorHAnsi" w:hAnsiTheme="minorHAnsi" w:cstheme="minorHAnsi"/>
        </w:rPr>
      </w:pPr>
      <w:r w:rsidRPr="00A02713">
        <w:rPr>
          <w:rFonts w:asciiTheme="minorHAnsi" w:hAnsiTheme="minorHAnsi" w:cstheme="minorHAnsi"/>
        </w:rPr>
        <w:t>To mitigate potential biases and ensure systematic data collection, an observation schedule was rigorously employed (Appendix 3). The observation</w:t>
      </w:r>
      <w:r w:rsidR="003B6027" w:rsidRPr="00A02713">
        <w:rPr>
          <w:rFonts w:asciiTheme="minorHAnsi" w:hAnsiTheme="minorHAnsi" w:cstheme="minorHAnsi"/>
        </w:rPr>
        <w:t xml:space="preserve"> schedule </w:t>
      </w:r>
      <w:r w:rsidRPr="00A02713">
        <w:rPr>
          <w:rFonts w:asciiTheme="minorHAnsi" w:hAnsiTheme="minorHAnsi" w:cstheme="minorHAnsi"/>
        </w:rPr>
        <w:t xml:space="preserve">gave the inquiry structure and </w:t>
      </w:r>
      <w:r w:rsidR="003B6027" w:rsidRPr="00A02713">
        <w:rPr>
          <w:rFonts w:asciiTheme="minorHAnsi" w:hAnsiTheme="minorHAnsi" w:cstheme="minorHAnsi"/>
        </w:rPr>
        <w:t xml:space="preserve">gave a broad observation opportunities. </w:t>
      </w:r>
      <w:r w:rsidR="00370C62" w:rsidRPr="00A02713">
        <w:rPr>
          <w:rFonts w:asciiTheme="minorHAnsi" w:hAnsiTheme="minorHAnsi" w:cstheme="minorHAnsi"/>
        </w:rPr>
        <w:t xml:space="preserve">According </w:t>
      </w:r>
      <w:r w:rsidR="006B119C">
        <w:rPr>
          <w:rFonts w:asciiTheme="minorHAnsi" w:hAnsiTheme="minorHAnsi" w:cstheme="minorHAnsi"/>
        </w:rPr>
        <w:t xml:space="preserve">to </w:t>
      </w:r>
      <w:r w:rsidR="00370C62" w:rsidRPr="00A02713">
        <w:rPr>
          <w:rFonts w:asciiTheme="minorHAnsi" w:hAnsiTheme="minorHAnsi" w:cstheme="minorHAnsi"/>
        </w:rPr>
        <w:t xml:space="preserve">Cohen et al (2007) </w:t>
      </w:r>
      <w:r w:rsidR="006B119C">
        <w:rPr>
          <w:rFonts w:asciiTheme="minorHAnsi" w:hAnsiTheme="minorHAnsi" w:cstheme="minorHAnsi"/>
        </w:rPr>
        <w:t>b</w:t>
      </w:r>
      <w:r w:rsidR="00370C62" w:rsidRPr="00A02713">
        <w:rPr>
          <w:rFonts w:asciiTheme="minorHAnsi" w:hAnsiTheme="minorHAnsi" w:cstheme="minorHAnsi"/>
        </w:rPr>
        <w:t>y outlining specific behaviours, events or variables of interest, observation schedules help researchers stay focused on relevant aspects of the phenomenon under study. Cohen et al (2007) further suggests that observation schedules prevent researchers from being overwhelmed by irrelevant information and ensures that data collection is aligned with the research objective. Additionally, contradictions may arise from methodological preferences, Denzin et al (2018) advocates for a more flexible and reflexive research approaches that allow the researcher to explore  more diverse and contextual nuances and believes that the use of a observation schedule can create the research to rigid. Although Cohen et al (2007) prioritizes structured and standardized data collection methods to enhance reliability.</w:t>
      </w:r>
      <w:bookmarkEnd w:id="8"/>
      <w:bookmarkEnd w:id="9"/>
    </w:p>
    <w:p w14:paraId="431FB7AB" w14:textId="77777777" w:rsidR="00370C62" w:rsidRPr="00A02713" w:rsidRDefault="00370C62" w:rsidP="00A02713">
      <w:pPr>
        <w:spacing w:line="360" w:lineRule="auto"/>
        <w:rPr>
          <w:rFonts w:asciiTheme="minorHAnsi" w:hAnsiTheme="minorHAnsi" w:cstheme="minorHAnsi"/>
        </w:rPr>
      </w:pPr>
    </w:p>
    <w:p w14:paraId="2639E21D" w14:textId="63177BDE" w:rsidR="00370C62" w:rsidRPr="00A02713" w:rsidRDefault="00370C62" w:rsidP="00A02713">
      <w:pPr>
        <w:spacing w:line="360" w:lineRule="auto"/>
        <w:rPr>
          <w:rFonts w:asciiTheme="minorHAnsi" w:hAnsiTheme="minorHAnsi" w:cstheme="minorHAnsi"/>
        </w:rPr>
      </w:pPr>
      <w:r w:rsidRPr="00A02713">
        <w:rPr>
          <w:rFonts w:asciiTheme="minorHAnsi" w:hAnsiTheme="minorHAnsi" w:cstheme="minorHAnsi"/>
        </w:rPr>
        <w:t xml:space="preserve">While it's acknowledged that the presence of an observer can influence children's </w:t>
      </w:r>
      <w:r w:rsidRPr="00A02713">
        <w:rPr>
          <w:rFonts w:asciiTheme="minorHAnsi" w:hAnsiTheme="minorHAnsi" w:cstheme="minorHAnsi"/>
        </w:rPr>
        <w:t>behaviours</w:t>
      </w:r>
      <w:r w:rsidRPr="00A02713">
        <w:rPr>
          <w:rFonts w:asciiTheme="minorHAnsi" w:hAnsiTheme="minorHAnsi" w:cstheme="minorHAnsi"/>
        </w:rPr>
        <w:t xml:space="preserve">, it's essential to critically evaluate the extent of this influence and its implications for research validity. As highlighted by Pellegrini and Blatchford (2000), the Hawthorne effect, where individuals modify their </w:t>
      </w:r>
      <w:r w:rsidRPr="00A02713">
        <w:rPr>
          <w:rFonts w:asciiTheme="minorHAnsi" w:hAnsiTheme="minorHAnsi" w:cstheme="minorHAnsi"/>
        </w:rPr>
        <w:t>behaviour</w:t>
      </w:r>
      <w:r w:rsidRPr="00A02713">
        <w:rPr>
          <w:rFonts w:asciiTheme="minorHAnsi" w:hAnsiTheme="minorHAnsi" w:cstheme="minorHAnsi"/>
        </w:rPr>
        <w:t xml:space="preserve"> due to the awareness of being observed, may not be as pronounced in young children as in adults. </w:t>
      </w:r>
      <w:r w:rsidR="006B119C">
        <w:rPr>
          <w:rFonts w:asciiTheme="minorHAnsi" w:hAnsiTheme="minorHAnsi" w:cstheme="minorHAnsi"/>
        </w:rPr>
        <w:t>H</w:t>
      </w:r>
      <w:r w:rsidRPr="00A02713">
        <w:rPr>
          <w:rFonts w:asciiTheme="minorHAnsi" w:hAnsiTheme="minorHAnsi" w:cstheme="minorHAnsi"/>
        </w:rPr>
        <w:t>ow</w:t>
      </w:r>
      <w:r w:rsidRPr="00A02713">
        <w:rPr>
          <w:rFonts w:asciiTheme="minorHAnsi" w:hAnsiTheme="minorHAnsi" w:cstheme="minorHAnsi"/>
        </w:rPr>
        <w:t>ever, recent research by Smith and Cheyne (2019) suggests that the presence of familiar adults, such as teachers or caregivers, may mitigate the Hawthorne effect, as children may feel more comfortable and less self-conscious in their presence.</w:t>
      </w:r>
    </w:p>
    <w:p w14:paraId="15A43393" w14:textId="77777777" w:rsidR="00370C62" w:rsidRPr="00A02713" w:rsidRDefault="00370C62" w:rsidP="00A02713">
      <w:pPr>
        <w:spacing w:line="360" w:lineRule="auto"/>
        <w:rPr>
          <w:rFonts w:asciiTheme="minorHAnsi" w:hAnsiTheme="minorHAnsi" w:cstheme="minorHAnsi"/>
        </w:rPr>
      </w:pPr>
    </w:p>
    <w:p w14:paraId="575B5B5A" w14:textId="730679F4" w:rsidR="00370C62" w:rsidRPr="00A02713" w:rsidRDefault="00370C62" w:rsidP="00A02713">
      <w:pPr>
        <w:spacing w:line="360" w:lineRule="auto"/>
        <w:rPr>
          <w:rFonts w:asciiTheme="minorHAnsi" w:hAnsiTheme="minorHAnsi" w:cstheme="minorHAnsi"/>
        </w:rPr>
      </w:pPr>
      <w:r w:rsidRPr="00A02713">
        <w:rPr>
          <w:rFonts w:asciiTheme="minorHAnsi" w:hAnsiTheme="minorHAnsi" w:cstheme="minorHAnsi"/>
        </w:rPr>
        <w:lastRenderedPageBreak/>
        <w:t xml:space="preserve">However, despite efforts to minimize observer bias, researchers must remain vigilant about their own biases and preconceptions. While reflexivity, as advocated by Denzin et al. (2018), is essential for acknowledging and addressing these biases, it's crucial to recognize that complete objectivity may be unattainable. As argued by Hammersley (2013), researchers inevitably bring their own subjectivities and interpretations to the research process, shaping the way data is collected, </w:t>
      </w:r>
      <w:r w:rsidRPr="00A02713">
        <w:rPr>
          <w:rFonts w:asciiTheme="minorHAnsi" w:hAnsiTheme="minorHAnsi" w:cstheme="minorHAnsi"/>
        </w:rPr>
        <w:t>analysed</w:t>
      </w:r>
      <w:r w:rsidRPr="00A02713">
        <w:rPr>
          <w:rFonts w:asciiTheme="minorHAnsi" w:hAnsiTheme="minorHAnsi" w:cstheme="minorHAnsi"/>
        </w:rPr>
        <w:t>, and interpreted.</w:t>
      </w:r>
    </w:p>
    <w:p w14:paraId="66CC7A70" w14:textId="77777777" w:rsidR="00370C62" w:rsidRPr="00A02713" w:rsidRDefault="00370C62" w:rsidP="00A02713">
      <w:pPr>
        <w:spacing w:line="360" w:lineRule="auto"/>
        <w:rPr>
          <w:rFonts w:asciiTheme="minorHAnsi" w:hAnsiTheme="minorHAnsi" w:cstheme="minorHAnsi"/>
        </w:rPr>
      </w:pPr>
    </w:p>
    <w:p w14:paraId="4D82065C" w14:textId="43A1EDC6" w:rsidR="00370C62" w:rsidRDefault="00370C62" w:rsidP="00A02713">
      <w:pPr>
        <w:spacing w:line="360" w:lineRule="auto"/>
        <w:rPr>
          <w:rFonts w:asciiTheme="minorHAnsi" w:hAnsiTheme="minorHAnsi" w:cstheme="minorHAnsi"/>
        </w:rPr>
      </w:pPr>
      <w:r w:rsidRPr="00A02713">
        <w:rPr>
          <w:rFonts w:asciiTheme="minorHAnsi" w:hAnsiTheme="minorHAnsi" w:cstheme="minorHAnsi"/>
        </w:rPr>
        <w:t xml:space="preserve">Furthermore, the dynamic nature of observation in educational settings adds layers of complexity to bias mitigation. As noted by Corsaro (2015), children actively construct their social realities through interactions with peers and adults, which may vary depending on contextual factors such as classroom dynamics and teacher-child relationships. Therefore, while reflexivity is valuable for understanding the researcher's perspective, it's equally important to consider the multifaceted nature of children's </w:t>
      </w:r>
      <w:r w:rsidRPr="00A02713">
        <w:rPr>
          <w:rFonts w:asciiTheme="minorHAnsi" w:hAnsiTheme="minorHAnsi" w:cstheme="minorHAnsi"/>
        </w:rPr>
        <w:t>behaviours</w:t>
      </w:r>
      <w:r w:rsidRPr="00A02713">
        <w:rPr>
          <w:rFonts w:asciiTheme="minorHAnsi" w:hAnsiTheme="minorHAnsi" w:cstheme="minorHAnsi"/>
        </w:rPr>
        <w:t xml:space="preserve"> within their socio-cultural contexts.</w:t>
      </w:r>
    </w:p>
    <w:p w14:paraId="3F50AEA3" w14:textId="448B8CD1" w:rsidR="00370C62" w:rsidRPr="00A02713" w:rsidRDefault="00370C62" w:rsidP="00A02713">
      <w:pPr>
        <w:spacing w:line="360" w:lineRule="auto"/>
        <w:rPr>
          <w:rFonts w:asciiTheme="minorHAnsi" w:hAnsiTheme="minorHAnsi" w:cstheme="minorHAnsi"/>
        </w:rPr>
      </w:pPr>
    </w:p>
    <w:p w14:paraId="0F94EBC6" w14:textId="229B384F" w:rsidR="00370C62" w:rsidRPr="00A02713" w:rsidRDefault="008C432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Interview</w:t>
      </w:r>
    </w:p>
    <w:p w14:paraId="3B1CAF31" w14:textId="210D12A0" w:rsidR="00370C62" w:rsidRPr="00A02713" w:rsidRDefault="00370C62" w:rsidP="00A02713">
      <w:pPr>
        <w:spacing w:line="360" w:lineRule="auto"/>
        <w:rPr>
          <w:rFonts w:asciiTheme="minorHAnsi" w:hAnsiTheme="minorHAnsi" w:cstheme="minorHAnsi"/>
        </w:rPr>
      </w:pPr>
      <w:r w:rsidRPr="00A02713">
        <w:rPr>
          <w:rFonts w:asciiTheme="minorHAnsi" w:hAnsiTheme="minorHAnsi" w:cstheme="minorHAnsi"/>
        </w:rPr>
        <w:t xml:space="preserve">Conducting interviews with the class teacher of the reception class serves as a valuable component of the data collection process, providing insights into the classroom dynamics, teaching strategies, and the individual needs of the children (Bogdan &amp; Biklen, 2006). These interviews offer a complementary perspective to direct observations, allowing researchers to contextualize observed </w:t>
      </w:r>
      <w:r w:rsidRPr="00A02713">
        <w:rPr>
          <w:rFonts w:asciiTheme="minorHAnsi" w:hAnsiTheme="minorHAnsi" w:cstheme="minorHAnsi"/>
        </w:rPr>
        <w:t>behaviours</w:t>
      </w:r>
      <w:r w:rsidRPr="00A02713">
        <w:rPr>
          <w:rFonts w:asciiTheme="minorHAnsi" w:hAnsiTheme="minorHAnsi" w:cstheme="minorHAnsi"/>
        </w:rPr>
        <w:t xml:space="preserve"> and interactions within the </w:t>
      </w:r>
      <w:r w:rsidRPr="00A02713">
        <w:rPr>
          <w:rFonts w:asciiTheme="minorHAnsi" w:hAnsiTheme="minorHAnsi" w:cstheme="minorHAnsi"/>
        </w:rPr>
        <w:t xml:space="preserve">classroom </w:t>
      </w:r>
      <w:r w:rsidRPr="00A02713">
        <w:rPr>
          <w:rFonts w:asciiTheme="minorHAnsi" w:hAnsiTheme="minorHAnsi" w:cstheme="minorHAnsi"/>
        </w:rPr>
        <w:t>environment.</w:t>
      </w:r>
    </w:p>
    <w:p w14:paraId="5679BE32" w14:textId="77777777" w:rsidR="00370C62" w:rsidRPr="00A02713" w:rsidRDefault="00370C62" w:rsidP="00A02713">
      <w:pPr>
        <w:spacing w:line="360" w:lineRule="auto"/>
        <w:rPr>
          <w:rFonts w:asciiTheme="minorHAnsi" w:hAnsiTheme="minorHAnsi" w:cstheme="minorHAnsi"/>
        </w:rPr>
      </w:pPr>
    </w:p>
    <w:p w14:paraId="17826460" w14:textId="76F15D64" w:rsidR="00370C62" w:rsidRPr="00A02713" w:rsidRDefault="00370C62" w:rsidP="00A02713">
      <w:pPr>
        <w:spacing w:line="360" w:lineRule="auto"/>
        <w:rPr>
          <w:rFonts w:asciiTheme="minorHAnsi" w:hAnsiTheme="minorHAnsi" w:cstheme="minorHAnsi"/>
        </w:rPr>
      </w:pPr>
      <w:bookmarkStart w:id="10" w:name="OLE_LINK39"/>
      <w:bookmarkStart w:id="11" w:name="OLE_LINK40"/>
      <w:r w:rsidRPr="00A02713">
        <w:rPr>
          <w:rFonts w:asciiTheme="minorHAnsi" w:hAnsiTheme="minorHAnsi" w:cstheme="minorHAnsi"/>
        </w:rPr>
        <w:t>During the interviews, open-ended questions</w:t>
      </w:r>
      <w:r w:rsidR="00A02713">
        <w:rPr>
          <w:rFonts w:asciiTheme="minorHAnsi" w:hAnsiTheme="minorHAnsi" w:cstheme="minorHAnsi"/>
        </w:rPr>
        <w:t xml:space="preserve"> (Appendix 4)</w:t>
      </w:r>
      <w:r w:rsidRPr="00A02713">
        <w:rPr>
          <w:rFonts w:asciiTheme="minorHAnsi" w:hAnsiTheme="minorHAnsi" w:cstheme="minorHAnsi"/>
        </w:rPr>
        <w:t xml:space="preserve"> were utilized to encourage the class teacher to share their perceptions, experiences, and knowledge related to the children's </w:t>
      </w:r>
      <w:r w:rsidR="00A02713" w:rsidRPr="00A02713">
        <w:rPr>
          <w:rFonts w:asciiTheme="minorHAnsi" w:hAnsiTheme="minorHAnsi" w:cstheme="minorHAnsi"/>
        </w:rPr>
        <w:t>behaviours</w:t>
      </w:r>
      <w:r w:rsidRPr="00A02713">
        <w:rPr>
          <w:rFonts w:asciiTheme="minorHAnsi" w:hAnsiTheme="minorHAnsi" w:cstheme="minorHAnsi"/>
        </w:rPr>
        <w:t xml:space="preserve">, social interactions, and academic progress </w:t>
      </w:r>
      <w:r w:rsidRPr="00A02713">
        <w:rPr>
          <w:rFonts w:asciiTheme="minorHAnsi" w:hAnsiTheme="minorHAnsi" w:cstheme="minorHAnsi"/>
        </w:rPr>
        <w:t xml:space="preserve">during enhanced provision </w:t>
      </w:r>
      <w:r w:rsidRPr="00A02713">
        <w:rPr>
          <w:rFonts w:asciiTheme="minorHAnsi" w:hAnsiTheme="minorHAnsi" w:cstheme="minorHAnsi"/>
        </w:rPr>
        <w:t xml:space="preserve">(Creswell, 2013). By employing open-ended questions, </w:t>
      </w:r>
      <w:r w:rsidRPr="00A02713">
        <w:rPr>
          <w:rFonts w:asciiTheme="minorHAnsi" w:hAnsiTheme="minorHAnsi" w:cstheme="minorHAnsi"/>
        </w:rPr>
        <w:t xml:space="preserve">there was an opportunity to </w:t>
      </w:r>
      <w:r w:rsidRPr="00A02713">
        <w:rPr>
          <w:rFonts w:asciiTheme="minorHAnsi" w:hAnsiTheme="minorHAnsi" w:cstheme="minorHAnsi"/>
        </w:rPr>
        <w:t>capture the richness and depth of the teacher's insights, fostering a more nuanced understanding of the classroom dynamics.</w:t>
      </w:r>
      <w:r w:rsidR="00A02713">
        <w:rPr>
          <w:rFonts w:asciiTheme="minorHAnsi" w:hAnsiTheme="minorHAnsi" w:cstheme="minorHAnsi"/>
        </w:rPr>
        <w:t xml:space="preserve"> In contradiction to the strengths of open ended questioning Braun and Clarke (2006) argue that analysing responses to open ended questions can be subjective, leading to varying interpretations of data and potentially affecting the reliability and validity of the findings. </w:t>
      </w:r>
    </w:p>
    <w:bookmarkEnd w:id="10"/>
    <w:bookmarkEnd w:id="11"/>
    <w:p w14:paraId="0051730C" w14:textId="77777777" w:rsidR="00370C62" w:rsidRPr="00A02713" w:rsidRDefault="00370C62" w:rsidP="00A02713">
      <w:pPr>
        <w:spacing w:line="360" w:lineRule="auto"/>
        <w:rPr>
          <w:rFonts w:asciiTheme="minorHAnsi" w:hAnsiTheme="minorHAnsi" w:cstheme="minorHAnsi"/>
        </w:rPr>
      </w:pPr>
    </w:p>
    <w:p w14:paraId="33515022" w14:textId="569E4F51" w:rsidR="00A02713" w:rsidRDefault="00370C62" w:rsidP="00A02713">
      <w:pPr>
        <w:spacing w:line="360" w:lineRule="auto"/>
        <w:rPr>
          <w:rFonts w:asciiTheme="minorHAnsi" w:hAnsiTheme="minorHAnsi" w:cstheme="minorHAnsi"/>
        </w:rPr>
      </w:pPr>
      <w:bookmarkStart w:id="12" w:name="OLE_LINK37"/>
      <w:bookmarkStart w:id="13" w:name="OLE_LINK38"/>
      <w:r w:rsidRPr="00A02713">
        <w:rPr>
          <w:rFonts w:asciiTheme="minorHAnsi" w:hAnsiTheme="minorHAnsi" w:cstheme="minorHAnsi"/>
        </w:rPr>
        <w:lastRenderedPageBreak/>
        <w:t>Furthermore, interviews with the class teacher also served as an opportunity to establish rapport and collaboration</w:t>
      </w:r>
      <w:r w:rsidRPr="00A02713">
        <w:rPr>
          <w:rFonts w:asciiTheme="minorHAnsi" w:hAnsiTheme="minorHAnsi" w:cstheme="minorHAnsi"/>
        </w:rPr>
        <w:t xml:space="preserve"> </w:t>
      </w:r>
      <w:r w:rsidRPr="00A02713">
        <w:rPr>
          <w:rFonts w:asciiTheme="minorHAnsi" w:hAnsiTheme="minorHAnsi" w:cstheme="minorHAnsi"/>
        </w:rPr>
        <w:t xml:space="preserve">(Merriam &amp; </w:t>
      </w:r>
      <w:proofErr w:type="spellStart"/>
      <w:r w:rsidRPr="00A02713">
        <w:rPr>
          <w:rFonts w:asciiTheme="minorHAnsi" w:hAnsiTheme="minorHAnsi" w:cstheme="minorHAnsi"/>
        </w:rPr>
        <w:t>Tisdell</w:t>
      </w:r>
      <w:proofErr w:type="spellEnd"/>
      <w:r w:rsidRPr="00A02713">
        <w:rPr>
          <w:rFonts w:asciiTheme="minorHAnsi" w:hAnsiTheme="minorHAnsi" w:cstheme="minorHAnsi"/>
        </w:rPr>
        <w:t>, 2015). Building a trusting relationship with the teacher facilitates the exchange of information and enhances the validity of the data collected.</w:t>
      </w:r>
      <w:r w:rsidR="00A02713">
        <w:rPr>
          <w:rFonts w:asciiTheme="minorHAnsi" w:hAnsiTheme="minorHAnsi" w:cstheme="minorHAnsi"/>
        </w:rPr>
        <w:t xml:space="preserve"> While building rapport with the teacher through interviews can facilitate collaboration and data validity, Merriam &amp; </w:t>
      </w:r>
      <w:proofErr w:type="spellStart"/>
      <w:r w:rsidR="00A02713">
        <w:rPr>
          <w:rFonts w:asciiTheme="minorHAnsi" w:hAnsiTheme="minorHAnsi" w:cstheme="minorHAnsi"/>
        </w:rPr>
        <w:t>Tisdell</w:t>
      </w:r>
      <w:proofErr w:type="spellEnd"/>
      <w:r w:rsidR="00A02713">
        <w:rPr>
          <w:rFonts w:asciiTheme="minorHAnsi" w:hAnsiTheme="minorHAnsi" w:cstheme="minorHAnsi"/>
        </w:rPr>
        <w:t xml:space="preserve"> (2015) believe that there are potential contradictions to consider. Tourangeau &amp; Yan (2007) believe that teachers may provide responses that align with perceived expectations, rather than their true experiences or perspectives. In relation to this Denzin &amp; Lincoln (2011) suggest the power dynamics between both teacher and learner may influence the information shared during interviews. </w:t>
      </w:r>
    </w:p>
    <w:bookmarkEnd w:id="12"/>
    <w:bookmarkEnd w:id="13"/>
    <w:p w14:paraId="6CD34546" w14:textId="6A065B2A" w:rsidR="00A02713" w:rsidRDefault="00A02713" w:rsidP="00A02713">
      <w:pPr>
        <w:spacing w:line="360" w:lineRule="auto"/>
        <w:rPr>
          <w:rFonts w:asciiTheme="minorHAnsi" w:hAnsiTheme="minorHAnsi" w:cstheme="minorHAnsi"/>
        </w:rPr>
      </w:pPr>
    </w:p>
    <w:p w14:paraId="1FC61CB4" w14:textId="77777777" w:rsidR="004259AB" w:rsidRPr="004259AB" w:rsidRDefault="004259AB" w:rsidP="004259AB">
      <w:pPr>
        <w:spacing w:line="360" w:lineRule="auto"/>
        <w:rPr>
          <w:rFonts w:asciiTheme="minorHAnsi" w:hAnsiTheme="minorHAnsi" w:cstheme="minorHAnsi"/>
        </w:rPr>
      </w:pPr>
      <w:r w:rsidRPr="004259AB">
        <w:rPr>
          <w:rFonts w:asciiTheme="minorHAnsi" w:hAnsiTheme="minorHAnsi" w:cstheme="minorHAnsi"/>
        </w:rPr>
        <w:t>Interviewing classroom teachers about enhanced provision in class presents both opportunities and challenges</w:t>
      </w:r>
      <w:r>
        <w:rPr>
          <w:rFonts w:asciiTheme="minorHAnsi" w:hAnsiTheme="minorHAnsi" w:cstheme="minorHAnsi"/>
        </w:rPr>
        <w:t xml:space="preserve"> (Braun &amp; Clarke,2006)</w:t>
      </w:r>
      <w:r w:rsidRPr="004259AB">
        <w:rPr>
          <w:rFonts w:asciiTheme="minorHAnsi" w:hAnsiTheme="minorHAnsi" w:cstheme="minorHAnsi"/>
        </w:rPr>
        <w:t>. While teachers offer valuable insider perspectives and rich contextual insights into the daily dynamics of the classroom, the process is susceptible to various biases. Social desirability bias may lead teachers to present a favourable view of enhanced provision, potentially masking any shortcomings or limitations. Additionally, confirmation bias and observer expectancy bias could inadvertently shape the framing of questions and interpretation of responses, potentially skewing the data collected. Despite these challenges, interviews allow for in-depth exploration and clarification, enabling researchers to uncover nuanced insights into the impact of enhanced provision</w:t>
      </w:r>
      <w:r>
        <w:rPr>
          <w:rFonts w:asciiTheme="minorHAnsi" w:hAnsiTheme="minorHAnsi" w:cstheme="minorHAnsi"/>
        </w:rPr>
        <w:t xml:space="preserve"> (</w:t>
      </w:r>
      <w:r w:rsidRPr="004259AB">
        <w:rPr>
          <w:rFonts w:asciiTheme="minorHAnsi" w:hAnsiTheme="minorHAnsi" w:cstheme="minorHAnsi"/>
        </w:rPr>
        <w:t>Tourangeau &amp; Yan, 2007</w:t>
      </w:r>
      <w:r>
        <w:rPr>
          <w:rFonts w:asciiTheme="minorHAnsi" w:hAnsiTheme="minorHAnsi" w:cstheme="minorHAnsi"/>
        </w:rPr>
        <w:t>)</w:t>
      </w:r>
      <w:r w:rsidRPr="004259AB">
        <w:rPr>
          <w:rFonts w:asciiTheme="minorHAnsi" w:hAnsiTheme="minorHAnsi" w:cstheme="minorHAnsi"/>
        </w:rPr>
        <w:t>. However, researchers must remain vigilant in acknowledging and mitigating biases to ensure the validity and reliability of the data collected</w:t>
      </w:r>
      <w:r>
        <w:rPr>
          <w:rFonts w:asciiTheme="minorHAnsi" w:hAnsiTheme="minorHAnsi" w:cstheme="minorHAnsi"/>
        </w:rPr>
        <w:t xml:space="preserve"> (</w:t>
      </w:r>
      <w:r w:rsidRPr="004259AB">
        <w:rPr>
          <w:rFonts w:asciiTheme="minorHAnsi" w:hAnsiTheme="minorHAnsi" w:cstheme="minorHAnsi"/>
        </w:rPr>
        <w:t>Brinkmann, 2014)</w:t>
      </w:r>
      <w:r>
        <w:rPr>
          <w:rFonts w:asciiTheme="minorHAnsi" w:hAnsiTheme="minorHAnsi" w:cstheme="minorHAnsi"/>
        </w:rPr>
        <w:t>.</w:t>
      </w:r>
    </w:p>
    <w:p w14:paraId="614F813C" w14:textId="77777777" w:rsidR="00370C62" w:rsidRPr="00A02713" w:rsidRDefault="00370C62" w:rsidP="00A02713">
      <w:pPr>
        <w:spacing w:line="360" w:lineRule="auto"/>
        <w:rPr>
          <w:rFonts w:asciiTheme="minorHAnsi" w:hAnsiTheme="minorHAnsi" w:cstheme="minorHAnsi"/>
        </w:rPr>
      </w:pPr>
    </w:p>
    <w:p w14:paraId="247C9BDD" w14:textId="549607D2"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Data presentation and </w:t>
      </w:r>
      <w:r w:rsidR="0099628D" w:rsidRPr="00A02713">
        <w:rPr>
          <w:rFonts w:asciiTheme="minorHAnsi" w:hAnsiTheme="minorHAnsi" w:cstheme="minorHAnsi"/>
          <w:b/>
          <w:bCs/>
          <w:u w:val="single"/>
        </w:rPr>
        <w:t>A</w:t>
      </w:r>
      <w:r w:rsidRPr="00A02713">
        <w:rPr>
          <w:rFonts w:asciiTheme="minorHAnsi" w:hAnsiTheme="minorHAnsi" w:cstheme="minorHAnsi"/>
          <w:b/>
          <w:bCs/>
          <w:u w:val="single"/>
        </w:rPr>
        <w:t xml:space="preserve">nalysis </w:t>
      </w:r>
      <w:r w:rsidR="0099628D" w:rsidRPr="00A02713">
        <w:rPr>
          <w:rFonts w:asciiTheme="minorHAnsi" w:hAnsiTheme="minorHAnsi" w:cstheme="minorHAnsi"/>
          <w:b/>
          <w:bCs/>
          <w:u w:val="single"/>
        </w:rPr>
        <w:t>M</w:t>
      </w:r>
      <w:r w:rsidRPr="00A02713">
        <w:rPr>
          <w:rFonts w:asciiTheme="minorHAnsi" w:hAnsiTheme="minorHAnsi" w:cstheme="minorHAnsi"/>
          <w:b/>
          <w:bCs/>
          <w:u w:val="single"/>
        </w:rPr>
        <w:t>ethod</w:t>
      </w:r>
      <w:r w:rsidR="00207172" w:rsidRPr="00A02713">
        <w:rPr>
          <w:rFonts w:asciiTheme="minorHAnsi" w:hAnsiTheme="minorHAnsi" w:cstheme="minorHAnsi"/>
          <w:b/>
          <w:bCs/>
          <w:u w:val="single"/>
        </w:rPr>
        <w:t>(</w:t>
      </w:r>
      <w:r w:rsidRPr="00A02713">
        <w:rPr>
          <w:rFonts w:asciiTheme="minorHAnsi" w:hAnsiTheme="minorHAnsi" w:cstheme="minorHAnsi"/>
          <w:b/>
          <w:bCs/>
          <w:u w:val="single"/>
        </w:rPr>
        <w:t>s</w:t>
      </w:r>
      <w:r w:rsidR="00207172" w:rsidRPr="00A02713">
        <w:rPr>
          <w:rFonts w:asciiTheme="minorHAnsi" w:hAnsiTheme="minorHAnsi" w:cstheme="minorHAnsi"/>
          <w:b/>
          <w:bCs/>
          <w:u w:val="single"/>
        </w:rPr>
        <w:t>)</w:t>
      </w:r>
      <w:r w:rsidR="0099628D" w:rsidRPr="00A02713">
        <w:rPr>
          <w:rFonts w:asciiTheme="minorHAnsi" w:hAnsiTheme="minorHAnsi" w:cstheme="minorHAnsi"/>
          <w:b/>
          <w:bCs/>
          <w:u w:val="single"/>
        </w:rPr>
        <w:t>.</w:t>
      </w:r>
    </w:p>
    <w:p w14:paraId="59645C12" w14:textId="77777777" w:rsidR="006B3CA3" w:rsidRPr="00A02713" w:rsidRDefault="006B3CA3" w:rsidP="00A02713">
      <w:pPr>
        <w:spacing w:line="360" w:lineRule="auto"/>
        <w:rPr>
          <w:rFonts w:asciiTheme="minorHAnsi" w:hAnsiTheme="minorHAnsi" w:cstheme="minorHAnsi"/>
          <w:b/>
          <w:bCs/>
          <w:u w:val="single"/>
        </w:rPr>
      </w:pPr>
    </w:p>
    <w:p w14:paraId="722ECBD4" w14:textId="4B6F2779"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To comprehensively report observations on reception children and interviews with practitioners regarding </w:t>
      </w:r>
      <w:r w:rsidRPr="00A02713">
        <w:rPr>
          <w:rFonts w:asciiTheme="minorHAnsi" w:hAnsiTheme="minorHAnsi" w:cstheme="minorHAnsi"/>
        </w:rPr>
        <w:t xml:space="preserve">the learning opportunities for reception aged children in </w:t>
      </w:r>
      <w:r w:rsidRPr="00A02713">
        <w:rPr>
          <w:rFonts w:asciiTheme="minorHAnsi" w:hAnsiTheme="minorHAnsi" w:cstheme="minorHAnsi"/>
        </w:rPr>
        <w:t xml:space="preserve">enhanced provision, a thorough data analysis plan is imperative. This </w:t>
      </w:r>
      <w:r w:rsidRPr="00A02713">
        <w:rPr>
          <w:rFonts w:asciiTheme="minorHAnsi" w:hAnsiTheme="minorHAnsi" w:cstheme="minorHAnsi"/>
        </w:rPr>
        <w:t xml:space="preserve">analysis </w:t>
      </w:r>
      <w:r w:rsidRPr="00A02713">
        <w:rPr>
          <w:rFonts w:asciiTheme="minorHAnsi" w:hAnsiTheme="minorHAnsi" w:cstheme="minorHAnsi"/>
        </w:rPr>
        <w:t>provides a detailed breakdown of the</w:t>
      </w:r>
      <w:r w:rsidRPr="00A02713">
        <w:rPr>
          <w:rFonts w:asciiTheme="minorHAnsi" w:hAnsiTheme="minorHAnsi" w:cstheme="minorHAnsi"/>
        </w:rPr>
        <w:t xml:space="preserve"> </w:t>
      </w:r>
      <w:r w:rsidRPr="00A02713">
        <w:rPr>
          <w:rFonts w:asciiTheme="minorHAnsi" w:hAnsiTheme="minorHAnsi" w:cstheme="minorHAnsi"/>
        </w:rPr>
        <w:t>methods and techniques employe</w:t>
      </w:r>
      <w:r w:rsidRPr="00A02713">
        <w:rPr>
          <w:rFonts w:asciiTheme="minorHAnsi" w:hAnsiTheme="minorHAnsi" w:cstheme="minorHAnsi"/>
        </w:rPr>
        <w:t xml:space="preserve">d during the research. </w:t>
      </w:r>
    </w:p>
    <w:p w14:paraId="084E6DBE" w14:textId="77777777" w:rsidR="006B3CA3" w:rsidRPr="00A02713" w:rsidRDefault="006B3CA3" w:rsidP="00A02713">
      <w:pPr>
        <w:spacing w:line="360" w:lineRule="auto"/>
        <w:rPr>
          <w:rFonts w:asciiTheme="minorHAnsi" w:hAnsiTheme="minorHAnsi" w:cstheme="minorHAnsi"/>
        </w:rPr>
      </w:pPr>
    </w:p>
    <w:p w14:paraId="565E7D83" w14:textId="024A28F9"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Thematic analysis, as outlined by Braun and Clarke (2006), is utilized to identify recurring themes in both observations and interviews. Coding is employed to categorize responses </w:t>
      </w:r>
      <w:r w:rsidRPr="00A02713">
        <w:rPr>
          <w:rFonts w:asciiTheme="minorHAnsi" w:hAnsiTheme="minorHAnsi" w:cstheme="minorHAnsi"/>
        </w:rPr>
        <w:lastRenderedPageBreak/>
        <w:t xml:space="preserve">and observations into themes such as the learning environment, teacher-child interactions, resources, and curriculum effectiveness. Constant comparison, a technique highlighted by Miles, Huberman, and </w:t>
      </w:r>
      <w:proofErr w:type="spellStart"/>
      <w:r w:rsidRPr="00A02713">
        <w:rPr>
          <w:rFonts w:asciiTheme="minorHAnsi" w:hAnsiTheme="minorHAnsi" w:cstheme="minorHAnsi"/>
        </w:rPr>
        <w:t>Saldaña</w:t>
      </w:r>
      <w:proofErr w:type="spellEnd"/>
      <w:r w:rsidRPr="00A02713">
        <w:rPr>
          <w:rFonts w:asciiTheme="minorHAnsi" w:hAnsiTheme="minorHAnsi" w:cstheme="minorHAnsi"/>
        </w:rPr>
        <w:t xml:space="preserve"> (2014), ensures ongoing refinement of themes, enhancing the accuracy and consistency of the analysis. Furthermore, triangulation is employed to validate and corroborate data by comparing findings from observations with insights from practitioner interviews.</w:t>
      </w:r>
    </w:p>
    <w:p w14:paraId="0610CBE2" w14:textId="77777777" w:rsidR="006B3CA3" w:rsidRPr="00A02713" w:rsidRDefault="006B3CA3" w:rsidP="00A02713">
      <w:pPr>
        <w:spacing w:line="360" w:lineRule="auto"/>
        <w:rPr>
          <w:rFonts w:asciiTheme="minorHAnsi" w:hAnsiTheme="minorHAnsi" w:cstheme="minorHAnsi"/>
        </w:rPr>
      </w:pPr>
    </w:p>
    <w:p w14:paraId="7BFFEC49" w14:textId="6C2D1BCD"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In the analysis of quantitative data collected during observations, descriptive statistics are calculated to quantify the frequency of specific </w:t>
      </w:r>
      <w:r w:rsidRPr="00A02713">
        <w:rPr>
          <w:rFonts w:asciiTheme="minorHAnsi" w:hAnsiTheme="minorHAnsi" w:cstheme="minorHAnsi"/>
        </w:rPr>
        <w:t>behaviours</w:t>
      </w:r>
      <w:r w:rsidRPr="00A02713">
        <w:rPr>
          <w:rFonts w:asciiTheme="minorHAnsi" w:hAnsiTheme="minorHAnsi" w:cstheme="minorHAnsi"/>
        </w:rPr>
        <w:t xml:space="preserve"> or activities in enhanced provision settings. Measures of central tendency (mean, median, mode) and dispersion (standard deviation, range) provide insights into the distribution and variability of observed </w:t>
      </w:r>
      <w:r w:rsidRPr="00A02713">
        <w:rPr>
          <w:rFonts w:asciiTheme="minorHAnsi" w:hAnsiTheme="minorHAnsi" w:cstheme="minorHAnsi"/>
        </w:rPr>
        <w:t>behaviours</w:t>
      </w:r>
      <w:r w:rsidRPr="00A02713">
        <w:rPr>
          <w:rFonts w:asciiTheme="minorHAnsi" w:hAnsiTheme="minorHAnsi" w:cstheme="minorHAnsi"/>
        </w:rPr>
        <w:t xml:space="preserve">. Additionally, correlation analysis explores potential relationships between observed </w:t>
      </w:r>
      <w:r w:rsidRPr="00A02713">
        <w:rPr>
          <w:rFonts w:asciiTheme="minorHAnsi" w:hAnsiTheme="minorHAnsi" w:cstheme="minorHAnsi"/>
        </w:rPr>
        <w:t>behaviours</w:t>
      </w:r>
      <w:r w:rsidRPr="00A02713">
        <w:rPr>
          <w:rFonts w:asciiTheme="minorHAnsi" w:hAnsiTheme="minorHAnsi" w:cstheme="minorHAnsi"/>
        </w:rPr>
        <w:t xml:space="preserve"> or activities and demographic variables such as age, gender, or socio-economic status, as advocated by Creswell and</w:t>
      </w:r>
      <w:r w:rsidRPr="00A02713">
        <w:rPr>
          <w:rFonts w:asciiTheme="minorHAnsi" w:hAnsiTheme="minorHAnsi" w:cstheme="minorHAnsi"/>
        </w:rPr>
        <w:t xml:space="preserve"> </w:t>
      </w:r>
      <w:r w:rsidRPr="00A02713">
        <w:rPr>
          <w:rFonts w:asciiTheme="minorHAnsi" w:hAnsiTheme="minorHAnsi" w:cstheme="minorHAnsi"/>
        </w:rPr>
        <w:t>Clark (2017).</w:t>
      </w:r>
    </w:p>
    <w:p w14:paraId="7FB625AC" w14:textId="77777777" w:rsidR="006B3CA3" w:rsidRPr="00A02713" w:rsidRDefault="006B3CA3" w:rsidP="00A02713">
      <w:pPr>
        <w:spacing w:line="360" w:lineRule="auto"/>
        <w:rPr>
          <w:rFonts w:asciiTheme="minorHAnsi" w:hAnsiTheme="minorHAnsi" w:cstheme="minorHAnsi"/>
        </w:rPr>
      </w:pPr>
    </w:p>
    <w:p w14:paraId="23196986" w14:textId="5E1250E4"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Integration of qualitative and quantitative data sources is achieved through data triangulation. This process combines findings from qualitative observations and interviews with quantitative data analysis to present a comprehensive understanding of the effectiveness and impact of enhanced provision on reception children’s learning and development. Moreover, mixed methods analysis synthesizes qualitative and quantitative data to identify patterns, relationships, and trends, enriching the interpretation and implications of the study findings.</w:t>
      </w:r>
    </w:p>
    <w:p w14:paraId="7F76C2EB" w14:textId="0E8038D8" w:rsidR="006B3CA3" w:rsidRPr="00A02713" w:rsidRDefault="006B3CA3" w:rsidP="00A02713">
      <w:pPr>
        <w:spacing w:line="360" w:lineRule="auto"/>
        <w:rPr>
          <w:rFonts w:asciiTheme="minorHAnsi" w:hAnsiTheme="minorHAnsi" w:cstheme="minorHAnsi"/>
        </w:rPr>
      </w:pPr>
    </w:p>
    <w:p w14:paraId="0A20B8EC" w14:textId="1079087B"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The reporting of findings entails narrative reporting, where</w:t>
      </w:r>
      <w:r w:rsidR="0099628D" w:rsidRPr="00A02713">
        <w:rPr>
          <w:rFonts w:asciiTheme="minorHAnsi" w:hAnsiTheme="minorHAnsi" w:cstheme="minorHAnsi"/>
        </w:rPr>
        <w:t xml:space="preserve"> </w:t>
      </w:r>
      <w:r w:rsidRPr="00A02713">
        <w:rPr>
          <w:rFonts w:asciiTheme="minorHAnsi" w:hAnsiTheme="minorHAnsi" w:cstheme="minorHAnsi"/>
        </w:rPr>
        <w:t>in detailed narratives of key findings are presented, supported by direct quotes from interviews and specific examples from observations. This approach, advocated by Braun and Clarke (2006), provides context and depth to the analysis. Additionally, visual representation techniques such as charts, graphs, and diagrams are employed to illustrate patterns or trends identified in the analysis, enhancing clarity and accessibility for stakeholders.</w:t>
      </w:r>
    </w:p>
    <w:p w14:paraId="2462D97A" w14:textId="77777777" w:rsidR="006B3CA3" w:rsidRPr="00A02713" w:rsidRDefault="006B3CA3" w:rsidP="00A02713">
      <w:pPr>
        <w:spacing w:line="360" w:lineRule="auto"/>
        <w:rPr>
          <w:rFonts w:asciiTheme="minorHAnsi" w:hAnsiTheme="minorHAnsi" w:cstheme="minorHAnsi"/>
        </w:rPr>
      </w:pPr>
    </w:p>
    <w:p w14:paraId="7F3DE972" w14:textId="265AEA4A" w:rsidR="006B3CA3" w:rsidRPr="00A02713" w:rsidRDefault="0099628D" w:rsidP="00A02713">
      <w:pPr>
        <w:spacing w:line="360" w:lineRule="auto"/>
        <w:rPr>
          <w:rFonts w:asciiTheme="minorHAnsi" w:hAnsiTheme="minorHAnsi" w:cstheme="minorHAnsi"/>
        </w:rPr>
      </w:pPr>
      <w:r w:rsidRPr="00A02713">
        <w:rPr>
          <w:rFonts w:asciiTheme="minorHAnsi" w:hAnsiTheme="minorHAnsi" w:cstheme="minorHAnsi"/>
        </w:rPr>
        <w:t>T</w:t>
      </w:r>
      <w:r w:rsidR="006B3CA3" w:rsidRPr="00A02713">
        <w:rPr>
          <w:rFonts w:asciiTheme="minorHAnsi" w:hAnsiTheme="minorHAnsi" w:cstheme="minorHAnsi"/>
        </w:rPr>
        <w:t xml:space="preserve">he utilization of these analysis methods and techniques facilitates the comprehensive reporting of observations on reception children and interviews with practitioners regarding </w:t>
      </w:r>
      <w:r w:rsidR="006B3CA3" w:rsidRPr="00A02713">
        <w:rPr>
          <w:rFonts w:asciiTheme="minorHAnsi" w:hAnsiTheme="minorHAnsi" w:cstheme="minorHAnsi"/>
        </w:rPr>
        <w:lastRenderedPageBreak/>
        <w:t>enhanced provision in early childhood education. By integrating qualitative and quantitative approaches, researchers can gain valuable insights into the effectiveness and impact of enhanced provision, thereby informing future practices and policies in the field.</w:t>
      </w:r>
    </w:p>
    <w:p w14:paraId="611B52EC" w14:textId="77777777" w:rsidR="004A5F64" w:rsidRPr="00A02713" w:rsidRDefault="004A5F64" w:rsidP="00A02713">
      <w:pPr>
        <w:spacing w:line="360" w:lineRule="auto"/>
        <w:rPr>
          <w:rFonts w:asciiTheme="minorHAnsi" w:hAnsiTheme="minorHAnsi" w:cstheme="minorHAnsi"/>
          <w:b/>
          <w:bCs/>
          <w:u w:val="single"/>
        </w:rPr>
      </w:pPr>
    </w:p>
    <w:p w14:paraId="340DEFA3" w14:textId="6002C2D4"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Ethical Considerations</w:t>
      </w:r>
    </w:p>
    <w:p w14:paraId="64F915A1" w14:textId="77777777" w:rsidR="00A67458" w:rsidRPr="00A02713" w:rsidRDefault="00A67458" w:rsidP="00A02713">
      <w:pPr>
        <w:spacing w:line="360" w:lineRule="auto"/>
        <w:jc w:val="center"/>
        <w:rPr>
          <w:rFonts w:asciiTheme="minorHAnsi" w:hAnsiTheme="minorHAnsi" w:cstheme="minorHAnsi"/>
          <w:b/>
          <w:bCs/>
          <w:u w:val="single"/>
        </w:rPr>
      </w:pPr>
    </w:p>
    <w:p w14:paraId="418188A0" w14:textId="16F7E864" w:rsidR="006B3CA3" w:rsidRDefault="006B3CA3" w:rsidP="00A02713">
      <w:pPr>
        <w:spacing w:line="360" w:lineRule="auto"/>
        <w:rPr>
          <w:rFonts w:asciiTheme="minorHAnsi" w:hAnsiTheme="minorHAnsi" w:cstheme="minorHAnsi"/>
        </w:rPr>
      </w:pPr>
      <w:r w:rsidRPr="00A02713">
        <w:rPr>
          <w:rFonts w:asciiTheme="minorHAnsi" w:hAnsiTheme="minorHAnsi" w:cstheme="minorHAnsi"/>
        </w:rPr>
        <w:t>Ethical guidelines serve as the moral compass to protect the rights and well-being of research participants (Smith, 2019). In the realm of educational research, adherence to ethical principles is predominant, especially when studying and conducting research involving the participation of young children. With this in mind, the British Educational Research Association (BERA) provides comprehensive guidelines that underscore the importance of ethical conduct throughout the research process. These guidelines encompass principles of informed consent, confidentiality, respect for autonomy, and the minimization of harm.</w:t>
      </w:r>
    </w:p>
    <w:p w14:paraId="3F9AF7A8" w14:textId="77777777" w:rsidR="006B119C" w:rsidRPr="00A02713" w:rsidRDefault="006B119C" w:rsidP="00A02713">
      <w:pPr>
        <w:spacing w:line="360" w:lineRule="auto"/>
        <w:rPr>
          <w:rFonts w:asciiTheme="minorHAnsi" w:hAnsiTheme="minorHAnsi" w:cstheme="minorHAnsi"/>
        </w:rPr>
      </w:pPr>
    </w:p>
    <w:p w14:paraId="791CAC16" w14:textId="77777777"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According to Johnson (2020), by adhering to these ethical standards, researchers can uphold the integrity of research and contribute meaningfully to the advancement of knowledge in education.</w:t>
      </w:r>
    </w:p>
    <w:p w14:paraId="455790DB" w14:textId="77777777" w:rsidR="005C2B14" w:rsidRPr="00A02713" w:rsidRDefault="005C2B14" w:rsidP="00A02713">
      <w:pPr>
        <w:spacing w:line="360" w:lineRule="auto"/>
        <w:rPr>
          <w:rFonts w:asciiTheme="minorHAnsi" w:hAnsiTheme="minorHAnsi" w:cstheme="minorHAnsi"/>
        </w:rPr>
      </w:pPr>
    </w:p>
    <w:p w14:paraId="7096459E" w14:textId="0C08B6C0"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All participants and schools will be kept confidential, in line with the ethics form completed, in accordance with the BERA guidelines (BERA, 2018), which recommend keeping anonymity by replacing identities with pseudonyms (e.g., School X, Pupil 1, Teacher A). During note-taking, all documents containing initial data were redacted prior to analysis (BERA, 2018). Providing a comfortable and safe atmosphere was paramount during the observation stages.</w:t>
      </w:r>
    </w:p>
    <w:p w14:paraId="4FF9AD97" w14:textId="77777777" w:rsidR="006B3CA3" w:rsidRPr="00A02713" w:rsidRDefault="006B3CA3" w:rsidP="00A02713">
      <w:pPr>
        <w:spacing w:line="360" w:lineRule="auto"/>
        <w:rPr>
          <w:rFonts w:asciiTheme="minorHAnsi" w:hAnsiTheme="minorHAnsi" w:cstheme="minorHAnsi"/>
        </w:rPr>
      </w:pPr>
    </w:p>
    <w:p w14:paraId="388568FA" w14:textId="5212A785"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Informed consent is an ethical principle in research that ensures participants are fully informed about the nature, purpose, and potential risks and benefits of the study before they decide to participate (Smith, 2019). With this ethical principle in mind, all parents and guardians of the reception class have been provided with a consent form via the communication email from the class to parents. The consent form provided participants with clear, understandable information about what the child’s involvement will entail. This </w:t>
      </w:r>
      <w:r w:rsidRPr="00A02713">
        <w:rPr>
          <w:rFonts w:asciiTheme="minorHAnsi" w:hAnsiTheme="minorHAnsi" w:cstheme="minorHAnsi"/>
        </w:rPr>
        <w:lastRenderedPageBreak/>
        <w:t xml:space="preserve">process respects the autonomy and rights of participants and supports the trust between researchers and participants (Johnson, 2020). </w:t>
      </w:r>
      <w:r w:rsidR="006B119C">
        <w:rPr>
          <w:rFonts w:asciiTheme="minorHAnsi" w:hAnsiTheme="minorHAnsi" w:cstheme="minorHAnsi"/>
        </w:rPr>
        <w:t xml:space="preserve">The parents/guardians of the </w:t>
      </w:r>
      <w:r w:rsidRPr="00A02713">
        <w:rPr>
          <w:rFonts w:asciiTheme="minorHAnsi" w:hAnsiTheme="minorHAnsi" w:cstheme="minorHAnsi"/>
        </w:rPr>
        <w:t>24 learners have given assent for their child to be observed during enhanced provision for the research; please see (Appendix 1). Following further ethical principles, all parents/guardians and learners have been made aware of their right to withdraw from the research.</w:t>
      </w:r>
    </w:p>
    <w:p w14:paraId="1ECD5970" w14:textId="77777777" w:rsidR="007E1592" w:rsidRPr="00A02713" w:rsidRDefault="007E1592" w:rsidP="00A02713">
      <w:pPr>
        <w:spacing w:line="360" w:lineRule="auto"/>
        <w:rPr>
          <w:rFonts w:asciiTheme="minorHAnsi" w:hAnsiTheme="minorHAnsi" w:cstheme="minorHAnsi"/>
        </w:rPr>
      </w:pPr>
    </w:p>
    <w:p w14:paraId="28B8D913" w14:textId="05E7C506"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Analysis of results </w:t>
      </w:r>
    </w:p>
    <w:p w14:paraId="591C9EE3" w14:textId="77777777" w:rsidR="00A02713" w:rsidRPr="00A02713" w:rsidRDefault="00A02713" w:rsidP="00A02713">
      <w:pPr>
        <w:spacing w:line="360" w:lineRule="auto"/>
        <w:jc w:val="center"/>
        <w:rPr>
          <w:rFonts w:asciiTheme="minorHAnsi" w:hAnsiTheme="minorHAnsi" w:cstheme="minorHAnsi"/>
          <w:b/>
          <w:bCs/>
          <w:u w:val="single"/>
        </w:rPr>
      </w:pPr>
    </w:p>
    <w:p w14:paraId="6EC6013E"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The data analysis of the reception class's enhanced provision revealed several recurring themes that shed light on the utilization of learning resources and the challenges faced by teachers in facilitating enriched learning experiences for young children. These themes provide valuable insights into the dynamics of classroom engagement and the complexities of designing and implementing effective pedagogical practices.</w:t>
      </w:r>
    </w:p>
    <w:p w14:paraId="65A992CC" w14:textId="77777777" w:rsidR="00A02713" w:rsidRPr="00A02713" w:rsidRDefault="00A02713" w:rsidP="00A02713">
      <w:pPr>
        <w:spacing w:line="360" w:lineRule="auto"/>
        <w:jc w:val="center"/>
        <w:rPr>
          <w:rFonts w:asciiTheme="minorHAnsi" w:hAnsiTheme="minorHAnsi" w:cstheme="minorHAnsi"/>
          <w:b/>
          <w:bCs/>
          <w:u w:val="single"/>
        </w:rPr>
      </w:pPr>
    </w:p>
    <w:p w14:paraId="357184EF" w14:textId="21B6965F"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Theme 1: Limited Use of Role Play Area</w:t>
      </w:r>
    </w:p>
    <w:p w14:paraId="5F05A315" w14:textId="280EBAFA" w:rsidR="00A02713" w:rsidRPr="00A02713" w:rsidRDefault="00A02713" w:rsidP="00A02713">
      <w:pPr>
        <w:spacing w:line="360" w:lineRule="auto"/>
        <w:rPr>
          <w:rFonts w:asciiTheme="minorHAnsi" w:hAnsiTheme="minorHAnsi" w:cstheme="minorHAnsi"/>
        </w:rPr>
      </w:pPr>
      <w:bookmarkStart w:id="14" w:name="OLE_LINK41"/>
      <w:bookmarkStart w:id="15" w:name="OLE_LINK42"/>
      <w:r w:rsidRPr="00A02713">
        <w:rPr>
          <w:rFonts w:asciiTheme="minorHAnsi" w:hAnsiTheme="minorHAnsi" w:cstheme="minorHAnsi"/>
        </w:rPr>
        <w:t>Observations indicated that despite the presence of a designated role play area within the enhanced provision, children were not utilizing this space to its full potential. This theme suggests potential barriers or constraints that may be hindering children's engagement with role play activities, such as a lack of interest or clear guidance on how to use the area effectively.</w:t>
      </w:r>
    </w:p>
    <w:p w14:paraId="00D95675" w14:textId="77777777" w:rsidR="0026589F" w:rsidRDefault="0026589F" w:rsidP="00A02713">
      <w:pPr>
        <w:spacing w:line="360" w:lineRule="auto"/>
        <w:rPr>
          <w:rFonts w:asciiTheme="minorHAnsi" w:hAnsiTheme="minorHAnsi" w:cstheme="minorHAnsi"/>
        </w:rPr>
      </w:pPr>
    </w:p>
    <w:p w14:paraId="7B77520F" w14:textId="13809575" w:rsidR="00A02713" w:rsidRDefault="00A02713" w:rsidP="00A02713">
      <w:pPr>
        <w:spacing w:line="360" w:lineRule="auto"/>
        <w:rPr>
          <w:rFonts w:asciiTheme="minorHAnsi" w:hAnsiTheme="minorHAnsi" w:cstheme="minorHAnsi"/>
        </w:rPr>
      </w:pPr>
      <w:r w:rsidRPr="00A02713">
        <w:rPr>
          <w:rFonts w:asciiTheme="minorHAnsi" w:hAnsiTheme="minorHAnsi" w:cstheme="minorHAnsi"/>
        </w:rPr>
        <w:t xml:space="preserve">Despite the role play area being thoughtfully designed and equipped with various props and resources, observations revealed that children often bypassed this space in favour of other activities. Possible reasons for this could include a lack of clear instruction or modelling from teachers on how to engage in imaginative play, or a mismatch between the theme of the role play area and children's </w:t>
      </w:r>
      <w:r w:rsidRPr="0026589F">
        <w:rPr>
          <w:rFonts w:asciiTheme="minorHAnsi" w:hAnsiTheme="minorHAnsi" w:cstheme="minorHAnsi"/>
        </w:rPr>
        <w:t>interests</w:t>
      </w:r>
      <w:r w:rsidR="0026589F" w:rsidRPr="0026589F">
        <w:rPr>
          <w:rFonts w:asciiTheme="minorHAnsi" w:hAnsiTheme="minorHAnsi" w:cstheme="minorHAnsi"/>
        </w:rPr>
        <w:t xml:space="preserve"> (Hughes,2006) In addition to this Pellegrini and Smith (1998) have highlighted the importance of adult scaffolding and guidance in facilitating children’s engagement in role play. Additionally, Hughes (2006) emphasizes the significance</w:t>
      </w:r>
      <w:r w:rsidR="0026589F">
        <w:rPr>
          <w:rFonts w:asciiTheme="minorHAnsi" w:hAnsiTheme="minorHAnsi" w:cstheme="minorHAnsi"/>
        </w:rPr>
        <w:t xml:space="preserve"> of providing open-ended materials  and flexible play spaces that allow children to be creative and explore diverse roles. </w:t>
      </w:r>
    </w:p>
    <w:p w14:paraId="30D38BF1" w14:textId="1764911A" w:rsidR="0026589F" w:rsidRDefault="0026589F" w:rsidP="00A02713">
      <w:pPr>
        <w:spacing w:line="360" w:lineRule="auto"/>
        <w:rPr>
          <w:rFonts w:asciiTheme="minorHAnsi" w:hAnsiTheme="minorHAnsi" w:cstheme="minorHAnsi"/>
        </w:rPr>
      </w:pPr>
      <w:r>
        <w:rPr>
          <w:rFonts w:asciiTheme="minorHAnsi" w:hAnsiTheme="minorHAnsi" w:cstheme="minorHAnsi"/>
        </w:rPr>
        <w:t xml:space="preserve">Vygotsky’s </w:t>
      </w:r>
      <w:r w:rsidRPr="0026589F">
        <w:rPr>
          <w:rFonts w:asciiTheme="minorHAnsi" w:hAnsiTheme="minorHAnsi" w:cstheme="minorHAnsi"/>
        </w:rPr>
        <w:t>(Cole,2018)</w:t>
      </w:r>
      <w:r>
        <w:rPr>
          <w:rFonts w:asciiTheme="minorHAnsi" w:hAnsiTheme="minorHAnsi" w:cstheme="minorHAnsi"/>
        </w:rPr>
        <w:t xml:space="preserve"> sociocultural theory underscores the role of social interactions and cultural influences in shaping children’s play behaviours.  Although the EYFS framework </w:t>
      </w:r>
      <w:r w:rsidRPr="0026589F">
        <w:rPr>
          <w:rFonts w:asciiTheme="minorHAnsi" w:hAnsiTheme="minorHAnsi" w:cstheme="minorHAnsi"/>
        </w:rPr>
        <w:lastRenderedPageBreak/>
        <w:t>(20</w:t>
      </w:r>
      <w:r>
        <w:rPr>
          <w:rFonts w:asciiTheme="minorHAnsi" w:hAnsiTheme="minorHAnsi" w:cstheme="minorHAnsi"/>
        </w:rPr>
        <w:t>15</w:t>
      </w:r>
      <w:r w:rsidRPr="0026589F">
        <w:rPr>
          <w:rFonts w:asciiTheme="minorHAnsi" w:hAnsiTheme="minorHAnsi" w:cstheme="minorHAnsi"/>
        </w:rPr>
        <w:t>)</w:t>
      </w:r>
      <w:r>
        <w:rPr>
          <w:rFonts w:asciiTheme="minorHAnsi" w:hAnsiTheme="minorHAnsi" w:cstheme="minorHAnsi"/>
        </w:rPr>
        <w:t xml:space="preserve"> suggests that while a well-equipped role play area is essential, effective support from teachers and alignment with the children’s interests are crucial for maximizing its utilization and promoting meaningful play. </w:t>
      </w:r>
    </w:p>
    <w:bookmarkEnd w:id="14"/>
    <w:bookmarkEnd w:id="15"/>
    <w:p w14:paraId="0E4766D9" w14:textId="77777777" w:rsidR="00A02713" w:rsidRPr="00A02713" w:rsidRDefault="00A02713" w:rsidP="00A02713">
      <w:pPr>
        <w:spacing w:line="360" w:lineRule="auto"/>
        <w:rPr>
          <w:rFonts w:asciiTheme="minorHAnsi" w:hAnsiTheme="minorHAnsi" w:cstheme="minorHAnsi"/>
          <w:b/>
          <w:bCs/>
          <w:u w:val="single"/>
        </w:rPr>
      </w:pPr>
    </w:p>
    <w:p w14:paraId="347209E7" w14:textId="1A9A04CB"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Theme 2: Repetitive Selection of Enhanced Provision Areas</w:t>
      </w:r>
    </w:p>
    <w:p w14:paraId="02CB9205" w14:textId="77777777" w:rsidR="0026589F" w:rsidRPr="00A02713" w:rsidRDefault="00A02713" w:rsidP="0026589F">
      <w:pPr>
        <w:spacing w:line="360" w:lineRule="auto"/>
        <w:rPr>
          <w:rFonts w:asciiTheme="minorHAnsi" w:hAnsiTheme="minorHAnsi" w:cstheme="minorHAnsi"/>
        </w:rPr>
      </w:pPr>
      <w:bookmarkStart w:id="16" w:name="OLE_LINK43"/>
      <w:bookmarkStart w:id="17" w:name="OLE_LINK44"/>
      <w:bookmarkStart w:id="18" w:name="OLE_LINK45"/>
      <w:r w:rsidRPr="00A02713">
        <w:rPr>
          <w:rFonts w:asciiTheme="minorHAnsi" w:hAnsiTheme="minorHAnsi" w:cstheme="minorHAnsi"/>
        </w:rPr>
        <w:t>A notable pattern observed was the tendency for children to consistently choose the same area within the enhanced provision, even when given free choice. This repetition in selection raises questions about the factors influencing children's preferences and the need for variety and diversity in learning opportunities to promote holistic development.</w:t>
      </w:r>
      <w:r w:rsidR="0026589F">
        <w:rPr>
          <w:rFonts w:asciiTheme="minorHAnsi" w:hAnsiTheme="minorHAnsi" w:cstheme="minorHAnsi"/>
        </w:rPr>
        <w:t xml:space="preserve"> In addition to this </w:t>
      </w:r>
      <w:proofErr w:type="spellStart"/>
      <w:r w:rsidR="0026589F">
        <w:rPr>
          <w:rFonts w:asciiTheme="minorHAnsi" w:hAnsiTheme="minorHAnsi" w:cstheme="minorHAnsi"/>
        </w:rPr>
        <w:t>Tudge</w:t>
      </w:r>
      <w:proofErr w:type="spellEnd"/>
      <w:r w:rsidR="0026589F">
        <w:rPr>
          <w:rFonts w:asciiTheme="minorHAnsi" w:hAnsiTheme="minorHAnsi" w:cstheme="minorHAnsi"/>
        </w:rPr>
        <w:t xml:space="preserve"> &amp; Doucet (2004) emphasise the role of environmental factors in shaping children’s choices and behaviours. </w:t>
      </w:r>
      <w:proofErr w:type="spellStart"/>
      <w:r w:rsidR="0026589F">
        <w:rPr>
          <w:rFonts w:asciiTheme="minorHAnsi" w:hAnsiTheme="minorHAnsi" w:cstheme="minorHAnsi"/>
        </w:rPr>
        <w:t>Tudge</w:t>
      </w:r>
      <w:proofErr w:type="spellEnd"/>
      <w:r w:rsidR="0026589F">
        <w:rPr>
          <w:rFonts w:asciiTheme="minorHAnsi" w:hAnsiTheme="minorHAnsi" w:cstheme="minorHAnsi"/>
        </w:rPr>
        <w:t xml:space="preserve"> &amp; Doucet argue that learners gravitate towards familiar and comfortable spaces, which may limit their exploration of new areas. </w:t>
      </w:r>
    </w:p>
    <w:p w14:paraId="109D38D6" w14:textId="77777777" w:rsidR="0026589F" w:rsidRDefault="0026589F" w:rsidP="00A02713">
      <w:pPr>
        <w:spacing w:line="360" w:lineRule="auto"/>
        <w:rPr>
          <w:rFonts w:asciiTheme="minorHAnsi" w:hAnsiTheme="minorHAnsi" w:cstheme="minorHAnsi"/>
        </w:rPr>
      </w:pPr>
    </w:p>
    <w:p w14:paraId="69D9D760" w14:textId="38ED2D81" w:rsidR="00A02713" w:rsidRDefault="00A02713" w:rsidP="00A02713">
      <w:pPr>
        <w:spacing w:line="360" w:lineRule="auto"/>
        <w:rPr>
          <w:rFonts w:asciiTheme="minorHAnsi" w:hAnsiTheme="minorHAnsi" w:cstheme="minorHAnsi"/>
        </w:rPr>
      </w:pPr>
      <w:r w:rsidRPr="00A02713">
        <w:rPr>
          <w:rFonts w:asciiTheme="minorHAnsi" w:hAnsiTheme="minorHAnsi" w:cstheme="minorHAnsi"/>
        </w:rPr>
        <w:t>The consistent selection of the same area by children suggests a need for further investigation into the factors influencing their choices. It may indicate a preference for familiarity and routine, or it could signal a lack of awareness or exposure to the full range of options available within the enhanced provision.</w:t>
      </w:r>
      <w:r w:rsidR="0026589F">
        <w:rPr>
          <w:rFonts w:asciiTheme="minorHAnsi" w:hAnsiTheme="minorHAnsi" w:cstheme="minorHAnsi"/>
        </w:rPr>
        <w:t xml:space="preserve"> In addition to this Stipek and Byler (1997) suggest that learners preferences can be influenced by various factors  such as peer interactions teacher encouragement and novelty of activities. Furthermore, Vygotsky (1978) concept of zone of proximal development highlights the importance of providing children with a range of experiences that both support abilities and challenging. </w:t>
      </w:r>
    </w:p>
    <w:p w14:paraId="72DCA753" w14:textId="1FA8736D" w:rsidR="0026589F" w:rsidRDefault="0026589F" w:rsidP="00A02713">
      <w:pPr>
        <w:spacing w:line="360" w:lineRule="auto"/>
        <w:rPr>
          <w:rFonts w:asciiTheme="minorHAnsi" w:hAnsiTheme="minorHAnsi" w:cstheme="minorHAnsi"/>
        </w:rPr>
      </w:pPr>
    </w:p>
    <w:bookmarkEnd w:id="16"/>
    <w:bookmarkEnd w:id="17"/>
    <w:bookmarkEnd w:id="18"/>
    <w:p w14:paraId="27321BDF" w14:textId="004B80BD"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Theme 3: Challenges in Creating New Enhanced Provision</w:t>
      </w:r>
    </w:p>
    <w:p w14:paraId="4863EFF6" w14:textId="0648E556" w:rsidR="00A02713" w:rsidRPr="00A02713" w:rsidRDefault="00A02713" w:rsidP="00A02713">
      <w:pPr>
        <w:spacing w:line="360" w:lineRule="auto"/>
        <w:rPr>
          <w:rFonts w:asciiTheme="minorHAnsi" w:hAnsiTheme="minorHAnsi" w:cstheme="minorHAnsi"/>
        </w:rPr>
      </w:pPr>
      <w:bookmarkStart w:id="19" w:name="OLE_LINK46"/>
      <w:bookmarkStart w:id="20" w:name="OLE_LINK47"/>
      <w:r w:rsidRPr="00A02713">
        <w:rPr>
          <w:rFonts w:asciiTheme="minorHAnsi" w:hAnsiTheme="minorHAnsi" w:cstheme="minorHAnsi"/>
        </w:rPr>
        <w:t>Interviews with the class teacher highlighted the difficulty in creating new enhanced provision areas to support each topic due to time constraints and funding limitations. This theme underscores the practical challenges faced by educators in designing and maintaining enriched learning environments that align with curriculum objectives and student interests.</w:t>
      </w:r>
      <w:r w:rsidR="0026589F">
        <w:rPr>
          <w:rFonts w:asciiTheme="minorHAnsi" w:hAnsiTheme="minorHAnsi" w:cstheme="minorHAnsi"/>
        </w:rPr>
        <w:t xml:space="preserve"> Literature on educational resource allocation and time management validates these challenges. Research conducted by Hammond (2010) discusses the importance of adequate resources and time for effective teaching and learning. Similarly, Gewirtz et al (2006) highlights the impact of funding disparities on educational equity and the provision of enriched learning opportunities. </w:t>
      </w:r>
    </w:p>
    <w:p w14:paraId="5CF5F924" w14:textId="77777777" w:rsidR="0026589F" w:rsidRDefault="0026589F" w:rsidP="00A02713">
      <w:pPr>
        <w:spacing w:line="360" w:lineRule="auto"/>
        <w:rPr>
          <w:rFonts w:asciiTheme="minorHAnsi" w:hAnsiTheme="minorHAnsi" w:cstheme="minorHAnsi"/>
        </w:rPr>
      </w:pPr>
    </w:p>
    <w:p w14:paraId="114BE7C3" w14:textId="5F02EAFA"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The challenges cited by the class teacher in creating new enhanced provision areas highlight systemic issues related to resource allocation and time management. These constraints may limit the ability of educators to innovate and adapt their teaching practices to meet the evolving needs and interests of students.</w:t>
      </w:r>
      <w:r w:rsidR="0026589F">
        <w:rPr>
          <w:rFonts w:asciiTheme="minorHAnsi" w:hAnsiTheme="minorHAnsi" w:cstheme="minorHAnsi"/>
        </w:rPr>
        <w:t xml:space="preserve"> Although, Apple (2004) and Freire (1970) emphasize the need for systematic change to address inequities and support teachers in creating inclusive and enriching learning environments. </w:t>
      </w:r>
    </w:p>
    <w:bookmarkEnd w:id="19"/>
    <w:bookmarkEnd w:id="20"/>
    <w:p w14:paraId="4A7E4D63" w14:textId="77777777" w:rsidR="0026589F" w:rsidRDefault="0026589F" w:rsidP="00A02713">
      <w:pPr>
        <w:spacing w:line="360" w:lineRule="auto"/>
        <w:rPr>
          <w:rFonts w:asciiTheme="minorHAnsi" w:hAnsiTheme="minorHAnsi" w:cstheme="minorHAnsi"/>
        </w:rPr>
      </w:pPr>
    </w:p>
    <w:p w14:paraId="2AF14ABF" w14:textId="0DFD53A3"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rPr>
        <w:t>The limited use of the role play area may contribute to the repetitive selection of other areas within the enhanced provision, as children may gravitate towards activities they perceive as more engaging or accessible. The challenges faced by teachers in creating new enhanced provision areas may exacerbate the issue of limited engagement, as the lack of variety and novelty in learning experiences may diminish children's motivation and enthusiasm for exploration.</w:t>
      </w:r>
    </w:p>
    <w:p w14:paraId="05CD3D7C" w14:textId="77777777" w:rsidR="00A02713" w:rsidRPr="00A02713" w:rsidRDefault="00A02713" w:rsidP="00A02713">
      <w:pPr>
        <w:spacing w:line="360" w:lineRule="auto"/>
        <w:jc w:val="center"/>
        <w:rPr>
          <w:rFonts w:asciiTheme="minorHAnsi" w:hAnsiTheme="minorHAnsi" w:cstheme="minorHAnsi"/>
          <w:b/>
          <w:bCs/>
          <w:u w:val="single"/>
        </w:rPr>
      </w:pPr>
    </w:p>
    <w:p w14:paraId="2F7EC8D2"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The identified themes underscore the importance of addressing barriers to engagement and promoting a diverse range of learning opportunities within the reception class setting. Strategies to enhance children's utilization of role play areas and encourage exploration of different enhanced provision areas should be explored, taking into account the practical constraints faced by educators.</w:t>
      </w:r>
    </w:p>
    <w:p w14:paraId="2DEAF33C" w14:textId="77777777" w:rsidR="00A02713" w:rsidRPr="00A02713" w:rsidRDefault="00A02713" w:rsidP="00A02713">
      <w:pPr>
        <w:spacing w:line="360" w:lineRule="auto"/>
        <w:jc w:val="center"/>
        <w:rPr>
          <w:rFonts w:asciiTheme="minorHAnsi" w:hAnsiTheme="minorHAnsi" w:cstheme="minorHAnsi"/>
          <w:b/>
          <w:bCs/>
          <w:u w:val="single"/>
        </w:rPr>
      </w:pPr>
    </w:p>
    <w:p w14:paraId="6DCAC988" w14:textId="22119D6A" w:rsidR="00A02713" w:rsidRPr="00A02713" w:rsidRDefault="006B119C" w:rsidP="00A02713">
      <w:pPr>
        <w:spacing w:line="360" w:lineRule="auto"/>
        <w:rPr>
          <w:rFonts w:asciiTheme="minorHAnsi" w:hAnsiTheme="minorHAnsi" w:cstheme="minorHAnsi"/>
        </w:rPr>
      </w:pPr>
      <w:r>
        <w:rPr>
          <w:rFonts w:asciiTheme="minorHAnsi" w:hAnsiTheme="minorHAnsi" w:cstheme="minorHAnsi"/>
        </w:rPr>
        <w:t>T</w:t>
      </w:r>
      <w:r w:rsidR="00A02713" w:rsidRPr="00A02713">
        <w:rPr>
          <w:rFonts w:asciiTheme="minorHAnsi" w:hAnsiTheme="minorHAnsi" w:cstheme="minorHAnsi"/>
        </w:rPr>
        <w:t>he data analysis highlights key insights into the utilization of enhanced provision areas in the reception class setting, revealing challenges related to engagement, choice, and resource allocation. Addressing these challenges requires a multifaceted approach that considers both pedagogical strategies and systemic supports to create enriching learning environments for young children.</w:t>
      </w:r>
    </w:p>
    <w:p w14:paraId="1744B1A7" w14:textId="77777777" w:rsidR="006B119C" w:rsidRDefault="006B119C" w:rsidP="00A02713">
      <w:pPr>
        <w:spacing w:line="360" w:lineRule="auto"/>
        <w:jc w:val="center"/>
        <w:rPr>
          <w:rFonts w:asciiTheme="minorHAnsi" w:hAnsiTheme="minorHAnsi" w:cstheme="minorHAnsi"/>
          <w:b/>
          <w:bCs/>
          <w:u w:val="single"/>
        </w:rPr>
      </w:pPr>
    </w:p>
    <w:p w14:paraId="1392AB15" w14:textId="18D0A488"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Conclusion </w:t>
      </w:r>
    </w:p>
    <w:p w14:paraId="2E45CE66" w14:textId="77777777"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 xml:space="preserve">In conclusion, the research on learning experiences during enhanced provision in reception classes provides valuable insights into the dynamics of early childhood education. By employing a comprehensive data analysis plan that integrates qualitative and quantitative methods, the study illuminates key themes such as the learning environment, teacher-child </w:t>
      </w:r>
      <w:r w:rsidRPr="00A02713">
        <w:rPr>
          <w:rFonts w:asciiTheme="minorHAnsi" w:hAnsiTheme="minorHAnsi" w:cstheme="minorHAnsi"/>
        </w:rPr>
        <w:lastRenderedPageBreak/>
        <w:t>interactions, and curriculum effectiveness. These findings contribute to a deeper understanding of how enhanced provision impacts reception children's learning and development.</w:t>
      </w:r>
    </w:p>
    <w:p w14:paraId="470BFBE4" w14:textId="77777777" w:rsidR="005979C7" w:rsidRPr="00A02713" w:rsidRDefault="005979C7" w:rsidP="00A02713">
      <w:pPr>
        <w:spacing w:line="360" w:lineRule="auto"/>
        <w:rPr>
          <w:rFonts w:asciiTheme="minorHAnsi" w:hAnsiTheme="minorHAnsi" w:cstheme="minorHAnsi"/>
        </w:rPr>
      </w:pPr>
    </w:p>
    <w:p w14:paraId="31CB35B1" w14:textId="77777777"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This research aligns with various teaching strands, including pedagogy, curriculum development, and classroom management. By understanding the nuances of enhanced provision, educators can tailor their teaching practices to create engaging and enriching learning experiences for young learners. Furthermore, insights from this research can inform curriculum design, enabling educators to incorporate effective strategies and resources into their teaching repertoire.</w:t>
      </w:r>
    </w:p>
    <w:p w14:paraId="5BD7954D" w14:textId="77777777" w:rsidR="005979C7" w:rsidRPr="00A02713" w:rsidRDefault="005979C7" w:rsidP="00A02713">
      <w:pPr>
        <w:spacing w:line="360" w:lineRule="auto"/>
        <w:rPr>
          <w:rFonts w:asciiTheme="minorHAnsi" w:hAnsiTheme="minorHAnsi" w:cstheme="minorHAnsi"/>
        </w:rPr>
      </w:pPr>
    </w:p>
    <w:p w14:paraId="52E35BCC" w14:textId="40EED452"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 xml:space="preserve">As a future </w:t>
      </w:r>
      <w:r w:rsidRPr="00A02713">
        <w:rPr>
          <w:rFonts w:asciiTheme="minorHAnsi" w:hAnsiTheme="minorHAnsi" w:cstheme="minorHAnsi"/>
        </w:rPr>
        <w:t>teacher</w:t>
      </w:r>
      <w:r w:rsidRPr="00A02713">
        <w:rPr>
          <w:rFonts w:asciiTheme="minorHAnsi" w:hAnsiTheme="minorHAnsi" w:cstheme="minorHAnsi"/>
        </w:rPr>
        <w:t xml:space="preserve">, this research will support my teaching by providing evidence-based strategies to enhance learning experiences in reception classes. By applying the findings in practice, I can create a supportive and stimulating learning environment that fosters children's curiosity, creativity, and critical thinking skills. </w:t>
      </w:r>
    </w:p>
    <w:p w14:paraId="61C0263D" w14:textId="77777777" w:rsidR="005979C7" w:rsidRPr="00A02713" w:rsidRDefault="005979C7" w:rsidP="00A02713">
      <w:pPr>
        <w:spacing w:line="360" w:lineRule="auto"/>
        <w:jc w:val="center"/>
        <w:rPr>
          <w:rFonts w:asciiTheme="minorHAnsi" w:hAnsiTheme="minorHAnsi" w:cstheme="minorHAnsi"/>
          <w:b/>
          <w:bCs/>
          <w:u w:val="single"/>
        </w:rPr>
      </w:pPr>
    </w:p>
    <w:p w14:paraId="01F0E261" w14:textId="5BFF583D"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Recommendations </w:t>
      </w:r>
    </w:p>
    <w:p w14:paraId="27D784CB" w14:textId="71A8655C"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 xml:space="preserve">Based on the research findings, recommendations to enhance early childhood education include optimizing learning environments to support exploration and collaboration, fostering positive teacher-child interactions, and aligning the curriculum with children's interests and developmental needs. Additionally, promoting parental involvement and providing professional development opportunities for practitioners are crucial for supporting children's holistic development. Continuous monitoring and evaluation of enhanced provision practices ensure ongoing improvement and effectiveness. By implementing these recommendations, </w:t>
      </w:r>
      <w:r w:rsidR="00E05062" w:rsidRPr="00A02713">
        <w:rPr>
          <w:rFonts w:asciiTheme="minorHAnsi" w:hAnsiTheme="minorHAnsi" w:cstheme="minorHAnsi"/>
        </w:rPr>
        <w:t xml:space="preserve">as a future teacher I </w:t>
      </w:r>
      <w:r w:rsidRPr="00A02713">
        <w:rPr>
          <w:rFonts w:asciiTheme="minorHAnsi" w:hAnsiTheme="minorHAnsi" w:cstheme="minorHAnsi"/>
        </w:rPr>
        <w:t>can create enriching learning environments that maximize children's potential and promote their overall well-being. These strategies align with best practices in early childhood education and contribute to the ongoing improvement of teaching and learning experiences in reception classes.</w:t>
      </w:r>
    </w:p>
    <w:p w14:paraId="199E76DD" w14:textId="77777777" w:rsidR="00C70E21" w:rsidRPr="00A67458" w:rsidRDefault="00C70E21" w:rsidP="003B5AC8">
      <w:pPr>
        <w:spacing w:line="360" w:lineRule="auto"/>
        <w:rPr>
          <w:rFonts w:asciiTheme="minorHAnsi" w:hAnsiTheme="minorHAnsi" w:cstheme="minorHAnsi"/>
          <w:b/>
          <w:bCs/>
          <w:sz w:val="28"/>
          <w:szCs w:val="28"/>
          <w:u w:val="single"/>
        </w:rPr>
      </w:pPr>
    </w:p>
    <w:p w14:paraId="372868D7" w14:textId="77777777" w:rsidR="00A02713" w:rsidRDefault="00A02713" w:rsidP="00A02713">
      <w:pPr>
        <w:spacing w:line="360" w:lineRule="auto"/>
        <w:rPr>
          <w:rFonts w:asciiTheme="minorHAnsi" w:hAnsiTheme="minorHAnsi" w:cstheme="minorHAnsi"/>
          <w:b/>
          <w:bCs/>
          <w:sz w:val="28"/>
          <w:szCs w:val="28"/>
          <w:u w:val="single"/>
        </w:rPr>
      </w:pPr>
    </w:p>
    <w:p w14:paraId="1D65CEA9" w14:textId="13EEB810" w:rsidR="0026589F" w:rsidRPr="0026589F" w:rsidRDefault="00D53201" w:rsidP="0026589F">
      <w:pPr>
        <w:spacing w:line="360" w:lineRule="auto"/>
        <w:rPr>
          <w:rFonts w:asciiTheme="minorHAnsi" w:hAnsiTheme="minorHAnsi" w:cstheme="minorHAnsi"/>
          <w:b/>
          <w:bCs/>
          <w:sz w:val="28"/>
          <w:szCs w:val="28"/>
          <w:u w:val="single"/>
        </w:rPr>
      </w:pPr>
      <w:r w:rsidRPr="00A67458">
        <w:rPr>
          <w:rFonts w:asciiTheme="minorHAnsi" w:hAnsiTheme="minorHAnsi" w:cstheme="minorHAnsi"/>
          <w:b/>
          <w:bCs/>
          <w:sz w:val="28"/>
          <w:szCs w:val="28"/>
          <w:u w:val="single"/>
        </w:rPr>
        <w:t>Reference list:</w:t>
      </w:r>
    </w:p>
    <w:p w14:paraId="65B5DAFF" w14:textId="4817F5A2" w:rsidR="0026589F" w:rsidRDefault="0026589F" w:rsidP="0026589F">
      <w:pPr>
        <w:rPr>
          <w:rFonts w:ascii="Calibri" w:hAnsi="Calibri" w:cs="Calibri"/>
        </w:rPr>
      </w:pPr>
      <w:r w:rsidRPr="0026589F">
        <w:rPr>
          <w:rFonts w:ascii="Calibri" w:hAnsi="Calibri" w:cs="Calibri"/>
        </w:rPr>
        <w:lastRenderedPageBreak/>
        <w:t>Apple, M. W. (2004). Ideology and curriculum (3rd ed.). Routledge.</w:t>
      </w:r>
    </w:p>
    <w:p w14:paraId="5A372E0D" w14:textId="77777777" w:rsidR="0026589F" w:rsidRPr="0026589F" w:rsidRDefault="0026589F" w:rsidP="0026589F">
      <w:pPr>
        <w:rPr>
          <w:rFonts w:ascii="Calibri" w:hAnsi="Calibri" w:cs="Calibri"/>
        </w:rPr>
      </w:pPr>
    </w:p>
    <w:p w14:paraId="0C9F62EC" w14:textId="11EE9FA3" w:rsidR="0026589F" w:rsidRDefault="0026589F" w:rsidP="00A02713">
      <w:pPr>
        <w:rPr>
          <w:rFonts w:asciiTheme="minorHAnsi" w:hAnsiTheme="minorHAnsi" w:cstheme="minorHAnsi"/>
        </w:rPr>
      </w:pPr>
      <w:r w:rsidRPr="00A02713">
        <w:rPr>
          <w:rFonts w:asciiTheme="minorHAnsi" w:hAnsiTheme="minorHAnsi" w:cstheme="minorHAnsi"/>
        </w:rPr>
        <w:t>BERA (2018). Ethical guidelines for educational research. British Educational Research Association.</w:t>
      </w:r>
    </w:p>
    <w:p w14:paraId="0A6EEDCF" w14:textId="77777777" w:rsidR="0026589F" w:rsidRDefault="0026589F" w:rsidP="00A02713">
      <w:pPr>
        <w:rPr>
          <w:rFonts w:asciiTheme="minorHAnsi" w:hAnsiTheme="minorHAnsi" w:cstheme="minorHAnsi"/>
        </w:rPr>
      </w:pPr>
    </w:p>
    <w:p w14:paraId="59A2BBFE" w14:textId="5CA5DD83" w:rsidR="0026589F" w:rsidRDefault="0026589F" w:rsidP="00A02713">
      <w:pPr>
        <w:rPr>
          <w:rFonts w:asciiTheme="minorHAnsi" w:hAnsiTheme="minorHAnsi" w:cstheme="minorHAnsi"/>
        </w:rPr>
      </w:pPr>
      <w:r w:rsidRPr="00A02713">
        <w:rPr>
          <w:rFonts w:asciiTheme="minorHAnsi" w:hAnsiTheme="minorHAnsi" w:cstheme="minorHAnsi"/>
        </w:rPr>
        <w:t xml:space="preserve">Bogdan, R. C., &amp; Biklen, S. K. (2006). Qualitative Research for Education: An Introduction to Theories and Methods (5th ed.). </w:t>
      </w:r>
      <w:proofErr w:type="spellStart"/>
      <w:r w:rsidRPr="00A02713">
        <w:rPr>
          <w:rFonts w:asciiTheme="minorHAnsi" w:hAnsiTheme="minorHAnsi" w:cstheme="minorHAnsi"/>
        </w:rPr>
        <w:t>Allyn</w:t>
      </w:r>
      <w:proofErr w:type="spellEnd"/>
      <w:r w:rsidRPr="00A02713">
        <w:rPr>
          <w:rFonts w:asciiTheme="minorHAnsi" w:hAnsiTheme="minorHAnsi" w:cstheme="minorHAnsi"/>
        </w:rPr>
        <w:t xml:space="preserve"> &amp; Bacon.</w:t>
      </w:r>
    </w:p>
    <w:p w14:paraId="27E9FC05" w14:textId="77777777" w:rsidR="0026589F" w:rsidRDefault="0026589F" w:rsidP="00A02713">
      <w:pPr>
        <w:rPr>
          <w:rFonts w:asciiTheme="minorHAnsi" w:hAnsiTheme="minorHAnsi" w:cstheme="minorHAnsi"/>
        </w:rPr>
      </w:pPr>
    </w:p>
    <w:p w14:paraId="17DA7FC9" w14:textId="5676043D" w:rsidR="0026589F" w:rsidRDefault="0026589F" w:rsidP="00A02713">
      <w:pPr>
        <w:rPr>
          <w:rFonts w:asciiTheme="minorHAnsi" w:hAnsiTheme="minorHAnsi" w:cstheme="minorHAnsi"/>
        </w:rPr>
      </w:pPr>
      <w:r w:rsidRPr="00A02713">
        <w:rPr>
          <w:rFonts w:asciiTheme="minorHAnsi" w:hAnsiTheme="minorHAnsi" w:cstheme="minorHAnsi"/>
        </w:rPr>
        <w:t>Braun, V., &amp; Clarke, V. (2006). Using thematic analysis in psychology. Qualitative Research in Psychology, 3(2), 77–101.</w:t>
      </w:r>
    </w:p>
    <w:p w14:paraId="088D6963" w14:textId="77777777" w:rsidR="0026589F" w:rsidRDefault="0026589F" w:rsidP="00A02713">
      <w:pPr>
        <w:rPr>
          <w:rFonts w:asciiTheme="minorHAnsi" w:hAnsiTheme="minorHAnsi" w:cstheme="minorHAnsi"/>
        </w:rPr>
      </w:pPr>
    </w:p>
    <w:p w14:paraId="3464F113" w14:textId="3410AA8C" w:rsidR="0026589F" w:rsidRDefault="0026589F" w:rsidP="00A02713">
      <w:pPr>
        <w:rPr>
          <w:rFonts w:asciiTheme="minorHAnsi" w:hAnsiTheme="minorHAnsi" w:cstheme="minorHAnsi"/>
        </w:rPr>
      </w:pPr>
      <w:r w:rsidRPr="00A02713">
        <w:rPr>
          <w:rFonts w:asciiTheme="minorHAnsi" w:hAnsiTheme="minorHAnsi" w:cstheme="minorHAnsi"/>
        </w:rPr>
        <w:t>Cohen, L., Manion, L., &amp; Morrison, K. (2007). Research methods in education. Routledge.</w:t>
      </w:r>
    </w:p>
    <w:p w14:paraId="7E6B7D72" w14:textId="77777777" w:rsidR="0026589F" w:rsidRDefault="0026589F" w:rsidP="00A02713">
      <w:pPr>
        <w:rPr>
          <w:rFonts w:asciiTheme="minorHAnsi" w:hAnsiTheme="minorHAnsi" w:cstheme="minorHAnsi"/>
        </w:rPr>
      </w:pPr>
    </w:p>
    <w:p w14:paraId="1F814271" w14:textId="7CB86E47" w:rsidR="0026589F" w:rsidRDefault="0026589F" w:rsidP="00A02713">
      <w:pPr>
        <w:rPr>
          <w:rFonts w:asciiTheme="minorHAnsi" w:hAnsiTheme="minorHAnsi" w:cstheme="minorHAnsi"/>
        </w:rPr>
      </w:pPr>
      <w:r w:rsidRPr="00A02713">
        <w:rPr>
          <w:rFonts w:asciiTheme="minorHAnsi" w:hAnsiTheme="minorHAnsi" w:cstheme="minorHAnsi"/>
        </w:rPr>
        <w:t>Corsaro, W. A. (2015). The Sociology of Childhood. Sage.</w:t>
      </w:r>
    </w:p>
    <w:p w14:paraId="4A6BA157" w14:textId="77777777" w:rsidR="0026589F" w:rsidRDefault="0026589F" w:rsidP="00A02713">
      <w:pPr>
        <w:rPr>
          <w:rFonts w:asciiTheme="minorHAnsi" w:hAnsiTheme="minorHAnsi" w:cstheme="minorHAnsi"/>
        </w:rPr>
      </w:pPr>
    </w:p>
    <w:p w14:paraId="3CDEA90A" w14:textId="1E1950B6" w:rsidR="0026589F" w:rsidRDefault="0026589F" w:rsidP="00A02713">
      <w:pPr>
        <w:rPr>
          <w:rFonts w:asciiTheme="minorHAnsi" w:hAnsiTheme="minorHAnsi" w:cstheme="minorHAnsi"/>
        </w:rPr>
      </w:pPr>
      <w:r w:rsidRPr="00A02713">
        <w:rPr>
          <w:rFonts w:asciiTheme="minorHAnsi" w:hAnsiTheme="minorHAnsi" w:cstheme="minorHAnsi"/>
        </w:rPr>
        <w:t>Creswell, J. W. (2013). Qualitative Inquiry &amp; Research Design: Choosing Among Five Approaches. Sage.</w:t>
      </w:r>
    </w:p>
    <w:p w14:paraId="4C3A223E" w14:textId="77777777" w:rsidR="0026589F" w:rsidRDefault="0026589F" w:rsidP="00A02713">
      <w:pPr>
        <w:rPr>
          <w:rFonts w:asciiTheme="minorHAnsi" w:hAnsiTheme="minorHAnsi" w:cstheme="minorHAnsi"/>
        </w:rPr>
      </w:pPr>
    </w:p>
    <w:p w14:paraId="4507C31E" w14:textId="6D409357" w:rsidR="0026589F" w:rsidRDefault="0026589F" w:rsidP="00A02713">
      <w:pPr>
        <w:rPr>
          <w:rFonts w:asciiTheme="minorHAnsi" w:hAnsiTheme="minorHAnsi" w:cstheme="minorHAnsi"/>
        </w:rPr>
      </w:pPr>
      <w:r w:rsidRPr="00A02713">
        <w:rPr>
          <w:rFonts w:asciiTheme="minorHAnsi" w:hAnsiTheme="minorHAnsi" w:cstheme="minorHAnsi"/>
        </w:rPr>
        <w:t>Creswell, J. W. (2014). Research design: Qualitative, quantitative, and mixed methods approaches. SAGE Publications.</w:t>
      </w:r>
    </w:p>
    <w:p w14:paraId="6161633E" w14:textId="77777777" w:rsidR="0026589F" w:rsidRDefault="0026589F" w:rsidP="00A02713">
      <w:pPr>
        <w:rPr>
          <w:rFonts w:asciiTheme="minorHAnsi" w:hAnsiTheme="minorHAnsi" w:cstheme="minorHAnsi"/>
        </w:rPr>
      </w:pPr>
    </w:p>
    <w:p w14:paraId="55D5319C" w14:textId="70293E6D" w:rsidR="0026589F" w:rsidRDefault="0026589F" w:rsidP="00A02713">
      <w:pPr>
        <w:rPr>
          <w:rFonts w:asciiTheme="minorHAnsi" w:hAnsiTheme="minorHAnsi" w:cstheme="minorHAnsi"/>
        </w:rPr>
      </w:pPr>
      <w:r w:rsidRPr="00A02713">
        <w:rPr>
          <w:rFonts w:asciiTheme="minorHAnsi" w:hAnsiTheme="minorHAnsi" w:cstheme="minorHAnsi"/>
        </w:rPr>
        <w:t xml:space="preserve"> Creswell, J. W., &amp; Plano Clark, V. L. (2017). Designing and conducting mixed methods research (3rd ed.). Sage Publications.</w:t>
      </w:r>
    </w:p>
    <w:p w14:paraId="794CD3EE" w14:textId="77777777" w:rsidR="0026589F" w:rsidRDefault="0026589F" w:rsidP="00A02713">
      <w:pPr>
        <w:rPr>
          <w:rFonts w:asciiTheme="minorHAnsi" w:hAnsiTheme="minorHAnsi" w:cstheme="minorHAnsi"/>
        </w:rPr>
      </w:pPr>
    </w:p>
    <w:p w14:paraId="6EDD1419" w14:textId="136B46E0" w:rsidR="0026589F" w:rsidRDefault="0026589F" w:rsidP="0026589F">
      <w:pPr>
        <w:rPr>
          <w:rFonts w:ascii="Calibri" w:hAnsi="Calibri" w:cs="Calibri"/>
        </w:rPr>
      </w:pPr>
      <w:r w:rsidRPr="0026589F">
        <w:rPr>
          <w:rFonts w:ascii="Calibri" w:hAnsi="Calibri" w:cs="Calibri"/>
        </w:rPr>
        <w:t>Darling-Hammond, L. (2010). The flat world and education: How America’s commitment to equity will determine our future. Teachers College Press.</w:t>
      </w:r>
    </w:p>
    <w:p w14:paraId="158ACB21" w14:textId="77777777" w:rsidR="0026589F" w:rsidRPr="0026589F" w:rsidRDefault="0026589F" w:rsidP="0026589F">
      <w:pPr>
        <w:rPr>
          <w:rFonts w:ascii="Calibri" w:hAnsi="Calibri" w:cs="Calibri"/>
        </w:rPr>
      </w:pPr>
    </w:p>
    <w:p w14:paraId="3258E889" w14:textId="089F7CF8" w:rsidR="0026589F" w:rsidRDefault="0026589F" w:rsidP="00A02713">
      <w:pPr>
        <w:rPr>
          <w:rFonts w:asciiTheme="minorHAnsi" w:hAnsiTheme="minorHAnsi" w:cstheme="minorHAnsi"/>
        </w:rPr>
      </w:pPr>
      <w:r w:rsidRPr="00A02713">
        <w:rPr>
          <w:rFonts w:asciiTheme="minorHAnsi" w:hAnsiTheme="minorHAnsi" w:cstheme="minorHAnsi"/>
        </w:rPr>
        <w:t>Denzin, N. K., &amp; Lincoln, Y. S. (Eds.). (2018). The SAGE handbook of qualitative research. SAGE Publications.</w:t>
      </w:r>
    </w:p>
    <w:p w14:paraId="6989F09C" w14:textId="77777777" w:rsidR="0026589F" w:rsidRDefault="0026589F" w:rsidP="00A02713">
      <w:pPr>
        <w:rPr>
          <w:rFonts w:asciiTheme="minorHAnsi" w:hAnsiTheme="minorHAnsi" w:cstheme="minorHAnsi"/>
        </w:rPr>
      </w:pPr>
    </w:p>
    <w:p w14:paraId="2D701AF7" w14:textId="6BE08B8D" w:rsidR="0026589F" w:rsidRDefault="0026589F" w:rsidP="00A02713">
      <w:pPr>
        <w:rPr>
          <w:rFonts w:asciiTheme="minorHAnsi" w:hAnsiTheme="minorHAnsi" w:cstheme="minorHAnsi"/>
        </w:rPr>
      </w:pPr>
      <w:r w:rsidRPr="00A02713">
        <w:rPr>
          <w:rFonts w:asciiTheme="minorHAnsi" w:hAnsiTheme="minorHAnsi" w:cstheme="minorHAnsi"/>
        </w:rPr>
        <w:t xml:space="preserve">Department for Education (2008)  Practitioners’ experiences of the early years foundation Available at: </w:t>
      </w:r>
      <w:hyperlink r:id="rId9" w:history="1">
        <w:r w:rsidRPr="009A0AA5">
          <w:rPr>
            <w:rStyle w:val="Hyperlink"/>
            <w:rFonts w:asciiTheme="minorHAnsi" w:hAnsiTheme="minorHAnsi" w:cstheme="minorHAnsi"/>
          </w:rPr>
          <w:t>https://assets.publishing.service.gov.uk/media/5a7ada0f40f0b66a2fc033e8/DFE-RR029.pdf</w:t>
        </w:r>
      </w:hyperlink>
      <w:r w:rsidRPr="00A02713">
        <w:rPr>
          <w:rFonts w:asciiTheme="minorHAnsi" w:hAnsiTheme="minorHAnsi" w:cstheme="minorHAnsi"/>
        </w:rPr>
        <w:t>. </w:t>
      </w:r>
    </w:p>
    <w:p w14:paraId="20569C3B" w14:textId="77777777" w:rsidR="0026589F" w:rsidRDefault="0026589F" w:rsidP="00A02713">
      <w:pPr>
        <w:rPr>
          <w:rFonts w:asciiTheme="minorHAnsi" w:hAnsiTheme="minorHAnsi" w:cstheme="minorHAnsi"/>
        </w:rPr>
      </w:pPr>
    </w:p>
    <w:p w14:paraId="40C74F6B" w14:textId="35B44E96" w:rsidR="0026589F" w:rsidRDefault="0026589F" w:rsidP="00A02713">
      <w:pPr>
        <w:rPr>
          <w:rFonts w:asciiTheme="minorHAnsi" w:hAnsiTheme="minorHAnsi" w:cstheme="minorHAnsi"/>
        </w:rPr>
      </w:pPr>
      <w:r w:rsidRPr="00A02713">
        <w:rPr>
          <w:rFonts w:asciiTheme="minorHAnsi" w:hAnsiTheme="minorHAnsi" w:cstheme="minorHAnsi"/>
        </w:rPr>
        <w:t>Donaldson, G., (2015)</w:t>
      </w:r>
      <w:r w:rsidRPr="00A02713">
        <w:rPr>
          <w:rFonts w:asciiTheme="minorHAnsi" w:eastAsia="Carlito" w:hAnsiTheme="minorHAnsi" w:cstheme="minorHAnsi"/>
        </w:rPr>
        <w:t> </w:t>
      </w:r>
      <w:r w:rsidRPr="00A02713">
        <w:rPr>
          <w:rFonts w:asciiTheme="minorHAnsi" w:hAnsiTheme="minorHAnsi" w:cstheme="minorHAnsi"/>
        </w:rPr>
        <w:t>Successful futures: Independent review of curriculum and assessment arrangements in Wales. Welsh Government.</w:t>
      </w:r>
    </w:p>
    <w:p w14:paraId="6137B173" w14:textId="77777777" w:rsidR="0026589F" w:rsidRDefault="0026589F" w:rsidP="00A02713">
      <w:pPr>
        <w:rPr>
          <w:rFonts w:asciiTheme="minorHAnsi" w:hAnsiTheme="minorHAnsi" w:cstheme="minorHAnsi"/>
        </w:rPr>
      </w:pPr>
    </w:p>
    <w:p w14:paraId="393EA5F8" w14:textId="309F6444" w:rsidR="0026589F" w:rsidRDefault="0026589F" w:rsidP="00A02713">
      <w:pPr>
        <w:rPr>
          <w:rFonts w:asciiTheme="minorHAnsi" w:hAnsiTheme="minorHAnsi" w:cstheme="minorHAnsi"/>
        </w:rPr>
      </w:pPr>
      <w:r w:rsidRPr="00A02713">
        <w:rPr>
          <w:rFonts w:asciiTheme="minorHAnsi" w:hAnsiTheme="minorHAnsi" w:cstheme="minorHAnsi"/>
        </w:rPr>
        <w:t>Estyn (2015) </w:t>
      </w:r>
      <w:r w:rsidRPr="00A02713">
        <w:rPr>
          <w:rFonts w:asciiTheme="minorHAnsi" w:hAnsiTheme="minorHAnsi" w:cstheme="minorHAnsi"/>
          <w:highlight w:val="black"/>
        </w:rPr>
        <w:t>Romilly Community Primary School,</w:t>
      </w:r>
      <w:r w:rsidRPr="00A02713">
        <w:rPr>
          <w:rFonts w:asciiTheme="minorHAnsi" w:hAnsiTheme="minorHAnsi" w:cstheme="minorHAnsi"/>
        </w:rPr>
        <w:t xml:space="preserve"> Estyn. </w:t>
      </w:r>
    </w:p>
    <w:p w14:paraId="6DD65639" w14:textId="77777777" w:rsidR="0026589F" w:rsidRDefault="0026589F" w:rsidP="00A02713">
      <w:pPr>
        <w:rPr>
          <w:rFonts w:asciiTheme="minorHAnsi" w:hAnsiTheme="minorHAnsi" w:cstheme="minorHAnsi"/>
        </w:rPr>
      </w:pPr>
    </w:p>
    <w:p w14:paraId="3371FCBA" w14:textId="77777777" w:rsidR="0026589F" w:rsidRPr="0026589F" w:rsidRDefault="0026589F" w:rsidP="0026589F">
      <w:pPr>
        <w:rPr>
          <w:rFonts w:ascii="Calibri" w:hAnsi="Calibri" w:cs="Calibri"/>
        </w:rPr>
      </w:pPr>
      <w:r w:rsidRPr="0026589F">
        <w:rPr>
          <w:rFonts w:ascii="Calibri" w:hAnsi="Calibri" w:cs="Calibri"/>
        </w:rPr>
        <w:t>Freire, P. (1970). Pedagogy of the oppressed. Continuum.</w:t>
      </w:r>
    </w:p>
    <w:p w14:paraId="36F9390C" w14:textId="52B6BA86" w:rsidR="0026589F" w:rsidRDefault="0026589F" w:rsidP="00A02713">
      <w:pPr>
        <w:rPr>
          <w:rFonts w:asciiTheme="minorHAnsi" w:hAnsiTheme="minorHAnsi" w:cstheme="minorHAnsi"/>
        </w:rPr>
      </w:pPr>
      <w:r w:rsidRPr="00A02713">
        <w:rPr>
          <w:rFonts w:asciiTheme="minorHAnsi" w:hAnsiTheme="minorHAnsi" w:cstheme="minorHAnsi"/>
        </w:rPr>
        <w:t>Gall , M.D., Borg, W.R. and Gall, J.P., (1996). Educational research. White Plains, NY: Longman.</w:t>
      </w:r>
    </w:p>
    <w:p w14:paraId="471E7D39" w14:textId="77777777" w:rsidR="0026589F" w:rsidRDefault="0026589F" w:rsidP="00A02713">
      <w:pPr>
        <w:rPr>
          <w:rFonts w:asciiTheme="minorHAnsi" w:hAnsiTheme="minorHAnsi" w:cstheme="minorHAnsi"/>
        </w:rPr>
      </w:pPr>
    </w:p>
    <w:p w14:paraId="120E5429" w14:textId="77B6C5AD" w:rsidR="0026589F" w:rsidRDefault="0026589F" w:rsidP="0026589F">
      <w:pPr>
        <w:rPr>
          <w:rFonts w:ascii="Calibri" w:hAnsi="Calibri" w:cs="Calibri"/>
        </w:rPr>
      </w:pPr>
      <w:r w:rsidRPr="0026589F">
        <w:rPr>
          <w:rFonts w:ascii="Calibri" w:hAnsi="Calibri" w:cs="Calibri"/>
        </w:rPr>
        <w:t>Gewirtz, S., Ball, S. J., &amp; Bowe, R. (2006). Markets, choice, and equity in education. McGraw-Hill Education (UK).</w:t>
      </w:r>
    </w:p>
    <w:p w14:paraId="39CA731C" w14:textId="77777777" w:rsidR="0026589F" w:rsidRPr="0026589F" w:rsidRDefault="0026589F" w:rsidP="0026589F">
      <w:pPr>
        <w:rPr>
          <w:rFonts w:ascii="Calibri" w:hAnsi="Calibri" w:cs="Calibri"/>
        </w:rPr>
      </w:pPr>
    </w:p>
    <w:p w14:paraId="4ABF515B" w14:textId="26AEDD5A" w:rsidR="0026589F" w:rsidRDefault="0026589F" w:rsidP="00A02713">
      <w:pPr>
        <w:rPr>
          <w:rFonts w:asciiTheme="minorHAnsi" w:hAnsiTheme="minorHAnsi" w:cstheme="minorHAnsi"/>
        </w:rPr>
      </w:pPr>
      <w:r w:rsidRPr="00A02713">
        <w:rPr>
          <w:rFonts w:asciiTheme="minorHAnsi" w:hAnsiTheme="minorHAnsi" w:cstheme="minorHAnsi"/>
        </w:rPr>
        <w:lastRenderedPageBreak/>
        <w:t>Hammersley, M. (2013). What is ethnography? Can it survive? Should it? Ethnography and Education, 8(3), 250-264.</w:t>
      </w:r>
    </w:p>
    <w:p w14:paraId="1D6E99EB" w14:textId="77777777" w:rsidR="0026589F" w:rsidRPr="00A02713" w:rsidRDefault="0026589F" w:rsidP="00A02713">
      <w:pPr>
        <w:rPr>
          <w:rFonts w:asciiTheme="minorHAnsi" w:hAnsiTheme="minorHAnsi" w:cstheme="minorHAnsi"/>
        </w:rPr>
      </w:pPr>
    </w:p>
    <w:p w14:paraId="28A0ED32" w14:textId="37138624" w:rsidR="0026589F" w:rsidRDefault="0026589F" w:rsidP="0026589F">
      <w:pPr>
        <w:rPr>
          <w:rFonts w:ascii="Calibri" w:hAnsi="Calibri" w:cs="Calibri"/>
        </w:rPr>
      </w:pPr>
      <w:r w:rsidRPr="0026589F">
        <w:rPr>
          <w:rFonts w:ascii="Calibri" w:hAnsi="Calibri" w:cs="Calibri"/>
        </w:rPr>
        <w:t>Hughes, F. P. (2006). Children, play, and development. SAGE Publications.</w:t>
      </w:r>
    </w:p>
    <w:p w14:paraId="030DEEA5" w14:textId="77777777" w:rsidR="0026589F" w:rsidRPr="0026589F" w:rsidRDefault="0026589F" w:rsidP="0026589F">
      <w:pPr>
        <w:rPr>
          <w:rFonts w:ascii="Calibri" w:hAnsi="Calibri" w:cs="Calibri"/>
        </w:rPr>
      </w:pPr>
    </w:p>
    <w:p w14:paraId="40B86889" w14:textId="4888E211" w:rsidR="0026589F" w:rsidRDefault="0026589F" w:rsidP="00A02713">
      <w:pPr>
        <w:rPr>
          <w:rFonts w:asciiTheme="minorHAnsi" w:hAnsiTheme="minorHAnsi" w:cstheme="minorHAnsi"/>
        </w:rPr>
      </w:pPr>
      <w:r w:rsidRPr="00A02713">
        <w:rPr>
          <w:rFonts w:asciiTheme="minorHAnsi" w:hAnsiTheme="minorHAnsi" w:cstheme="minorHAnsi"/>
        </w:rPr>
        <w:t>Johnson, A. (2020). Ethical considerations in educational research. Journal of Educational Research, 15(2), 123-135.</w:t>
      </w:r>
    </w:p>
    <w:p w14:paraId="465593E0" w14:textId="77777777" w:rsidR="0026589F" w:rsidRDefault="0026589F" w:rsidP="00A02713">
      <w:pPr>
        <w:rPr>
          <w:rFonts w:asciiTheme="minorHAnsi" w:hAnsiTheme="minorHAnsi" w:cstheme="minorHAnsi"/>
        </w:rPr>
      </w:pPr>
    </w:p>
    <w:p w14:paraId="7D8F33A5" w14:textId="5C16BFDB" w:rsidR="0026589F" w:rsidRDefault="0026589F" w:rsidP="00A02713">
      <w:pPr>
        <w:rPr>
          <w:rFonts w:asciiTheme="minorHAnsi" w:hAnsiTheme="minorHAnsi" w:cstheme="minorHAnsi"/>
        </w:rPr>
      </w:pPr>
      <w:r w:rsidRPr="00A02713">
        <w:rPr>
          <w:rFonts w:asciiTheme="minorHAnsi" w:hAnsiTheme="minorHAnsi" w:cstheme="minorHAnsi"/>
        </w:rPr>
        <w:t>Johnson, M. L., &amp; Wilson, R. B. (2018). Professional Development Needs of Early Years Teachers for Effective Enhanced Provision. Early Childhood Education Journal, 46(4), 543-557.</w:t>
      </w:r>
    </w:p>
    <w:p w14:paraId="6FCB1956" w14:textId="77777777" w:rsidR="0026589F" w:rsidRDefault="0026589F" w:rsidP="00A02713">
      <w:pPr>
        <w:rPr>
          <w:rFonts w:asciiTheme="minorHAnsi" w:hAnsiTheme="minorHAnsi" w:cstheme="minorHAnsi"/>
        </w:rPr>
      </w:pPr>
    </w:p>
    <w:p w14:paraId="79BD4603" w14:textId="5D97DDD8" w:rsidR="0026589F" w:rsidRDefault="0026589F" w:rsidP="00A02713">
      <w:pPr>
        <w:rPr>
          <w:rFonts w:asciiTheme="minorHAnsi" w:hAnsiTheme="minorHAnsi" w:cstheme="minorHAnsi"/>
        </w:rPr>
      </w:pPr>
      <w:r w:rsidRPr="00A02713">
        <w:rPr>
          <w:rFonts w:asciiTheme="minorHAnsi" w:hAnsiTheme="minorHAnsi" w:cstheme="minorHAnsi"/>
        </w:rPr>
        <w:t>Jones, L., &amp; Smith, K. (2020). Enhancing Learning in Reception Classes: The Role of Teacher Practices. Journal of Early Childhood Education, 45(2), 123-136.</w:t>
      </w:r>
    </w:p>
    <w:p w14:paraId="26268D00" w14:textId="77777777" w:rsidR="0026589F" w:rsidRDefault="0026589F" w:rsidP="00A02713">
      <w:pPr>
        <w:rPr>
          <w:rFonts w:asciiTheme="minorHAnsi" w:hAnsiTheme="minorHAnsi" w:cstheme="minorHAnsi"/>
        </w:rPr>
      </w:pPr>
    </w:p>
    <w:p w14:paraId="6D33D1B4" w14:textId="2FFBF133" w:rsidR="0026589F" w:rsidRDefault="0026589F" w:rsidP="00A02713">
      <w:pPr>
        <w:rPr>
          <w:rFonts w:asciiTheme="minorHAnsi" w:hAnsiTheme="minorHAnsi" w:cstheme="minorHAnsi"/>
        </w:rPr>
      </w:pPr>
      <w:r w:rsidRPr="00A02713">
        <w:rPr>
          <w:rFonts w:asciiTheme="minorHAnsi" w:hAnsiTheme="minorHAnsi" w:cstheme="minorHAnsi"/>
        </w:rPr>
        <w:t>Jones, L., &amp; Smith, K. (2020). Enhancing Learning in Reception Classes: The Role of Teacher Practices. Journal of Early Childhood Education, 45(2), 123-136.</w:t>
      </w:r>
    </w:p>
    <w:p w14:paraId="6F60EDD8" w14:textId="77777777" w:rsidR="0026589F" w:rsidRDefault="0026589F" w:rsidP="00A02713">
      <w:pPr>
        <w:rPr>
          <w:rFonts w:asciiTheme="minorHAnsi" w:hAnsiTheme="minorHAnsi" w:cstheme="minorHAnsi"/>
        </w:rPr>
      </w:pPr>
    </w:p>
    <w:p w14:paraId="7800E6E4" w14:textId="749159C6" w:rsidR="0026589F" w:rsidRDefault="0026589F" w:rsidP="00A02713">
      <w:pPr>
        <w:rPr>
          <w:rFonts w:asciiTheme="minorHAnsi" w:hAnsiTheme="minorHAnsi" w:cstheme="minorHAnsi"/>
        </w:rPr>
      </w:pPr>
      <w:r w:rsidRPr="00A02713">
        <w:rPr>
          <w:rFonts w:asciiTheme="minorHAnsi" w:hAnsiTheme="minorHAnsi" w:cstheme="minorHAnsi"/>
        </w:rPr>
        <w:t>Merriam, S. B. (2009). Qualitative research: A guide to design and implementation. John Wiley &amp; Sons.</w:t>
      </w:r>
    </w:p>
    <w:p w14:paraId="072DE6C3" w14:textId="77777777" w:rsidR="0026589F" w:rsidRDefault="0026589F" w:rsidP="00A02713">
      <w:pPr>
        <w:rPr>
          <w:rFonts w:asciiTheme="minorHAnsi" w:hAnsiTheme="minorHAnsi" w:cstheme="minorHAnsi"/>
        </w:rPr>
      </w:pPr>
    </w:p>
    <w:p w14:paraId="55A6A672" w14:textId="06FA74A0" w:rsidR="0026589F" w:rsidRDefault="0026589F" w:rsidP="00A02713">
      <w:pPr>
        <w:rPr>
          <w:rFonts w:asciiTheme="minorHAnsi" w:hAnsiTheme="minorHAnsi" w:cstheme="minorHAnsi"/>
        </w:rPr>
      </w:pPr>
      <w:r w:rsidRPr="00A02713">
        <w:rPr>
          <w:rFonts w:asciiTheme="minorHAnsi" w:hAnsiTheme="minorHAnsi" w:cstheme="minorHAnsi"/>
        </w:rPr>
        <w:t xml:space="preserve">Merriam, S. B., &amp; </w:t>
      </w:r>
      <w:proofErr w:type="spellStart"/>
      <w:r w:rsidRPr="00A02713">
        <w:rPr>
          <w:rFonts w:asciiTheme="minorHAnsi" w:hAnsiTheme="minorHAnsi" w:cstheme="minorHAnsi"/>
        </w:rPr>
        <w:t>Tisdell</w:t>
      </w:r>
      <w:proofErr w:type="spellEnd"/>
      <w:r w:rsidRPr="00A02713">
        <w:rPr>
          <w:rFonts w:asciiTheme="minorHAnsi" w:hAnsiTheme="minorHAnsi" w:cstheme="minorHAnsi"/>
        </w:rPr>
        <w:t>, E. J. (2015). Qualitative Research: A Guide to Design and Implementation (4th ed.). Jossey-Bass.</w:t>
      </w:r>
    </w:p>
    <w:p w14:paraId="5158D0ED" w14:textId="77777777" w:rsidR="0026589F" w:rsidRDefault="0026589F" w:rsidP="00A02713">
      <w:pPr>
        <w:rPr>
          <w:rFonts w:asciiTheme="minorHAnsi" w:hAnsiTheme="minorHAnsi" w:cstheme="minorHAnsi"/>
        </w:rPr>
      </w:pPr>
    </w:p>
    <w:p w14:paraId="754C59B9" w14:textId="5753F3C8" w:rsidR="0026589F" w:rsidRDefault="0026589F" w:rsidP="00A02713">
      <w:pPr>
        <w:rPr>
          <w:rFonts w:asciiTheme="minorHAnsi" w:hAnsiTheme="minorHAnsi" w:cstheme="minorHAnsi"/>
        </w:rPr>
      </w:pPr>
      <w:r w:rsidRPr="00A02713">
        <w:rPr>
          <w:rFonts w:asciiTheme="minorHAnsi" w:hAnsiTheme="minorHAnsi" w:cstheme="minorHAnsi"/>
        </w:rPr>
        <w:t xml:space="preserve">Miles, M. B., Huberman, A. M., &amp; </w:t>
      </w:r>
      <w:proofErr w:type="spellStart"/>
      <w:r w:rsidRPr="00A02713">
        <w:rPr>
          <w:rFonts w:asciiTheme="minorHAnsi" w:hAnsiTheme="minorHAnsi" w:cstheme="minorHAnsi"/>
        </w:rPr>
        <w:t>Saldaña</w:t>
      </w:r>
      <w:proofErr w:type="spellEnd"/>
      <w:r w:rsidRPr="00A02713">
        <w:rPr>
          <w:rFonts w:asciiTheme="minorHAnsi" w:hAnsiTheme="minorHAnsi" w:cstheme="minorHAnsi"/>
        </w:rPr>
        <w:t>, J. (2014). Qualitative data analysis: A methods sourcebook. Sage Publications.</w:t>
      </w:r>
    </w:p>
    <w:p w14:paraId="4ABC17C6" w14:textId="77777777" w:rsidR="0026589F" w:rsidRDefault="0026589F" w:rsidP="00A02713">
      <w:pPr>
        <w:rPr>
          <w:rFonts w:asciiTheme="minorHAnsi" w:hAnsiTheme="minorHAnsi" w:cstheme="minorHAnsi"/>
        </w:rPr>
      </w:pPr>
    </w:p>
    <w:p w14:paraId="0D1B0725" w14:textId="2CE8D1C9" w:rsidR="0026589F" w:rsidRDefault="0026589F" w:rsidP="00A02713">
      <w:pPr>
        <w:rPr>
          <w:rFonts w:asciiTheme="minorHAnsi" w:hAnsiTheme="minorHAnsi" w:cstheme="minorHAnsi"/>
        </w:rPr>
      </w:pPr>
      <w:r w:rsidRPr="00A02713">
        <w:rPr>
          <w:rFonts w:asciiTheme="minorHAnsi" w:hAnsiTheme="minorHAnsi" w:cstheme="minorHAnsi"/>
        </w:rPr>
        <w:t>Patton, M. Q. (2015). Qualitative research &amp; evaluation methods: Integrating theory and practice. SAGE Publications.</w:t>
      </w:r>
    </w:p>
    <w:p w14:paraId="7AC4D11A" w14:textId="77777777" w:rsidR="0026589F" w:rsidRDefault="0026589F" w:rsidP="00A02713">
      <w:pPr>
        <w:rPr>
          <w:rFonts w:asciiTheme="minorHAnsi" w:hAnsiTheme="minorHAnsi" w:cstheme="minorHAnsi"/>
        </w:rPr>
      </w:pPr>
    </w:p>
    <w:p w14:paraId="60EDD082" w14:textId="6B96BE6A" w:rsidR="0026589F" w:rsidRDefault="0026589F" w:rsidP="00A02713">
      <w:pPr>
        <w:rPr>
          <w:rFonts w:asciiTheme="minorHAnsi" w:hAnsiTheme="minorHAnsi" w:cstheme="minorHAnsi"/>
        </w:rPr>
      </w:pPr>
      <w:r w:rsidRPr="00A02713">
        <w:rPr>
          <w:rFonts w:asciiTheme="minorHAnsi" w:hAnsiTheme="minorHAnsi" w:cstheme="minorHAnsi"/>
        </w:rPr>
        <w:t>Pellegrini, A. D., &amp; Blatchford, P. (2000). The child at school: Interactions with peers and teachers. Psychology Press.</w:t>
      </w:r>
    </w:p>
    <w:p w14:paraId="1113DEF9" w14:textId="77777777" w:rsidR="0026589F" w:rsidRDefault="0026589F" w:rsidP="00A02713">
      <w:pPr>
        <w:rPr>
          <w:rFonts w:asciiTheme="minorHAnsi" w:hAnsiTheme="minorHAnsi" w:cstheme="minorHAnsi"/>
        </w:rPr>
      </w:pPr>
    </w:p>
    <w:p w14:paraId="1E6502AA" w14:textId="50E6A6AF" w:rsidR="0026589F" w:rsidRDefault="0026589F" w:rsidP="0026589F">
      <w:pPr>
        <w:rPr>
          <w:rFonts w:ascii="Calibri" w:hAnsi="Calibri" w:cs="Calibri"/>
        </w:rPr>
      </w:pPr>
      <w:r w:rsidRPr="0026589F">
        <w:rPr>
          <w:rFonts w:ascii="Calibri" w:hAnsi="Calibri" w:cs="Calibri"/>
        </w:rPr>
        <w:t>Pellegrini, A. D., &amp; Smith, P. K. (1998). The development of play during childhood: Forms and possible functions. Child Psychology and Psychiatry Review, 3(2), 51-57.</w:t>
      </w:r>
    </w:p>
    <w:p w14:paraId="3B957785" w14:textId="77777777" w:rsidR="0026589F" w:rsidRPr="0026589F" w:rsidRDefault="0026589F" w:rsidP="0026589F">
      <w:pPr>
        <w:rPr>
          <w:rFonts w:ascii="Calibri" w:hAnsi="Calibri" w:cs="Calibri"/>
        </w:rPr>
      </w:pPr>
    </w:p>
    <w:p w14:paraId="2423FBC4" w14:textId="425DB0AD" w:rsidR="0026589F" w:rsidRDefault="0026589F" w:rsidP="00A02713">
      <w:pPr>
        <w:rPr>
          <w:rFonts w:asciiTheme="minorHAnsi" w:hAnsiTheme="minorHAnsi" w:cstheme="minorHAnsi"/>
        </w:rPr>
      </w:pPr>
      <w:r w:rsidRPr="00A02713">
        <w:rPr>
          <w:rFonts w:asciiTheme="minorHAnsi" w:hAnsiTheme="minorHAnsi" w:cstheme="minorHAnsi"/>
        </w:rPr>
        <w:t>Piaget, J., (1976). Piaget’s theory.</w:t>
      </w:r>
    </w:p>
    <w:p w14:paraId="1F4FBBDC" w14:textId="77777777" w:rsidR="0026589F" w:rsidRDefault="0026589F" w:rsidP="00A02713">
      <w:pPr>
        <w:rPr>
          <w:rFonts w:asciiTheme="minorHAnsi" w:hAnsiTheme="minorHAnsi" w:cstheme="minorHAnsi"/>
        </w:rPr>
      </w:pPr>
    </w:p>
    <w:p w14:paraId="137E5709" w14:textId="77777777" w:rsidR="0026589F" w:rsidRDefault="0026589F" w:rsidP="00A02713">
      <w:pPr>
        <w:rPr>
          <w:rFonts w:asciiTheme="minorHAnsi" w:hAnsiTheme="minorHAnsi" w:cstheme="minorHAnsi"/>
        </w:rPr>
      </w:pPr>
      <w:r w:rsidRPr="00A02713">
        <w:rPr>
          <w:rFonts w:asciiTheme="minorHAnsi" w:hAnsiTheme="minorHAnsi" w:cstheme="minorHAnsi"/>
        </w:rPr>
        <w:t>Priya, A. (2020) ‘Case study methodology of qualitative research: Key attributes and navigating the conundrums in its Application’, Sociological Bulletin, 70(1), pp. 94–110. doi:10.1177/0038022920970318. </w:t>
      </w:r>
    </w:p>
    <w:p w14:paraId="70DDBD06" w14:textId="7016EB07" w:rsidR="0026589F" w:rsidRDefault="0026589F" w:rsidP="00A02713">
      <w:pPr>
        <w:rPr>
          <w:rFonts w:asciiTheme="minorHAnsi" w:hAnsiTheme="minorHAnsi" w:cstheme="minorHAnsi"/>
        </w:rPr>
      </w:pPr>
      <w:r w:rsidRPr="00A02713">
        <w:rPr>
          <w:rFonts w:asciiTheme="minorHAnsi" w:hAnsiTheme="minorHAnsi" w:cstheme="minorHAnsi"/>
        </w:rPr>
        <w:t>Robert K. Yin.(2014). Case Study Research Design and Methods . Canadian Journal of Program Evaluation, 30(1), pp.108-110.</w:t>
      </w:r>
    </w:p>
    <w:p w14:paraId="3A4350D9" w14:textId="77777777" w:rsidR="0026589F" w:rsidRDefault="0026589F" w:rsidP="00A02713">
      <w:pPr>
        <w:rPr>
          <w:rFonts w:asciiTheme="minorHAnsi" w:hAnsiTheme="minorHAnsi" w:cstheme="minorHAnsi"/>
        </w:rPr>
      </w:pPr>
    </w:p>
    <w:p w14:paraId="05A97755" w14:textId="43815E7D" w:rsidR="0026589F" w:rsidRDefault="0026589F" w:rsidP="00A02713">
      <w:pPr>
        <w:rPr>
          <w:rFonts w:asciiTheme="minorHAnsi" w:hAnsiTheme="minorHAnsi" w:cstheme="minorHAnsi"/>
        </w:rPr>
      </w:pPr>
      <w:r w:rsidRPr="00A02713">
        <w:rPr>
          <w:rFonts w:asciiTheme="minorHAnsi" w:hAnsiTheme="minorHAnsi" w:cstheme="minorHAnsi"/>
        </w:rPr>
        <w:t>Robson, S. and Hedges, A., (1993). Analysis and interpretation of qualitative findings. Report of the MRS Qualitative Interest Group. Market Research Society. Journal., 35(1), pp.1-13.</w:t>
      </w:r>
    </w:p>
    <w:p w14:paraId="5512AA17" w14:textId="77777777" w:rsidR="0026589F" w:rsidRDefault="0026589F" w:rsidP="00A02713">
      <w:pPr>
        <w:rPr>
          <w:rFonts w:asciiTheme="minorHAnsi" w:hAnsiTheme="minorHAnsi" w:cstheme="minorHAnsi"/>
        </w:rPr>
      </w:pPr>
    </w:p>
    <w:p w14:paraId="5153BDF0" w14:textId="4814158A" w:rsidR="0026589F" w:rsidRDefault="0026589F" w:rsidP="00A02713">
      <w:pPr>
        <w:rPr>
          <w:rFonts w:asciiTheme="minorHAnsi" w:hAnsiTheme="minorHAnsi" w:cstheme="minorHAnsi"/>
        </w:rPr>
      </w:pPr>
      <w:r w:rsidRPr="00A02713">
        <w:rPr>
          <w:rFonts w:asciiTheme="minorHAnsi" w:hAnsiTheme="minorHAnsi" w:cstheme="minorHAnsi"/>
        </w:rPr>
        <w:lastRenderedPageBreak/>
        <w:t>Simons, H., (2009). Case study research in practice. Case study research in practice, pp.1-200.</w:t>
      </w:r>
    </w:p>
    <w:p w14:paraId="458B1929" w14:textId="77777777" w:rsidR="0026589F" w:rsidRDefault="0026589F" w:rsidP="00A02713">
      <w:pPr>
        <w:rPr>
          <w:rFonts w:asciiTheme="minorHAnsi" w:hAnsiTheme="minorHAnsi" w:cstheme="minorHAnsi"/>
        </w:rPr>
      </w:pPr>
    </w:p>
    <w:p w14:paraId="14AA73A9" w14:textId="0451256C" w:rsidR="0026589F" w:rsidRDefault="0026589F" w:rsidP="00A02713">
      <w:pPr>
        <w:rPr>
          <w:rFonts w:asciiTheme="minorHAnsi" w:hAnsiTheme="minorHAnsi" w:cstheme="minorHAnsi"/>
        </w:rPr>
      </w:pPr>
      <w:r w:rsidRPr="00A02713">
        <w:rPr>
          <w:rFonts w:asciiTheme="minorHAnsi" w:hAnsiTheme="minorHAnsi" w:cstheme="minorHAnsi"/>
        </w:rPr>
        <w:t>Smith, B. (2019). Ethics in educational research: Principles and practices. Routledge.</w:t>
      </w:r>
    </w:p>
    <w:p w14:paraId="38154673" w14:textId="77777777" w:rsidR="0026589F" w:rsidRDefault="0026589F" w:rsidP="00A02713">
      <w:pPr>
        <w:rPr>
          <w:rFonts w:asciiTheme="minorHAnsi" w:hAnsiTheme="minorHAnsi" w:cstheme="minorHAnsi"/>
        </w:rPr>
      </w:pPr>
    </w:p>
    <w:p w14:paraId="6A23DB35" w14:textId="233C75AF" w:rsidR="0026589F" w:rsidRDefault="0026589F" w:rsidP="00A02713">
      <w:pPr>
        <w:rPr>
          <w:rFonts w:asciiTheme="minorHAnsi" w:hAnsiTheme="minorHAnsi" w:cstheme="minorHAnsi"/>
        </w:rPr>
      </w:pPr>
      <w:r w:rsidRPr="00A02713">
        <w:rPr>
          <w:rFonts w:asciiTheme="minorHAnsi" w:hAnsiTheme="minorHAnsi" w:cstheme="minorHAnsi"/>
        </w:rPr>
        <w:t>Smith, J. A., &amp; Brown, E. C. (2019). Teacher Strategies for Implementing Enhanced Provision in Reception Classrooms. Early Years: An International Journal of Research and Development, 39(3), 289-304.</w:t>
      </w:r>
    </w:p>
    <w:p w14:paraId="617B6E20" w14:textId="77777777" w:rsidR="0026589F" w:rsidRDefault="0026589F" w:rsidP="00A02713">
      <w:pPr>
        <w:rPr>
          <w:rFonts w:asciiTheme="minorHAnsi" w:hAnsiTheme="minorHAnsi" w:cstheme="minorHAnsi"/>
        </w:rPr>
      </w:pPr>
    </w:p>
    <w:p w14:paraId="7C9D5EA9" w14:textId="573C9A44" w:rsidR="0026589F" w:rsidRDefault="0026589F" w:rsidP="00A02713">
      <w:pPr>
        <w:rPr>
          <w:rFonts w:asciiTheme="minorHAnsi" w:hAnsiTheme="minorHAnsi" w:cstheme="minorHAnsi"/>
        </w:rPr>
      </w:pPr>
      <w:r w:rsidRPr="00A02713">
        <w:rPr>
          <w:rFonts w:asciiTheme="minorHAnsi" w:hAnsiTheme="minorHAnsi" w:cstheme="minorHAnsi"/>
        </w:rPr>
        <w:t>Smith, J., &amp; Cheyne, H. (2019). The Hawthorne effect: A randomised, controlled trial. BMC Medical Research Methodology, 19(1), 1-6.</w:t>
      </w:r>
    </w:p>
    <w:p w14:paraId="4AF6F7F9" w14:textId="77777777" w:rsidR="0026589F" w:rsidRDefault="0026589F" w:rsidP="00A02713">
      <w:pPr>
        <w:rPr>
          <w:rFonts w:asciiTheme="minorHAnsi" w:hAnsiTheme="minorHAnsi" w:cstheme="minorHAnsi"/>
        </w:rPr>
      </w:pPr>
    </w:p>
    <w:p w14:paraId="3C457481" w14:textId="7F93DA0E" w:rsidR="0026589F" w:rsidRDefault="0026589F" w:rsidP="0026589F">
      <w:pPr>
        <w:rPr>
          <w:rFonts w:ascii="Calibri" w:hAnsi="Calibri" w:cs="Calibri"/>
        </w:rPr>
      </w:pPr>
      <w:r w:rsidRPr="0026589F">
        <w:rPr>
          <w:rFonts w:ascii="Calibri" w:hAnsi="Calibri" w:cs="Calibri"/>
        </w:rPr>
        <w:t>Stipek, D. J., &amp; Byler, P. (1997). Early childhood education teachers: Do they practice what they preach? Early Childhood Research Quarterly, 12(3), 305-325.</w:t>
      </w:r>
    </w:p>
    <w:p w14:paraId="662139AE" w14:textId="77777777" w:rsidR="0026589F" w:rsidRPr="0026589F" w:rsidRDefault="0026589F" w:rsidP="0026589F">
      <w:pPr>
        <w:rPr>
          <w:rFonts w:ascii="Calibri" w:hAnsi="Calibri" w:cs="Calibri"/>
        </w:rPr>
      </w:pPr>
    </w:p>
    <w:p w14:paraId="4F933D1F" w14:textId="23AEA5F3" w:rsidR="0026589F" w:rsidRDefault="0026589F" w:rsidP="00A02713">
      <w:pPr>
        <w:rPr>
          <w:rFonts w:asciiTheme="minorHAnsi" w:hAnsiTheme="minorHAnsi" w:cstheme="minorHAnsi"/>
        </w:rPr>
      </w:pPr>
      <w:r w:rsidRPr="00A02713">
        <w:rPr>
          <w:rFonts w:asciiTheme="minorHAnsi" w:hAnsiTheme="minorHAnsi" w:cstheme="minorHAnsi"/>
        </w:rPr>
        <w:t>Taylor, C., Joshi, H. and Wright, C., (2015). Evaluating the impact of early years educational reform in Wales to age seven: the potential use of the UK Millennium Cohort Study. Journal of Education Policy, 30(5), pp.688-712.</w:t>
      </w:r>
    </w:p>
    <w:p w14:paraId="7E2117AB" w14:textId="77777777" w:rsidR="0026589F" w:rsidRDefault="0026589F" w:rsidP="00A02713">
      <w:pPr>
        <w:rPr>
          <w:rFonts w:asciiTheme="minorHAnsi" w:hAnsiTheme="minorHAnsi" w:cstheme="minorHAnsi"/>
        </w:rPr>
      </w:pPr>
    </w:p>
    <w:p w14:paraId="5E9CBA4F" w14:textId="5695E465" w:rsidR="0026589F" w:rsidRDefault="0026589F" w:rsidP="0026589F">
      <w:pPr>
        <w:rPr>
          <w:rFonts w:ascii="Calibri" w:hAnsi="Calibri" w:cs="Calibri"/>
        </w:rPr>
      </w:pPr>
      <w:proofErr w:type="spellStart"/>
      <w:r w:rsidRPr="0026589F">
        <w:rPr>
          <w:rFonts w:ascii="Calibri" w:hAnsi="Calibri" w:cs="Calibri"/>
        </w:rPr>
        <w:t>Tudge</w:t>
      </w:r>
      <w:proofErr w:type="spellEnd"/>
      <w:r w:rsidRPr="0026589F">
        <w:rPr>
          <w:rFonts w:ascii="Calibri" w:hAnsi="Calibri" w:cs="Calibri"/>
        </w:rPr>
        <w:t>, J. R., &amp; Doucet, F. (2004). Early peer interaction, social competence, and social preference in young children. Social Development, 13(3), 346-358.</w:t>
      </w:r>
    </w:p>
    <w:p w14:paraId="4F67D879" w14:textId="77777777" w:rsidR="0026589F" w:rsidRPr="0026589F" w:rsidRDefault="0026589F" w:rsidP="0026589F">
      <w:pPr>
        <w:rPr>
          <w:rFonts w:ascii="Calibri" w:hAnsi="Calibri" w:cs="Calibri"/>
        </w:rPr>
      </w:pPr>
    </w:p>
    <w:p w14:paraId="3DA43FB1" w14:textId="5DE8755E" w:rsidR="0026589F" w:rsidRDefault="0026589F" w:rsidP="00A02713">
      <w:pPr>
        <w:rPr>
          <w:rFonts w:asciiTheme="minorHAnsi" w:hAnsiTheme="minorHAnsi" w:cstheme="minorHAnsi"/>
        </w:rPr>
      </w:pPr>
      <w:r w:rsidRPr="00A02713">
        <w:rPr>
          <w:rFonts w:asciiTheme="minorHAnsi" w:hAnsiTheme="minorHAnsi" w:cstheme="minorHAnsi"/>
        </w:rPr>
        <w:t>Vygotsky, L. and Cole, M., (2018). Lev Vygotsky: Learning and social constructivism. Learning Theories for Early Years Practice. UK: SAGE Publications Inc, pp.68-73.</w:t>
      </w:r>
    </w:p>
    <w:p w14:paraId="39EB8811" w14:textId="77777777" w:rsidR="0026589F" w:rsidRDefault="0026589F" w:rsidP="00A02713">
      <w:pPr>
        <w:rPr>
          <w:rFonts w:asciiTheme="minorHAnsi" w:hAnsiTheme="minorHAnsi" w:cstheme="minorHAnsi"/>
        </w:rPr>
      </w:pPr>
    </w:p>
    <w:p w14:paraId="612C3EB8" w14:textId="1BCFC3C1" w:rsidR="0026589F" w:rsidRDefault="0026589F" w:rsidP="0026589F">
      <w:pPr>
        <w:rPr>
          <w:rFonts w:ascii="Calibri" w:hAnsi="Calibri" w:cs="Calibri"/>
        </w:rPr>
      </w:pPr>
      <w:r w:rsidRPr="0026589F">
        <w:rPr>
          <w:rFonts w:ascii="Calibri" w:hAnsi="Calibri" w:cs="Calibri"/>
        </w:rPr>
        <w:t>Vygotsky, L. S. (1978). Mind in society: The development of higher psychological processes. Harvard University Press.</w:t>
      </w:r>
    </w:p>
    <w:p w14:paraId="0C9572D9" w14:textId="77777777" w:rsidR="0026589F" w:rsidRPr="0026589F" w:rsidRDefault="0026589F" w:rsidP="0026589F">
      <w:pPr>
        <w:rPr>
          <w:rFonts w:ascii="Calibri" w:hAnsi="Calibri" w:cs="Calibri"/>
        </w:rPr>
      </w:pPr>
    </w:p>
    <w:p w14:paraId="796EF561" w14:textId="5C6396FE" w:rsidR="0026589F" w:rsidRDefault="0026589F" w:rsidP="00A02713">
      <w:pPr>
        <w:rPr>
          <w:rFonts w:asciiTheme="minorHAnsi" w:hAnsiTheme="minorHAnsi" w:cstheme="minorHAnsi"/>
        </w:rPr>
      </w:pPr>
      <w:r w:rsidRPr="00A02713">
        <w:rPr>
          <w:rFonts w:asciiTheme="minorHAnsi" w:hAnsiTheme="minorHAnsi" w:cstheme="minorHAnsi"/>
        </w:rPr>
        <w:t xml:space="preserve">WAG (2008) Foundation Phase Framework for Children’s Learning for 3-7 years olds in Wales. Cardiff: Welsh Assembly Government. </w:t>
      </w:r>
    </w:p>
    <w:p w14:paraId="73A475E5" w14:textId="77777777" w:rsidR="0026589F" w:rsidRDefault="0026589F" w:rsidP="00A02713">
      <w:pPr>
        <w:rPr>
          <w:rFonts w:asciiTheme="minorHAnsi" w:hAnsiTheme="minorHAnsi" w:cstheme="minorHAnsi"/>
        </w:rPr>
      </w:pPr>
    </w:p>
    <w:p w14:paraId="30C87097" w14:textId="074BDA6A" w:rsidR="0026589F" w:rsidRDefault="0026589F" w:rsidP="00A02713">
      <w:pPr>
        <w:rPr>
          <w:rFonts w:asciiTheme="minorHAnsi" w:hAnsiTheme="minorHAnsi" w:cstheme="minorHAnsi"/>
        </w:rPr>
      </w:pPr>
      <w:r w:rsidRPr="00A02713">
        <w:rPr>
          <w:rFonts w:asciiTheme="minorHAnsi" w:hAnsiTheme="minorHAnsi" w:cstheme="minorHAnsi"/>
        </w:rPr>
        <w:t xml:space="preserve">Welsh Government (2015) Foundation phase framework - HWB - GOV.WALES. Available at: </w:t>
      </w:r>
      <w:hyperlink r:id="rId10" w:history="1">
        <w:r w:rsidRPr="009A0AA5">
          <w:rPr>
            <w:rStyle w:val="Hyperlink"/>
            <w:rFonts w:asciiTheme="minorHAnsi" w:hAnsiTheme="minorHAnsi" w:cstheme="minorHAnsi"/>
          </w:rPr>
          <w:t>https://hwb.gov.wales/api/storage/d5d8e39c-b534-40cb-a3f5-7e2e126d8077/foundation-phase-framework.pdf</w:t>
        </w:r>
      </w:hyperlink>
      <w:r w:rsidRPr="00A02713">
        <w:rPr>
          <w:rFonts w:asciiTheme="minorHAnsi" w:hAnsiTheme="minorHAnsi" w:cstheme="minorHAnsi"/>
        </w:rPr>
        <w:t>. </w:t>
      </w:r>
    </w:p>
    <w:p w14:paraId="0406D0AE" w14:textId="77777777" w:rsidR="0026589F" w:rsidRDefault="0026589F" w:rsidP="00A02713">
      <w:pPr>
        <w:rPr>
          <w:rFonts w:asciiTheme="minorHAnsi" w:hAnsiTheme="minorHAnsi" w:cstheme="minorHAnsi"/>
        </w:rPr>
      </w:pPr>
    </w:p>
    <w:p w14:paraId="14942F7E" w14:textId="77777777" w:rsidR="0026589F" w:rsidRPr="00A02713" w:rsidRDefault="0026589F" w:rsidP="00A02713">
      <w:pPr>
        <w:rPr>
          <w:rFonts w:asciiTheme="minorHAnsi" w:hAnsiTheme="minorHAnsi" w:cstheme="minorHAnsi"/>
        </w:rPr>
      </w:pPr>
      <w:r w:rsidRPr="00A02713">
        <w:rPr>
          <w:rFonts w:asciiTheme="minorHAnsi" w:hAnsiTheme="minorHAnsi" w:cstheme="minorHAnsi"/>
        </w:rPr>
        <w:t>Yin R. (2014). Case study research and applications: Design and methods (6th ed.). SAGE Publications.</w:t>
      </w:r>
    </w:p>
    <w:p w14:paraId="6D8C793F" w14:textId="77777777" w:rsidR="00A66DB0" w:rsidRDefault="00A66DB0" w:rsidP="003B5AC8">
      <w:pPr>
        <w:spacing w:line="360" w:lineRule="auto"/>
        <w:rPr>
          <w:b/>
          <w:bCs/>
          <w:sz w:val="28"/>
          <w:szCs w:val="28"/>
          <w:u w:val="single"/>
        </w:rPr>
      </w:pPr>
    </w:p>
    <w:p w14:paraId="22FFBFD4" w14:textId="486EE30F" w:rsidR="00046BAE" w:rsidRDefault="00046BAE" w:rsidP="00046BAE">
      <w:pPr>
        <w:spacing w:line="360" w:lineRule="auto"/>
        <w:rPr>
          <w:b/>
          <w:bCs/>
          <w:sz w:val="28"/>
          <w:szCs w:val="28"/>
          <w:u w:val="single"/>
        </w:rPr>
      </w:pPr>
    </w:p>
    <w:p w14:paraId="61099562" w14:textId="0AF629D9" w:rsidR="00046BAE" w:rsidRPr="00046BAE" w:rsidRDefault="00046BAE" w:rsidP="00046BAE">
      <w:pPr>
        <w:spacing w:line="360" w:lineRule="auto"/>
        <w:rPr>
          <w:b/>
          <w:bCs/>
          <w:sz w:val="28"/>
          <w:szCs w:val="28"/>
          <w:u w:val="single"/>
        </w:rPr>
      </w:pPr>
    </w:p>
    <w:p w14:paraId="48140C39" w14:textId="77777777" w:rsidR="00D53201" w:rsidRDefault="00D53201" w:rsidP="003B5AC8">
      <w:pPr>
        <w:spacing w:line="360" w:lineRule="auto"/>
        <w:rPr>
          <w:b/>
          <w:bCs/>
          <w:sz w:val="28"/>
          <w:szCs w:val="28"/>
          <w:u w:val="single"/>
        </w:rPr>
      </w:pPr>
    </w:p>
    <w:p w14:paraId="77166F81" w14:textId="77777777" w:rsidR="00D53201" w:rsidRDefault="00D53201" w:rsidP="003B5AC8">
      <w:pPr>
        <w:spacing w:line="360" w:lineRule="auto"/>
        <w:rPr>
          <w:b/>
          <w:bCs/>
          <w:sz w:val="28"/>
          <w:szCs w:val="28"/>
          <w:u w:val="single"/>
        </w:rPr>
      </w:pPr>
    </w:p>
    <w:p w14:paraId="20E029D3" w14:textId="77777777" w:rsidR="00D53201" w:rsidRDefault="00D53201" w:rsidP="003B5AC8">
      <w:pPr>
        <w:spacing w:line="360" w:lineRule="auto"/>
        <w:rPr>
          <w:b/>
          <w:bCs/>
          <w:sz w:val="28"/>
          <w:szCs w:val="28"/>
          <w:u w:val="single"/>
        </w:rPr>
      </w:pPr>
    </w:p>
    <w:p w14:paraId="743AD78B" w14:textId="77777777" w:rsidR="00D53201" w:rsidRDefault="00D53201" w:rsidP="003B5AC8">
      <w:pPr>
        <w:spacing w:line="360" w:lineRule="auto"/>
        <w:rPr>
          <w:b/>
          <w:bCs/>
          <w:sz w:val="28"/>
          <w:szCs w:val="28"/>
          <w:u w:val="single"/>
        </w:rPr>
      </w:pPr>
    </w:p>
    <w:p w14:paraId="184D5266" w14:textId="77777777" w:rsidR="00D53201" w:rsidRDefault="00D53201" w:rsidP="003B5AC8">
      <w:pPr>
        <w:spacing w:line="360" w:lineRule="auto"/>
        <w:rPr>
          <w:b/>
          <w:bCs/>
          <w:sz w:val="28"/>
          <w:szCs w:val="28"/>
          <w:u w:val="single"/>
        </w:rPr>
      </w:pPr>
    </w:p>
    <w:p w14:paraId="774E9A68" w14:textId="77777777" w:rsidR="00D53201" w:rsidRDefault="00D53201" w:rsidP="003B5AC8">
      <w:pPr>
        <w:spacing w:line="360" w:lineRule="auto"/>
        <w:rPr>
          <w:b/>
          <w:bCs/>
          <w:sz w:val="28"/>
          <w:szCs w:val="28"/>
          <w:u w:val="single"/>
        </w:rPr>
      </w:pPr>
    </w:p>
    <w:p w14:paraId="4C5B08E2" w14:textId="77777777" w:rsidR="00D53201" w:rsidRDefault="00D53201" w:rsidP="003B5AC8">
      <w:pPr>
        <w:spacing w:line="360" w:lineRule="auto"/>
        <w:rPr>
          <w:b/>
          <w:bCs/>
          <w:sz w:val="28"/>
          <w:szCs w:val="28"/>
          <w:u w:val="single"/>
        </w:rPr>
      </w:pPr>
    </w:p>
    <w:p w14:paraId="0BC5C5F1" w14:textId="77777777" w:rsidR="00D53201" w:rsidRDefault="00D53201" w:rsidP="003B5AC8">
      <w:pPr>
        <w:spacing w:line="360" w:lineRule="auto"/>
        <w:rPr>
          <w:b/>
          <w:bCs/>
          <w:sz w:val="28"/>
          <w:szCs w:val="28"/>
          <w:u w:val="single"/>
        </w:rPr>
      </w:pPr>
    </w:p>
    <w:p w14:paraId="75496691" w14:textId="77777777" w:rsidR="00D53201" w:rsidRDefault="00D53201" w:rsidP="003B5AC8">
      <w:pPr>
        <w:spacing w:line="360" w:lineRule="auto"/>
        <w:rPr>
          <w:b/>
          <w:bCs/>
          <w:sz w:val="28"/>
          <w:szCs w:val="28"/>
          <w:u w:val="single"/>
        </w:rPr>
      </w:pPr>
    </w:p>
    <w:p w14:paraId="7ED5D760" w14:textId="77777777" w:rsidR="00D53201" w:rsidRDefault="00D53201" w:rsidP="003B5AC8">
      <w:pPr>
        <w:spacing w:line="360" w:lineRule="auto"/>
        <w:rPr>
          <w:b/>
          <w:bCs/>
          <w:sz w:val="28"/>
          <w:szCs w:val="28"/>
          <w:u w:val="single"/>
        </w:rPr>
      </w:pPr>
    </w:p>
    <w:p w14:paraId="6466AACD" w14:textId="77777777" w:rsidR="00D53201" w:rsidRDefault="00D53201" w:rsidP="003B5AC8">
      <w:pPr>
        <w:spacing w:line="360" w:lineRule="auto"/>
        <w:rPr>
          <w:b/>
          <w:bCs/>
          <w:sz w:val="28"/>
          <w:szCs w:val="28"/>
          <w:u w:val="single"/>
        </w:rPr>
      </w:pPr>
    </w:p>
    <w:p w14:paraId="6890C8E7" w14:textId="77777777" w:rsidR="00D53201" w:rsidRDefault="00D53201" w:rsidP="003B5AC8">
      <w:pPr>
        <w:spacing w:line="360" w:lineRule="auto"/>
        <w:rPr>
          <w:b/>
          <w:bCs/>
          <w:sz w:val="28"/>
          <w:szCs w:val="28"/>
          <w:u w:val="single"/>
        </w:rPr>
      </w:pPr>
    </w:p>
    <w:p w14:paraId="41243093" w14:textId="77777777" w:rsidR="00D53201" w:rsidRDefault="00D53201" w:rsidP="003B5AC8">
      <w:pPr>
        <w:spacing w:line="360" w:lineRule="auto"/>
        <w:rPr>
          <w:b/>
          <w:bCs/>
          <w:sz w:val="28"/>
          <w:szCs w:val="28"/>
          <w:u w:val="single"/>
        </w:rPr>
      </w:pPr>
    </w:p>
    <w:p w14:paraId="177750D8" w14:textId="3A954870" w:rsidR="009627B9" w:rsidRPr="00415820" w:rsidRDefault="005C2B14">
      <w:pPr>
        <w:rPr>
          <w:sz w:val="28"/>
          <w:szCs w:val="28"/>
        </w:rPr>
      </w:pPr>
      <w:r>
        <w:rPr>
          <w:sz w:val="28"/>
          <w:szCs w:val="28"/>
        </w:rPr>
        <w:t xml:space="preserve"> </w:t>
      </w:r>
    </w:p>
    <w:sectPr w:rsidR="009627B9" w:rsidRPr="00415820" w:rsidSect="00902623">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4C4A" w14:textId="77777777" w:rsidR="004A50A4" w:rsidRDefault="004A50A4" w:rsidP="0095526A">
      <w:r>
        <w:separator/>
      </w:r>
    </w:p>
  </w:endnote>
  <w:endnote w:type="continuationSeparator" w:id="0">
    <w:p w14:paraId="1DA74BD0" w14:textId="77777777" w:rsidR="004A50A4" w:rsidRDefault="004A50A4" w:rsidP="0095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rlito">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53ED" w14:textId="77777777" w:rsidR="0095526A" w:rsidRDefault="009552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BCCE" w14:textId="77777777" w:rsidR="0095526A" w:rsidRDefault="009552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B94E" w14:textId="77777777" w:rsidR="0095526A" w:rsidRDefault="0095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9CDF2" w14:textId="77777777" w:rsidR="004A50A4" w:rsidRDefault="004A50A4" w:rsidP="0095526A">
      <w:r>
        <w:separator/>
      </w:r>
    </w:p>
  </w:footnote>
  <w:footnote w:type="continuationSeparator" w:id="0">
    <w:p w14:paraId="6F956EA6" w14:textId="77777777" w:rsidR="004A50A4" w:rsidRDefault="004A50A4" w:rsidP="00955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949B7" w14:textId="77777777" w:rsidR="0095526A" w:rsidRDefault="009552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F7C5" w14:textId="2E53D263" w:rsidR="0095526A" w:rsidRDefault="0095526A">
    <w:pPr>
      <w:pStyle w:val="Header"/>
    </w:pPr>
    <w:r>
      <w:t>Millie Newman</w:t>
    </w:r>
    <w:r>
      <w:ptab w:relativeTo="margin" w:alignment="center" w:leader="none"/>
    </w:r>
    <w:r>
      <w:t>UWTSD</w:t>
    </w:r>
    <w:r>
      <w:ptab w:relativeTo="margin" w:alignment="right" w:leader="none"/>
    </w:r>
    <w:r>
      <w:t>2316601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F234" w14:textId="77777777" w:rsidR="0095526A" w:rsidRDefault="00955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6A"/>
    <w:rsid w:val="00014037"/>
    <w:rsid w:val="00046BAE"/>
    <w:rsid w:val="000C6992"/>
    <w:rsid w:val="000E0FBE"/>
    <w:rsid w:val="000E5DD6"/>
    <w:rsid w:val="00146339"/>
    <w:rsid w:val="001909E7"/>
    <w:rsid w:val="00207172"/>
    <w:rsid w:val="00223D68"/>
    <w:rsid w:val="0026589F"/>
    <w:rsid w:val="003163F9"/>
    <w:rsid w:val="003244A6"/>
    <w:rsid w:val="00362455"/>
    <w:rsid w:val="00367D8D"/>
    <w:rsid w:val="00370C62"/>
    <w:rsid w:val="003B5AC8"/>
    <w:rsid w:val="003B6027"/>
    <w:rsid w:val="00415820"/>
    <w:rsid w:val="004259AB"/>
    <w:rsid w:val="00496198"/>
    <w:rsid w:val="004A50A4"/>
    <w:rsid w:val="004A5F64"/>
    <w:rsid w:val="004E6144"/>
    <w:rsid w:val="00592391"/>
    <w:rsid w:val="005979C7"/>
    <w:rsid w:val="005C2B14"/>
    <w:rsid w:val="006511AC"/>
    <w:rsid w:val="006764FD"/>
    <w:rsid w:val="006A7489"/>
    <w:rsid w:val="006B119C"/>
    <w:rsid w:val="006B3CA3"/>
    <w:rsid w:val="006B7C18"/>
    <w:rsid w:val="006C1877"/>
    <w:rsid w:val="006F385B"/>
    <w:rsid w:val="00753BE1"/>
    <w:rsid w:val="00765BC2"/>
    <w:rsid w:val="007826E5"/>
    <w:rsid w:val="007E1592"/>
    <w:rsid w:val="007E7B85"/>
    <w:rsid w:val="007F15FA"/>
    <w:rsid w:val="007F79BE"/>
    <w:rsid w:val="0080174D"/>
    <w:rsid w:val="00812B28"/>
    <w:rsid w:val="0085566C"/>
    <w:rsid w:val="008602CF"/>
    <w:rsid w:val="008C4323"/>
    <w:rsid w:val="00902623"/>
    <w:rsid w:val="00907256"/>
    <w:rsid w:val="00914CE4"/>
    <w:rsid w:val="0093401E"/>
    <w:rsid w:val="0095526A"/>
    <w:rsid w:val="009627B9"/>
    <w:rsid w:val="0099628D"/>
    <w:rsid w:val="00A02713"/>
    <w:rsid w:val="00A66DB0"/>
    <w:rsid w:val="00A67458"/>
    <w:rsid w:val="00A7527C"/>
    <w:rsid w:val="00A754F0"/>
    <w:rsid w:val="00A8745A"/>
    <w:rsid w:val="00B019A6"/>
    <w:rsid w:val="00B07DBA"/>
    <w:rsid w:val="00B151E0"/>
    <w:rsid w:val="00B3613D"/>
    <w:rsid w:val="00B4777F"/>
    <w:rsid w:val="00BA7936"/>
    <w:rsid w:val="00BC5C04"/>
    <w:rsid w:val="00C54197"/>
    <w:rsid w:val="00C70E21"/>
    <w:rsid w:val="00CB1CFD"/>
    <w:rsid w:val="00CB627F"/>
    <w:rsid w:val="00CD5D27"/>
    <w:rsid w:val="00D26D37"/>
    <w:rsid w:val="00D53201"/>
    <w:rsid w:val="00D7505C"/>
    <w:rsid w:val="00E05062"/>
    <w:rsid w:val="00E41281"/>
    <w:rsid w:val="00E63245"/>
    <w:rsid w:val="00F84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2B4D6"/>
  <w15:docId w15:val="{20E3204F-5113-D04F-8336-7714410AB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67458"/>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5C2B14"/>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5C2B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26A"/>
    <w:pPr>
      <w:tabs>
        <w:tab w:val="center" w:pos="4680"/>
        <w:tab w:val="right" w:pos="9360"/>
      </w:tabs>
    </w:pPr>
  </w:style>
  <w:style w:type="character" w:customStyle="1" w:styleId="HeaderChar">
    <w:name w:val="Header Char"/>
    <w:basedOn w:val="DefaultParagraphFont"/>
    <w:link w:val="Header"/>
    <w:uiPriority w:val="99"/>
    <w:rsid w:val="0095526A"/>
  </w:style>
  <w:style w:type="paragraph" w:styleId="Footer">
    <w:name w:val="footer"/>
    <w:basedOn w:val="Normal"/>
    <w:link w:val="FooterChar"/>
    <w:uiPriority w:val="99"/>
    <w:unhideWhenUsed/>
    <w:rsid w:val="0095526A"/>
    <w:pPr>
      <w:tabs>
        <w:tab w:val="center" w:pos="4680"/>
        <w:tab w:val="right" w:pos="9360"/>
      </w:tabs>
    </w:pPr>
  </w:style>
  <w:style w:type="character" w:customStyle="1" w:styleId="FooterChar">
    <w:name w:val="Footer Char"/>
    <w:basedOn w:val="DefaultParagraphFont"/>
    <w:link w:val="Footer"/>
    <w:uiPriority w:val="99"/>
    <w:rsid w:val="0095526A"/>
  </w:style>
  <w:style w:type="character" w:customStyle="1" w:styleId="apple-converted-space">
    <w:name w:val="apple-converted-space"/>
    <w:basedOn w:val="DefaultParagraphFont"/>
    <w:rsid w:val="00367D8D"/>
  </w:style>
  <w:style w:type="character" w:styleId="Strong">
    <w:name w:val="Strong"/>
    <w:basedOn w:val="DefaultParagraphFont"/>
    <w:uiPriority w:val="22"/>
    <w:qFormat/>
    <w:rsid w:val="00146339"/>
    <w:rPr>
      <w:b/>
      <w:bCs/>
    </w:rPr>
  </w:style>
  <w:style w:type="paragraph" w:styleId="NormalWeb">
    <w:name w:val="Normal (Web)"/>
    <w:basedOn w:val="Normal"/>
    <w:uiPriority w:val="99"/>
    <w:unhideWhenUsed/>
    <w:rsid w:val="009627B9"/>
    <w:pPr>
      <w:spacing w:before="100" w:beforeAutospacing="1" w:after="100" w:afterAutospacing="1"/>
    </w:pPr>
  </w:style>
  <w:style w:type="paragraph" w:styleId="ListParagraph">
    <w:name w:val="List Paragraph"/>
    <w:basedOn w:val="Normal"/>
    <w:uiPriority w:val="34"/>
    <w:qFormat/>
    <w:rsid w:val="009627B9"/>
    <w:pPr>
      <w:ind w:left="720"/>
      <w:contextualSpacing/>
    </w:pPr>
  </w:style>
  <w:style w:type="table" w:styleId="TableGrid">
    <w:name w:val="Table Grid"/>
    <w:basedOn w:val="TableNormal"/>
    <w:rsid w:val="0076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764FD"/>
    <w:rPr>
      <w:i/>
      <w:iCs/>
    </w:rPr>
  </w:style>
  <w:style w:type="character" w:customStyle="1" w:styleId="Heading1Char">
    <w:name w:val="Heading 1 Char"/>
    <w:basedOn w:val="DefaultParagraphFont"/>
    <w:link w:val="Heading1"/>
    <w:uiPriority w:val="99"/>
    <w:rsid w:val="005C2B14"/>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5C2B1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C2B14"/>
    <w:pPr>
      <w:ind w:left="720" w:hanging="720"/>
    </w:pPr>
    <w:rPr>
      <w:b/>
      <w:bCs/>
      <w:sz w:val="22"/>
      <w:szCs w:val="22"/>
      <w:lang w:eastAsia="en-US"/>
    </w:rPr>
  </w:style>
  <w:style w:type="character" w:customStyle="1" w:styleId="BodyText2Char">
    <w:name w:val="Body Text 2 Char"/>
    <w:basedOn w:val="DefaultParagraphFont"/>
    <w:link w:val="BodyText2"/>
    <w:uiPriority w:val="99"/>
    <w:rsid w:val="005C2B14"/>
    <w:rPr>
      <w:rFonts w:ascii="Times New Roman" w:eastAsia="Times New Roman" w:hAnsi="Times New Roman" w:cs="Times New Roman"/>
      <w:b/>
      <w:bCs/>
      <w:sz w:val="22"/>
      <w:szCs w:val="22"/>
    </w:rPr>
  </w:style>
  <w:style w:type="paragraph" w:customStyle="1" w:styleId="deannah1">
    <w:name w:val="deannah1"/>
    <w:basedOn w:val="Normal"/>
    <w:uiPriority w:val="99"/>
    <w:rsid w:val="005C2B14"/>
    <w:pPr>
      <w:keepNext/>
      <w:spacing w:after="240"/>
    </w:pPr>
    <w:rPr>
      <w:b/>
      <w:bCs/>
      <w:lang w:eastAsia="en-US"/>
    </w:rPr>
  </w:style>
  <w:style w:type="paragraph" w:styleId="BalloonText">
    <w:name w:val="Balloon Text"/>
    <w:basedOn w:val="Normal"/>
    <w:link w:val="BalloonTextChar"/>
    <w:uiPriority w:val="99"/>
    <w:semiHidden/>
    <w:rsid w:val="005C2B1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5C2B14"/>
    <w:rPr>
      <w:rFonts w:ascii="Tahoma" w:eastAsia="Times New Roman" w:hAnsi="Tahoma" w:cs="Tahoma"/>
      <w:sz w:val="16"/>
      <w:szCs w:val="16"/>
    </w:rPr>
  </w:style>
  <w:style w:type="character" w:styleId="Hyperlink">
    <w:name w:val="Hyperlink"/>
    <w:rsid w:val="005C2B14"/>
    <w:rPr>
      <w:color w:val="0000FF"/>
      <w:u w:val="single"/>
    </w:rPr>
  </w:style>
  <w:style w:type="character" w:styleId="FollowedHyperlink">
    <w:name w:val="FollowedHyperlink"/>
    <w:uiPriority w:val="99"/>
    <w:semiHidden/>
    <w:rsid w:val="005C2B14"/>
    <w:rPr>
      <w:color w:val="800080"/>
      <w:u w:val="single"/>
    </w:rPr>
  </w:style>
  <w:style w:type="character" w:customStyle="1" w:styleId="Hyperlink1">
    <w:name w:val="Hyperlink1"/>
    <w:uiPriority w:val="99"/>
    <w:rsid w:val="005C2B14"/>
    <w:rPr>
      <w:color w:val="535353"/>
      <w:u w:val="single"/>
      <w:effect w:val="none"/>
    </w:rPr>
  </w:style>
  <w:style w:type="paragraph" w:customStyle="1" w:styleId="NormalWeb1">
    <w:name w:val="Normal (Web)1"/>
    <w:basedOn w:val="Normal"/>
    <w:uiPriority w:val="99"/>
    <w:rsid w:val="005C2B14"/>
    <w:pPr>
      <w:spacing w:before="100" w:beforeAutospacing="1" w:after="300"/>
    </w:pPr>
  </w:style>
  <w:style w:type="character" w:styleId="PageNumber">
    <w:name w:val="page number"/>
    <w:basedOn w:val="DefaultParagraphFont"/>
    <w:uiPriority w:val="99"/>
    <w:rsid w:val="005C2B14"/>
  </w:style>
  <w:style w:type="character" w:styleId="CommentReference">
    <w:name w:val="annotation reference"/>
    <w:uiPriority w:val="99"/>
    <w:semiHidden/>
    <w:unhideWhenUsed/>
    <w:rsid w:val="005C2B14"/>
    <w:rPr>
      <w:sz w:val="16"/>
      <w:szCs w:val="16"/>
    </w:rPr>
  </w:style>
  <w:style w:type="paragraph" w:styleId="CommentText">
    <w:name w:val="annotation text"/>
    <w:basedOn w:val="Normal"/>
    <w:link w:val="CommentTextChar"/>
    <w:uiPriority w:val="99"/>
    <w:semiHidden/>
    <w:unhideWhenUsed/>
    <w:rsid w:val="005C2B14"/>
    <w:rPr>
      <w:sz w:val="20"/>
      <w:szCs w:val="20"/>
      <w:lang w:eastAsia="en-US"/>
    </w:rPr>
  </w:style>
  <w:style w:type="character" w:customStyle="1" w:styleId="CommentTextChar">
    <w:name w:val="Comment Text Char"/>
    <w:basedOn w:val="DefaultParagraphFont"/>
    <w:link w:val="CommentText"/>
    <w:uiPriority w:val="99"/>
    <w:semiHidden/>
    <w:rsid w:val="005C2B1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C2B14"/>
    <w:rPr>
      <w:b/>
      <w:bCs/>
    </w:rPr>
  </w:style>
  <w:style w:type="character" w:customStyle="1" w:styleId="CommentSubjectChar">
    <w:name w:val="Comment Subject Char"/>
    <w:basedOn w:val="CommentTextChar"/>
    <w:link w:val="CommentSubject"/>
    <w:uiPriority w:val="99"/>
    <w:semiHidden/>
    <w:rsid w:val="005C2B14"/>
    <w:rPr>
      <w:rFonts w:ascii="Times New Roman" w:eastAsia="Times New Roman" w:hAnsi="Times New Roman" w:cs="Times New Roman"/>
      <w:b/>
      <w:bCs/>
      <w:sz w:val="20"/>
      <w:szCs w:val="20"/>
    </w:rPr>
  </w:style>
  <w:style w:type="character" w:styleId="UnresolvedMention">
    <w:name w:val="Unresolved Mention"/>
    <w:basedOn w:val="DefaultParagraphFont"/>
    <w:uiPriority w:val="99"/>
    <w:unhideWhenUsed/>
    <w:rsid w:val="005C2B14"/>
    <w:rPr>
      <w:color w:val="605E5C"/>
      <w:shd w:val="clear" w:color="auto" w:fill="E1DFDD"/>
    </w:rPr>
  </w:style>
  <w:style w:type="paragraph" w:customStyle="1" w:styleId="AssignBody">
    <w:name w:val="AssignBody"/>
    <w:basedOn w:val="Normal"/>
    <w:link w:val="AssignBodyChar"/>
    <w:qFormat/>
    <w:rsid w:val="005C2B14"/>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5C2B14"/>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6857">
      <w:bodyDiv w:val="1"/>
      <w:marLeft w:val="0"/>
      <w:marRight w:val="0"/>
      <w:marTop w:val="0"/>
      <w:marBottom w:val="0"/>
      <w:divBdr>
        <w:top w:val="none" w:sz="0" w:space="0" w:color="auto"/>
        <w:left w:val="none" w:sz="0" w:space="0" w:color="auto"/>
        <w:bottom w:val="none" w:sz="0" w:space="0" w:color="auto"/>
        <w:right w:val="none" w:sz="0" w:space="0" w:color="auto"/>
      </w:divBdr>
      <w:divsChild>
        <w:div w:id="2135633893">
          <w:marLeft w:val="0"/>
          <w:marRight w:val="0"/>
          <w:marTop w:val="0"/>
          <w:marBottom w:val="0"/>
          <w:divBdr>
            <w:top w:val="none" w:sz="0" w:space="0" w:color="auto"/>
            <w:left w:val="none" w:sz="0" w:space="0" w:color="auto"/>
            <w:bottom w:val="none" w:sz="0" w:space="0" w:color="auto"/>
            <w:right w:val="none" w:sz="0" w:space="0" w:color="auto"/>
          </w:divBdr>
          <w:divsChild>
            <w:div w:id="959843759">
              <w:marLeft w:val="0"/>
              <w:marRight w:val="0"/>
              <w:marTop w:val="0"/>
              <w:marBottom w:val="0"/>
              <w:divBdr>
                <w:top w:val="none" w:sz="0" w:space="0" w:color="auto"/>
                <w:left w:val="none" w:sz="0" w:space="0" w:color="auto"/>
                <w:bottom w:val="none" w:sz="0" w:space="0" w:color="auto"/>
                <w:right w:val="none" w:sz="0" w:space="0" w:color="auto"/>
              </w:divBdr>
              <w:divsChild>
                <w:div w:id="11725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191">
      <w:bodyDiv w:val="1"/>
      <w:marLeft w:val="0"/>
      <w:marRight w:val="0"/>
      <w:marTop w:val="0"/>
      <w:marBottom w:val="0"/>
      <w:divBdr>
        <w:top w:val="none" w:sz="0" w:space="0" w:color="auto"/>
        <w:left w:val="none" w:sz="0" w:space="0" w:color="auto"/>
        <w:bottom w:val="none" w:sz="0" w:space="0" w:color="auto"/>
        <w:right w:val="none" w:sz="0" w:space="0" w:color="auto"/>
      </w:divBdr>
    </w:div>
    <w:div w:id="82267745">
      <w:bodyDiv w:val="1"/>
      <w:marLeft w:val="0"/>
      <w:marRight w:val="0"/>
      <w:marTop w:val="0"/>
      <w:marBottom w:val="0"/>
      <w:divBdr>
        <w:top w:val="none" w:sz="0" w:space="0" w:color="auto"/>
        <w:left w:val="none" w:sz="0" w:space="0" w:color="auto"/>
        <w:bottom w:val="none" w:sz="0" w:space="0" w:color="auto"/>
        <w:right w:val="none" w:sz="0" w:space="0" w:color="auto"/>
      </w:divBdr>
      <w:divsChild>
        <w:div w:id="449325466">
          <w:marLeft w:val="0"/>
          <w:marRight w:val="0"/>
          <w:marTop w:val="0"/>
          <w:marBottom w:val="0"/>
          <w:divBdr>
            <w:top w:val="none" w:sz="0" w:space="0" w:color="auto"/>
            <w:left w:val="none" w:sz="0" w:space="0" w:color="auto"/>
            <w:bottom w:val="none" w:sz="0" w:space="0" w:color="auto"/>
            <w:right w:val="none" w:sz="0" w:space="0" w:color="auto"/>
          </w:divBdr>
          <w:divsChild>
            <w:div w:id="524440789">
              <w:marLeft w:val="0"/>
              <w:marRight w:val="0"/>
              <w:marTop w:val="0"/>
              <w:marBottom w:val="0"/>
              <w:divBdr>
                <w:top w:val="none" w:sz="0" w:space="0" w:color="auto"/>
                <w:left w:val="none" w:sz="0" w:space="0" w:color="auto"/>
                <w:bottom w:val="none" w:sz="0" w:space="0" w:color="auto"/>
                <w:right w:val="none" w:sz="0" w:space="0" w:color="auto"/>
              </w:divBdr>
              <w:divsChild>
                <w:div w:id="482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07139">
      <w:bodyDiv w:val="1"/>
      <w:marLeft w:val="0"/>
      <w:marRight w:val="0"/>
      <w:marTop w:val="0"/>
      <w:marBottom w:val="0"/>
      <w:divBdr>
        <w:top w:val="none" w:sz="0" w:space="0" w:color="auto"/>
        <w:left w:val="none" w:sz="0" w:space="0" w:color="auto"/>
        <w:bottom w:val="none" w:sz="0" w:space="0" w:color="auto"/>
        <w:right w:val="none" w:sz="0" w:space="0" w:color="auto"/>
      </w:divBdr>
      <w:divsChild>
        <w:div w:id="1171674128">
          <w:marLeft w:val="0"/>
          <w:marRight w:val="0"/>
          <w:marTop w:val="0"/>
          <w:marBottom w:val="0"/>
          <w:divBdr>
            <w:top w:val="none" w:sz="0" w:space="0" w:color="auto"/>
            <w:left w:val="none" w:sz="0" w:space="0" w:color="auto"/>
            <w:bottom w:val="none" w:sz="0" w:space="0" w:color="auto"/>
            <w:right w:val="none" w:sz="0" w:space="0" w:color="auto"/>
          </w:divBdr>
          <w:divsChild>
            <w:div w:id="1587424558">
              <w:marLeft w:val="0"/>
              <w:marRight w:val="0"/>
              <w:marTop w:val="0"/>
              <w:marBottom w:val="0"/>
              <w:divBdr>
                <w:top w:val="none" w:sz="0" w:space="0" w:color="auto"/>
                <w:left w:val="none" w:sz="0" w:space="0" w:color="auto"/>
                <w:bottom w:val="none" w:sz="0" w:space="0" w:color="auto"/>
                <w:right w:val="none" w:sz="0" w:space="0" w:color="auto"/>
              </w:divBdr>
              <w:divsChild>
                <w:div w:id="153649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09831">
      <w:bodyDiv w:val="1"/>
      <w:marLeft w:val="0"/>
      <w:marRight w:val="0"/>
      <w:marTop w:val="0"/>
      <w:marBottom w:val="0"/>
      <w:divBdr>
        <w:top w:val="none" w:sz="0" w:space="0" w:color="auto"/>
        <w:left w:val="none" w:sz="0" w:space="0" w:color="auto"/>
        <w:bottom w:val="none" w:sz="0" w:space="0" w:color="auto"/>
        <w:right w:val="none" w:sz="0" w:space="0" w:color="auto"/>
      </w:divBdr>
    </w:div>
    <w:div w:id="204223194">
      <w:bodyDiv w:val="1"/>
      <w:marLeft w:val="0"/>
      <w:marRight w:val="0"/>
      <w:marTop w:val="0"/>
      <w:marBottom w:val="0"/>
      <w:divBdr>
        <w:top w:val="none" w:sz="0" w:space="0" w:color="auto"/>
        <w:left w:val="none" w:sz="0" w:space="0" w:color="auto"/>
        <w:bottom w:val="none" w:sz="0" w:space="0" w:color="auto"/>
        <w:right w:val="none" w:sz="0" w:space="0" w:color="auto"/>
      </w:divBdr>
    </w:div>
    <w:div w:id="340010585">
      <w:bodyDiv w:val="1"/>
      <w:marLeft w:val="0"/>
      <w:marRight w:val="0"/>
      <w:marTop w:val="0"/>
      <w:marBottom w:val="0"/>
      <w:divBdr>
        <w:top w:val="none" w:sz="0" w:space="0" w:color="auto"/>
        <w:left w:val="none" w:sz="0" w:space="0" w:color="auto"/>
        <w:bottom w:val="none" w:sz="0" w:space="0" w:color="auto"/>
        <w:right w:val="none" w:sz="0" w:space="0" w:color="auto"/>
      </w:divBdr>
    </w:div>
    <w:div w:id="401565587">
      <w:bodyDiv w:val="1"/>
      <w:marLeft w:val="0"/>
      <w:marRight w:val="0"/>
      <w:marTop w:val="0"/>
      <w:marBottom w:val="0"/>
      <w:divBdr>
        <w:top w:val="none" w:sz="0" w:space="0" w:color="auto"/>
        <w:left w:val="none" w:sz="0" w:space="0" w:color="auto"/>
        <w:bottom w:val="none" w:sz="0" w:space="0" w:color="auto"/>
        <w:right w:val="none" w:sz="0" w:space="0" w:color="auto"/>
      </w:divBdr>
    </w:div>
    <w:div w:id="488979598">
      <w:bodyDiv w:val="1"/>
      <w:marLeft w:val="0"/>
      <w:marRight w:val="0"/>
      <w:marTop w:val="0"/>
      <w:marBottom w:val="0"/>
      <w:divBdr>
        <w:top w:val="none" w:sz="0" w:space="0" w:color="auto"/>
        <w:left w:val="none" w:sz="0" w:space="0" w:color="auto"/>
        <w:bottom w:val="none" w:sz="0" w:space="0" w:color="auto"/>
        <w:right w:val="none" w:sz="0" w:space="0" w:color="auto"/>
      </w:divBdr>
    </w:div>
    <w:div w:id="491524731">
      <w:bodyDiv w:val="1"/>
      <w:marLeft w:val="0"/>
      <w:marRight w:val="0"/>
      <w:marTop w:val="0"/>
      <w:marBottom w:val="0"/>
      <w:divBdr>
        <w:top w:val="none" w:sz="0" w:space="0" w:color="auto"/>
        <w:left w:val="none" w:sz="0" w:space="0" w:color="auto"/>
        <w:bottom w:val="none" w:sz="0" w:space="0" w:color="auto"/>
        <w:right w:val="none" w:sz="0" w:space="0" w:color="auto"/>
      </w:divBdr>
    </w:div>
    <w:div w:id="514341477">
      <w:bodyDiv w:val="1"/>
      <w:marLeft w:val="0"/>
      <w:marRight w:val="0"/>
      <w:marTop w:val="0"/>
      <w:marBottom w:val="0"/>
      <w:divBdr>
        <w:top w:val="none" w:sz="0" w:space="0" w:color="auto"/>
        <w:left w:val="none" w:sz="0" w:space="0" w:color="auto"/>
        <w:bottom w:val="none" w:sz="0" w:space="0" w:color="auto"/>
        <w:right w:val="none" w:sz="0" w:space="0" w:color="auto"/>
      </w:divBdr>
      <w:divsChild>
        <w:div w:id="825785330">
          <w:marLeft w:val="0"/>
          <w:marRight w:val="0"/>
          <w:marTop w:val="0"/>
          <w:marBottom w:val="0"/>
          <w:divBdr>
            <w:top w:val="none" w:sz="0" w:space="0" w:color="auto"/>
            <w:left w:val="none" w:sz="0" w:space="0" w:color="auto"/>
            <w:bottom w:val="none" w:sz="0" w:space="0" w:color="auto"/>
            <w:right w:val="none" w:sz="0" w:space="0" w:color="auto"/>
          </w:divBdr>
          <w:divsChild>
            <w:div w:id="1864854573">
              <w:marLeft w:val="0"/>
              <w:marRight w:val="0"/>
              <w:marTop w:val="0"/>
              <w:marBottom w:val="0"/>
              <w:divBdr>
                <w:top w:val="none" w:sz="0" w:space="0" w:color="auto"/>
                <w:left w:val="none" w:sz="0" w:space="0" w:color="auto"/>
                <w:bottom w:val="none" w:sz="0" w:space="0" w:color="auto"/>
                <w:right w:val="none" w:sz="0" w:space="0" w:color="auto"/>
              </w:divBdr>
              <w:divsChild>
                <w:div w:id="997615156">
                  <w:marLeft w:val="0"/>
                  <w:marRight w:val="0"/>
                  <w:marTop w:val="0"/>
                  <w:marBottom w:val="0"/>
                  <w:divBdr>
                    <w:top w:val="none" w:sz="0" w:space="0" w:color="auto"/>
                    <w:left w:val="none" w:sz="0" w:space="0" w:color="auto"/>
                    <w:bottom w:val="none" w:sz="0" w:space="0" w:color="auto"/>
                    <w:right w:val="none" w:sz="0" w:space="0" w:color="auto"/>
                  </w:divBdr>
                  <w:divsChild>
                    <w:div w:id="72733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606408">
      <w:bodyDiv w:val="1"/>
      <w:marLeft w:val="0"/>
      <w:marRight w:val="0"/>
      <w:marTop w:val="0"/>
      <w:marBottom w:val="0"/>
      <w:divBdr>
        <w:top w:val="none" w:sz="0" w:space="0" w:color="auto"/>
        <w:left w:val="none" w:sz="0" w:space="0" w:color="auto"/>
        <w:bottom w:val="none" w:sz="0" w:space="0" w:color="auto"/>
        <w:right w:val="none" w:sz="0" w:space="0" w:color="auto"/>
      </w:divBdr>
      <w:divsChild>
        <w:div w:id="684597571">
          <w:marLeft w:val="0"/>
          <w:marRight w:val="0"/>
          <w:marTop w:val="0"/>
          <w:marBottom w:val="0"/>
          <w:divBdr>
            <w:top w:val="none" w:sz="0" w:space="0" w:color="auto"/>
            <w:left w:val="none" w:sz="0" w:space="0" w:color="auto"/>
            <w:bottom w:val="none" w:sz="0" w:space="0" w:color="auto"/>
            <w:right w:val="none" w:sz="0" w:space="0" w:color="auto"/>
          </w:divBdr>
          <w:divsChild>
            <w:div w:id="1200439588">
              <w:marLeft w:val="0"/>
              <w:marRight w:val="0"/>
              <w:marTop w:val="0"/>
              <w:marBottom w:val="0"/>
              <w:divBdr>
                <w:top w:val="none" w:sz="0" w:space="0" w:color="auto"/>
                <w:left w:val="none" w:sz="0" w:space="0" w:color="auto"/>
                <w:bottom w:val="none" w:sz="0" w:space="0" w:color="auto"/>
                <w:right w:val="none" w:sz="0" w:space="0" w:color="auto"/>
              </w:divBdr>
              <w:divsChild>
                <w:div w:id="18554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93216">
      <w:bodyDiv w:val="1"/>
      <w:marLeft w:val="0"/>
      <w:marRight w:val="0"/>
      <w:marTop w:val="0"/>
      <w:marBottom w:val="0"/>
      <w:divBdr>
        <w:top w:val="none" w:sz="0" w:space="0" w:color="auto"/>
        <w:left w:val="none" w:sz="0" w:space="0" w:color="auto"/>
        <w:bottom w:val="none" w:sz="0" w:space="0" w:color="auto"/>
        <w:right w:val="none" w:sz="0" w:space="0" w:color="auto"/>
      </w:divBdr>
    </w:div>
    <w:div w:id="582766127">
      <w:bodyDiv w:val="1"/>
      <w:marLeft w:val="0"/>
      <w:marRight w:val="0"/>
      <w:marTop w:val="0"/>
      <w:marBottom w:val="0"/>
      <w:divBdr>
        <w:top w:val="none" w:sz="0" w:space="0" w:color="auto"/>
        <w:left w:val="none" w:sz="0" w:space="0" w:color="auto"/>
        <w:bottom w:val="none" w:sz="0" w:space="0" w:color="auto"/>
        <w:right w:val="none" w:sz="0" w:space="0" w:color="auto"/>
      </w:divBdr>
      <w:divsChild>
        <w:div w:id="220793507">
          <w:marLeft w:val="0"/>
          <w:marRight w:val="0"/>
          <w:marTop w:val="0"/>
          <w:marBottom w:val="0"/>
          <w:divBdr>
            <w:top w:val="none" w:sz="0" w:space="0" w:color="auto"/>
            <w:left w:val="none" w:sz="0" w:space="0" w:color="auto"/>
            <w:bottom w:val="none" w:sz="0" w:space="0" w:color="auto"/>
            <w:right w:val="none" w:sz="0" w:space="0" w:color="auto"/>
          </w:divBdr>
          <w:divsChild>
            <w:div w:id="582303118">
              <w:marLeft w:val="0"/>
              <w:marRight w:val="0"/>
              <w:marTop w:val="0"/>
              <w:marBottom w:val="0"/>
              <w:divBdr>
                <w:top w:val="none" w:sz="0" w:space="0" w:color="auto"/>
                <w:left w:val="none" w:sz="0" w:space="0" w:color="auto"/>
                <w:bottom w:val="none" w:sz="0" w:space="0" w:color="auto"/>
                <w:right w:val="none" w:sz="0" w:space="0" w:color="auto"/>
              </w:divBdr>
              <w:divsChild>
                <w:div w:id="85730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39284">
      <w:bodyDiv w:val="1"/>
      <w:marLeft w:val="0"/>
      <w:marRight w:val="0"/>
      <w:marTop w:val="0"/>
      <w:marBottom w:val="0"/>
      <w:divBdr>
        <w:top w:val="none" w:sz="0" w:space="0" w:color="auto"/>
        <w:left w:val="none" w:sz="0" w:space="0" w:color="auto"/>
        <w:bottom w:val="none" w:sz="0" w:space="0" w:color="auto"/>
        <w:right w:val="none" w:sz="0" w:space="0" w:color="auto"/>
      </w:divBdr>
      <w:divsChild>
        <w:div w:id="1293830744">
          <w:marLeft w:val="0"/>
          <w:marRight w:val="0"/>
          <w:marTop w:val="0"/>
          <w:marBottom w:val="0"/>
          <w:divBdr>
            <w:top w:val="none" w:sz="0" w:space="0" w:color="auto"/>
            <w:left w:val="none" w:sz="0" w:space="0" w:color="auto"/>
            <w:bottom w:val="none" w:sz="0" w:space="0" w:color="auto"/>
            <w:right w:val="none" w:sz="0" w:space="0" w:color="auto"/>
          </w:divBdr>
          <w:divsChild>
            <w:div w:id="652686672">
              <w:marLeft w:val="0"/>
              <w:marRight w:val="0"/>
              <w:marTop w:val="0"/>
              <w:marBottom w:val="0"/>
              <w:divBdr>
                <w:top w:val="none" w:sz="0" w:space="0" w:color="auto"/>
                <w:left w:val="none" w:sz="0" w:space="0" w:color="auto"/>
                <w:bottom w:val="none" w:sz="0" w:space="0" w:color="auto"/>
                <w:right w:val="none" w:sz="0" w:space="0" w:color="auto"/>
              </w:divBdr>
              <w:divsChild>
                <w:div w:id="115167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887160">
      <w:bodyDiv w:val="1"/>
      <w:marLeft w:val="0"/>
      <w:marRight w:val="0"/>
      <w:marTop w:val="0"/>
      <w:marBottom w:val="0"/>
      <w:divBdr>
        <w:top w:val="none" w:sz="0" w:space="0" w:color="auto"/>
        <w:left w:val="none" w:sz="0" w:space="0" w:color="auto"/>
        <w:bottom w:val="none" w:sz="0" w:space="0" w:color="auto"/>
        <w:right w:val="none" w:sz="0" w:space="0" w:color="auto"/>
      </w:divBdr>
    </w:div>
    <w:div w:id="1034815341">
      <w:bodyDiv w:val="1"/>
      <w:marLeft w:val="0"/>
      <w:marRight w:val="0"/>
      <w:marTop w:val="0"/>
      <w:marBottom w:val="0"/>
      <w:divBdr>
        <w:top w:val="none" w:sz="0" w:space="0" w:color="auto"/>
        <w:left w:val="none" w:sz="0" w:space="0" w:color="auto"/>
        <w:bottom w:val="none" w:sz="0" w:space="0" w:color="auto"/>
        <w:right w:val="none" w:sz="0" w:space="0" w:color="auto"/>
      </w:divBdr>
      <w:divsChild>
        <w:div w:id="175729980">
          <w:marLeft w:val="0"/>
          <w:marRight w:val="0"/>
          <w:marTop w:val="0"/>
          <w:marBottom w:val="0"/>
          <w:divBdr>
            <w:top w:val="none" w:sz="0" w:space="0" w:color="auto"/>
            <w:left w:val="none" w:sz="0" w:space="0" w:color="auto"/>
            <w:bottom w:val="none" w:sz="0" w:space="0" w:color="auto"/>
            <w:right w:val="none" w:sz="0" w:space="0" w:color="auto"/>
          </w:divBdr>
          <w:divsChild>
            <w:div w:id="496730051">
              <w:marLeft w:val="0"/>
              <w:marRight w:val="0"/>
              <w:marTop w:val="0"/>
              <w:marBottom w:val="0"/>
              <w:divBdr>
                <w:top w:val="none" w:sz="0" w:space="0" w:color="auto"/>
                <w:left w:val="none" w:sz="0" w:space="0" w:color="auto"/>
                <w:bottom w:val="none" w:sz="0" w:space="0" w:color="auto"/>
                <w:right w:val="none" w:sz="0" w:space="0" w:color="auto"/>
              </w:divBdr>
              <w:divsChild>
                <w:div w:id="1783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861076">
      <w:bodyDiv w:val="1"/>
      <w:marLeft w:val="0"/>
      <w:marRight w:val="0"/>
      <w:marTop w:val="0"/>
      <w:marBottom w:val="0"/>
      <w:divBdr>
        <w:top w:val="none" w:sz="0" w:space="0" w:color="auto"/>
        <w:left w:val="none" w:sz="0" w:space="0" w:color="auto"/>
        <w:bottom w:val="none" w:sz="0" w:space="0" w:color="auto"/>
        <w:right w:val="none" w:sz="0" w:space="0" w:color="auto"/>
      </w:divBdr>
    </w:div>
    <w:div w:id="1149984146">
      <w:bodyDiv w:val="1"/>
      <w:marLeft w:val="0"/>
      <w:marRight w:val="0"/>
      <w:marTop w:val="0"/>
      <w:marBottom w:val="0"/>
      <w:divBdr>
        <w:top w:val="none" w:sz="0" w:space="0" w:color="auto"/>
        <w:left w:val="none" w:sz="0" w:space="0" w:color="auto"/>
        <w:bottom w:val="none" w:sz="0" w:space="0" w:color="auto"/>
        <w:right w:val="none" w:sz="0" w:space="0" w:color="auto"/>
      </w:divBdr>
      <w:divsChild>
        <w:div w:id="954672869">
          <w:marLeft w:val="0"/>
          <w:marRight w:val="0"/>
          <w:marTop w:val="0"/>
          <w:marBottom w:val="0"/>
          <w:divBdr>
            <w:top w:val="none" w:sz="0" w:space="0" w:color="auto"/>
            <w:left w:val="none" w:sz="0" w:space="0" w:color="auto"/>
            <w:bottom w:val="none" w:sz="0" w:space="0" w:color="auto"/>
            <w:right w:val="none" w:sz="0" w:space="0" w:color="auto"/>
          </w:divBdr>
          <w:divsChild>
            <w:div w:id="1854952235">
              <w:marLeft w:val="0"/>
              <w:marRight w:val="0"/>
              <w:marTop w:val="0"/>
              <w:marBottom w:val="0"/>
              <w:divBdr>
                <w:top w:val="none" w:sz="0" w:space="0" w:color="auto"/>
                <w:left w:val="none" w:sz="0" w:space="0" w:color="auto"/>
                <w:bottom w:val="none" w:sz="0" w:space="0" w:color="auto"/>
                <w:right w:val="none" w:sz="0" w:space="0" w:color="auto"/>
              </w:divBdr>
              <w:divsChild>
                <w:div w:id="3342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076489">
      <w:bodyDiv w:val="1"/>
      <w:marLeft w:val="0"/>
      <w:marRight w:val="0"/>
      <w:marTop w:val="0"/>
      <w:marBottom w:val="0"/>
      <w:divBdr>
        <w:top w:val="none" w:sz="0" w:space="0" w:color="auto"/>
        <w:left w:val="none" w:sz="0" w:space="0" w:color="auto"/>
        <w:bottom w:val="none" w:sz="0" w:space="0" w:color="auto"/>
        <w:right w:val="none" w:sz="0" w:space="0" w:color="auto"/>
      </w:divBdr>
    </w:div>
    <w:div w:id="1403604611">
      <w:bodyDiv w:val="1"/>
      <w:marLeft w:val="0"/>
      <w:marRight w:val="0"/>
      <w:marTop w:val="0"/>
      <w:marBottom w:val="0"/>
      <w:divBdr>
        <w:top w:val="none" w:sz="0" w:space="0" w:color="auto"/>
        <w:left w:val="none" w:sz="0" w:space="0" w:color="auto"/>
        <w:bottom w:val="none" w:sz="0" w:space="0" w:color="auto"/>
        <w:right w:val="none" w:sz="0" w:space="0" w:color="auto"/>
      </w:divBdr>
    </w:div>
    <w:div w:id="1573616618">
      <w:bodyDiv w:val="1"/>
      <w:marLeft w:val="0"/>
      <w:marRight w:val="0"/>
      <w:marTop w:val="0"/>
      <w:marBottom w:val="0"/>
      <w:divBdr>
        <w:top w:val="none" w:sz="0" w:space="0" w:color="auto"/>
        <w:left w:val="none" w:sz="0" w:space="0" w:color="auto"/>
        <w:bottom w:val="none" w:sz="0" w:space="0" w:color="auto"/>
        <w:right w:val="none" w:sz="0" w:space="0" w:color="auto"/>
      </w:divBdr>
      <w:divsChild>
        <w:div w:id="759836020">
          <w:marLeft w:val="0"/>
          <w:marRight w:val="0"/>
          <w:marTop w:val="0"/>
          <w:marBottom w:val="0"/>
          <w:divBdr>
            <w:top w:val="none" w:sz="0" w:space="0" w:color="auto"/>
            <w:left w:val="none" w:sz="0" w:space="0" w:color="auto"/>
            <w:bottom w:val="none" w:sz="0" w:space="0" w:color="auto"/>
            <w:right w:val="none" w:sz="0" w:space="0" w:color="auto"/>
          </w:divBdr>
          <w:divsChild>
            <w:div w:id="403988024">
              <w:marLeft w:val="0"/>
              <w:marRight w:val="0"/>
              <w:marTop w:val="0"/>
              <w:marBottom w:val="0"/>
              <w:divBdr>
                <w:top w:val="none" w:sz="0" w:space="0" w:color="auto"/>
                <w:left w:val="none" w:sz="0" w:space="0" w:color="auto"/>
                <w:bottom w:val="none" w:sz="0" w:space="0" w:color="auto"/>
                <w:right w:val="none" w:sz="0" w:space="0" w:color="auto"/>
              </w:divBdr>
              <w:divsChild>
                <w:div w:id="1410424379">
                  <w:marLeft w:val="0"/>
                  <w:marRight w:val="0"/>
                  <w:marTop w:val="0"/>
                  <w:marBottom w:val="0"/>
                  <w:divBdr>
                    <w:top w:val="none" w:sz="0" w:space="0" w:color="auto"/>
                    <w:left w:val="none" w:sz="0" w:space="0" w:color="auto"/>
                    <w:bottom w:val="none" w:sz="0" w:space="0" w:color="auto"/>
                    <w:right w:val="none" w:sz="0" w:space="0" w:color="auto"/>
                  </w:divBdr>
                  <w:divsChild>
                    <w:div w:id="80859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704204">
      <w:bodyDiv w:val="1"/>
      <w:marLeft w:val="0"/>
      <w:marRight w:val="0"/>
      <w:marTop w:val="0"/>
      <w:marBottom w:val="0"/>
      <w:divBdr>
        <w:top w:val="none" w:sz="0" w:space="0" w:color="auto"/>
        <w:left w:val="none" w:sz="0" w:space="0" w:color="auto"/>
        <w:bottom w:val="none" w:sz="0" w:space="0" w:color="auto"/>
        <w:right w:val="none" w:sz="0" w:space="0" w:color="auto"/>
      </w:divBdr>
    </w:div>
    <w:div w:id="1671903055">
      <w:bodyDiv w:val="1"/>
      <w:marLeft w:val="0"/>
      <w:marRight w:val="0"/>
      <w:marTop w:val="0"/>
      <w:marBottom w:val="0"/>
      <w:divBdr>
        <w:top w:val="none" w:sz="0" w:space="0" w:color="auto"/>
        <w:left w:val="none" w:sz="0" w:space="0" w:color="auto"/>
        <w:bottom w:val="none" w:sz="0" w:space="0" w:color="auto"/>
        <w:right w:val="none" w:sz="0" w:space="0" w:color="auto"/>
      </w:divBdr>
    </w:div>
    <w:div w:id="1707022520">
      <w:bodyDiv w:val="1"/>
      <w:marLeft w:val="0"/>
      <w:marRight w:val="0"/>
      <w:marTop w:val="0"/>
      <w:marBottom w:val="0"/>
      <w:divBdr>
        <w:top w:val="none" w:sz="0" w:space="0" w:color="auto"/>
        <w:left w:val="none" w:sz="0" w:space="0" w:color="auto"/>
        <w:bottom w:val="none" w:sz="0" w:space="0" w:color="auto"/>
        <w:right w:val="none" w:sz="0" w:space="0" w:color="auto"/>
      </w:divBdr>
      <w:divsChild>
        <w:div w:id="508641314">
          <w:marLeft w:val="0"/>
          <w:marRight w:val="0"/>
          <w:marTop w:val="0"/>
          <w:marBottom w:val="0"/>
          <w:divBdr>
            <w:top w:val="none" w:sz="0" w:space="0" w:color="auto"/>
            <w:left w:val="none" w:sz="0" w:space="0" w:color="auto"/>
            <w:bottom w:val="none" w:sz="0" w:space="0" w:color="auto"/>
            <w:right w:val="none" w:sz="0" w:space="0" w:color="auto"/>
          </w:divBdr>
          <w:divsChild>
            <w:div w:id="649670930">
              <w:marLeft w:val="0"/>
              <w:marRight w:val="0"/>
              <w:marTop w:val="0"/>
              <w:marBottom w:val="0"/>
              <w:divBdr>
                <w:top w:val="none" w:sz="0" w:space="0" w:color="auto"/>
                <w:left w:val="none" w:sz="0" w:space="0" w:color="auto"/>
                <w:bottom w:val="none" w:sz="0" w:space="0" w:color="auto"/>
                <w:right w:val="none" w:sz="0" w:space="0" w:color="auto"/>
              </w:divBdr>
              <w:divsChild>
                <w:div w:id="9260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551724">
      <w:bodyDiv w:val="1"/>
      <w:marLeft w:val="0"/>
      <w:marRight w:val="0"/>
      <w:marTop w:val="0"/>
      <w:marBottom w:val="0"/>
      <w:divBdr>
        <w:top w:val="none" w:sz="0" w:space="0" w:color="auto"/>
        <w:left w:val="none" w:sz="0" w:space="0" w:color="auto"/>
        <w:bottom w:val="none" w:sz="0" w:space="0" w:color="auto"/>
        <w:right w:val="none" w:sz="0" w:space="0" w:color="auto"/>
      </w:divBdr>
    </w:div>
    <w:div w:id="1893613273">
      <w:bodyDiv w:val="1"/>
      <w:marLeft w:val="0"/>
      <w:marRight w:val="0"/>
      <w:marTop w:val="0"/>
      <w:marBottom w:val="0"/>
      <w:divBdr>
        <w:top w:val="none" w:sz="0" w:space="0" w:color="auto"/>
        <w:left w:val="none" w:sz="0" w:space="0" w:color="auto"/>
        <w:bottom w:val="none" w:sz="0" w:space="0" w:color="auto"/>
        <w:right w:val="none" w:sz="0" w:space="0" w:color="auto"/>
      </w:divBdr>
      <w:divsChild>
        <w:div w:id="1187327416">
          <w:marLeft w:val="0"/>
          <w:marRight w:val="0"/>
          <w:marTop w:val="0"/>
          <w:marBottom w:val="0"/>
          <w:divBdr>
            <w:top w:val="none" w:sz="0" w:space="0" w:color="auto"/>
            <w:left w:val="none" w:sz="0" w:space="0" w:color="auto"/>
            <w:bottom w:val="none" w:sz="0" w:space="0" w:color="auto"/>
            <w:right w:val="none" w:sz="0" w:space="0" w:color="auto"/>
          </w:divBdr>
          <w:divsChild>
            <w:div w:id="1312127680">
              <w:marLeft w:val="0"/>
              <w:marRight w:val="0"/>
              <w:marTop w:val="0"/>
              <w:marBottom w:val="0"/>
              <w:divBdr>
                <w:top w:val="none" w:sz="0" w:space="0" w:color="auto"/>
                <w:left w:val="none" w:sz="0" w:space="0" w:color="auto"/>
                <w:bottom w:val="none" w:sz="0" w:space="0" w:color="auto"/>
                <w:right w:val="none" w:sz="0" w:space="0" w:color="auto"/>
              </w:divBdr>
              <w:divsChild>
                <w:div w:id="6378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264200">
      <w:bodyDiv w:val="1"/>
      <w:marLeft w:val="0"/>
      <w:marRight w:val="0"/>
      <w:marTop w:val="0"/>
      <w:marBottom w:val="0"/>
      <w:divBdr>
        <w:top w:val="none" w:sz="0" w:space="0" w:color="auto"/>
        <w:left w:val="none" w:sz="0" w:space="0" w:color="auto"/>
        <w:bottom w:val="none" w:sz="0" w:space="0" w:color="auto"/>
        <w:right w:val="none" w:sz="0" w:space="0" w:color="auto"/>
      </w:divBdr>
    </w:div>
    <w:div w:id="2077316106">
      <w:bodyDiv w:val="1"/>
      <w:marLeft w:val="0"/>
      <w:marRight w:val="0"/>
      <w:marTop w:val="0"/>
      <w:marBottom w:val="0"/>
      <w:divBdr>
        <w:top w:val="none" w:sz="0" w:space="0" w:color="auto"/>
        <w:left w:val="none" w:sz="0" w:space="0" w:color="auto"/>
        <w:bottom w:val="none" w:sz="0" w:space="0" w:color="auto"/>
        <w:right w:val="none" w:sz="0" w:space="0" w:color="auto"/>
      </w:divBdr>
    </w:div>
    <w:div w:id="2126725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hwb.gov.wales/api/storage/d5d8e39c-b534-40cb-a3f5-7e2e126d8077/foundation-phase-framework.pdf" TargetMode="External"/><Relationship Id="rId4" Type="http://schemas.openxmlformats.org/officeDocument/2006/relationships/settings" Target="settings.xml"/><Relationship Id="rId9" Type="http://schemas.openxmlformats.org/officeDocument/2006/relationships/hyperlink" Target="https://assets.publishing.service.gov.uk/media/5a7ada0f40f0b66a2fc033e8/DFE-RR029.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17C39-65D4-3E42-A3AB-4A1BB3950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20</Pages>
  <Words>5696</Words>
  <Characters>32469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newman</dc:creator>
  <cp:keywords/>
  <dc:description/>
  <cp:lastModifiedBy>millie newman</cp:lastModifiedBy>
  <cp:revision>7</cp:revision>
  <cp:lastPrinted>2024-03-13T13:33:00Z</cp:lastPrinted>
  <dcterms:created xsi:type="dcterms:W3CDTF">2024-05-07T19:44:00Z</dcterms:created>
  <dcterms:modified xsi:type="dcterms:W3CDTF">2024-05-07T21:49:00Z</dcterms:modified>
</cp:coreProperties>
</file>