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6B419B" w:rsidRDefault="00000000">
      <w:pPr>
        <w:spacing w:after="280" w:line="360" w:lineRule="auto"/>
        <w:jc w:val="both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                            </w:t>
      </w:r>
    </w:p>
    <w:p w14:paraId="00000002" w14:textId="77777777" w:rsidR="006B419B" w:rsidRDefault="00000000">
      <w:pPr>
        <w:pBdr>
          <w:top w:val="nil"/>
          <w:left w:val="nil"/>
          <w:bottom w:val="nil"/>
          <w:right w:val="nil"/>
          <w:between w:val="nil"/>
        </w:pBdr>
        <w:spacing w:before="200" w:after="0" w:line="288" w:lineRule="auto"/>
        <w:rPr>
          <w:rFonts w:ascii="Arial" w:eastAsia="Arial" w:hAnsi="Arial" w:cs="Arial"/>
          <w:b/>
          <w:smallCaps/>
          <w:color w:val="000000"/>
          <w:sz w:val="36"/>
          <w:szCs w:val="36"/>
        </w:rPr>
      </w:pPr>
      <w:r>
        <w:rPr>
          <w:rFonts w:ascii="Arial" w:eastAsia="Arial" w:hAnsi="Arial" w:cs="Arial"/>
          <w:b/>
          <w:smallCaps/>
          <w:color w:val="000000"/>
          <w:sz w:val="36"/>
          <w:szCs w:val="36"/>
        </w:rPr>
        <w:t>MODULE: EMPOWERING THE OLDER PERSON (BMHP6027)</w:t>
      </w:r>
    </w:p>
    <w:p w14:paraId="00000003" w14:textId="77777777" w:rsidR="006B419B" w:rsidRDefault="006B419B">
      <w:pPr>
        <w:spacing w:before="280" w:after="280" w:line="240" w:lineRule="auto"/>
        <w:rPr>
          <w:rFonts w:ascii="Arial" w:eastAsia="Arial" w:hAnsi="Arial" w:cs="Arial"/>
          <w:b/>
          <w:sz w:val="36"/>
          <w:szCs w:val="36"/>
        </w:rPr>
      </w:pPr>
    </w:p>
    <w:p w14:paraId="00000004" w14:textId="77777777" w:rsidR="006B419B" w:rsidRDefault="00000000">
      <w:pPr>
        <w:spacing w:before="280" w:after="280" w:line="240" w:lineRule="auto"/>
        <w:rPr>
          <w:rFonts w:ascii="Arial" w:eastAsia="Arial" w:hAnsi="Arial" w:cs="Arial"/>
          <w:b/>
          <w:i/>
          <w:sz w:val="36"/>
          <w:szCs w:val="36"/>
        </w:rPr>
      </w:pPr>
      <w:r>
        <w:rPr>
          <w:rFonts w:ascii="Arial" w:eastAsia="Arial" w:hAnsi="Arial" w:cs="Arial"/>
          <w:b/>
          <w:sz w:val="36"/>
          <w:szCs w:val="36"/>
        </w:rPr>
        <w:t xml:space="preserve">Topic: </w:t>
      </w:r>
      <w:r>
        <w:rPr>
          <w:rFonts w:ascii="Arial" w:eastAsia="Arial" w:hAnsi="Arial" w:cs="Arial"/>
          <w:b/>
          <w:i/>
          <w:sz w:val="36"/>
          <w:szCs w:val="36"/>
        </w:rPr>
        <w:t>Which Offers Better Support for Older People with Dementia — Family Care or Professional Care?</w:t>
      </w:r>
    </w:p>
    <w:p w14:paraId="00000005" w14:textId="77777777" w:rsidR="006B419B" w:rsidRDefault="006B419B">
      <w:pPr>
        <w:spacing w:before="280" w:after="280" w:line="240" w:lineRule="auto"/>
        <w:rPr>
          <w:rFonts w:ascii="Arial" w:eastAsia="Arial" w:hAnsi="Arial" w:cs="Arial"/>
          <w:b/>
          <w:i/>
          <w:sz w:val="36"/>
          <w:szCs w:val="36"/>
        </w:rPr>
      </w:pPr>
    </w:p>
    <w:p w14:paraId="00000006" w14:textId="77777777" w:rsidR="006B419B" w:rsidRDefault="00000000">
      <w:pPr>
        <w:spacing w:before="280" w:after="280" w:line="240" w:lineRule="auto"/>
        <w:rPr>
          <w:rFonts w:ascii="Arial" w:eastAsia="Arial" w:hAnsi="Arial" w:cs="Arial"/>
          <w:b/>
          <w:sz w:val="36"/>
          <w:szCs w:val="36"/>
        </w:rPr>
      </w:pPr>
      <w:r>
        <w:rPr>
          <w:rFonts w:ascii="Arial" w:eastAsia="Arial" w:hAnsi="Arial" w:cs="Arial"/>
          <w:b/>
          <w:sz w:val="36"/>
          <w:szCs w:val="36"/>
        </w:rPr>
        <w:t>Role: Professional Care</w:t>
      </w:r>
    </w:p>
    <w:p w14:paraId="00000007" w14:textId="77777777" w:rsidR="006B419B" w:rsidRDefault="006B419B">
      <w:pPr>
        <w:pBdr>
          <w:top w:val="nil"/>
          <w:left w:val="nil"/>
          <w:bottom w:val="nil"/>
          <w:right w:val="nil"/>
          <w:between w:val="nil"/>
        </w:pBdr>
        <w:spacing w:before="200" w:after="0" w:line="288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0000008" w14:textId="77777777" w:rsidR="006B419B" w:rsidRDefault="006B419B">
      <w:pPr>
        <w:jc w:val="both"/>
        <w:rPr>
          <w:rFonts w:ascii="Play" w:eastAsia="Play" w:hAnsi="Play" w:cs="Play"/>
          <w:b/>
          <w:sz w:val="36"/>
          <w:szCs w:val="36"/>
        </w:rPr>
      </w:pPr>
    </w:p>
    <w:p w14:paraId="00000009" w14:textId="77777777" w:rsidR="006B419B" w:rsidRDefault="006B419B">
      <w:pPr>
        <w:jc w:val="both"/>
        <w:rPr>
          <w:rFonts w:ascii="Play" w:eastAsia="Play" w:hAnsi="Play" w:cs="Play"/>
          <w:b/>
          <w:sz w:val="36"/>
          <w:szCs w:val="36"/>
        </w:rPr>
      </w:pPr>
    </w:p>
    <w:p w14:paraId="0000000A" w14:textId="77777777" w:rsidR="006B419B" w:rsidRDefault="006B419B">
      <w:pPr>
        <w:jc w:val="both"/>
        <w:rPr>
          <w:rFonts w:ascii="Play" w:eastAsia="Play" w:hAnsi="Play" w:cs="Play"/>
          <w:b/>
          <w:sz w:val="36"/>
          <w:szCs w:val="36"/>
        </w:rPr>
      </w:pPr>
    </w:p>
    <w:p w14:paraId="0000000B" w14:textId="77777777" w:rsidR="006B419B" w:rsidRDefault="006B419B">
      <w:pPr>
        <w:jc w:val="both"/>
        <w:rPr>
          <w:rFonts w:ascii="Play" w:eastAsia="Play" w:hAnsi="Play" w:cs="Play"/>
          <w:b/>
          <w:sz w:val="36"/>
          <w:szCs w:val="36"/>
        </w:rPr>
      </w:pPr>
    </w:p>
    <w:p w14:paraId="0000000C" w14:textId="77777777" w:rsidR="006B419B" w:rsidRDefault="00000000">
      <w:pPr>
        <w:jc w:val="both"/>
        <w:rPr>
          <w:rFonts w:ascii="Play" w:eastAsia="Play" w:hAnsi="Play" w:cs="Play"/>
          <w:b/>
          <w:sz w:val="36"/>
          <w:szCs w:val="36"/>
        </w:rPr>
      </w:pPr>
      <w:r>
        <w:rPr>
          <w:rFonts w:ascii="Play" w:eastAsia="Play" w:hAnsi="Play" w:cs="Play"/>
          <w:b/>
          <w:sz w:val="36"/>
          <w:szCs w:val="36"/>
        </w:rPr>
        <w:t>Submitted by                                               Submitted to</w:t>
      </w:r>
    </w:p>
    <w:p w14:paraId="0000000D" w14:textId="77777777" w:rsidR="006B419B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Play" w:eastAsia="Play" w:hAnsi="Play" w:cs="Play"/>
          <w:b/>
          <w:color w:val="000000"/>
          <w:sz w:val="36"/>
          <w:szCs w:val="36"/>
        </w:rPr>
        <w:t xml:space="preserve">Fahmida Rahman                </w:t>
      </w:r>
      <w:r>
        <w:rPr>
          <w:rFonts w:ascii="Arial" w:eastAsia="Arial" w:hAnsi="Arial" w:cs="Arial"/>
          <w:b/>
          <w:color w:val="000000"/>
          <w:sz w:val="32"/>
          <w:szCs w:val="32"/>
        </w:rPr>
        <w:t xml:space="preserve">Lecturer: </w:t>
      </w:r>
      <w:proofErr w:type="spellStart"/>
      <w:proofErr w:type="gramStart"/>
      <w:r>
        <w:rPr>
          <w:rFonts w:ascii="Arial" w:eastAsia="Arial" w:hAnsi="Arial" w:cs="Arial"/>
          <w:b/>
          <w:color w:val="000000"/>
          <w:sz w:val="32"/>
          <w:szCs w:val="32"/>
        </w:rPr>
        <w:t>Dr.Tomy</w:t>
      </w:r>
      <w:proofErr w:type="spellEnd"/>
      <w:proofErr w:type="gramEnd"/>
      <w:r>
        <w:rPr>
          <w:rFonts w:ascii="Arial" w:eastAsia="Arial" w:hAnsi="Arial" w:cs="Arial"/>
          <w:b/>
          <w:color w:val="000000"/>
          <w:sz w:val="32"/>
          <w:szCs w:val="32"/>
        </w:rPr>
        <w:t xml:space="preserve"> </w:t>
      </w:r>
      <w:proofErr w:type="spellStart"/>
      <w:r>
        <w:rPr>
          <w:rFonts w:ascii="Arial" w:eastAsia="Arial" w:hAnsi="Arial" w:cs="Arial"/>
          <w:b/>
          <w:color w:val="000000"/>
          <w:sz w:val="32"/>
          <w:szCs w:val="32"/>
        </w:rPr>
        <w:t>Adattu</w:t>
      </w:r>
      <w:proofErr w:type="spellEnd"/>
      <w:r>
        <w:rPr>
          <w:rFonts w:ascii="Arial" w:eastAsia="Arial" w:hAnsi="Arial" w:cs="Arial"/>
          <w:b/>
          <w:color w:val="000000"/>
          <w:sz w:val="32"/>
          <w:szCs w:val="32"/>
        </w:rPr>
        <w:t xml:space="preserve"> Chacko</w:t>
      </w:r>
    </w:p>
    <w:p w14:paraId="0000000E" w14:textId="77777777" w:rsidR="006B419B" w:rsidRDefault="006B419B">
      <w:pPr>
        <w:jc w:val="both"/>
        <w:rPr>
          <w:rFonts w:ascii="Play" w:eastAsia="Play" w:hAnsi="Play" w:cs="Play"/>
          <w:b/>
          <w:sz w:val="36"/>
          <w:szCs w:val="36"/>
        </w:rPr>
      </w:pPr>
    </w:p>
    <w:p w14:paraId="0000000F" w14:textId="77777777" w:rsidR="006B419B" w:rsidRDefault="00000000">
      <w:pPr>
        <w:jc w:val="both"/>
        <w:rPr>
          <w:rFonts w:ascii="Play" w:eastAsia="Play" w:hAnsi="Play" w:cs="Play"/>
          <w:b/>
          <w:sz w:val="36"/>
          <w:szCs w:val="36"/>
        </w:rPr>
      </w:pPr>
      <w:r>
        <w:rPr>
          <w:rFonts w:ascii="Play" w:eastAsia="Play" w:hAnsi="Play" w:cs="Play"/>
          <w:b/>
          <w:sz w:val="36"/>
          <w:szCs w:val="36"/>
        </w:rPr>
        <w:t>Student ID: 2235619</w:t>
      </w:r>
    </w:p>
    <w:p w14:paraId="00000010" w14:textId="77777777" w:rsidR="006B419B" w:rsidRDefault="006B419B">
      <w:pPr>
        <w:jc w:val="both"/>
        <w:rPr>
          <w:rFonts w:ascii="Play" w:eastAsia="Play" w:hAnsi="Play" w:cs="Play"/>
          <w:b/>
          <w:sz w:val="36"/>
          <w:szCs w:val="36"/>
        </w:rPr>
      </w:pPr>
    </w:p>
    <w:p w14:paraId="00000011" w14:textId="77777777" w:rsidR="006B419B" w:rsidRDefault="006B419B">
      <w:pPr>
        <w:jc w:val="both"/>
        <w:rPr>
          <w:rFonts w:ascii="Play" w:eastAsia="Play" w:hAnsi="Play" w:cs="Play"/>
          <w:b/>
          <w:sz w:val="36"/>
          <w:szCs w:val="36"/>
        </w:rPr>
      </w:pPr>
    </w:p>
    <w:p w14:paraId="00000012" w14:textId="77777777" w:rsidR="006B419B" w:rsidRDefault="006B419B">
      <w:pPr>
        <w:jc w:val="both"/>
        <w:rPr>
          <w:rFonts w:ascii="Play" w:eastAsia="Play" w:hAnsi="Play" w:cs="Play"/>
          <w:b/>
          <w:sz w:val="36"/>
          <w:szCs w:val="36"/>
        </w:rPr>
      </w:pPr>
    </w:p>
    <w:p w14:paraId="00000013" w14:textId="77777777" w:rsidR="006B419B" w:rsidRDefault="006B419B">
      <w:pPr>
        <w:jc w:val="both"/>
        <w:rPr>
          <w:rFonts w:ascii="Play" w:eastAsia="Play" w:hAnsi="Play" w:cs="Play"/>
          <w:b/>
          <w:sz w:val="36"/>
          <w:szCs w:val="36"/>
        </w:rPr>
      </w:pPr>
    </w:p>
    <w:p w14:paraId="00000014" w14:textId="77777777" w:rsidR="006B419B" w:rsidRDefault="006B419B">
      <w:pPr>
        <w:jc w:val="both"/>
        <w:rPr>
          <w:rFonts w:ascii="Play" w:eastAsia="Play" w:hAnsi="Play" w:cs="Play"/>
          <w:b/>
          <w:sz w:val="36"/>
          <w:szCs w:val="36"/>
        </w:rPr>
      </w:pPr>
    </w:p>
    <w:p w14:paraId="00000016" w14:textId="77777777" w:rsidR="006B419B" w:rsidRDefault="00000000">
      <w:pPr>
        <w:spacing w:line="276" w:lineRule="auto"/>
        <w:jc w:val="both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lastRenderedPageBreak/>
        <w:t>References:</w:t>
      </w:r>
    </w:p>
    <w:p w14:paraId="00000017" w14:textId="77777777" w:rsidR="006B419B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Adelman, R.D. et al. (2014) ‘Caregiver burden: a clinical review’, </w:t>
      </w:r>
      <w:r>
        <w:rPr>
          <w:rFonts w:ascii="Arial" w:eastAsia="Arial" w:hAnsi="Arial" w:cs="Arial"/>
          <w:i/>
          <w:color w:val="000000"/>
          <w:sz w:val="24"/>
          <w:szCs w:val="24"/>
        </w:rPr>
        <w:t>JAMA</w:t>
      </w:r>
      <w:r>
        <w:rPr>
          <w:rFonts w:ascii="Arial" w:eastAsia="Arial" w:hAnsi="Arial" w:cs="Arial"/>
          <w:color w:val="000000"/>
          <w:sz w:val="24"/>
          <w:szCs w:val="24"/>
        </w:rPr>
        <w:t>, 311(10), pp.1052–1060.</w:t>
      </w:r>
    </w:p>
    <w:p w14:paraId="00000018" w14:textId="77777777" w:rsidR="006B419B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Alzheimer’s Association (2022) </w:t>
      </w:r>
      <w:r>
        <w:rPr>
          <w:rFonts w:ascii="Arial" w:eastAsia="Arial" w:hAnsi="Arial" w:cs="Arial"/>
          <w:i/>
          <w:color w:val="000000"/>
          <w:sz w:val="24"/>
          <w:szCs w:val="24"/>
        </w:rPr>
        <w:t>Alzheimer’s Disease Facts and Figures 2022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. Available at: </w:t>
      </w:r>
      <w:hyperlink r:id="rId4">
        <w:r>
          <w:rPr>
            <w:rFonts w:ascii="Arial" w:eastAsia="Arial" w:hAnsi="Arial" w:cs="Arial"/>
            <w:color w:val="000000"/>
            <w:sz w:val="24"/>
            <w:szCs w:val="24"/>
          </w:rPr>
          <w:t>https://www.alz.org</w:t>
        </w:r>
      </w:hyperlink>
    </w:p>
    <w:p w14:paraId="00000019" w14:textId="77777777" w:rsidR="006B419B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Banerjee, S. (2020) ‘Multidisciplinary approaches to dementia care’, </w:t>
      </w:r>
      <w:r>
        <w:rPr>
          <w:rFonts w:ascii="Arial" w:eastAsia="Arial" w:hAnsi="Arial" w:cs="Arial"/>
          <w:i/>
          <w:color w:val="000000"/>
          <w:sz w:val="24"/>
          <w:szCs w:val="24"/>
        </w:rPr>
        <w:t>The Lancet Neurology</w:t>
      </w:r>
      <w:r>
        <w:rPr>
          <w:rFonts w:ascii="Arial" w:eastAsia="Arial" w:hAnsi="Arial" w:cs="Arial"/>
          <w:color w:val="000000"/>
          <w:sz w:val="24"/>
          <w:szCs w:val="24"/>
        </w:rPr>
        <w:t>, 19(1), pp.10–12.</w:t>
      </w:r>
    </w:p>
    <w:p w14:paraId="0000001A" w14:textId="77777777" w:rsidR="006B419B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Banerjee, S. and Wittenberg, R. (2019) ‘Clinical and economic aspects of dementia care’, </w:t>
      </w:r>
      <w:r>
        <w:rPr>
          <w:rFonts w:ascii="Arial" w:eastAsia="Arial" w:hAnsi="Arial" w:cs="Arial"/>
          <w:i/>
          <w:color w:val="000000"/>
          <w:sz w:val="24"/>
          <w:szCs w:val="24"/>
        </w:rPr>
        <w:t>British Medical Journal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, 365(1),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pp.l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2239–l2245.</w:t>
      </w:r>
    </w:p>
    <w:p w14:paraId="0000001B" w14:textId="77777777" w:rsidR="006B419B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Bunn, F. et al. (2021) ‘Quality of professional dementia care’, </w:t>
      </w:r>
      <w:r>
        <w:rPr>
          <w:rFonts w:ascii="Arial" w:eastAsia="Arial" w:hAnsi="Arial" w:cs="Arial"/>
          <w:i/>
          <w:color w:val="000000"/>
          <w:sz w:val="24"/>
          <w:szCs w:val="24"/>
        </w:rPr>
        <w:t>Dementia</w:t>
      </w:r>
      <w:r>
        <w:rPr>
          <w:rFonts w:ascii="Arial" w:eastAsia="Arial" w:hAnsi="Arial" w:cs="Arial"/>
          <w:color w:val="000000"/>
          <w:sz w:val="24"/>
          <w:szCs w:val="24"/>
        </w:rPr>
        <w:t>, 20(3), pp.948–963.</w:t>
      </w:r>
    </w:p>
    <w:p w14:paraId="0000001C" w14:textId="77777777" w:rsidR="006B419B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Chenoweth, L. et al. (2019) ‘Person-centred care in aged care facilities’, </w:t>
      </w:r>
      <w:r>
        <w:rPr>
          <w:rFonts w:ascii="Arial" w:eastAsia="Arial" w:hAnsi="Arial" w:cs="Arial"/>
          <w:i/>
          <w:color w:val="000000"/>
          <w:sz w:val="24"/>
          <w:szCs w:val="24"/>
        </w:rPr>
        <w:t>Aging &amp; Mental Health</w:t>
      </w:r>
      <w:r>
        <w:rPr>
          <w:rFonts w:ascii="Arial" w:eastAsia="Arial" w:hAnsi="Arial" w:cs="Arial"/>
          <w:color w:val="000000"/>
          <w:sz w:val="24"/>
          <w:szCs w:val="24"/>
        </w:rPr>
        <w:t>, 23(3), pp.378–385.</w:t>
      </w:r>
    </w:p>
    <w:p w14:paraId="0000001D" w14:textId="77777777" w:rsidR="006B419B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Clare, L. et al. (2019) ‘Integrated care in dementia: a systematic review’, </w:t>
      </w:r>
      <w:r>
        <w:rPr>
          <w:rFonts w:ascii="Arial" w:eastAsia="Arial" w:hAnsi="Arial" w:cs="Arial"/>
          <w:i/>
          <w:color w:val="000000"/>
          <w:sz w:val="24"/>
          <w:szCs w:val="24"/>
        </w:rPr>
        <w:t>Aging &amp; Mental Health</w:t>
      </w:r>
      <w:r>
        <w:rPr>
          <w:rFonts w:ascii="Arial" w:eastAsia="Arial" w:hAnsi="Arial" w:cs="Arial"/>
          <w:color w:val="000000"/>
          <w:sz w:val="24"/>
          <w:szCs w:val="24"/>
        </w:rPr>
        <w:t>, 23(6), pp.800–809.</w:t>
      </w:r>
    </w:p>
    <w:p w14:paraId="0000001E" w14:textId="77777777" w:rsidR="006B419B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Clegg, A. et al. (2014) ‘Frailty in elderly populations and its implications’, </w:t>
      </w:r>
      <w:r>
        <w:rPr>
          <w:rFonts w:ascii="Arial" w:eastAsia="Arial" w:hAnsi="Arial" w:cs="Arial"/>
          <w:i/>
          <w:color w:val="000000"/>
          <w:sz w:val="24"/>
          <w:szCs w:val="24"/>
        </w:rPr>
        <w:t>The Lancet</w:t>
      </w:r>
      <w:r>
        <w:rPr>
          <w:rFonts w:ascii="Arial" w:eastAsia="Arial" w:hAnsi="Arial" w:cs="Arial"/>
          <w:color w:val="000000"/>
          <w:sz w:val="24"/>
          <w:szCs w:val="24"/>
        </w:rPr>
        <w:t>, 381(9868), pp.752–762.</w:t>
      </w:r>
    </w:p>
    <w:p w14:paraId="0000001F" w14:textId="77777777" w:rsidR="006B419B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Cooper, C. et al. (2020) ‘Caregiver abuse of people with dementia’, </w:t>
      </w:r>
      <w:r>
        <w:rPr>
          <w:rFonts w:ascii="Arial" w:eastAsia="Arial" w:hAnsi="Arial" w:cs="Arial"/>
          <w:i/>
          <w:color w:val="000000"/>
          <w:sz w:val="24"/>
          <w:szCs w:val="24"/>
        </w:rPr>
        <w:t>International Journal of Geriatric Psychiatry</w:t>
      </w:r>
      <w:r>
        <w:rPr>
          <w:rFonts w:ascii="Arial" w:eastAsia="Arial" w:hAnsi="Arial" w:cs="Arial"/>
          <w:color w:val="000000"/>
          <w:sz w:val="24"/>
          <w:szCs w:val="24"/>
        </w:rPr>
        <w:t>, 35(7), pp.760–771.</w:t>
      </w:r>
    </w:p>
    <w:p w14:paraId="00000020" w14:textId="77777777" w:rsidR="006B419B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Cumming, E. and Henry, W.E. (1961) </w:t>
      </w:r>
      <w:r>
        <w:rPr>
          <w:rFonts w:ascii="Arial" w:eastAsia="Arial" w:hAnsi="Arial" w:cs="Arial"/>
          <w:i/>
          <w:color w:val="000000"/>
          <w:sz w:val="24"/>
          <w:szCs w:val="24"/>
        </w:rPr>
        <w:t>Growing Old: The Process of Disengagement.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New York: Basic Books.</w:t>
      </w:r>
    </w:p>
    <w:p w14:paraId="00000021" w14:textId="77777777" w:rsidR="006B419B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br/>
        <w:t xml:space="preserve">Department of Health (2014) </w:t>
      </w:r>
      <w:r>
        <w:rPr>
          <w:rFonts w:ascii="Arial" w:eastAsia="Arial" w:hAnsi="Arial" w:cs="Arial"/>
          <w:i/>
          <w:color w:val="000000"/>
          <w:sz w:val="24"/>
          <w:szCs w:val="24"/>
        </w:rPr>
        <w:t>The Care Act 2014.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London: The Stationery Office.</w:t>
      </w:r>
      <w:r>
        <w:rPr>
          <w:rFonts w:ascii="Arial" w:eastAsia="Arial" w:hAnsi="Arial" w:cs="Arial"/>
          <w:color w:val="000000"/>
          <w:sz w:val="24"/>
          <w:szCs w:val="24"/>
        </w:rPr>
        <w:br/>
        <w:t xml:space="preserve">Fazio, S. et al. (2018) ‘Person-centred dementia care: principles and practices’, </w:t>
      </w:r>
      <w:r>
        <w:rPr>
          <w:rFonts w:ascii="Arial" w:eastAsia="Arial" w:hAnsi="Arial" w:cs="Arial"/>
          <w:i/>
          <w:color w:val="000000"/>
          <w:sz w:val="24"/>
          <w:szCs w:val="24"/>
        </w:rPr>
        <w:t>The Gerontologist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, 58(1),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pp.S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10–S19.</w:t>
      </w:r>
      <w:r>
        <w:rPr>
          <w:rFonts w:ascii="Arial" w:eastAsia="Arial" w:hAnsi="Arial" w:cs="Arial"/>
          <w:color w:val="000000"/>
          <w:sz w:val="24"/>
          <w:szCs w:val="24"/>
        </w:rPr>
        <w:br/>
      </w:r>
    </w:p>
    <w:p w14:paraId="00000022" w14:textId="77777777" w:rsidR="006B419B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Fazio, S. et al. (2018) ‘Person-centred dementia care: principles and practices’, </w:t>
      </w:r>
      <w:r>
        <w:rPr>
          <w:rFonts w:ascii="Arial" w:eastAsia="Arial" w:hAnsi="Arial" w:cs="Arial"/>
          <w:i/>
          <w:color w:val="000000"/>
          <w:sz w:val="24"/>
          <w:szCs w:val="24"/>
        </w:rPr>
        <w:t>The Gerontologist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, 58(1),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pp.S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10–S19.</w:t>
      </w:r>
    </w:p>
    <w:p w14:paraId="00000023" w14:textId="77777777" w:rsidR="006B419B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Gaugler, J.E. et al. (2018) ‘Respite for dementia caregivers’, </w:t>
      </w:r>
      <w:r>
        <w:rPr>
          <w:rFonts w:ascii="Arial" w:eastAsia="Arial" w:hAnsi="Arial" w:cs="Arial"/>
          <w:i/>
          <w:color w:val="000000"/>
          <w:sz w:val="24"/>
          <w:szCs w:val="24"/>
        </w:rPr>
        <w:t>Aging &amp; Mental Health</w:t>
      </w:r>
      <w:r>
        <w:rPr>
          <w:rFonts w:ascii="Arial" w:eastAsia="Arial" w:hAnsi="Arial" w:cs="Arial"/>
          <w:color w:val="000000"/>
          <w:sz w:val="24"/>
          <w:szCs w:val="24"/>
        </w:rPr>
        <w:t>, 22(12), pp.1581–1591.</w:t>
      </w:r>
    </w:p>
    <w:p w14:paraId="00000024" w14:textId="77777777" w:rsidR="006B419B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Gitlin, L.N. and Hodgson, N.A. (2018) ‘Caregivers as partners in dementia care’, </w:t>
      </w:r>
      <w:r>
        <w:rPr>
          <w:rFonts w:ascii="Arial" w:eastAsia="Arial" w:hAnsi="Arial" w:cs="Arial"/>
          <w:i/>
          <w:color w:val="000000"/>
          <w:sz w:val="24"/>
          <w:szCs w:val="24"/>
        </w:rPr>
        <w:t>Annual Review of Public Health</w:t>
      </w:r>
      <w:r>
        <w:rPr>
          <w:rFonts w:ascii="Arial" w:eastAsia="Arial" w:hAnsi="Arial" w:cs="Arial"/>
          <w:color w:val="000000"/>
          <w:sz w:val="24"/>
          <w:szCs w:val="24"/>
        </w:rPr>
        <w:t>, 39(1), pp.585–602.</w:t>
      </w:r>
    </w:p>
    <w:p w14:paraId="00000025" w14:textId="77777777" w:rsidR="006B419B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Kane, R.L. et al. (2017) ‘The role of skilled nursing in dementia management’, </w:t>
      </w:r>
      <w:r>
        <w:rPr>
          <w:rFonts w:ascii="Arial" w:eastAsia="Arial" w:hAnsi="Arial" w:cs="Arial"/>
          <w:i/>
          <w:color w:val="000000"/>
          <w:sz w:val="24"/>
          <w:szCs w:val="24"/>
        </w:rPr>
        <w:t>Journal of the American Medical Directors Association</w:t>
      </w:r>
      <w:r>
        <w:rPr>
          <w:rFonts w:ascii="Arial" w:eastAsia="Arial" w:hAnsi="Arial" w:cs="Arial"/>
          <w:color w:val="000000"/>
          <w:sz w:val="24"/>
          <w:szCs w:val="24"/>
        </w:rPr>
        <w:t>, 18(9), pp.807–813.</w:t>
      </w:r>
    </w:p>
    <w:p w14:paraId="00000026" w14:textId="77777777" w:rsidR="006B419B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Livingston, G. et al. (2017) ‘Dementia prevention, intervention, and care’, </w:t>
      </w:r>
      <w:r>
        <w:rPr>
          <w:rFonts w:ascii="Arial" w:eastAsia="Arial" w:hAnsi="Arial" w:cs="Arial"/>
          <w:i/>
          <w:color w:val="000000"/>
          <w:sz w:val="24"/>
          <w:szCs w:val="24"/>
        </w:rPr>
        <w:t>The Lancet</w:t>
      </w:r>
      <w:r>
        <w:rPr>
          <w:rFonts w:ascii="Arial" w:eastAsia="Arial" w:hAnsi="Arial" w:cs="Arial"/>
          <w:color w:val="000000"/>
          <w:sz w:val="24"/>
          <w:szCs w:val="24"/>
        </w:rPr>
        <w:t>, 390(10113), pp.2673–2734.</w:t>
      </w:r>
    </w:p>
    <w:p w14:paraId="00000027" w14:textId="77777777" w:rsidR="006B419B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Luppa, M. et al. (2012) ‘Predictors of institutionalisation in dementia’, </w:t>
      </w:r>
      <w:r>
        <w:rPr>
          <w:rFonts w:ascii="Arial" w:eastAsia="Arial" w:hAnsi="Arial" w:cs="Arial"/>
          <w:i/>
          <w:color w:val="000000"/>
          <w:sz w:val="24"/>
          <w:szCs w:val="24"/>
        </w:rPr>
        <w:t>Age and Ageing</w:t>
      </w:r>
      <w:r>
        <w:rPr>
          <w:rFonts w:ascii="Arial" w:eastAsia="Arial" w:hAnsi="Arial" w:cs="Arial"/>
          <w:color w:val="000000"/>
          <w:sz w:val="24"/>
          <w:szCs w:val="24"/>
        </w:rPr>
        <w:t>, 41(6), pp.782–789.</w:t>
      </w:r>
    </w:p>
    <w:p w14:paraId="00000028" w14:textId="77777777" w:rsidR="006B419B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NHS England (2019) </w:t>
      </w:r>
      <w:r>
        <w:rPr>
          <w:rFonts w:ascii="Arial" w:eastAsia="Arial" w:hAnsi="Arial" w:cs="Arial"/>
          <w:i/>
          <w:color w:val="000000"/>
          <w:sz w:val="24"/>
          <w:szCs w:val="24"/>
        </w:rPr>
        <w:t>The NHS Long Term Plan.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London: NHS England.</w:t>
      </w:r>
      <w:r>
        <w:rPr>
          <w:rFonts w:ascii="Arial" w:eastAsia="Arial" w:hAnsi="Arial" w:cs="Arial"/>
          <w:color w:val="000000"/>
          <w:sz w:val="24"/>
          <w:szCs w:val="24"/>
        </w:rPr>
        <w:br/>
        <w:t xml:space="preserve">UK Government (1998) </w:t>
      </w:r>
      <w:r>
        <w:rPr>
          <w:rFonts w:ascii="Arial" w:eastAsia="Arial" w:hAnsi="Arial" w:cs="Arial"/>
          <w:i/>
          <w:color w:val="000000"/>
          <w:sz w:val="24"/>
          <w:szCs w:val="24"/>
        </w:rPr>
        <w:t>The Human Rights Act 1998.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London: The Stationery Office.</w:t>
      </w:r>
    </w:p>
    <w:p w14:paraId="00000029" w14:textId="77777777" w:rsidR="006B419B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Prince, M. et al. (2016) </w:t>
      </w:r>
      <w:r>
        <w:rPr>
          <w:rFonts w:ascii="Arial" w:eastAsia="Arial" w:hAnsi="Arial" w:cs="Arial"/>
          <w:i/>
          <w:color w:val="000000"/>
          <w:sz w:val="24"/>
          <w:szCs w:val="24"/>
        </w:rPr>
        <w:t>World Alzheimer Report 2016</w:t>
      </w:r>
      <w:r>
        <w:rPr>
          <w:rFonts w:ascii="Arial" w:eastAsia="Arial" w:hAnsi="Arial" w:cs="Arial"/>
          <w:color w:val="000000"/>
          <w:sz w:val="24"/>
          <w:szCs w:val="24"/>
        </w:rPr>
        <w:t>. London: Alzheimer’s Disease International.</w:t>
      </w:r>
    </w:p>
    <w:p w14:paraId="0000002A" w14:textId="77777777" w:rsidR="006B419B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Reilly, S. et al. (2015) ‘Case management approaches to home dementia care’, </w:t>
      </w:r>
      <w:r>
        <w:rPr>
          <w:rFonts w:ascii="Arial" w:eastAsia="Arial" w:hAnsi="Arial" w:cs="Arial"/>
          <w:i/>
          <w:color w:val="000000"/>
          <w:sz w:val="24"/>
          <w:szCs w:val="24"/>
        </w:rPr>
        <w:t>International Journal of Geriatric Psychiatry</w:t>
      </w:r>
      <w:r>
        <w:rPr>
          <w:rFonts w:ascii="Arial" w:eastAsia="Arial" w:hAnsi="Arial" w:cs="Arial"/>
          <w:color w:val="000000"/>
          <w:sz w:val="24"/>
          <w:szCs w:val="24"/>
        </w:rPr>
        <w:t>, 30(12), pp.1221–1228.</w:t>
      </w:r>
    </w:p>
    <w:p w14:paraId="0000002B" w14:textId="77777777" w:rsidR="006B419B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Schulz, R. and Sherwood, P.R. (2008) ‘Physical and mental health effects of family caregiving’, </w:t>
      </w:r>
      <w:r>
        <w:rPr>
          <w:rFonts w:ascii="Arial" w:eastAsia="Arial" w:hAnsi="Arial" w:cs="Arial"/>
          <w:i/>
          <w:color w:val="000000"/>
          <w:sz w:val="24"/>
          <w:szCs w:val="24"/>
        </w:rPr>
        <w:t>American Journal of Nursing</w:t>
      </w:r>
      <w:r>
        <w:rPr>
          <w:rFonts w:ascii="Arial" w:eastAsia="Arial" w:hAnsi="Arial" w:cs="Arial"/>
          <w:color w:val="000000"/>
          <w:sz w:val="24"/>
          <w:szCs w:val="24"/>
        </w:rPr>
        <w:t>, 108(9), pp.23–27.</w:t>
      </w:r>
    </w:p>
    <w:p w14:paraId="0000002C" w14:textId="77777777" w:rsidR="006B419B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Vernooij-Dassen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M. and Moniz-Cook, E. (2016) ‘Raising the standard of psychosocial interventions’, </w:t>
      </w:r>
      <w:r>
        <w:rPr>
          <w:rFonts w:ascii="Arial" w:eastAsia="Arial" w:hAnsi="Arial" w:cs="Arial"/>
          <w:i/>
          <w:color w:val="000000"/>
          <w:sz w:val="24"/>
          <w:szCs w:val="24"/>
        </w:rPr>
        <w:t>International Journal of Geriatric Psychiatry</w:t>
      </w:r>
      <w:r>
        <w:rPr>
          <w:rFonts w:ascii="Arial" w:eastAsia="Arial" w:hAnsi="Arial" w:cs="Arial"/>
          <w:color w:val="000000"/>
          <w:sz w:val="24"/>
          <w:szCs w:val="24"/>
        </w:rPr>
        <w:t>, 31(7), pp.702–708.</w:t>
      </w:r>
    </w:p>
    <w:p w14:paraId="0000002D" w14:textId="77777777" w:rsidR="006B419B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Woods, R.T. and Orrell, M. (2021) ‘Evidence-based psychosocial interventions for dementia’, </w:t>
      </w:r>
      <w:r>
        <w:rPr>
          <w:rFonts w:ascii="Arial" w:eastAsia="Arial" w:hAnsi="Arial" w:cs="Arial"/>
          <w:i/>
          <w:color w:val="000000"/>
          <w:sz w:val="24"/>
          <w:szCs w:val="24"/>
        </w:rPr>
        <w:t>Age and Ageing</w:t>
      </w:r>
      <w:r>
        <w:rPr>
          <w:rFonts w:ascii="Arial" w:eastAsia="Arial" w:hAnsi="Arial" w:cs="Arial"/>
          <w:color w:val="000000"/>
          <w:sz w:val="24"/>
          <w:szCs w:val="24"/>
        </w:rPr>
        <w:t>, 50(4), pp.1173–1181.</w:t>
      </w:r>
    </w:p>
    <w:p w14:paraId="0000002E" w14:textId="77777777" w:rsidR="006B419B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World Health Organization (2023) </w:t>
      </w:r>
      <w:r>
        <w:rPr>
          <w:rFonts w:ascii="Arial" w:eastAsia="Arial" w:hAnsi="Arial" w:cs="Arial"/>
          <w:i/>
          <w:color w:val="000000"/>
          <w:sz w:val="24"/>
          <w:szCs w:val="24"/>
        </w:rPr>
        <w:t>Global action plan on dementia 2023–2030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. Available at: </w:t>
      </w:r>
      <w:hyperlink r:id="rId5">
        <w:r>
          <w:rPr>
            <w:rFonts w:ascii="Arial" w:eastAsia="Arial" w:hAnsi="Arial" w:cs="Arial"/>
            <w:color w:val="000000"/>
            <w:sz w:val="24"/>
            <w:szCs w:val="24"/>
          </w:rPr>
          <w:t>https://www.who.int</w:t>
        </w:r>
      </w:hyperlink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(Accessed: 01/11/2025).</w:t>
      </w:r>
    </w:p>
    <w:p w14:paraId="0000002F" w14:textId="77777777" w:rsidR="006B419B" w:rsidRDefault="00000000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Zabalegui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, A. et al. (2014) ‘Best practices for professional dementia care’, </w:t>
      </w:r>
      <w:r>
        <w:rPr>
          <w:rFonts w:ascii="Arial" w:eastAsia="Arial" w:hAnsi="Arial" w:cs="Arial"/>
          <w:i/>
          <w:color w:val="000000"/>
          <w:sz w:val="24"/>
          <w:szCs w:val="24"/>
        </w:rPr>
        <w:t>Journal of Advanced Nursing</w:t>
      </w:r>
      <w:r>
        <w:rPr>
          <w:rFonts w:ascii="Arial" w:eastAsia="Arial" w:hAnsi="Arial" w:cs="Arial"/>
          <w:color w:val="000000"/>
          <w:sz w:val="24"/>
          <w:szCs w:val="24"/>
        </w:rPr>
        <w:t>, 70(7), pp.1604–1617.</w:t>
      </w:r>
    </w:p>
    <w:p w14:paraId="00000030" w14:textId="77777777" w:rsidR="006B419B" w:rsidRDefault="006B419B"/>
    <w:p w14:paraId="00000031" w14:textId="77777777" w:rsidR="006B419B" w:rsidRDefault="006B419B">
      <w:pPr>
        <w:jc w:val="both"/>
        <w:rPr>
          <w:rFonts w:ascii="Play" w:eastAsia="Play" w:hAnsi="Play" w:cs="Play"/>
          <w:b/>
          <w:sz w:val="36"/>
          <w:szCs w:val="36"/>
        </w:rPr>
      </w:pPr>
    </w:p>
    <w:p w14:paraId="00000032" w14:textId="77777777" w:rsidR="006B419B" w:rsidRDefault="006B419B">
      <w:pPr>
        <w:jc w:val="both"/>
        <w:rPr>
          <w:rFonts w:ascii="Play" w:eastAsia="Play" w:hAnsi="Play" w:cs="Play"/>
          <w:b/>
          <w:sz w:val="36"/>
          <w:szCs w:val="36"/>
        </w:rPr>
      </w:pPr>
    </w:p>
    <w:p w14:paraId="00000033" w14:textId="77777777" w:rsidR="006B419B" w:rsidRDefault="006B419B"/>
    <w:sectPr w:rsidR="006B419B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lay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419B"/>
    <w:rsid w:val="00234C18"/>
    <w:rsid w:val="006B419B"/>
    <w:rsid w:val="00F82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DB8E531-CCC2-4FB0-AC05-9E5627A02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color w:val="2F5496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color w:val="2F5496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2F549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color w:val="59595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</w:pPr>
    <w:rPr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who.int" TargetMode="External"/><Relationship Id="rId4" Type="http://schemas.openxmlformats.org/officeDocument/2006/relationships/hyperlink" Target="https://www.alz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538</Words>
  <Characters>3071</Characters>
  <Application>Microsoft Office Word</Application>
  <DocSecurity>0</DocSecurity>
  <Lines>25</Lines>
  <Paragraphs>7</Paragraphs>
  <ScaleCrop>false</ScaleCrop>
  <Company/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Piya Rahman Piya</cp:lastModifiedBy>
  <cp:revision>3</cp:revision>
  <dcterms:created xsi:type="dcterms:W3CDTF">2025-11-09T14:26:00Z</dcterms:created>
  <dcterms:modified xsi:type="dcterms:W3CDTF">2025-11-09T14:27:00Z</dcterms:modified>
</cp:coreProperties>
</file>