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1E59DB6B" w:rsidR="00A930CB" w:rsidRPr="00A930CB" w:rsidRDefault="00A930CB" w:rsidP="00A930CB">
          <w:pPr>
            <w:spacing w:after="165" w:line="360" w:lineRule="auto"/>
            <w:jc w:val="center"/>
            <w:rPr>
              <w:rFonts w:ascii="Tahoma"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917BD" w:rsidRPr="00A351EF" w14:paraId="64D88F18" w14:textId="77777777" w:rsidTr="0030173B">
            <w:tc>
              <w:tcPr>
                <w:tcW w:w="3438" w:type="dxa"/>
                <w:shd w:val="clear" w:color="auto" w:fill="D9D9D9"/>
              </w:tcPr>
              <w:p w14:paraId="40117294" w14:textId="452B38C6" w:rsidR="004917BD" w:rsidRPr="00A351EF" w:rsidRDefault="004917BD" w:rsidP="00A930CB">
                <w:pPr>
                  <w:spacing w:before="120" w:after="120" w:line="360" w:lineRule="auto"/>
                  <w:rPr>
                    <w:rFonts w:ascii="Tahoma" w:hAnsi="Tahoma" w:cs="Tahoma"/>
                    <w:sz w:val="24"/>
                    <w:szCs w:val="24"/>
                  </w:rPr>
                </w:pPr>
                <w:r w:rsidRPr="00A351EF">
                  <w:rPr>
                    <w:rFonts w:ascii="Tahoma" w:hAnsi="Tahoma" w:cs="Tahoma"/>
                    <w:sz w:val="24"/>
                    <w:szCs w:val="24"/>
                  </w:rPr>
                  <w:t>Assignment Title:</w:t>
                </w:r>
              </w:p>
            </w:tc>
            <w:tc>
              <w:tcPr>
                <w:tcW w:w="6055" w:type="dxa"/>
              </w:tcPr>
              <w:p w14:paraId="786564CA" w14:textId="0EC34204" w:rsidR="004917BD" w:rsidRPr="00A351EF" w:rsidRDefault="00971F72" w:rsidP="00A930CB">
                <w:pPr>
                  <w:spacing w:before="120" w:after="120" w:line="360" w:lineRule="auto"/>
                  <w:rPr>
                    <w:rFonts w:ascii="Tahoma" w:hAnsi="Tahoma" w:cs="Tahoma"/>
                    <w:sz w:val="24"/>
                    <w:szCs w:val="24"/>
                  </w:rPr>
                </w:pPr>
                <w:r>
                  <w:rPr>
                    <w:rFonts w:ascii="Tahoma" w:hAnsi="Tahoma" w:cs="Tahoma"/>
                    <w:sz w:val="24"/>
                    <w:szCs w:val="24"/>
                  </w:rPr>
                  <w:t xml:space="preserve">Hotel </w:t>
                </w:r>
                <w:r w:rsidR="00FB3908">
                  <w:rPr>
                    <w:rFonts w:ascii="Tahoma" w:hAnsi="Tahoma" w:cs="Tahoma"/>
                    <w:sz w:val="24"/>
                    <w:szCs w:val="24"/>
                  </w:rPr>
                  <w:t xml:space="preserve">standards, reputation management, building and retaining customer loyalty </w:t>
                </w:r>
              </w:p>
            </w:tc>
          </w:tr>
          <w:tr w:rsidR="00A930CB" w:rsidRPr="00A351EF" w14:paraId="7E157FF9" w14:textId="77777777" w:rsidTr="0030173B">
            <w:tc>
              <w:tcPr>
                <w:tcW w:w="3438" w:type="dxa"/>
                <w:shd w:val="clear" w:color="auto" w:fill="D9D9D9"/>
              </w:tcPr>
              <w:p w14:paraId="049D6C4E" w14:textId="77777777"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Student Name:</w:t>
                </w:r>
              </w:p>
            </w:tc>
            <w:tc>
              <w:tcPr>
                <w:tcW w:w="6055" w:type="dxa"/>
              </w:tcPr>
              <w:p w14:paraId="26509FF7" w14:textId="063C936B" w:rsidR="00A930CB" w:rsidRPr="00A351EF" w:rsidRDefault="004C051B" w:rsidP="00A930CB">
                <w:pPr>
                  <w:spacing w:before="120" w:after="120" w:line="360" w:lineRule="auto"/>
                  <w:rPr>
                    <w:rFonts w:ascii="Tahoma" w:hAnsi="Tahoma" w:cs="Tahoma"/>
                    <w:sz w:val="24"/>
                    <w:szCs w:val="24"/>
                  </w:rPr>
                </w:pPr>
                <w:r>
                  <w:rPr>
                    <w:rFonts w:ascii="Tahoma" w:hAnsi="Tahoma" w:cs="Tahoma"/>
                    <w:sz w:val="24"/>
                    <w:szCs w:val="24"/>
                  </w:rPr>
                  <w:t xml:space="preserve">Sheikh Mohammed sultan </w:t>
                </w:r>
              </w:p>
            </w:tc>
          </w:tr>
          <w:tr w:rsidR="00A930CB" w:rsidRPr="00A351EF" w14:paraId="47B8061E" w14:textId="77777777" w:rsidTr="0030173B">
            <w:tc>
              <w:tcPr>
                <w:tcW w:w="3438" w:type="dxa"/>
                <w:shd w:val="clear" w:color="auto" w:fill="D9D9D9"/>
              </w:tcPr>
              <w:p w14:paraId="19DB6AF8" w14:textId="77777777"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Student Number:</w:t>
                </w:r>
              </w:p>
            </w:tc>
            <w:tc>
              <w:tcPr>
                <w:tcW w:w="6055" w:type="dxa"/>
              </w:tcPr>
              <w:p w14:paraId="11A37B25" w14:textId="2B3A33F1" w:rsidR="00A930CB" w:rsidRPr="00A351EF" w:rsidRDefault="004C051B" w:rsidP="00A930CB">
                <w:pPr>
                  <w:spacing w:before="120" w:after="120" w:line="360" w:lineRule="auto"/>
                  <w:rPr>
                    <w:rFonts w:ascii="Tahoma" w:hAnsi="Tahoma" w:cs="Tahoma"/>
                    <w:sz w:val="24"/>
                    <w:szCs w:val="24"/>
                  </w:rPr>
                </w:pPr>
                <w:r>
                  <w:rPr>
                    <w:rFonts w:ascii="Tahoma" w:hAnsi="Tahoma" w:cs="Tahoma"/>
                    <w:sz w:val="24"/>
                    <w:szCs w:val="24"/>
                  </w:rPr>
                  <w:t>2133697</w:t>
                </w:r>
              </w:p>
            </w:tc>
          </w:tr>
          <w:tr w:rsidR="00A930CB" w:rsidRPr="00A351EF" w14:paraId="349EAAAF" w14:textId="77777777" w:rsidTr="0030173B">
            <w:tc>
              <w:tcPr>
                <w:tcW w:w="3438" w:type="dxa"/>
                <w:shd w:val="clear" w:color="auto" w:fill="D9D9D9"/>
              </w:tcPr>
              <w:p w14:paraId="79CF9844" w14:textId="7F2DB756"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 xml:space="preserve">Module </w:t>
                </w:r>
                <w:r w:rsidR="000F6295" w:rsidRPr="00A351EF">
                  <w:rPr>
                    <w:rFonts w:ascii="Tahoma" w:hAnsi="Tahoma" w:cs="Tahoma"/>
                    <w:sz w:val="24"/>
                    <w:szCs w:val="24"/>
                  </w:rPr>
                  <w:t>Code</w:t>
                </w:r>
                <w:r w:rsidRPr="00A351EF">
                  <w:rPr>
                    <w:rFonts w:ascii="Tahoma" w:hAnsi="Tahoma" w:cs="Tahoma"/>
                    <w:sz w:val="24"/>
                    <w:szCs w:val="24"/>
                  </w:rPr>
                  <w:t>:</w:t>
                </w:r>
              </w:p>
            </w:tc>
            <w:tc>
              <w:tcPr>
                <w:tcW w:w="6055" w:type="dxa"/>
              </w:tcPr>
              <w:p w14:paraId="2C117412" w14:textId="41422814" w:rsidR="00A930CB" w:rsidRPr="00A351EF" w:rsidRDefault="002A14BF" w:rsidP="00A930CB">
                <w:pPr>
                  <w:spacing w:before="120" w:after="120" w:line="360" w:lineRule="auto"/>
                  <w:rPr>
                    <w:rFonts w:ascii="Tahoma" w:hAnsi="Tahoma" w:cs="Tahoma"/>
                    <w:sz w:val="24"/>
                    <w:szCs w:val="24"/>
                  </w:rPr>
                </w:pPr>
                <w:r w:rsidRPr="00A351EF">
                  <w:rPr>
                    <w:rFonts w:ascii="Tahoma" w:hAnsi="Tahoma" w:cs="Tahoma"/>
                    <w:sz w:val="24"/>
                    <w:szCs w:val="24"/>
                  </w:rPr>
                  <w:t>BMIH400</w:t>
                </w:r>
                <w:r w:rsidR="00F14E3C">
                  <w:rPr>
                    <w:rFonts w:ascii="Tahoma" w:hAnsi="Tahoma" w:cs="Tahoma"/>
                    <w:sz w:val="24"/>
                    <w:szCs w:val="24"/>
                  </w:rPr>
                  <w:t>3</w:t>
                </w:r>
              </w:p>
            </w:tc>
          </w:tr>
          <w:tr w:rsidR="00A930CB" w:rsidRPr="00A351EF" w14:paraId="485DA616" w14:textId="77777777" w:rsidTr="0030173B">
            <w:trPr>
              <w:trHeight w:val="413"/>
            </w:trPr>
            <w:tc>
              <w:tcPr>
                <w:tcW w:w="3438" w:type="dxa"/>
                <w:shd w:val="clear" w:color="auto" w:fill="D9D9D9"/>
              </w:tcPr>
              <w:p w14:paraId="4606D4BD" w14:textId="77777777"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Module Title:</w:t>
                </w:r>
              </w:p>
            </w:tc>
            <w:tc>
              <w:tcPr>
                <w:tcW w:w="6055" w:type="dxa"/>
              </w:tcPr>
              <w:p w14:paraId="0F1C3659" w14:textId="6E3C6FAE" w:rsidR="00A930CB" w:rsidRPr="00A351EF" w:rsidRDefault="00F14E3C" w:rsidP="00A930CB">
                <w:pPr>
                  <w:spacing w:before="120" w:after="120" w:line="360" w:lineRule="auto"/>
                  <w:rPr>
                    <w:rFonts w:ascii="Tahoma" w:hAnsi="Tahoma" w:cs="Tahoma"/>
                    <w:sz w:val="24"/>
                    <w:szCs w:val="24"/>
                  </w:rPr>
                </w:pPr>
                <w:r>
                  <w:rPr>
                    <w:rFonts w:ascii="Tahoma" w:hAnsi="Tahoma" w:cs="Tahoma"/>
                    <w:sz w:val="24"/>
                    <w:szCs w:val="24"/>
                  </w:rPr>
                  <w:t xml:space="preserve">Hospitality and Guest Service Management </w:t>
                </w:r>
              </w:p>
            </w:tc>
          </w:tr>
          <w:tr w:rsidR="006B32D8" w:rsidRPr="00A351EF" w14:paraId="7E54599A" w14:textId="77777777" w:rsidTr="0030173B">
            <w:trPr>
              <w:trHeight w:val="413"/>
            </w:trPr>
            <w:tc>
              <w:tcPr>
                <w:tcW w:w="3438" w:type="dxa"/>
                <w:shd w:val="clear" w:color="auto" w:fill="D9D9D9"/>
              </w:tcPr>
              <w:p w14:paraId="304C7EA7" w14:textId="02C48EC8" w:rsidR="006B32D8" w:rsidRPr="00A351EF" w:rsidRDefault="00FB677B" w:rsidP="00A930CB">
                <w:pPr>
                  <w:spacing w:before="120" w:after="120" w:line="360" w:lineRule="auto"/>
                  <w:rPr>
                    <w:rFonts w:ascii="Tahoma" w:hAnsi="Tahoma" w:cs="Tahoma"/>
                    <w:sz w:val="24"/>
                    <w:szCs w:val="24"/>
                  </w:rPr>
                </w:pPr>
                <w:r w:rsidRPr="00A351EF">
                  <w:rPr>
                    <w:rFonts w:ascii="Tahoma" w:hAnsi="Tahoma" w:cs="Tahoma"/>
                    <w:sz w:val="24"/>
                    <w:szCs w:val="24"/>
                  </w:rPr>
                  <w:t>Lecturer Name:</w:t>
                </w:r>
              </w:p>
            </w:tc>
            <w:tc>
              <w:tcPr>
                <w:tcW w:w="6055" w:type="dxa"/>
              </w:tcPr>
              <w:p w14:paraId="01A3A743" w14:textId="139BB1ED" w:rsidR="006B32D8" w:rsidRPr="00A351EF" w:rsidRDefault="00D72595" w:rsidP="00A930CB">
                <w:pPr>
                  <w:spacing w:before="120" w:after="120" w:line="360" w:lineRule="auto"/>
                  <w:rPr>
                    <w:rFonts w:ascii="Tahoma" w:hAnsi="Tahoma" w:cs="Tahoma"/>
                    <w:sz w:val="24"/>
                    <w:szCs w:val="24"/>
                  </w:rPr>
                </w:pPr>
                <w:r>
                  <w:rPr>
                    <w:rFonts w:ascii="Tahoma" w:hAnsi="Tahoma" w:cs="Tahoma"/>
                    <w:sz w:val="24"/>
                    <w:szCs w:val="24"/>
                  </w:rPr>
                  <w:t>Kathryn Flynn</w:t>
                </w:r>
              </w:p>
            </w:tc>
          </w:tr>
          <w:tr w:rsidR="00FB677B" w:rsidRPr="00A351EF" w14:paraId="74DB7804" w14:textId="77777777" w:rsidTr="0030173B">
            <w:trPr>
              <w:trHeight w:val="413"/>
            </w:trPr>
            <w:tc>
              <w:tcPr>
                <w:tcW w:w="3438" w:type="dxa"/>
                <w:shd w:val="clear" w:color="auto" w:fill="D9D9D9"/>
              </w:tcPr>
              <w:p w14:paraId="564C87B8" w14:textId="5B4DD2A7" w:rsidR="00FB677B" w:rsidRPr="00A351EF" w:rsidRDefault="009065E3" w:rsidP="00A930CB">
                <w:pPr>
                  <w:spacing w:before="120" w:after="120" w:line="360" w:lineRule="auto"/>
                  <w:rPr>
                    <w:rFonts w:ascii="Tahoma" w:hAnsi="Tahoma" w:cs="Tahoma"/>
                    <w:sz w:val="24"/>
                    <w:szCs w:val="24"/>
                  </w:rPr>
                </w:pPr>
                <w:r w:rsidRPr="00A351EF">
                  <w:rPr>
                    <w:rFonts w:ascii="Tahoma" w:hAnsi="Tahoma" w:cs="Tahoma"/>
                    <w:sz w:val="24"/>
                    <w:szCs w:val="24"/>
                  </w:rPr>
                  <w:t>Assignment Wordcount:</w:t>
                </w:r>
              </w:p>
            </w:tc>
            <w:tc>
              <w:tcPr>
                <w:tcW w:w="6055" w:type="dxa"/>
              </w:tcPr>
              <w:p w14:paraId="50FF7FED" w14:textId="4635F9DE" w:rsidR="00FB677B" w:rsidRPr="00A351EF" w:rsidRDefault="00BD2455" w:rsidP="00A930CB">
                <w:pPr>
                  <w:spacing w:before="120" w:after="120" w:line="360" w:lineRule="auto"/>
                  <w:rPr>
                    <w:rFonts w:ascii="Tahoma" w:hAnsi="Tahoma" w:cs="Tahoma"/>
                    <w:color w:val="FF0000"/>
                    <w:sz w:val="24"/>
                    <w:szCs w:val="24"/>
                  </w:rPr>
                </w:pPr>
                <w:r>
                  <w:rPr>
                    <w:rFonts w:ascii="Tahoma" w:hAnsi="Tahoma" w:cs="Tahoma"/>
                    <w:color w:val="FF0000"/>
                    <w:sz w:val="24"/>
                    <w:szCs w:val="24"/>
                  </w:rPr>
                  <w:t>1534</w:t>
                </w:r>
              </w:p>
            </w:tc>
          </w:tr>
        </w:tbl>
        <w:p w14:paraId="79077526" w14:textId="5A5BE11A" w:rsidR="00885114" w:rsidRPr="00D15AD6" w:rsidRDefault="00885114" w:rsidP="00EE42FA">
          <w:pPr>
            <w:spacing w:before="120" w:after="120" w:line="360" w:lineRule="auto"/>
            <w:rPr>
              <w:rFonts w:ascii="Tahoma" w:hAnsi="Tahoma" w:cs="Tahoma"/>
              <w:b/>
              <w:color w:val="000000"/>
              <w:sz w:val="24"/>
              <w:szCs w:val="24"/>
            </w:rPr>
          </w:pPr>
        </w:p>
        <w:p w14:paraId="4F9B413C" w14:textId="77777777" w:rsidR="00AE025D" w:rsidRDefault="00AE025D" w:rsidP="00885114">
          <w:pPr>
            <w:spacing w:before="120" w:after="120" w:line="360" w:lineRule="auto"/>
            <w:rPr>
              <w:rFonts w:ascii="Tahoma" w:hAnsi="Tahoma" w:cs="Tahoma"/>
              <w:color w:val="000000"/>
              <w:sz w:val="24"/>
              <w:szCs w:val="24"/>
            </w:rPr>
          </w:pPr>
        </w:p>
        <w:p w14:paraId="326900B0" w14:textId="77777777" w:rsidR="00A351EF" w:rsidRDefault="00A351EF" w:rsidP="00885114">
          <w:pPr>
            <w:spacing w:before="120" w:after="120" w:line="360" w:lineRule="auto"/>
            <w:rPr>
              <w:rFonts w:ascii="Tahoma" w:hAnsi="Tahoma" w:cs="Tahoma"/>
              <w:color w:val="000000"/>
              <w:sz w:val="24"/>
              <w:szCs w:val="24"/>
            </w:rPr>
          </w:pPr>
        </w:p>
        <w:p w14:paraId="68FE57E8" w14:textId="792C453C" w:rsidR="00715A8B" w:rsidRPr="008346D5" w:rsidRDefault="00000000" w:rsidP="00885114">
          <w:pPr>
            <w:spacing w:before="120" w:after="120" w:line="360" w:lineRule="auto"/>
            <w:rPr>
              <w:rFonts w:ascii="Tahoma" w:hAnsi="Tahoma" w:cs="Tahoma"/>
              <w:color w:val="000000"/>
              <w:sz w:val="24"/>
              <w:szCs w:val="24"/>
            </w:rPr>
          </w:pPr>
        </w:p>
      </w:sdtContent>
    </w:sdt>
    <w:p w14:paraId="3ED55503" w14:textId="41E90D5F" w:rsidR="00D2291D" w:rsidRDefault="0006008A" w:rsidP="00EE42FA">
      <w:pPr>
        <w:rPr>
          <w:rFonts w:cs="Arial"/>
          <w:sz w:val="24"/>
          <w:szCs w:val="24"/>
        </w:rPr>
      </w:pPr>
      <w:bookmarkStart w:id="0" w:name="_Toc456901515"/>
      <w:r w:rsidRPr="0047005B">
        <w:rPr>
          <w:rFonts w:cs="Arial"/>
          <w:sz w:val="24"/>
          <w:szCs w:val="24"/>
        </w:rPr>
        <w:t>Introduction</w:t>
      </w:r>
      <w:bookmarkEnd w:id="0"/>
    </w:p>
    <w:p w14:paraId="180D49B3" w14:textId="09912AE7" w:rsidR="004E694D" w:rsidRDefault="0024495A" w:rsidP="00EE42FA">
      <w:pPr>
        <w:rPr>
          <w:rFonts w:cs="Arial"/>
          <w:sz w:val="24"/>
          <w:szCs w:val="24"/>
        </w:rPr>
      </w:pPr>
      <w:r w:rsidRPr="0024495A">
        <w:rPr>
          <w:rFonts w:cs="Arial"/>
          <w:sz w:val="24"/>
          <w:szCs w:val="24"/>
        </w:rPr>
        <w:t xml:space="preserve">Management of guests and other hotel activities falls under the purview of hospitality and guest service. He makes sure that every work is carried out correctly. This person's main responsibility is to boost customer happiness and engagement. The outcomes of the hotel are directly impacted by the manager's duties. </w:t>
      </w:r>
      <w:proofErr w:type="spellStart"/>
      <w:r w:rsidRPr="0024495A">
        <w:rPr>
          <w:rFonts w:cs="Arial"/>
          <w:sz w:val="24"/>
          <w:szCs w:val="24"/>
        </w:rPr>
        <w:t>Organization</w:t>
      </w:r>
      <w:proofErr w:type="spellEnd"/>
      <w:r w:rsidRPr="0024495A">
        <w:rPr>
          <w:rFonts w:cs="Arial"/>
          <w:sz w:val="24"/>
          <w:szCs w:val="24"/>
        </w:rPr>
        <w:t xml:space="preserve"> is the hospitality company taken into account in this research.</w:t>
      </w:r>
      <w:r w:rsidR="00D30647">
        <w:rPr>
          <w:rFonts w:cs="Arial"/>
          <w:sz w:val="24"/>
          <w:szCs w:val="24"/>
        </w:rPr>
        <w:t xml:space="preserve"> </w:t>
      </w:r>
      <w:r w:rsidR="00ED0D85" w:rsidRPr="00ED0D85">
        <w:rPr>
          <w:rFonts w:cs="Arial"/>
          <w:sz w:val="24"/>
          <w:szCs w:val="24"/>
        </w:rPr>
        <w:t xml:space="preserve">Understanding hotel standards and the crucial factors that go into making money is crucial. If the standards aren't up to par, the company risks losing customers and getting bad reviews, which will make potential guests reconsider their choice of hotel. To ensure that the Standards are set high, </w:t>
      </w:r>
      <w:r w:rsidR="00ED0D85" w:rsidRPr="00ED0D85">
        <w:rPr>
          <w:rFonts w:cs="Arial"/>
          <w:sz w:val="24"/>
          <w:szCs w:val="24"/>
        </w:rPr>
        <w:lastRenderedPageBreak/>
        <w:t>management must create a weekly schedule to check the criteria and assign jobs.</w:t>
      </w:r>
      <w:r w:rsidR="004F76E2" w:rsidRPr="004F76E2">
        <w:rPr>
          <w:rFonts w:cs="Arial"/>
          <w:sz w:val="24"/>
          <w:szCs w:val="24"/>
        </w:rPr>
        <w:t xml:space="preserve"> It is commonly known that customer happiness is a key factor in driving both new and repeat business for hospitality businesses and is essential to their success. Customer happiness depends greatly on the quality of the services provided, hence hospitality businesses go to considerable lengths to uphold, enhance, and distinguish their service quality through the adoption of corporate strategies and operational policies and procedures. The hospitality sector has experienced tremendous growth in recent years, and sophisticated technology has been introduced, not only in the areas of </w:t>
      </w:r>
      <w:proofErr w:type="spellStart"/>
      <w:r w:rsidR="004F76E2" w:rsidRPr="004F76E2">
        <w:rPr>
          <w:rFonts w:cs="Arial"/>
          <w:sz w:val="24"/>
          <w:szCs w:val="24"/>
        </w:rPr>
        <w:t>computerization</w:t>
      </w:r>
      <w:proofErr w:type="spellEnd"/>
      <w:r w:rsidR="004F76E2" w:rsidRPr="004F76E2">
        <w:rPr>
          <w:rFonts w:cs="Arial"/>
          <w:sz w:val="24"/>
          <w:szCs w:val="24"/>
        </w:rPr>
        <w:t xml:space="preserve"> and the Internet but also through the use of numerous applications that are meant to improve the comfort, convenience, and safety of visitors.</w:t>
      </w:r>
    </w:p>
    <w:p w14:paraId="36ADE585" w14:textId="1833C696" w:rsidR="00F5775D" w:rsidRPr="0047005B" w:rsidRDefault="00F5775D" w:rsidP="00EE42FA">
      <w:pPr>
        <w:rPr>
          <w:rFonts w:cs="Arial"/>
          <w:sz w:val="24"/>
          <w:szCs w:val="24"/>
        </w:rPr>
      </w:pPr>
    </w:p>
    <w:p w14:paraId="3C529CB6" w14:textId="4852D925" w:rsidR="00FA26A2" w:rsidRDefault="00FA26A2" w:rsidP="0030173B"/>
    <w:p w14:paraId="289185B5" w14:textId="2DB2C2BC" w:rsidR="005127E3" w:rsidRDefault="00FA26A2" w:rsidP="0030173B">
      <w:r>
        <w:t xml:space="preserve">Main body </w:t>
      </w:r>
    </w:p>
    <w:p w14:paraId="753A5982" w14:textId="0DD8F313" w:rsidR="004B4EBE" w:rsidRPr="004B4EBE" w:rsidRDefault="00534991" w:rsidP="004B4EBE">
      <w:pPr>
        <w:spacing w:line="360" w:lineRule="auto"/>
        <w:rPr>
          <w:rFonts w:cs="Arial"/>
          <w:sz w:val="24"/>
          <w:szCs w:val="24"/>
        </w:rPr>
      </w:pPr>
      <w:r w:rsidRPr="00534991">
        <w:rPr>
          <w:rFonts w:cs="Arial"/>
          <w:sz w:val="24"/>
          <w:szCs w:val="24"/>
        </w:rPr>
        <w:t>There is strong theoretical and empirical support in the literature for the idea that service quality and behavioural intentions are directly related (</w:t>
      </w:r>
      <w:proofErr w:type="spellStart"/>
      <w:r w:rsidRPr="00534991">
        <w:rPr>
          <w:rFonts w:cs="Arial"/>
          <w:sz w:val="24"/>
          <w:szCs w:val="24"/>
        </w:rPr>
        <w:t>Bitner</w:t>
      </w:r>
      <w:proofErr w:type="spellEnd"/>
      <w:r w:rsidRPr="00534991">
        <w:rPr>
          <w:rFonts w:cs="Arial"/>
          <w:sz w:val="24"/>
          <w:szCs w:val="24"/>
        </w:rPr>
        <w:t>, 1990; Bolton and Drew, 1991a). Much focus has been made on how service quality affects repeat business and customer loyalty among the various behavioural intentions (Jones and Farquhar, 2003). Service quality affects a customer's subsequent behaviour, intents, and preferences, as stated by Bolton (1998). Customers are more likely to choose the same provider again when they receive service quality that meets or exceeds their expectations. Moreover, Cronin and Taylor (1994) discovered that service quality significantly influences consumers' intentions to make further purchases.</w:t>
      </w:r>
      <w:r w:rsidR="00993956" w:rsidRPr="00993956">
        <w:rPr>
          <w:rFonts w:cs="Arial"/>
          <w:sz w:val="24"/>
          <w:szCs w:val="24"/>
        </w:rPr>
        <w:t xml:space="preserve"> To build a long-lasting relationship with its visitors, the international hotel sector has been utilising a variety of marketing and business tactics under the heading of "relationship marketing" for many years (</w:t>
      </w:r>
      <w:proofErr w:type="spellStart"/>
      <w:r w:rsidR="00993956" w:rsidRPr="00993956">
        <w:rPr>
          <w:rFonts w:cs="Arial"/>
          <w:sz w:val="24"/>
          <w:szCs w:val="24"/>
        </w:rPr>
        <w:t>Tideswell</w:t>
      </w:r>
      <w:proofErr w:type="spellEnd"/>
      <w:r w:rsidR="00993956" w:rsidRPr="00993956">
        <w:rPr>
          <w:rFonts w:cs="Arial"/>
          <w:sz w:val="24"/>
          <w:szCs w:val="24"/>
        </w:rPr>
        <w:t xml:space="preserve"> &amp; </w:t>
      </w:r>
      <w:proofErr w:type="spellStart"/>
      <w:r w:rsidR="00993956" w:rsidRPr="00993956">
        <w:rPr>
          <w:rFonts w:cs="Arial"/>
          <w:sz w:val="24"/>
          <w:szCs w:val="24"/>
        </w:rPr>
        <w:t>Fredline</w:t>
      </w:r>
      <w:proofErr w:type="spellEnd"/>
      <w:r w:rsidR="00993956" w:rsidRPr="00993956">
        <w:rPr>
          <w:rFonts w:cs="Arial"/>
          <w:sz w:val="24"/>
          <w:szCs w:val="24"/>
        </w:rPr>
        <w:t xml:space="preserve">, 2004). As a result, the hotel sector at the centre of the expanding and fiercely competitive American economy had to find fresh approaches to draw in more guests and so boost profits. According to </w:t>
      </w:r>
      <w:proofErr w:type="spellStart"/>
      <w:r w:rsidR="00993956" w:rsidRPr="00993956">
        <w:rPr>
          <w:rFonts w:cs="Arial"/>
          <w:sz w:val="24"/>
          <w:szCs w:val="24"/>
        </w:rPr>
        <w:t>Charania</w:t>
      </w:r>
      <w:proofErr w:type="spellEnd"/>
      <w:r w:rsidR="00993956" w:rsidRPr="00993956">
        <w:rPr>
          <w:rFonts w:cs="Arial"/>
          <w:sz w:val="24"/>
          <w:szCs w:val="24"/>
        </w:rPr>
        <w:t xml:space="preserve"> (2011), "The hospitality and tourist industry embraced loyalty incentive programmes from the supermarket industry as a relationship marketing tactic in the early 1980s in the face of increased competition. The programmes were extremely popular with consumers, which led to their widespread proliferation throughout the industry. Many businesses started copying the programmes as a way to increase their profits.</w:t>
      </w:r>
      <w:r w:rsidR="00DE3362" w:rsidRPr="00DE3362">
        <w:rPr>
          <w:rFonts w:cs="Arial"/>
          <w:sz w:val="24"/>
          <w:szCs w:val="24"/>
        </w:rPr>
        <w:t xml:space="preserve"> Kim (2004) also emphasised the existence of loyalty programmes in his comments, indicating that this phenomena of </w:t>
      </w:r>
      <w:r w:rsidR="00DE3362" w:rsidRPr="00DE3362">
        <w:rPr>
          <w:rFonts w:cs="Arial"/>
          <w:sz w:val="24"/>
          <w:szCs w:val="24"/>
        </w:rPr>
        <w:lastRenderedPageBreak/>
        <w:t>rewarding customers for their loyalty is becoming more widespread in various sectors of the travel industry, including airlines and hotels. Many of the measures launched by organisations in the tourism and hospitality sectors to encourage this loyalty have typically included transactional strategies centred around loyalty-rewarding programmes like "frequent flyer programmes" and "hotel rewards points" (</w:t>
      </w:r>
      <w:proofErr w:type="spellStart"/>
      <w:r w:rsidR="00DE3362" w:rsidRPr="00DE3362">
        <w:rPr>
          <w:rFonts w:cs="Arial"/>
          <w:sz w:val="24"/>
          <w:szCs w:val="24"/>
        </w:rPr>
        <w:t>Tideswell</w:t>
      </w:r>
      <w:proofErr w:type="spellEnd"/>
      <w:r w:rsidR="00DE3362" w:rsidRPr="00DE3362">
        <w:rPr>
          <w:rFonts w:cs="Arial"/>
          <w:sz w:val="24"/>
          <w:szCs w:val="24"/>
        </w:rPr>
        <w:t xml:space="preserve"> &amp; </w:t>
      </w:r>
      <w:proofErr w:type="spellStart"/>
      <w:r w:rsidR="00DE3362" w:rsidRPr="00DE3362">
        <w:rPr>
          <w:rFonts w:cs="Arial"/>
          <w:sz w:val="24"/>
          <w:szCs w:val="24"/>
        </w:rPr>
        <w:t>Fredline</w:t>
      </w:r>
      <w:proofErr w:type="spellEnd"/>
      <w:r w:rsidR="00DE3362" w:rsidRPr="00DE3362">
        <w:rPr>
          <w:rFonts w:cs="Arial"/>
          <w:sz w:val="24"/>
          <w:szCs w:val="24"/>
        </w:rPr>
        <w:t>, 2004).</w:t>
      </w:r>
      <w:r w:rsidR="0055107D" w:rsidRPr="0055107D">
        <w:rPr>
          <w:rFonts w:cs="Arial"/>
          <w:sz w:val="24"/>
          <w:szCs w:val="24"/>
        </w:rPr>
        <w:t xml:space="preserve"> A customer loyalty program's very existence depends solely on the fact that it functions. Several elements affect how effective a customer loyalty programme is, but the major question at hand is whether or not they actually increase loyalty (Rosenbaum et al 2005; Uncles et al 2003; </w:t>
      </w:r>
      <w:proofErr w:type="spellStart"/>
      <w:r w:rsidR="0055107D" w:rsidRPr="0055107D">
        <w:rPr>
          <w:rFonts w:cs="Arial"/>
          <w:sz w:val="24"/>
          <w:szCs w:val="24"/>
        </w:rPr>
        <w:t>Leenheer</w:t>
      </w:r>
      <w:proofErr w:type="spellEnd"/>
      <w:r w:rsidR="0055107D" w:rsidRPr="0055107D">
        <w:rPr>
          <w:rFonts w:cs="Arial"/>
          <w:sz w:val="24"/>
          <w:szCs w:val="24"/>
        </w:rPr>
        <w:t xml:space="preserve"> et al, 2007; Bowen &amp; Chen 2001; </w:t>
      </w:r>
      <w:proofErr w:type="spellStart"/>
      <w:r w:rsidR="0055107D" w:rsidRPr="0055107D">
        <w:rPr>
          <w:rFonts w:cs="Arial"/>
          <w:sz w:val="24"/>
          <w:szCs w:val="24"/>
        </w:rPr>
        <w:t>Saili</w:t>
      </w:r>
      <w:proofErr w:type="spellEnd"/>
      <w:r w:rsidR="0055107D" w:rsidRPr="0055107D">
        <w:rPr>
          <w:rFonts w:cs="Arial"/>
          <w:sz w:val="24"/>
          <w:szCs w:val="24"/>
        </w:rPr>
        <w:t xml:space="preserve"> et al 2011). What is certain, however, is that customers are the ones who demonstrate loyalty and who determine the worth of a customer loyalty programme (</w:t>
      </w:r>
      <w:proofErr w:type="spellStart"/>
      <w:r w:rsidR="0055107D" w:rsidRPr="0055107D">
        <w:rPr>
          <w:rFonts w:cs="Arial"/>
          <w:sz w:val="24"/>
          <w:szCs w:val="24"/>
        </w:rPr>
        <w:t>Saili</w:t>
      </w:r>
      <w:proofErr w:type="spellEnd"/>
      <w:r w:rsidR="0055107D" w:rsidRPr="0055107D">
        <w:rPr>
          <w:rFonts w:cs="Arial"/>
          <w:sz w:val="24"/>
          <w:szCs w:val="24"/>
        </w:rPr>
        <w:t xml:space="preserve">, </w:t>
      </w:r>
      <w:proofErr w:type="spellStart"/>
      <w:r w:rsidR="0055107D" w:rsidRPr="0055107D">
        <w:rPr>
          <w:rFonts w:cs="Arial"/>
          <w:sz w:val="24"/>
          <w:szCs w:val="24"/>
        </w:rPr>
        <w:t>Mingli</w:t>
      </w:r>
      <w:proofErr w:type="spellEnd"/>
      <w:r w:rsidR="0055107D" w:rsidRPr="0055107D">
        <w:rPr>
          <w:rFonts w:cs="Arial"/>
          <w:sz w:val="24"/>
          <w:szCs w:val="24"/>
        </w:rPr>
        <w:t xml:space="preserve"> and </w:t>
      </w:r>
      <w:proofErr w:type="spellStart"/>
      <w:r w:rsidR="0055107D" w:rsidRPr="0055107D">
        <w:rPr>
          <w:rFonts w:cs="Arial"/>
          <w:sz w:val="24"/>
          <w:szCs w:val="24"/>
        </w:rPr>
        <w:t>Zhichao</w:t>
      </w:r>
      <w:proofErr w:type="spellEnd"/>
      <w:r w:rsidR="0055107D" w:rsidRPr="0055107D">
        <w:rPr>
          <w:rFonts w:cs="Arial"/>
          <w:sz w:val="24"/>
          <w:szCs w:val="24"/>
        </w:rPr>
        <w:t xml:space="preserve"> 2011). The study discovered that there are significant questions about the efficacy of client loyalty programmes in the booming economy. (Dowling and Uncles 1997; </w:t>
      </w:r>
      <w:proofErr w:type="spellStart"/>
      <w:r w:rsidR="0055107D" w:rsidRPr="0055107D">
        <w:rPr>
          <w:rFonts w:cs="Arial"/>
          <w:sz w:val="24"/>
          <w:szCs w:val="24"/>
        </w:rPr>
        <w:t>Shugan</w:t>
      </w:r>
      <w:proofErr w:type="spellEnd"/>
      <w:r w:rsidR="0055107D" w:rsidRPr="0055107D">
        <w:rPr>
          <w:rFonts w:cs="Arial"/>
          <w:sz w:val="24"/>
          <w:szCs w:val="24"/>
        </w:rPr>
        <w:t xml:space="preserve"> 2005; Liu and Yang 2009)</w:t>
      </w:r>
      <w:r w:rsidR="0055107D">
        <w:rPr>
          <w:rFonts w:cs="Arial"/>
          <w:sz w:val="24"/>
          <w:szCs w:val="24"/>
        </w:rPr>
        <w:t xml:space="preserve">. </w:t>
      </w:r>
      <w:r w:rsidR="0039304E" w:rsidRPr="0039304E">
        <w:rPr>
          <w:rFonts w:cs="Arial"/>
          <w:sz w:val="24"/>
          <w:szCs w:val="24"/>
        </w:rPr>
        <w:t>Making customers more devoted is possible with a customer loyalty programme (</w:t>
      </w:r>
      <w:proofErr w:type="spellStart"/>
      <w:r w:rsidR="0039304E" w:rsidRPr="0039304E">
        <w:rPr>
          <w:rFonts w:cs="Arial"/>
          <w:sz w:val="24"/>
          <w:szCs w:val="24"/>
        </w:rPr>
        <w:t>Leenher</w:t>
      </w:r>
      <w:proofErr w:type="spellEnd"/>
      <w:r w:rsidR="0039304E" w:rsidRPr="0039304E">
        <w:rPr>
          <w:rFonts w:cs="Arial"/>
          <w:sz w:val="24"/>
          <w:szCs w:val="24"/>
        </w:rPr>
        <w:t xml:space="preserve"> et al, 2007). Yet, having a loyalty programme for customers is not always a happy condition (Uncles et al., 2003), and the current expansion of the hospital industry (</w:t>
      </w:r>
      <w:proofErr w:type="spellStart"/>
      <w:r w:rsidR="0039304E" w:rsidRPr="0039304E">
        <w:rPr>
          <w:rFonts w:cs="Arial"/>
          <w:sz w:val="24"/>
          <w:szCs w:val="24"/>
        </w:rPr>
        <w:t>Charania</w:t>
      </w:r>
      <w:proofErr w:type="spellEnd"/>
      <w:r w:rsidR="0039304E" w:rsidRPr="0039304E">
        <w:rPr>
          <w:rFonts w:cs="Arial"/>
          <w:sz w:val="24"/>
          <w:szCs w:val="24"/>
        </w:rPr>
        <w:t>, 2011) makes the situation unstable. Chain hotel marketers have a difficult job because they have to deal with clients who claim to be devoted to your brand but are actually loyal to other companies as well, as was covered in the previous chapter. A customer loyalty programme is more than just a sign of loyalty; according to the written literature evaluation, it also fights to keep clients (Gomez et al, 2006). Inside is proof of effectiveness.</w:t>
      </w:r>
      <w:r w:rsidR="00EE5761" w:rsidRPr="00EE5761">
        <w:rPr>
          <w:rFonts w:cs="Arial"/>
          <w:sz w:val="24"/>
          <w:szCs w:val="24"/>
        </w:rPr>
        <w:t xml:space="preserve"> The compiled literature analysis demonstrates that a customer loyalty programme is more than just a sign of loyalty; it also represents a fight to keep customers (Gomez et al, 2006). Customers' time and money-related actions provide evidence of effectiveness. With the body of literature in mind, the author will continue with an insight in the following chapter by doing research in the area of customer loyalty programmes in order to produce evidence of an opinion, as suggested by a targeted demographic.</w:t>
      </w:r>
      <w:r w:rsidR="004B4EBE" w:rsidRPr="004B4EBE">
        <w:rPr>
          <w:rFonts w:cs="Arial"/>
          <w:sz w:val="24"/>
          <w:szCs w:val="24"/>
        </w:rPr>
        <w:t xml:space="preserve"> In marketing theory and practise, the idea of relationship marketing and the significance of creating long-term relationships between buyers and sellers have been extensively studied and have taken the place of the earlier emphasis on single transactions (Berry 1983; Morgan &amp; </w:t>
      </w:r>
      <w:r w:rsidR="004B4EBE" w:rsidRPr="004B4EBE">
        <w:rPr>
          <w:rFonts w:cs="Arial"/>
          <w:sz w:val="24"/>
          <w:szCs w:val="24"/>
        </w:rPr>
        <w:lastRenderedPageBreak/>
        <w:t xml:space="preserve">Hunt 1994; </w:t>
      </w:r>
      <w:proofErr w:type="spellStart"/>
      <w:r w:rsidR="004B4EBE" w:rsidRPr="004B4EBE">
        <w:rPr>
          <w:rFonts w:cs="Arial"/>
          <w:sz w:val="24"/>
          <w:szCs w:val="24"/>
        </w:rPr>
        <w:t>Grönroos</w:t>
      </w:r>
      <w:proofErr w:type="spellEnd"/>
      <w:r w:rsidR="004B4EBE" w:rsidRPr="004B4EBE">
        <w:rPr>
          <w:rFonts w:cs="Arial"/>
          <w:sz w:val="24"/>
          <w:szCs w:val="24"/>
        </w:rPr>
        <w:t xml:space="preserve"> 2007; </w:t>
      </w:r>
      <w:proofErr w:type="spellStart"/>
      <w:r w:rsidR="004B4EBE" w:rsidRPr="004B4EBE">
        <w:rPr>
          <w:rFonts w:cs="Arial"/>
          <w:sz w:val="24"/>
          <w:szCs w:val="24"/>
        </w:rPr>
        <w:t>Gummesson</w:t>
      </w:r>
      <w:proofErr w:type="spellEnd"/>
      <w:r w:rsidR="004B4EBE" w:rsidRPr="004B4EBE">
        <w:rPr>
          <w:rFonts w:cs="Arial"/>
          <w:sz w:val="24"/>
          <w:szCs w:val="24"/>
        </w:rPr>
        <w:t xml:space="preserve"> 2008). According to studies (</w:t>
      </w:r>
      <w:proofErr w:type="spellStart"/>
      <w:r w:rsidR="004B4EBE" w:rsidRPr="004B4EBE">
        <w:rPr>
          <w:rFonts w:cs="Arial"/>
          <w:sz w:val="24"/>
          <w:szCs w:val="24"/>
        </w:rPr>
        <w:t>Reichheld</w:t>
      </w:r>
      <w:proofErr w:type="spellEnd"/>
      <w:r w:rsidR="004B4EBE" w:rsidRPr="004B4EBE">
        <w:rPr>
          <w:rFonts w:cs="Arial"/>
          <w:sz w:val="24"/>
          <w:szCs w:val="24"/>
        </w:rPr>
        <w:t xml:space="preserve"> &amp; </w:t>
      </w:r>
      <w:proofErr w:type="spellStart"/>
      <w:r w:rsidR="004B4EBE" w:rsidRPr="004B4EBE">
        <w:rPr>
          <w:rFonts w:cs="Arial"/>
          <w:sz w:val="24"/>
          <w:szCs w:val="24"/>
        </w:rPr>
        <w:t>Sasser</w:t>
      </w:r>
      <w:proofErr w:type="spellEnd"/>
      <w:r w:rsidR="004B4EBE" w:rsidRPr="004B4EBE">
        <w:rPr>
          <w:rFonts w:cs="Arial"/>
          <w:sz w:val="24"/>
          <w:szCs w:val="24"/>
        </w:rPr>
        <w:t xml:space="preserve"> 1990; Berry &amp; </w:t>
      </w:r>
      <w:proofErr w:type="spellStart"/>
      <w:r w:rsidR="004B4EBE" w:rsidRPr="004B4EBE">
        <w:rPr>
          <w:rFonts w:cs="Arial"/>
          <w:sz w:val="24"/>
          <w:szCs w:val="24"/>
        </w:rPr>
        <w:t>Parasuraman</w:t>
      </w:r>
      <w:proofErr w:type="spellEnd"/>
      <w:r w:rsidR="004B4EBE" w:rsidRPr="004B4EBE">
        <w:rPr>
          <w:rFonts w:cs="Arial"/>
          <w:sz w:val="24"/>
          <w:szCs w:val="24"/>
        </w:rPr>
        <w:t xml:space="preserve"> 1991; </w:t>
      </w:r>
      <w:proofErr w:type="spellStart"/>
      <w:r w:rsidR="004B4EBE" w:rsidRPr="004B4EBE">
        <w:rPr>
          <w:rFonts w:cs="Arial"/>
          <w:sz w:val="24"/>
          <w:szCs w:val="24"/>
        </w:rPr>
        <w:t>Buttle</w:t>
      </w:r>
      <w:proofErr w:type="spellEnd"/>
      <w:r w:rsidR="004B4EBE" w:rsidRPr="004B4EBE">
        <w:rPr>
          <w:rFonts w:cs="Arial"/>
          <w:sz w:val="24"/>
          <w:szCs w:val="24"/>
        </w:rPr>
        <w:t xml:space="preserve"> 1996; Gilbert 1999), it is more profitable to keep existing customers than to try to win new ones. In the hotel industry, in particular, customer loyalty and its related constructs are extremely important to the success of businesses. </w:t>
      </w:r>
    </w:p>
    <w:p w14:paraId="5A88BBE6" w14:textId="77777777" w:rsidR="004B4EBE" w:rsidRPr="004B4EBE" w:rsidRDefault="004B4EBE" w:rsidP="004B4EBE">
      <w:pPr>
        <w:spacing w:line="360" w:lineRule="auto"/>
        <w:rPr>
          <w:rFonts w:cs="Arial"/>
          <w:sz w:val="24"/>
          <w:szCs w:val="24"/>
        </w:rPr>
      </w:pPr>
    </w:p>
    <w:p w14:paraId="0E73F40E" w14:textId="73B570C3" w:rsidR="00513050" w:rsidRDefault="004B4EBE" w:rsidP="008B6032">
      <w:pPr>
        <w:spacing w:line="360" w:lineRule="auto"/>
        <w:rPr>
          <w:rFonts w:cs="Arial"/>
          <w:sz w:val="24"/>
          <w:szCs w:val="24"/>
        </w:rPr>
      </w:pPr>
      <w:r w:rsidRPr="004B4EBE">
        <w:rPr>
          <w:rFonts w:cs="Arial"/>
          <w:sz w:val="24"/>
          <w:szCs w:val="24"/>
        </w:rPr>
        <w:t>relationships (</w:t>
      </w:r>
      <w:proofErr w:type="spellStart"/>
      <w:r w:rsidRPr="004B4EBE">
        <w:rPr>
          <w:rFonts w:cs="Arial"/>
          <w:sz w:val="24"/>
          <w:szCs w:val="24"/>
        </w:rPr>
        <w:t>Reichheld</w:t>
      </w:r>
      <w:proofErr w:type="spellEnd"/>
      <w:r w:rsidRPr="004B4EBE">
        <w:rPr>
          <w:rFonts w:cs="Arial"/>
          <w:sz w:val="24"/>
          <w:szCs w:val="24"/>
        </w:rPr>
        <w:t xml:space="preserve"> &amp; </w:t>
      </w:r>
      <w:proofErr w:type="spellStart"/>
      <w:r w:rsidRPr="004B4EBE">
        <w:rPr>
          <w:rFonts w:cs="Arial"/>
          <w:sz w:val="24"/>
          <w:szCs w:val="24"/>
        </w:rPr>
        <w:t>Sasser</w:t>
      </w:r>
      <w:proofErr w:type="spellEnd"/>
      <w:r w:rsidRPr="004B4EBE">
        <w:rPr>
          <w:rFonts w:cs="Arial"/>
          <w:sz w:val="24"/>
          <w:szCs w:val="24"/>
        </w:rPr>
        <w:t xml:space="preserve"> 1990; Morgan et al. 2000). (</w:t>
      </w:r>
      <w:proofErr w:type="spellStart"/>
      <w:r w:rsidRPr="004B4EBE">
        <w:rPr>
          <w:rFonts w:cs="Arial"/>
          <w:sz w:val="24"/>
          <w:szCs w:val="24"/>
        </w:rPr>
        <w:t>Reichheld</w:t>
      </w:r>
      <w:proofErr w:type="spellEnd"/>
      <w:r w:rsidRPr="004B4EBE">
        <w:rPr>
          <w:rFonts w:cs="Arial"/>
          <w:sz w:val="24"/>
          <w:szCs w:val="24"/>
        </w:rPr>
        <w:t xml:space="preserve"> &amp; </w:t>
      </w:r>
      <w:proofErr w:type="spellStart"/>
      <w:r w:rsidRPr="004B4EBE">
        <w:rPr>
          <w:rFonts w:cs="Arial"/>
          <w:sz w:val="24"/>
          <w:szCs w:val="24"/>
        </w:rPr>
        <w:t>Sasser</w:t>
      </w:r>
      <w:proofErr w:type="spellEnd"/>
      <w:r w:rsidRPr="004B4EBE">
        <w:rPr>
          <w:rFonts w:cs="Arial"/>
          <w:sz w:val="24"/>
          <w:szCs w:val="24"/>
        </w:rPr>
        <w:t xml:space="preserve"> 1990; Morgan et al. 2000). Loyal consumers may bring greater assurance to the company; they are less susceptible to price changes and more likely to spread good word of mouth. </w:t>
      </w:r>
      <w:r w:rsidR="00E15553">
        <w:rPr>
          <w:rFonts w:cs="Arial"/>
          <w:sz w:val="24"/>
          <w:szCs w:val="24"/>
        </w:rPr>
        <w:t xml:space="preserve">(Duller </w:t>
      </w:r>
      <w:r w:rsidR="002E5CE8" w:rsidRPr="002E5CE8">
        <w:rPr>
          <w:rFonts w:cs="Arial"/>
          <w:sz w:val="24"/>
          <w:szCs w:val="24"/>
        </w:rPr>
        <w:t>2000); Morgan et al. (2000)). Consumer loyalty is typically determined by elements relating to customer service, such as the personalities of front-line staff. When staff members provide consumers with high-quality service that meets their expectations, customers are more likely to be satisfied, which enhances the likelihood that they will make additional purchases and their level of loyalty.</w:t>
      </w:r>
      <w:r w:rsidR="00B83CB6" w:rsidRPr="00B83CB6">
        <w:rPr>
          <w:rFonts w:cs="Arial"/>
          <w:sz w:val="24"/>
          <w:szCs w:val="24"/>
        </w:rPr>
        <w:t xml:space="preserve"> The study creates a relationship marketing model that is based on qualitative, quantitative, and thorough literature evaluation. It gives a thorough, all-encompassing investigation of relationship marketing in the hotel sector as well as a summary of its theory and application. Nine relationship marketing components are included in it: the personality, service quality, individualised attention, customer recognition, product innovation, creativity, trust and commitment, friendship, and social network. The purpose of this model is to help hotels and marketers comprehend relationship marketing and implement the necessary relationship marketing components into their daily operations. The strategy also emphasises the value of </w:t>
      </w:r>
      <w:r w:rsidR="009B6B2D">
        <w:rPr>
          <w:rFonts w:cs="Arial"/>
          <w:sz w:val="24"/>
          <w:szCs w:val="24"/>
        </w:rPr>
        <w:t>hotel</w:t>
      </w:r>
      <w:r w:rsidR="00B83CB6" w:rsidRPr="00B83CB6">
        <w:rPr>
          <w:rFonts w:cs="Arial"/>
          <w:sz w:val="24"/>
          <w:szCs w:val="24"/>
        </w:rPr>
        <w:t xml:space="preserve"> culture and its significance for relationship marketing.</w:t>
      </w:r>
      <w:r w:rsidR="00D73EC4" w:rsidRPr="00D73EC4">
        <w:rPr>
          <w:rFonts w:cs="Arial"/>
          <w:sz w:val="24"/>
          <w:szCs w:val="24"/>
        </w:rPr>
        <w:t xml:space="preserve"> Relationship marketing is explained in detail in Hotel Management, which also defines its significance in hotel management. Together with a survey of the literature on the subject of employee-hotel relationships, the roles of general managers and employees are examined. The importance of service quality in the hotel industry is also emphasised in this chapter, with a focus on the interpersonal component of service management. This chapter also emphasises the importance of customer loyalty and the growth of customer-hotel relationships.</w:t>
      </w:r>
      <w:r w:rsidR="000F66FA" w:rsidRPr="000F66FA">
        <w:rPr>
          <w:rFonts w:cs="Arial"/>
          <w:sz w:val="24"/>
          <w:szCs w:val="24"/>
        </w:rPr>
        <w:t xml:space="preserve"> Due to the strong </w:t>
      </w:r>
      <w:r w:rsidR="000F66FA" w:rsidRPr="000F66FA">
        <w:rPr>
          <w:rFonts w:cs="Arial"/>
          <w:sz w:val="24"/>
          <w:szCs w:val="24"/>
        </w:rPr>
        <w:lastRenderedPageBreak/>
        <w:t xml:space="preserve">correlation between customer happiness and loyalty, which ultimately results in economic success, customer satisfaction has been the subject of extensive research (Anderson &amp; </w:t>
      </w:r>
      <w:proofErr w:type="spellStart"/>
      <w:r w:rsidR="000F66FA" w:rsidRPr="000F66FA">
        <w:rPr>
          <w:rFonts w:cs="Arial"/>
          <w:sz w:val="24"/>
          <w:szCs w:val="24"/>
        </w:rPr>
        <w:t>Fornell</w:t>
      </w:r>
      <w:proofErr w:type="spellEnd"/>
      <w:r w:rsidR="000F66FA" w:rsidRPr="000F66FA">
        <w:rPr>
          <w:rFonts w:cs="Arial"/>
          <w:sz w:val="24"/>
          <w:szCs w:val="24"/>
        </w:rPr>
        <w:t xml:space="preserve"> 1994). Yet recently, a lot of experts have questioned whether this connection even exists (e.g. Jones &amp; </w:t>
      </w:r>
      <w:proofErr w:type="spellStart"/>
      <w:r w:rsidR="000F66FA" w:rsidRPr="000F66FA">
        <w:rPr>
          <w:rFonts w:cs="Arial"/>
          <w:sz w:val="24"/>
          <w:szCs w:val="24"/>
        </w:rPr>
        <w:t>Sasser</w:t>
      </w:r>
      <w:proofErr w:type="spellEnd"/>
      <w:r w:rsidR="000F66FA" w:rsidRPr="000F66FA">
        <w:rPr>
          <w:rFonts w:cs="Arial"/>
          <w:sz w:val="24"/>
          <w:szCs w:val="24"/>
        </w:rPr>
        <w:t xml:space="preserve"> 1995; </w:t>
      </w:r>
      <w:proofErr w:type="spellStart"/>
      <w:r w:rsidR="000F66FA" w:rsidRPr="000F66FA">
        <w:rPr>
          <w:rFonts w:cs="Arial"/>
          <w:sz w:val="24"/>
          <w:szCs w:val="24"/>
        </w:rPr>
        <w:t>Reichheld</w:t>
      </w:r>
      <w:proofErr w:type="spellEnd"/>
      <w:r w:rsidR="000F66FA" w:rsidRPr="000F66FA">
        <w:rPr>
          <w:rFonts w:cs="Arial"/>
          <w:sz w:val="24"/>
          <w:szCs w:val="24"/>
        </w:rPr>
        <w:t xml:space="preserve"> 1993, 1996). Although these writers offer proof of high rates of satisfied consumers defecting, academic literature has mostly ignored this phenomena. To investigate and quantify consumer happiness, numerous methodologies and tools have been developed. This study only considers customer pleasure as a requirement of loyalty in the context of the hotel sector because it is impractical to cover all of these theories.</w:t>
      </w:r>
    </w:p>
    <w:p w14:paraId="12B3D8C9" w14:textId="77777777" w:rsidR="006C0B3E" w:rsidRPr="008B6032" w:rsidRDefault="006C0B3E" w:rsidP="008B6032">
      <w:pPr>
        <w:spacing w:line="360" w:lineRule="auto"/>
        <w:rPr>
          <w:rFonts w:cs="Arial"/>
          <w:sz w:val="24"/>
          <w:szCs w:val="24"/>
        </w:rPr>
      </w:pPr>
    </w:p>
    <w:p w14:paraId="747EDDAD" w14:textId="5C473D2E" w:rsidR="005225BF" w:rsidRDefault="00513050" w:rsidP="002049FE">
      <w:pPr>
        <w:pStyle w:val="Heading2"/>
        <w:rPr>
          <w:rFonts w:ascii="Arial" w:hAnsi="Arial" w:cs="Arial"/>
          <w:color w:val="auto"/>
          <w:sz w:val="24"/>
          <w:szCs w:val="24"/>
        </w:rPr>
      </w:pPr>
      <w:r w:rsidRPr="0047005B">
        <w:rPr>
          <w:rFonts w:ascii="Arial" w:hAnsi="Arial" w:cs="Arial"/>
          <w:color w:val="auto"/>
          <w:sz w:val="24"/>
          <w:szCs w:val="24"/>
        </w:rPr>
        <w:t>Conclusion</w:t>
      </w:r>
    </w:p>
    <w:p w14:paraId="3402FCAE" w14:textId="7A397481" w:rsidR="00F80159" w:rsidRPr="00F80159" w:rsidRDefault="0067476A" w:rsidP="00F80159">
      <w:r w:rsidRPr="0067476A">
        <w:t>This chapter's major goal is to provide a thorough description of relationship marketing's nature and use in the service sector in order to show how it is becoming more and more important in the cutthroat hotel industry of today.</w:t>
      </w:r>
    </w:p>
    <w:p w14:paraId="2E24B205" w14:textId="6AFF3954" w:rsidR="00F12352" w:rsidRPr="00F12352" w:rsidRDefault="00F80159" w:rsidP="00F12352">
      <w:r w:rsidRPr="00F80159">
        <w:t>customer loyalty was mentioned as one of the main objectives of relationship marketing. Customer loyalty cannot be formed without its linked concepts, such as customer satisfaction, trust, and commitment. Hotels are advised to develop intimate, long-lasting ties with their clients. This is so because acquiring new clients is much more expensive than keeping the ones you already have. Thus, it's critical to comprehend what customers are actually looking for and to deliver outstanding service in a setting of trust and commitment to establishing a long-term relationship in order to produce relationship marketing methods that win customer loyalty. Relationship marketing is to increase targeted customers' contentment, foster their loyalty to the hotel, and maintain a long-lasting relationship.</w:t>
      </w:r>
    </w:p>
    <w:p w14:paraId="7766DD1E" w14:textId="093765E3" w:rsidR="002049FE" w:rsidRDefault="002049FE" w:rsidP="009F1253">
      <w:pPr>
        <w:spacing w:line="360" w:lineRule="auto"/>
        <w:rPr>
          <w:rFonts w:cs="Arial"/>
          <w:sz w:val="24"/>
          <w:szCs w:val="24"/>
        </w:rPr>
      </w:pPr>
    </w:p>
    <w:p w14:paraId="2D4C7408" w14:textId="45E9E0B6" w:rsidR="0067476A" w:rsidRDefault="0067476A" w:rsidP="009F1253">
      <w:pPr>
        <w:spacing w:line="360" w:lineRule="auto"/>
        <w:rPr>
          <w:rFonts w:cs="Arial"/>
          <w:sz w:val="24"/>
          <w:szCs w:val="24"/>
        </w:rPr>
      </w:pPr>
      <w:r>
        <w:rPr>
          <w:rFonts w:cs="Arial"/>
          <w:sz w:val="24"/>
          <w:szCs w:val="24"/>
        </w:rPr>
        <w:t xml:space="preserve">Reference </w:t>
      </w:r>
    </w:p>
    <w:p w14:paraId="53D48F04" w14:textId="336FAF97" w:rsidR="00454397" w:rsidRDefault="00454397" w:rsidP="009F1253">
      <w:pPr>
        <w:spacing w:line="360" w:lineRule="auto"/>
        <w:rPr>
          <w:rFonts w:cs="Arial"/>
          <w:i/>
          <w:iCs/>
          <w:sz w:val="24"/>
          <w:szCs w:val="24"/>
        </w:rPr>
      </w:pPr>
      <w:proofErr w:type="spellStart"/>
      <w:r>
        <w:rPr>
          <w:rFonts w:cs="Arial"/>
          <w:i/>
          <w:iCs/>
          <w:sz w:val="24"/>
          <w:szCs w:val="24"/>
        </w:rPr>
        <w:t>Bitner</w:t>
      </w:r>
      <w:proofErr w:type="spellEnd"/>
      <w:r>
        <w:rPr>
          <w:rFonts w:cs="Arial"/>
          <w:i/>
          <w:iCs/>
          <w:sz w:val="24"/>
          <w:szCs w:val="24"/>
        </w:rPr>
        <w:t xml:space="preserve"> 1990</w:t>
      </w:r>
    </w:p>
    <w:p w14:paraId="5EB002E7" w14:textId="67FDD0AE" w:rsidR="00454397" w:rsidRDefault="00454397" w:rsidP="009F1253">
      <w:pPr>
        <w:spacing w:line="360" w:lineRule="auto"/>
        <w:rPr>
          <w:rFonts w:cs="Arial"/>
          <w:i/>
          <w:iCs/>
          <w:sz w:val="24"/>
          <w:szCs w:val="24"/>
        </w:rPr>
      </w:pPr>
      <w:r>
        <w:rPr>
          <w:rFonts w:cs="Arial"/>
          <w:i/>
          <w:iCs/>
          <w:sz w:val="24"/>
          <w:szCs w:val="24"/>
        </w:rPr>
        <w:t xml:space="preserve">Bolton and Drew 1991 </w:t>
      </w:r>
    </w:p>
    <w:p w14:paraId="0F3B9C00" w14:textId="5C465B3A" w:rsidR="00454397" w:rsidRDefault="00C57E78" w:rsidP="009F1253">
      <w:pPr>
        <w:spacing w:line="360" w:lineRule="auto"/>
        <w:rPr>
          <w:rFonts w:cs="Arial"/>
          <w:i/>
          <w:iCs/>
          <w:sz w:val="24"/>
          <w:szCs w:val="24"/>
        </w:rPr>
      </w:pPr>
      <w:r>
        <w:rPr>
          <w:rFonts w:cs="Arial"/>
          <w:i/>
          <w:iCs/>
          <w:sz w:val="24"/>
          <w:szCs w:val="24"/>
        </w:rPr>
        <w:t>Jones and Farquhar, 2003</w:t>
      </w:r>
    </w:p>
    <w:p w14:paraId="1226951E" w14:textId="41F626CF" w:rsidR="00C57E78" w:rsidRDefault="00C57E78" w:rsidP="009F1253">
      <w:pPr>
        <w:spacing w:line="360" w:lineRule="auto"/>
        <w:rPr>
          <w:rFonts w:cs="Arial"/>
          <w:i/>
          <w:iCs/>
          <w:sz w:val="24"/>
          <w:szCs w:val="24"/>
        </w:rPr>
      </w:pPr>
      <w:r>
        <w:rPr>
          <w:rFonts w:cs="Arial"/>
          <w:i/>
          <w:iCs/>
          <w:sz w:val="24"/>
          <w:szCs w:val="24"/>
        </w:rPr>
        <w:t xml:space="preserve">Cronin and Taylor </w:t>
      </w:r>
      <w:r w:rsidR="006C14AB">
        <w:rPr>
          <w:rFonts w:cs="Arial"/>
          <w:i/>
          <w:iCs/>
          <w:sz w:val="24"/>
          <w:szCs w:val="24"/>
        </w:rPr>
        <w:t>(1994)</w:t>
      </w:r>
    </w:p>
    <w:p w14:paraId="1B3BADB7" w14:textId="1F6A6E26" w:rsidR="006C14AB" w:rsidRDefault="006C14AB" w:rsidP="009F1253">
      <w:pPr>
        <w:spacing w:line="360" w:lineRule="auto"/>
        <w:rPr>
          <w:rFonts w:cs="Arial"/>
          <w:i/>
          <w:iCs/>
          <w:sz w:val="24"/>
          <w:szCs w:val="24"/>
        </w:rPr>
      </w:pPr>
      <w:proofErr w:type="spellStart"/>
      <w:r>
        <w:rPr>
          <w:rFonts w:cs="Arial"/>
          <w:i/>
          <w:iCs/>
          <w:sz w:val="24"/>
          <w:szCs w:val="24"/>
        </w:rPr>
        <w:t>Tideswel</w:t>
      </w:r>
      <w:proofErr w:type="spellEnd"/>
      <w:r>
        <w:rPr>
          <w:rFonts w:cs="Arial"/>
          <w:i/>
          <w:iCs/>
          <w:sz w:val="24"/>
          <w:szCs w:val="24"/>
        </w:rPr>
        <w:t xml:space="preserve"> </w:t>
      </w:r>
      <w:r w:rsidR="00EB1A60">
        <w:rPr>
          <w:rFonts w:cs="Arial"/>
          <w:i/>
          <w:iCs/>
          <w:sz w:val="24"/>
          <w:szCs w:val="24"/>
        </w:rPr>
        <w:t xml:space="preserve">&amp; </w:t>
      </w:r>
      <w:proofErr w:type="spellStart"/>
      <w:r w:rsidR="00EB1A60">
        <w:rPr>
          <w:rFonts w:cs="Arial"/>
          <w:i/>
          <w:iCs/>
          <w:sz w:val="24"/>
          <w:szCs w:val="24"/>
        </w:rPr>
        <w:t>fredline</w:t>
      </w:r>
      <w:proofErr w:type="spellEnd"/>
      <w:r w:rsidR="00EB1A60">
        <w:rPr>
          <w:rFonts w:cs="Arial"/>
          <w:i/>
          <w:iCs/>
          <w:sz w:val="24"/>
          <w:szCs w:val="24"/>
        </w:rPr>
        <w:t>, 2004</w:t>
      </w:r>
    </w:p>
    <w:p w14:paraId="51105F1A" w14:textId="270E1EEF" w:rsidR="00EB1A60" w:rsidRDefault="00EB1A60" w:rsidP="009F1253">
      <w:pPr>
        <w:spacing w:line="360" w:lineRule="auto"/>
        <w:rPr>
          <w:rFonts w:cs="Arial"/>
          <w:i/>
          <w:iCs/>
          <w:sz w:val="24"/>
          <w:szCs w:val="24"/>
        </w:rPr>
      </w:pPr>
      <w:proofErr w:type="spellStart"/>
      <w:r>
        <w:rPr>
          <w:rFonts w:cs="Arial"/>
          <w:i/>
          <w:iCs/>
          <w:sz w:val="24"/>
          <w:szCs w:val="24"/>
        </w:rPr>
        <w:t>Charonia</w:t>
      </w:r>
      <w:proofErr w:type="spellEnd"/>
      <w:r>
        <w:rPr>
          <w:rFonts w:cs="Arial"/>
          <w:i/>
          <w:iCs/>
          <w:sz w:val="24"/>
          <w:szCs w:val="24"/>
        </w:rPr>
        <w:t xml:space="preserve"> </w:t>
      </w:r>
      <w:r w:rsidR="00FC56A4">
        <w:rPr>
          <w:rFonts w:cs="Arial"/>
          <w:i/>
          <w:iCs/>
          <w:sz w:val="24"/>
          <w:szCs w:val="24"/>
        </w:rPr>
        <w:t>(2011)</w:t>
      </w:r>
    </w:p>
    <w:p w14:paraId="63C57A8F" w14:textId="0A9C457B" w:rsidR="00FC56A4" w:rsidRDefault="00FC56A4" w:rsidP="009F1253">
      <w:pPr>
        <w:spacing w:line="360" w:lineRule="auto"/>
        <w:rPr>
          <w:rFonts w:cs="Arial"/>
          <w:i/>
          <w:iCs/>
          <w:sz w:val="24"/>
          <w:szCs w:val="24"/>
        </w:rPr>
      </w:pPr>
      <w:r>
        <w:rPr>
          <w:rFonts w:cs="Arial"/>
          <w:i/>
          <w:iCs/>
          <w:sz w:val="24"/>
          <w:szCs w:val="24"/>
        </w:rPr>
        <w:lastRenderedPageBreak/>
        <w:t>Kim (2004)</w:t>
      </w:r>
    </w:p>
    <w:p w14:paraId="28223449" w14:textId="75D820FD" w:rsidR="00FC56A4" w:rsidRDefault="00FC56A4" w:rsidP="009F1253">
      <w:pPr>
        <w:spacing w:line="360" w:lineRule="auto"/>
        <w:rPr>
          <w:rFonts w:cs="Arial"/>
          <w:i/>
          <w:iCs/>
          <w:sz w:val="24"/>
          <w:szCs w:val="24"/>
        </w:rPr>
      </w:pPr>
      <w:r>
        <w:rPr>
          <w:rFonts w:cs="Arial"/>
          <w:i/>
          <w:iCs/>
          <w:sz w:val="24"/>
          <w:szCs w:val="24"/>
        </w:rPr>
        <w:t>Rosenbaum et al 2005</w:t>
      </w:r>
    </w:p>
    <w:p w14:paraId="7F7692F3" w14:textId="7A51B3CA" w:rsidR="00FC56A4" w:rsidRDefault="00FC56A4" w:rsidP="009F1253">
      <w:pPr>
        <w:spacing w:line="360" w:lineRule="auto"/>
        <w:rPr>
          <w:rFonts w:cs="Arial"/>
          <w:i/>
          <w:iCs/>
          <w:sz w:val="24"/>
          <w:szCs w:val="24"/>
        </w:rPr>
      </w:pPr>
      <w:r>
        <w:rPr>
          <w:rFonts w:cs="Arial"/>
          <w:i/>
          <w:iCs/>
          <w:sz w:val="24"/>
          <w:szCs w:val="24"/>
        </w:rPr>
        <w:t>Uncle set al 2003</w:t>
      </w:r>
    </w:p>
    <w:p w14:paraId="2B6B446B" w14:textId="2FAE3597" w:rsidR="00FC56A4" w:rsidRDefault="00A14E2B" w:rsidP="009F1253">
      <w:pPr>
        <w:spacing w:line="360" w:lineRule="auto"/>
        <w:rPr>
          <w:rFonts w:cs="Arial"/>
          <w:i/>
          <w:iCs/>
          <w:sz w:val="24"/>
          <w:szCs w:val="24"/>
        </w:rPr>
      </w:pPr>
      <w:proofErr w:type="spellStart"/>
      <w:r>
        <w:rPr>
          <w:rFonts w:cs="Arial"/>
          <w:i/>
          <w:iCs/>
          <w:sz w:val="24"/>
          <w:szCs w:val="24"/>
        </w:rPr>
        <w:t>Leenheer</w:t>
      </w:r>
      <w:proofErr w:type="spellEnd"/>
      <w:r>
        <w:rPr>
          <w:rFonts w:cs="Arial"/>
          <w:i/>
          <w:iCs/>
          <w:sz w:val="24"/>
          <w:szCs w:val="24"/>
        </w:rPr>
        <w:t xml:space="preserve"> eat al 2007 </w:t>
      </w:r>
    </w:p>
    <w:p w14:paraId="494AB613" w14:textId="4318A45A" w:rsidR="00A14E2B" w:rsidRDefault="00A14E2B" w:rsidP="009F1253">
      <w:pPr>
        <w:spacing w:line="360" w:lineRule="auto"/>
        <w:rPr>
          <w:rFonts w:cs="Arial"/>
          <w:i/>
          <w:iCs/>
          <w:sz w:val="24"/>
          <w:szCs w:val="24"/>
        </w:rPr>
      </w:pPr>
      <w:r>
        <w:rPr>
          <w:rFonts w:cs="Arial"/>
          <w:i/>
          <w:iCs/>
          <w:sz w:val="24"/>
          <w:szCs w:val="24"/>
        </w:rPr>
        <w:t xml:space="preserve">The making of manager book </w:t>
      </w:r>
    </w:p>
    <w:p w14:paraId="2365E597" w14:textId="545CD38D" w:rsidR="00A14E2B" w:rsidRDefault="00A14E2B" w:rsidP="009F1253">
      <w:pPr>
        <w:spacing w:line="360" w:lineRule="auto"/>
        <w:rPr>
          <w:rFonts w:cs="Arial"/>
          <w:i/>
          <w:iCs/>
          <w:sz w:val="24"/>
          <w:szCs w:val="24"/>
        </w:rPr>
      </w:pPr>
      <w:r>
        <w:rPr>
          <w:rFonts w:cs="Arial"/>
          <w:i/>
          <w:iCs/>
          <w:sz w:val="24"/>
          <w:szCs w:val="24"/>
        </w:rPr>
        <w:t xml:space="preserve">Hotel and hospitality book </w:t>
      </w:r>
    </w:p>
    <w:p w14:paraId="082CAD74" w14:textId="3C4676C7" w:rsidR="00A14E2B" w:rsidRDefault="0070248D" w:rsidP="009F1253">
      <w:pPr>
        <w:spacing w:line="360" w:lineRule="auto"/>
        <w:rPr>
          <w:rFonts w:cs="Arial"/>
          <w:i/>
          <w:iCs/>
          <w:sz w:val="24"/>
          <w:szCs w:val="24"/>
        </w:rPr>
      </w:pPr>
      <w:r>
        <w:rPr>
          <w:rFonts w:cs="Arial"/>
          <w:i/>
          <w:iCs/>
          <w:sz w:val="24"/>
          <w:szCs w:val="24"/>
        </w:rPr>
        <w:t xml:space="preserve">Bowen &amp; Chen 2001 </w:t>
      </w:r>
    </w:p>
    <w:p w14:paraId="6805CF7F" w14:textId="77777777" w:rsidR="006C14AB" w:rsidRPr="00454397" w:rsidRDefault="006C14AB" w:rsidP="009F1253">
      <w:pPr>
        <w:spacing w:line="360" w:lineRule="auto"/>
        <w:rPr>
          <w:rFonts w:cs="Arial"/>
          <w:i/>
          <w:iCs/>
          <w:sz w:val="24"/>
          <w:szCs w:val="24"/>
        </w:rPr>
      </w:pPr>
    </w:p>
    <w:sectPr w:rsidR="006C14AB" w:rsidRPr="00454397"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77086952">
    <w:abstractNumId w:val="5"/>
  </w:num>
  <w:num w:numId="2" w16cid:durableId="1021469192">
    <w:abstractNumId w:val="9"/>
  </w:num>
  <w:num w:numId="3" w16cid:durableId="2000772398">
    <w:abstractNumId w:val="3"/>
  </w:num>
  <w:num w:numId="4" w16cid:durableId="1714962613">
    <w:abstractNumId w:val="7"/>
  </w:num>
  <w:num w:numId="5" w16cid:durableId="1020860646">
    <w:abstractNumId w:val="1"/>
  </w:num>
  <w:num w:numId="6" w16cid:durableId="1238436610">
    <w:abstractNumId w:val="4"/>
  </w:num>
  <w:num w:numId="7" w16cid:durableId="1851338086">
    <w:abstractNumId w:val="0"/>
  </w:num>
  <w:num w:numId="8" w16cid:durableId="467163349">
    <w:abstractNumId w:val="11"/>
  </w:num>
  <w:num w:numId="9" w16cid:durableId="714618508">
    <w:abstractNumId w:val="6"/>
  </w:num>
  <w:num w:numId="10" w16cid:durableId="182407395">
    <w:abstractNumId w:val="10"/>
  </w:num>
  <w:num w:numId="11" w16cid:durableId="1790274763">
    <w:abstractNumId w:val="8"/>
  </w:num>
  <w:num w:numId="12" w16cid:durableId="17206625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59EB"/>
    <w:rsid w:val="00016992"/>
    <w:rsid w:val="000178FF"/>
    <w:rsid w:val="000218A1"/>
    <w:rsid w:val="00041098"/>
    <w:rsid w:val="00045C47"/>
    <w:rsid w:val="000578CE"/>
    <w:rsid w:val="0006008A"/>
    <w:rsid w:val="0007665E"/>
    <w:rsid w:val="00087170"/>
    <w:rsid w:val="000907E7"/>
    <w:rsid w:val="000A1167"/>
    <w:rsid w:val="000A61C9"/>
    <w:rsid w:val="000C5E1B"/>
    <w:rsid w:val="000E5AA4"/>
    <w:rsid w:val="000F43B5"/>
    <w:rsid w:val="000F6295"/>
    <w:rsid w:val="000F66FA"/>
    <w:rsid w:val="000F7521"/>
    <w:rsid w:val="00106C89"/>
    <w:rsid w:val="001130F2"/>
    <w:rsid w:val="00123E81"/>
    <w:rsid w:val="00127D18"/>
    <w:rsid w:val="00134ACE"/>
    <w:rsid w:val="0015027C"/>
    <w:rsid w:val="001606B0"/>
    <w:rsid w:val="0016598D"/>
    <w:rsid w:val="001745D4"/>
    <w:rsid w:val="001828EE"/>
    <w:rsid w:val="001836B1"/>
    <w:rsid w:val="001C740D"/>
    <w:rsid w:val="001F5437"/>
    <w:rsid w:val="002049FE"/>
    <w:rsid w:val="00211552"/>
    <w:rsid w:val="0021380A"/>
    <w:rsid w:val="0022780E"/>
    <w:rsid w:val="0024495A"/>
    <w:rsid w:val="00252E68"/>
    <w:rsid w:val="00255FC4"/>
    <w:rsid w:val="00276A31"/>
    <w:rsid w:val="00281600"/>
    <w:rsid w:val="00284720"/>
    <w:rsid w:val="00285D09"/>
    <w:rsid w:val="00296FAF"/>
    <w:rsid w:val="002A14BF"/>
    <w:rsid w:val="002C4CAC"/>
    <w:rsid w:val="002D5424"/>
    <w:rsid w:val="002E5CE8"/>
    <w:rsid w:val="0030173B"/>
    <w:rsid w:val="0030202B"/>
    <w:rsid w:val="00322C2E"/>
    <w:rsid w:val="00331B7F"/>
    <w:rsid w:val="0036266D"/>
    <w:rsid w:val="003860FB"/>
    <w:rsid w:val="00386D5C"/>
    <w:rsid w:val="00391011"/>
    <w:rsid w:val="0039304E"/>
    <w:rsid w:val="003B602D"/>
    <w:rsid w:val="003C3B33"/>
    <w:rsid w:val="003C4869"/>
    <w:rsid w:val="003C4A80"/>
    <w:rsid w:val="003D34E8"/>
    <w:rsid w:val="003D68B9"/>
    <w:rsid w:val="003F5372"/>
    <w:rsid w:val="003F64EA"/>
    <w:rsid w:val="003F69D6"/>
    <w:rsid w:val="004027C3"/>
    <w:rsid w:val="004046EC"/>
    <w:rsid w:val="004057DD"/>
    <w:rsid w:val="00413431"/>
    <w:rsid w:val="00454397"/>
    <w:rsid w:val="0046229B"/>
    <w:rsid w:val="0047005B"/>
    <w:rsid w:val="00481CB5"/>
    <w:rsid w:val="004917BD"/>
    <w:rsid w:val="00492C63"/>
    <w:rsid w:val="004B3FA5"/>
    <w:rsid w:val="004B4EBE"/>
    <w:rsid w:val="004B7A28"/>
    <w:rsid w:val="004C051B"/>
    <w:rsid w:val="004C7102"/>
    <w:rsid w:val="004E694D"/>
    <w:rsid w:val="004F03CD"/>
    <w:rsid w:val="004F76E2"/>
    <w:rsid w:val="0051013F"/>
    <w:rsid w:val="005127E3"/>
    <w:rsid w:val="00513050"/>
    <w:rsid w:val="00515005"/>
    <w:rsid w:val="005225BF"/>
    <w:rsid w:val="005278FA"/>
    <w:rsid w:val="0053189A"/>
    <w:rsid w:val="00534991"/>
    <w:rsid w:val="00535110"/>
    <w:rsid w:val="00542BED"/>
    <w:rsid w:val="005461FF"/>
    <w:rsid w:val="0055107D"/>
    <w:rsid w:val="00575199"/>
    <w:rsid w:val="00586056"/>
    <w:rsid w:val="0059562E"/>
    <w:rsid w:val="005A6DC9"/>
    <w:rsid w:val="005E1B7B"/>
    <w:rsid w:val="0061677F"/>
    <w:rsid w:val="0062657F"/>
    <w:rsid w:val="00626D1D"/>
    <w:rsid w:val="00630A77"/>
    <w:rsid w:val="00634AE8"/>
    <w:rsid w:val="0065612E"/>
    <w:rsid w:val="006635F6"/>
    <w:rsid w:val="00670D2E"/>
    <w:rsid w:val="00671CBC"/>
    <w:rsid w:val="0067476A"/>
    <w:rsid w:val="00695F19"/>
    <w:rsid w:val="006A4F96"/>
    <w:rsid w:val="006B2157"/>
    <w:rsid w:val="006B32D8"/>
    <w:rsid w:val="006B5468"/>
    <w:rsid w:val="006C0B3E"/>
    <w:rsid w:val="006C14AB"/>
    <w:rsid w:val="0070248D"/>
    <w:rsid w:val="00705155"/>
    <w:rsid w:val="007147F8"/>
    <w:rsid w:val="00715A8B"/>
    <w:rsid w:val="00726B13"/>
    <w:rsid w:val="00745A14"/>
    <w:rsid w:val="0075131B"/>
    <w:rsid w:val="00784CDD"/>
    <w:rsid w:val="007A0F0B"/>
    <w:rsid w:val="007A7DB8"/>
    <w:rsid w:val="007C7601"/>
    <w:rsid w:val="007C7953"/>
    <w:rsid w:val="007D1F3B"/>
    <w:rsid w:val="007E734B"/>
    <w:rsid w:val="007E7C83"/>
    <w:rsid w:val="007F6D91"/>
    <w:rsid w:val="008138EC"/>
    <w:rsid w:val="008142E4"/>
    <w:rsid w:val="008327B8"/>
    <w:rsid w:val="008346D5"/>
    <w:rsid w:val="008512BB"/>
    <w:rsid w:val="00885114"/>
    <w:rsid w:val="0089739D"/>
    <w:rsid w:val="008A1155"/>
    <w:rsid w:val="008B498D"/>
    <w:rsid w:val="008B6032"/>
    <w:rsid w:val="008C2930"/>
    <w:rsid w:val="008E29F3"/>
    <w:rsid w:val="008F2B5B"/>
    <w:rsid w:val="008F3519"/>
    <w:rsid w:val="009065E3"/>
    <w:rsid w:val="00923B3C"/>
    <w:rsid w:val="00930B31"/>
    <w:rsid w:val="00940D34"/>
    <w:rsid w:val="00943F0B"/>
    <w:rsid w:val="00955034"/>
    <w:rsid w:val="009556EE"/>
    <w:rsid w:val="00964538"/>
    <w:rsid w:val="00971F72"/>
    <w:rsid w:val="00974E69"/>
    <w:rsid w:val="00993956"/>
    <w:rsid w:val="00996DE1"/>
    <w:rsid w:val="009B2DA4"/>
    <w:rsid w:val="009B6B2D"/>
    <w:rsid w:val="009C200C"/>
    <w:rsid w:val="009D0524"/>
    <w:rsid w:val="009F1253"/>
    <w:rsid w:val="009F3EB8"/>
    <w:rsid w:val="00A14E2B"/>
    <w:rsid w:val="00A3471E"/>
    <w:rsid w:val="00A351EF"/>
    <w:rsid w:val="00A36DC3"/>
    <w:rsid w:val="00A4397C"/>
    <w:rsid w:val="00A43CC0"/>
    <w:rsid w:val="00A45277"/>
    <w:rsid w:val="00A51F56"/>
    <w:rsid w:val="00A56EBF"/>
    <w:rsid w:val="00A65922"/>
    <w:rsid w:val="00A66958"/>
    <w:rsid w:val="00A713E4"/>
    <w:rsid w:val="00A7172F"/>
    <w:rsid w:val="00A818D4"/>
    <w:rsid w:val="00A90A1F"/>
    <w:rsid w:val="00A91384"/>
    <w:rsid w:val="00A930CB"/>
    <w:rsid w:val="00A976D8"/>
    <w:rsid w:val="00AB1C96"/>
    <w:rsid w:val="00AB2728"/>
    <w:rsid w:val="00AB4149"/>
    <w:rsid w:val="00AE025D"/>
    <w:rsid w:val="00AE79EE"/>
    <w:rsid w:val="00AF50FB"/>
    <w:rsid w:val="00AF5D5B"/>
    <w:rsid w:val="00B02818"/>
    <w:rsid w:val="00B119A5"/>
    <w:rsid w:val="00B220CB"/>
    <w:rsid w:val="00B26C7E"/>
    <w:rsid w:val="00B6475F"/>
    <w:rsid w:val="00B815F8"/>
    <w:rsid w:val="00B83CB6"/>
    <w:rsid w:val="00BB07BE"/>
    <w:rsid w:val="00BC1851"/>
    <w:rsid w:val="00BD2455"/>
    <w:rsid w:val="00BD3AA5"/>
    <w:rsid w:val="00BF2C08"/>
    <w:rsid w:val="00BF70ED"/>
    <w:rsid w:val="00C01FDD"/>
    <w:rsid w:val="00C173C3"/>
    <w:rsid w:val="00C20E07"/>
    <w:rsid w:val="00C368ED"/>
    <w:rsid w:val="00C41919"/>
    <w:rsid w:val="00C53B1A"/>
    <w:rsid w:val="00C57E78"/>
    <w:rsid w:val="00C6308C"/>
    <w:rsid w:val="00C74EB7"/>
    <w:rsid w:val="00C80AF8"/>
    <w:rsid w:val="00C87B56"/>
    <w:rsid w:val="00C9205B"/>
    <w:rsid w:val="00CB38E0"/>
    <w:rsid w:val="00CC1176"/>
    <w:rsid w:val="00CC6920"/>
    <w:rsid w:val="00CD0B99"/>
    <w:rsid w:val="00CF0748"/>
    <w:rsid w:val="00CF644C"/>
    <w:rsid w:val="00D01FF9"/>
    <w:rsid w:val="00D03B9A"/>
    <w:rsid w:val="00D14017"/>
    <w:rsid w:val="00D142A3"/>
    <w:rsid w:val="00D15AD6"/>
    <w:rsid w:val="00D15FF5"/>
    <w:rsid w:val="00D2291D"/>
    <w:rsid w:val="00D27AA2"/>
    <w:rsid w:val="00D30647"/>
    <w:rsid w:val="00D424D7"/>
    <w:rsid w:val="00D450BB"/>
    <w:rsid w:val="00D56DCE"/>
    <w:rsid w:val="00D62B28"/>
    <w:rsid w:val="00D67E1F"/>
    <w:rsid w:val="00D72595"/>
    <w:rsid w:val="00D73C95"/>
    <w:rsid w:val="00D73EC4"/>
    <w:rsid w:val="00D86906"/>
    <w:rsid w:val="00DA3853"/>
    <w:rsid w:val="00DD3304"/>
    <w:rsid w:val="00DD73A8"/>
    <w:rsid w:val="00DE3362"/>
    <w:rsid w:val="00DE3F1D"/>
    <w:rsid w:val="00DF138B"/>
    <w:rsid w:val="00DF21D0"/>
    <w:rsid w:val="00E03744"/>
    <w:rsid w:val="00E15553"/>
    <w:rsid w:val="00E15BF8"/>
    <w:rsid w:val="00E24560"/>
    <w:rsid w:val="00E642D3"/>
    <w:rsid w:val="00E750E6"/>
    <w:rsid w:val="00E82287"/>
    <w:rsid w:val="00E82EAC"/>
    <w:rsid w:val="00E9394F"/>
    <w:rsid w:val="00EA589A"/>
    <w:rsid w:val="00EB1A60"/>
    <w:rsid w:val="00EB1FDF"/>
    <w:rsid w:val="00EB4FA0"/>
    <w:rsid w:val="00EB5C16"/>
    <w:rsid w:val="00EB5C70"/>
    <w:rsid w:val="00EC64A7"/>
    <w:rsid w:val="00EC674C"/>
    <w:rsid w:val="00ED0D85"/>
    <w:rsid w:val="00ED623F"/>
    <w:rsid w:val="00EE42FA"/>
    <w:rsid w:val="00EE5231"/>
    <w:rsid w:val="00EE5761"/>
    <w:rsid w:val="00EE5F56"/>
    <w:rsid w:val="00EF3ED4"/>
    <w:rsid w:val="00F05065"/>
    <w:rsid w:val="00F12352"/>
    <w:rsid w:val="00F14E3C"/>
    <w:rsid w:val="00F334D8"/>
    <w:rsid w:val="00F34C6E"/>
    <w:rsid w:val="00F53EF8"/>
    <w:rsid w:val="00F5775D"/>
    <w:rsid w:val="00F70509"/>
    <w:rsid w:val="00F75D71"/>
    <w:rsid w:val="00F80159"/>
    <w:rsid w:val="00F95C89"/>
    <w:rsid w:val="00FA26A2"/>
    <w:rsid w:val="00FA3DD1"/>
    <w:rsid w:val="00FA3F78"/>
    <w:rsid w:val="00FB3908"/>
    <w:rsid w:val="00FB42C7"/>
    <w:rsid w:val="00FB677B"/>
    <w:rsid w:val="00FC4F27"/>
    <w:rsid w:val="00FC56A4"/>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F0B"/>
    <w:rPr>
      <w:rFonts w:ascii="Arial" w:hAnsi="Arial"/>
    </w:rPr>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5" ma:contentTypeDescription="Create a new document." ma:contentTypeScope="" ma:versionID="11e768122c718be68fa5a3952955f36a">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f77d1bcf05b34ef09dacf27c7f17cd54"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6a39d9-7731-4572-8308-bfc633c70a67}"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 ds:uri="74243a2f-f39c-4e43-9810-58f2f548e0d4"/>
    <ds:schemaRef ds:uri="http://schemas.microsoft.com/office/infopath/2007/PartnerControls"/>
    <ds:schemaRef ds:uri="32cf4773-4f40-40c5-b712-949156571374"/>
    <ds:schemaRef ds:uri="http://www.w3.org/2001/XMLSchema-instance"/>
  </ds:schemaRefs>
</ds:datastoreItem>
</file>

<file path=customXml/itemProps2.xml><?xml version="1.0" encoding="utf-8"?>
<ds:datastoreItem xmlns:ds="http://schemas.openxmlformats.org/officeDocument/2006/customXml" ds:itemID="{020EF197-F1DD-447C-B468-E54B178EA0BF}">
  <ds:schemaRefs>
    <ds:schemaRef ds:uri="http://schemas.microsoft.com/office/2006/metadata/contentType"/>
    <ds:schemaRef ds:uri="http://schemas.microsoft.com/office/2006/metadata/properties/metaAttributes"/>
    <ds:schemaRef ds:uri="http://www.w3.org/2000/xmlns/"/>
    <ds:schemaRef ds:uri="http://www.w3.org/2001/XMLSchema"/>
    <ds:schemaRef ds:uri="74243a2f-f39c-4e43-9810-58f2f548e0d4"/>
    <ds:schemaRef ds:uri="32cf4773-4f40-40c5-b712-949156571374"/>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FD488D24-0616-4A3A-BF4E-1BB18B40F3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6</Pages>
  <Words>1586</Words>
  <Characters>9043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10608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IHM Essay Template</dc:title>
  <dc:subject/>
  <dc:creator>Julia Ault</dc:creator>
  <cp:keywords/>
  <dc:description/>
  <cp:lastModifiedBy>Sheikh Mohammed Sultan (2133697)</cp:lastModifiedBy>
  <cp:revision>25</cp:revision>
  <dcterms:created xsi:type="dcterms:W3CDTF">2023-03-12T19:54:00Z</dcterms:created>
  <dcterms:modified xsi:type="dcterms:W3CDTF">2023-03-12T20:37:00Z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